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Nishimura Mika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13.8293</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32,716</w:t>
            </w:r>
            <w:r>
              <w:rPr>
                <w:rFonts w:ascii="Times;serif" w:hAnsi="Times;serif"/>
                <w:color w:val="008000"/>
                <w:position w:val="7"/>
                <w:sz w:val="16"/>
                <w:sz w:val="20"/>
                <w:shd w:fill="FFFFFF" w:val="clear"/>
              </w:rPr>
              <w:t>(2)</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$13.82 USD to $13.86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8,675 shares issuable on the settlement of restricted stock units granted to the Reporting Person.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Pisetsky, Attorney-in-Fact for Mika Nishimura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mikanishimurapoa2021.txt"/>
      <w:bookmarkStart w:id="3" w:name="ksmikanishimurapoa202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LAURA A. FRANCIS, MICHAEL A. PISETSKY, MATTHEW B. HEMINGTON</w:t>
      </w:r>
    </w:p>
    <w:p>
      <w:pPr>
        <w:pStyle w:val="PreformattedText"/>
        <w:bidi w:val="0"/>
        <w:spacing w:before="0" w:after="0"/>
        <w:jc w:val="left"/>
        <w:rPr/>
      </w:pPr>
      <w:r>
        <w:rPr/>
        <w:t>and KRIS TAMASHIRO,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director or beneficial owner of more than 10% of a registered</w:t>
      </w:r>
    </w:p>
    <w:p>
      <w:pPr>
        <w:pStyle w:val="PreformattedText"/>
        <w:bidi w:val="0"/>
        <w:spacing w:before="0" w:after="0"/>
        <w:jc w:val="left"/>
        <w:rPr/>
      </w:pPr>
      <w:r>
        <w:rPr/>
        <w:t>class of securities of SI-BONE, INC. (the "Company"), Forms 3, 4 and 5</w:t>
      </w:r>
    </w:p>
    <w:p>
      <w:pPr>
        <w:pStyle w:val="PreformattedText"/>
        <w:bidi w:val="0"/>
        <w:spacing w:before="0" w:after="0"/>
        <w:jc w:val="left"/>
        <w:rPr/>
      </w:pPr>
      <w:r>
        <w:rPr/>
        <w:t>(including any amendments thereto) in accordance with Section 16(a) of the</w:t>
      </w:r>
    </w:p>
    <w:p>
      <w:pPr>
        <w:pStyle w:val="PreformattedText"/>
        <w:bidi w:val="0"/>
        <w:spacing w:before="0" w:after="0"/>
        <w:jc w:val="left"/>
        <w:rPr/>
      </w:pPr>
      <w:r>
        <w:rPr/>
        <w:t>Securities Exchange Act of 1934, as amended (the "Exchange Act") and the rules</w:t>
      </w:r>
    </w:p>
    <w:p>
      <w:pPr>
        <w:pStyle w:val="PreformattedText"/>
        <w:bidi w:val="0"/>
        <w:spacing w:before="0" w:after="0"/>
        <w:jc w:val="left"/>
        <w:rPr/>
      </w:pPr>
      <w:r>
        <w:rPr/>
        <w:t>thereunder and a Form ID, Uniform Application for Access Codes to File on EDGAR;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execute such Forms 3, 4 or 5 or Form ID</w:t>
      </w:r>
    </w:p>
    <w:p>
      <w:pPr>
        <w:pStyle w:val="PreformattedText"/>
        <w:bidi w:val="0"/>
        <w:spacing w:before="0" w:after="0"/>
        <w:jc w:val="left"/>
        <w:rPr/>
      </w:pPr>
      <w:r>
        <w:rPr/>
        <w:t>(including any amendments thereto) and timely file such forms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w:t>
      </w:r>
    </w:p>
    <w:p>
      <w:pPr>
        <w:pStyle w:val="PreformattedText"/>
        <w:bidi w:val="0"/>
        <w:spacing w:before="0" w:after="0"/>
        <w:jc w:val="left"/>
        <w:rPr/>
      </w:pPr>
      <w:r>
        <w:rPr/>
        <w:t>foregoing which, in the opinion of such attorney-in-fact, may be of benefit, in</w:t>
      </w:r>
    </w:p>
    <w:p>
      <w:pPr>
        <w:pStyle w:val="PreformattedText"/>
        <w:bidi w:val="0"/>
        <w:spacing w:before="0" w:after="0"/>
        <w:jc w:val="left"/>
        <w:rPr/>
      </w:pPr>
      <w:r>
        <w:rPr/>
        <w:t>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 attorney</w:t>
      </w:r>
    </w:p>
    <w:p>
      <w:pPr>
        <w:pStyle w:val="PreformattedText"/>
        <w:bidi w:val="0"/>
        <w:spacing w:before="0" w:after="0"/>
        <w:jc w:val="left"/>
        <w:rPr/>
      </w:pPr>
      <w:r>
        <w:rPr/>
        <w:t>-in-fact's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foregoing attorneys-in-fact or (c) as to any attorney-in-fact</w:t>
      </w:r>
    </w:p>
    <w:p>
      <w:pPr>
        <w:pStyle w:val="PreformattedText"/>
        <w:bidi w:val="0"/>
        <w:spacing w:before="0" w:after="0"/>
        <w:jc w:val="left"/>
        <w:rPr/>
      </w:pPr>
      <w:r>
        <w:rPr/>
        <w:t>individually, until such attorney-in-fact is no longer employed by the Company</w:t>
      </w:r>
    </w:p>
    <w:p>
      <w:pPr>
        <w:pStyle w:val="PreformattedText"/>
        <w:bidi w:val="0"/>
        <w:spacing w:before="0" w:after="0"/>
        <w:jc w:val="left"/>
        <w:rPr/>
      </w:pPr>
      <w:r>
        <w:rPr/>
        <w:t>or Cooley LLP.</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February 23, 2021.</w:t>
      </w:r>
    </w:p>
    <w:p>
      <w:pPr>
        <w:pStyle w:val="PreformattedText"/>
        <w:bidi w:val="0"/>
        <w:spacing w:before="0" w:after="0"/>
        <w:jc w:val="left"/>
        <w:rPr/>
      </w:pPr>
      <w:r>
        <w:rPr/>
      </w:r>
    </w:p>
    <w:p>
      <w:pPr>
        <w:pStyle w:val="PreformattedText"/>
        <w:bidi w:val="0"/>
        <w:spacing w:before="0" w:after="0"/>
        <w:jc w:val="left"/>
        <w:rPr/>
      </w:pPr>
      <w:r>
        <w:rPr/>
        <w:t>/s/ Mika Nishimura</w:t>
      </w:r>
    </w:p>
    <w:p>
      <w:pPr>
        <w:pStyle w:val="PreformattedText"/>
        <w:bidi w:val="0"/>
        <w:spacing w:before="0" w:after="283"/>
        <w:jc w:val="left"/>
        <w:rPr/>
      </w:pPr>
      <w:r>
        <w:rPr/>
        <w:t>Mika Nishimura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8327"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1170</Words>
  <Characters>6217</Characters>
  <CharactersWithSpaces>7292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