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Maheshwari Anshul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04/20/2021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38,240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38,240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settlement of restricted stock units granted to the Reporting Person. Each restricted stock unit represents a contingent right to receive one share of the Issuer's common stock. 25% of the shares shall vest and be released on the one-year anniversary of the Vesting Commencement Date; thereafter, the remaining 75% of the shares vest in a series of twelve equal quarterly installments, each equal to 6.25% of the award shares, until the award is fully vested on the fourth anniversary of the Vesting Commencement Date, subject to the Reporting Person's continued service through each relevant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Anshul</w:t>
      </w:r>
      <w:r>
        <w:rPr>
          <w:sz w:val="20"/>
          <w:szCs w:val="20"/>
          <w:color w:val="auto"/>
        </w:rPr>
        <w:tab/>
      </w:r>
      <w:r>
        <w:rPr>
          <w:rFonts w:ascii="Arial" w:cs="Arial" w:eastAsia="Arial" w:hAnsi="Arial"/>
          <w:sz w:val="15"/>
          <w:szCs w:val="15"/>
          <w:color w:val="0000FF"/>
        </w:rPr>
        <w:t>04/21/2021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200" w:lineRule="exact"/>
        <w:rPr>
          <w:sz w:val="20"/>
          <w:szCs w:val="20"/>
          <w:color w:val="auto"/>
        </w:rPr>
      </w:pPr>
    </w:p>
    <w:p>
      <w:pPr>
        <w:ind w:right="135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0" w:lineRule="exact"/>
        <w:rPr>
          <w:rFonts w:ascii="Courier New" w:cs="Courier New" w:eastAsia="Courier New" w:hAnsi="Courier New"/>
          <w:sz w:val="17"/>
          <w:szCs w:val="17"/>
          <w:color w:val="auto"/>
        </w:rPr>
      </w:pPr>
    </w:p>
    <w:p>
      <w:pPr>
        <w:ind w:right="15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67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2021-04-21T17:25:30Z</dcterms:created>
  <dcterms:modified xsi:type="dcterms:W3CDTF">2021-04-21T17:25:30Z</dcterms:modified>
</cp:coreProperties>
</file>