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 xml:space="preserve">For the quarterly period ended </w:t>
      </w:r>
      <w:r>
        <w:rPr>
          <w:rFonts w:ascii="Times New Roman;serif" w:hAnsi="Times New Roman;serif"/>
          <w:b w:val="false"/>
          <w:color w:val="000000"/>
          <w:sz w:val="20"/>
        </w:rPr>
        <w:t>June 30, 2025</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__________ to 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001-38701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SI-BONE, INC. </w:t>
      </w:r>
    </w:p>
    <w:p>
      <w:pPr>
        <w:pStyle w:val="TextBody"/>
        <w:bidi w:val="0"/>
        <w:spacing w:lineRule="auto" w:line="288" w:before="0" w:after="6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70" w:type="dxa"/>
        <w:jc w:val="center"/>
        <w:tblInd w:w="0" w:type="dxa"/>
        <w:tblLayout w:type="fixed"/>
        <w:tblCellMar>
          <w:top w:w="28" w:type="dxa"/>
          <w:left w:w="28" w:type="dxa"/>
          <w:bottom w:w="28" w:type="dxa"/>
          <w:right w:w="28" w:type="dxa"/>
        </w:tblCellMar>
      </w:tblPr>
      <w:tblGrid>
        <w:gridCol w:w="878"/>
        <w:gridCol w:w="774"/>
        <w:gridCol w:w="777"/>
        <w:gridCol w:w="109"/>
        <w:gridCol w:w="109"/>
        <w:gridCol w:w="109"/>
        <w:gridCol w:w="528"/>
        <w:gridCol w:w="528"/>
        <w:gridCol w:w="75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26-2216351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5591"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72"/>
        <w:gridCol w:w="272"/>
        <w:gridCol w:w="385"/>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471 El Camino Real, Suite 101, Santa Clara,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95050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40" w:before="60" w:after="283"/>
        <w:jc w:val="center"/>
        <w:rPr/>
      </w:pPr>
      <w:r>
        <w:rPr>
          <w:color w:val="000000"/>
        </w:rPr>
        <w:t> </w:t>
      </w:r>
      <w:r>
        <w:rPr>
          <w:rFonts w:ascii="Times New Roman;serif" w:hAnsi="Times New Roman;serif"/>
          <w:b/>
          <w:color w:val="000000"/>
          <w:sz w:val="16"/>
        </w:rPr>
        <w:t>Registrant's telephone number, including area code</w:t>
      </w:r>
      <w:r>
        <w:rPr>
          <w:rFonts w:ascii="Times New Roman;serif" w:hAnsi="Times New Roman;serif"/>
          <w:b w:val="false"/>
          <w:color w:val="000000"/>
          <w:sz w:val="16"/>
        </w:rPr>
        <w:t xml:space="preserve">: </w:t>
      </w:r>
      <w:r>
        <w:rPr>
          <w:rFonts w:ascii="Times New Roman;serif" w:hAnsi="Times New Roman;serif"/>
          <w:b/>
          <w:color w:val="000000"/>
          <w:sz w:val="16"/>
        </w:rPr>
        <w:t>(408) 207-0700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before="0" w:after="0"/>
        <w:jc w:val="center"/>
        <w:rPr/>
      </w:pPr>
      <w:r>
        <w:rPr/>
      </w:r>
    </w:p>
    <w:p>
      <w:pPr>
        <w:pStyle w:val="TextBody"/>
        <w:bidi w:val="0"/>
        <w:spacing w:lineRule="auto" w:line="288" w:before="120" w:after="120"/>
        <w:jc w:val="center"/>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120"/>
        <w:jc w:val="center"/>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20" w:after="120"/>
        <w:jc w:val="center"/>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120"/>
        <w:jc w:val="center"/>
        <w:rPr>
          <w:color w:val="000000"/>
        </w:rPr>
      </w:pPr>
      <w:r>
        <w:rPr>
          <w:color w:val="000000"/>
        </w:rPr>
        <w:t> </w:t>
      </w:r>
    </w:p>
    <w:tbl>
      <w:tblPr>
        <w:tblW w:w="7290"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109"/>
        <w:gridCol w:w="109"/>
        <w:gridCol w:w="109"/>
        <w:gridCol w:w="674"/>
        <w:gridCol w:w="674"/>
        <w:gridCol w:w="677"/>
        <w:gridCol w:w="109"/>
        <w:gridCol w:w="109"/>
        <w:gridCol w:w="109"/>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80" w:after="283"/>
        <w:jc w:val="center"/>
        <w:rPr>
          <w:rFonts w:ascii="Times New Roman;serif" w:hAnsi="Times New Roman;serif"/>
          <w:b w:val="false"/>
          <w:color w:val="000000"/>
          <w:sz w:val="16"/>
        </w:rPr>
      </w:pPr>
      <w:r>
        <w:rPr>
          <w:rFonts w:ascii="Times New Roman;serif" w:hAnsi="Times New Roman;serif"/>
          <w:b w:val="false"/>
          <w:color w:val="000000"/>
          <w:sz w:val="16"/>
        </w:rPr>
        <w:t>The number of shares outstanding of the registrant’s Common Stock was 43,140,936 as of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TABLE OF CONTENTS</w:t>
      </w:r>
    </w:p>
    <w:tbl>
      <w:tblPr>
        <w:tblW w:w="9358" w:type="dxa"/>
        <w:jc w:val="center"/>
        <w:tblInd w:w="0" w:type="dxa"/>
        <w:tblLayout w:type="fixed"/>
        <w:tblCellMar>
          <w:top w:w="28" w:type="dxa"/>
          <w:left w:w="28" w:type="dxa"/>
          <w:bottom w:w="28" w:type="dxa"/>
          <w:right w:w="28" w:type="dxa"/>
        </w:tblCellMar>
      </w:tblPr>
      <w:tblGrid>
        <w:gridCol w:w="293"/>
        <w:gridCol w:w="257"/>
        <w:gridCol w:w="261"/>
        <w:gridCol w:w="109"/>
        <w:gridCol w:w="109"/>
        <w:gridCol w:w="109"/>
        <w:gridCol w:w="2568"/>
        <w:gridCol w:w="2568"/>
        <w:gridCol w:w="2573"/>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3">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3">
              <w:r>
                <w:rPr>
                  <w:rStyle w:val="InternetLink"/>
                  <w:rFonts w:ascii="Times New Roman;serif" w:hAnsi="Times New Roman;serif"/>
                  <w:b w:val="false"/>
                  <w:color w:val="0000FF"/>
                  <w:sz w:val="20"/>
                  <w:u w:val="single"/>
                </w:rPr>
                <w:t xml:space="preserve">Financial Statements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3">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6">
              <w:r>
                <w:rPr>
                  <w:rStyle w:val="InternetLink"/>
                  <w:rFonts w:ascii="Times New Roman;serif" w:hAnsi="Times New Roman;serif"/>
                  <w:b w:val="false"/>
                  <w:color w:val="0000FF"/>
                  <w:sz w:val="20"/>
                  <w:u w:val="single"/>
                </w:rPr>
                <w:t>Condensed Consolidated Balance Sheets</w:t>
              </w:r>
            </w:hyperlink>
            <w:r>
              <w:rPr>
                <w:color w:val="000000"/>
              </w:rPr>
              <w:t xml:space="preserve"> </w:t>
            </w:r>
            <w:hyperlink w:anchor="i38baa2fc70ab4aae81435fc9ced35472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6">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8baa2fc70ab4aae81435fc9ced35472_19">
              <w:r>
                <w:rPr>
                  <w:rStyle w:val="InternetLink"/>
                  <w:rFonts w:ascii="Times New Roman;serif" w:hAnsi="Times New Roman;serif"/>
                  <w:b w:val="false"/>
                  <w:color w:val="0000FF"/>
                  <w:sz w:val="20"/>
                  <w:u w:val="single"/>
                </w:rPr>
                <w:t>Condensed Consolidated Statements of Operations and Comprehensive Loss</w:t>
              </w:r>
            </w:hyperlink>
            <w:r>
              <w:rPr>
                <w:color w:val="000000"/>
              </w:rPr>
              <w:t xml:space="preserve"> </w:t>
            </w:r>
            <w:hyperlink w:anchor="i38baa2fc70ab4aae81435fc9ced35472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9">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22">
              <w:r>
                <w:rPr>
                  <w:rStyle w:val="InternetLink"/>
                  <w:rFonts w:ascii="Times New Roman;serif" w:hAnsi="Times New Roman;serif"/>
                  <w:b w:val="false"/>
                  <w:color w:val="0000FF"/>
                  <w:sz w:val="20"/>
                  <w:u w:val="single"/>
                </w:rPr>
                <w:t>Condensed Consolidated Statements of Changes in Stockholders' Equity</w:t>
              </w:r>
            </w:hyperlink>
            <w:r>
              <w:rPr>
                <w:color w:val="000000"/>
              </w:rPr>
              <w:t xml:space="preserve"> </w:t>
            </w:r>
            <w:hyperlink w:anchor="i38baa2fc70ab4aae81435fc9ced35472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22">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25">
              <w:r>
                <w:rPr>
                  <w:rStyle w:val="InternetLink"/>
                  <w:rFonts w:ascii="Times New Roman;serif" w:hAnsi="Times New Roman;serif"/>
                  <w:b w:val="false"/>
                  <w:color w:val="0000FF"/>
                  <w:sz w:val="20"/>
                  <w:u w:val="single"/>
                </w:rPr>
                <w:t>Condensed Consolidated Statements of Cash Flows</w:t>
              </w:r>
            </w:hyperlink>
            <w:r>
              <w:rPr>
                <w:color w:val="000000"/>
              </w:rPr>
              <w:t xml:space="preserve"> </w:t>
            </w:r>
            <w:hyperlink w:anchor="i38baa2fc70ab4aae81435fc9ced35472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25">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28">
              <w:r>
                <w:rPr>
                  <w:rStyle w:val="InternetLink"/>
                  <w:rFonts w:ascii="Times New Roman;serif" w:hAnsi="Times New Roman;serif"/>
                  <w:b w:val="false"/>
                  <w:color w:val="0000FF"/>
                  <w:sz w:val="20"/>
                  <w:u w:val="single"/>
                </w:rPr>
                <w:t>Notes to Condensed Consolidated Financial Statements</w:t>
              </w:r>
            </w:hyperlink>
            <w:r>
              <w:rPr>
                <w:color w:val="000000"/>
              </w:rPr>
              <w:t xml:space="preserve"> </w:t>
            </w:r>
            <w:hyperlink w:anchor="i38baa2fc70ab4aae81435fc9ced35472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28">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67">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67">
              <w:r>
                <w:rPr>
                  <w:rStyle w:val="InternetLink"/>
                  <w:rFonts w:ascii="Times New Roman;serif" w:hAnsi="Times New Roman;serif"/>
                  <w:b w:val="false"/>
                  <w:color w:val="0000FF"/>
                  <w:sz w:val="20"/>
                  <w:u w:val="single"/>
                </w:rPr>
                <w:t>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03">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0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03">
              <w:r>
                <w:rPr>
                  <w:rStyle w:val="InternetLink"/>
                  <w:rFonts w:ascii="Times New Roman;serif" w:hAnsi="Times New Roman;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06">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06">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06">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12">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12">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12">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15">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15">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15">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18">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18">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18">
              <w:r>
                <w:rPr>
                  <w:rStyle w:val="InternetLink"/>
                  <w:rFonts w:ascii="Times New Roman;serif" w:hAnsi="Times New Roman;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21">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21">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21">
              <w:r>
                <w:rPr>
                  <w:rStyle w:val="InternetLink"/>
                  <w:rFonts w:ascii="Times New Roman;serif" w:hAnsi="Times New Roman;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24">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24">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24">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27">
              <w:r>
                <w:rPr>
                  <w:rStyle w:val="InternetLink"/>
                  <w:rFonts w:ascii="Times New Roman;serif" w:hAnsi="Times New Roman;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27">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27">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30">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30">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30">
              <w:r>
                <w:rPr>
                  <w:rStyle w:val="InternetLink"/>
                  <w:rFonts w:ascii="Times New Roman;serif" w:hAnsi="Times New Roman;serif"/>
                  <w:b w:val="false"/>
                  <w:color w:val="0000FF"/>
                  <w:sz w:val="20"/>
                  <w:u w:val="single"/>
                </w:rPr>
                <w:t>38</w:t>
              </w:r>
            </w:hyperlink>
          </w:p>
        </w:tc>
      </w:tr>
      <w:tr>
        <w:trPr/>
        <w:tc>
          <w:tcPr>
            <w:tcW w:w="88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8baa2fc70ab4aae81435fc9ced35472_133">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baa2fc70ab4aae81435fc9ced35472_133">
              <w:r>
                <w:rPr>
                  <w:rStyle w:val="InternetLink"/>
                  <w:rFonts w:ascii="Times New Roman;serif" w:hAnsi="Times New Roman;serif"/>
                  <w:b w:val="false"/>
                  <w:color w:val="0000FF"/>
                  <w:sz w:val="20"/>
                  <w:u w:val="single"/>
                </w:rPr>
                <w:t>39</w:t>
              </w:r>
            </w:hyperlink>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physician adoption, reimbursement determinations, clinical trial results, and U.S. Food and Drug Administration ("FDA") approvals, are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expectation that a significant portion of our revenue will be derived from sales of similar products addressing the sacropelvic anatomy;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develop and commercialize additional revenue opportunities, including new indications for use and new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retain and grow our sales team, including our third-party sales agents, based on the demand for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identify, train, and retain physicians to perform procedures using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obtain and maintain favorable coverage and reimbursement determinations from third-party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estimates of our market opportunity;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the scope of protection from intellectual property rights covering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timing of and results from our clinical trials and other studies;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marketing clearances and authorization from the FDA and regulators in other jurisdictions and CE Certificates of Conformity from Notified Bodies;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timing of regulatory filings and feedback;</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competition in the markets we serve;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of the reliability and performance of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of the benefits of our products to patients, providers, and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proposed tariffs on our business, including the impact on gross margins related to our international product sales and the impact of resulting economic uncertainty on demand for our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factors impacting the supply chains we rely on, including tariffs and the availability of raw materials and skilled labor serving our suppliers, and the cost of these factors of production which may in turn impact the prices we pay for our devices;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sustain or increase demand for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estimates regarding our costs and risks associated with our international operations and expansion;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our ability to retain and recruit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attract and retain employees, including those with specialized skills and experience;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acquisitions and strategic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access capital markets;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fund our working capital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compliance with, and the cost of, federal, state, and foreign regulatory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factors that may impact our financial results;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anticipated trends and challenges in our business and the markets in which we operate.</w:t>
      </w:r>
    </w:p>
    <w:p>
      <w:pPr>
        <w:pStyle w:val="TextBody"/>
        <w:bidi w:val="0"/>
        <w:spacing w:before="180" w:after="283"/>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rPr>
        <w:t>Factors that may cause actual results to differ materially from current expectations include, among other things, those listed under “Risk Factors”</w:t>
      </w:r>
      <w:r>
        <w:rPr>
          <w:color w:val="000000"/>
        </w:rPr>
        <w:t xml:space="preserve"> </w:t>
      </w:r>
      <w:r>
        <w:rPr>
          <w:rFonts w:ascii="Times New Roman;serif" w:hAnsi="Times New Roman;serif"/>
          <w:b w:val="false"/>
          <w:color w:val="000000"/>
          <w:sz w:val="20"/>
        </w:rPr>
        <w:t>in our Annual Report on Form 10-K for the year ended December 31, 2024, together with any updates in the section titled “Risk Factors” in this Quarterly Report on Form 10-Q.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51"/>
        <w:gridCol w:w="2263"/>
        <w:gridCol w:w="2191"/>
        <w:gridCol w:w="211"/>
        <w:gridCol w:w="830"/>
        <w:gridCol w:w="109"/>
        <w:gridCol w:w="109"/>
        <w:gridCol w:w="109"/>
        <w:gridCol w:w="109"/>
        <w:gridCol w:w="251"/>
        <w:gridCol w:w="986"/>
        <w:gridCol w:w="186"/>
      </w:tblGrid>
      <w:tr>
        <w:trPr/>
        <w:tc>
          <w:tcPr>
            <w:tcW w:w="285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$911 and $588,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AND STOCKHOLDERS’ EQUITY </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5,000,000 shares authorized; no shares issued and outstanding</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 shares authorized; 43,014,093 and 42,086,477 shares issued and outstanding,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(431,354)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07060"/>
                <wp:effectExtent l="0" t="0" r="0" b="0"/>
                <wp:wrapNone/>
                <wp:docPr id="5" name="Frame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7"/>
        <w:gridCol w:w="1098"/>
        <w:gridCol w:w="1022"/>
        <w:gridCol w:w="244"/>
        <w:gridCol w:w="837"/>
        <w:gridCol w:w="109"/>
        <w:gridCol w:w="109"/>
        <w:gridCol w:w="109"/>
        <w:gridCol w:w="109"/>
        <w:gridCol w:w="244"/>
        <w:gridCol w:w="837"/>
        <w:gridCol w:w="109"/>
        <w:gridCol w:w="109"/>
        <w:gridCol w:w="109"/>
        <w:gridCol w:w="109"/>
        <w:gridCol w:w="109"/>
        <w:gridCol w:w="109"/>
        <w:gridCol w:w="134"/>
        <w:gridCol w:w="134"/>
        <w:gridCol w:w="347"/>
        <w:gridCol w:w="942"/>
        <w:gridCol w:w="134"/>
        <w:gridCol w:w="109"/>
        <w:gridCol w:w="109"/>
        <w:gridCol w:w="109"/>
        <w:gridCol w:w="240"/>
        <w:gridCol w:w="841"/>
        <w:gridCol w:w="157"/>
      </w:tblGrid>
      <w:tr>
        <w:trPr/>
        <w:tc>
          <w:tcPr>
            <w:tcW w:w="15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65" w:type="dxa"/>
            <w:gridSpan w:val="6"/>
            <w:tcBorders/>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42,788,123 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41,317,627 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42,564,158 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41,126,009 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SI-BONE, INC.</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653" w:type="dxa"/>
        <w:jc w:val="left"/>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26"/>
        <w:gridCol w:w="109"/>
        <w:gridCol w:w="109"/>
        <w:gridCol w:w="109"/>
        <w:gridCol w:w="278"/>
        <w:gridCol w:w="358"/>
        <w:gridCol w:w="145"/>
        <w:gridCol w:w="109"/>
        <w:gridCol w:w="109"/>
        <w:gridCol w:w="109"/>
        <w:gridCol w:w="211"/>
        <w:gridCol w:w="841"/>
        <w:gridCol w:w="109"/>
        <w:gridCol w:w="109"/>
        <w:gridCol w:w="109"/>
        <w:gridCol w:w="109"/>
        <w:gridCol w:w="382"/>
        <w:gridCol w:w="845"/>
        <w:gridCol w:w="199"/>
        <w:gridCol w:w="109"/>
        <w:gridCol w:w="109"/>
        <w:gridCol w:w="109"/>
        <w:gridCol w:w="211"/>
        <w:gridCol w:w="896"/>
        <w:gridCol w:w="109"/>
        <w:gridCol w:w="109"/>
        <w:gridCol w:w="109"/>
        <w:gridCol w:w="109"/>
        <w:gridCol w:w="229"/>
        <w:gridCol w:w="913"/>
        <w:gridCol w:w="119"/>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Paid-in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Comprehensive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42,086,477 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42,479,600</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604,836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(437,896)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167,264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43,014,093</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613,727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(444,048)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170,343</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435" w:type="dxa"/>
        <w:jc w:val="left"/>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26"/>
        <w:gridCol w:w="109"/>
        <w:gridCol w:w="109"/>
        <w:gridCol w:w="109"/>
        <w:gridCol w:w="278"/>
        <w:gridCol w:w="358"/>
        <w:gridCol w:w="145"/>
        <w:gridCol w:w="109"/>
        <w:gridCol w:w="109"/>
        <w:gridCol w:w="109"/>
        <w:gridCol w:w="211"/>
        <w:gridCol w:w="841"/>
        <w:gridCol w:w="109"/>
        <w:gridCol w:w="109"/>
        <w:gridCol w:w="109"/>
        <w:gridCol w:w="109"/>
        <w:gridCol w:w="375"/>
        <w:gridCol w:w="856"/>
        <w:gridCol w:w="195"/>
        <w:gridCol w:w="109"/>
        <w:gridCol w:w="109"/>
        <w:gridCol w:w="109"/>
        <w:gridCol w:w="211"/>
        <w:gridCol w:w="896"/>
        <w:gridCol w:w="109"/>
        <w:gridCol w:w="109"/>
        <w:gridCol w:w="109"/>
        <w:gridCol w:w="109"/>
        <w:gridCol w:w="228"/>
        <w:gridCol w:w="910"/>
        <w:gridCol w:w="168"/>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Paid-in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Comprehensive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40,693,299 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41,078,762</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576,612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(411,345)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165,537</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41,510,811</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584,786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(420,284)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164,733</w:t>
            </w: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SI-BONE,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109" w:type="dxa"/>
        <w:jc w:val="left"/>
        <w:tblInd w:w="0" w:type="dxa"/>
        <w:tblLayout w:type="fixed"/>
        <w:tblCellMar>
          <w:top w:w="28" w:type="dxa"/>
          <w:left w:w="28" w:type="dxa"/>
          <w:bottom w:w="28" w:type="dxa"/>
          <w:right w:w="28" w:type="dxa"/>
        </w:tblCellMar>
      </w:tblPr>
      <w:tblGrid>
        <w:gridCol w:w="2061"/>
        <w:gridCol w:w="1808"/>
        <w:gridCol w:w="1816"/>
        <w:gridCol w:w="196"/>
        <w:gridCol w:w="721"/>
        <w:gridCol w:w="109"/>
        <w:gridCol w:w="109"/>
        <w:gridCol w:w="109"/>
        <w:gridCol w:w="109"/>
        <w:gridCol w:w="196"/>
        <w:gridCol w:w="721"/>
        <w:gridCol w:w="154"/>
      </w:tblGrid>
      <w:tr>
        <w:trPr/>
        <w:tc>
          <w:tcPr>
            <w:tcW w:w="206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credit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and premium on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reserve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the exercise of stock options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and cash equivalents at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Supplemental disclosure of non-cash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Unpaid purchases of property and equipment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07060"/>
                <wp:effectExtent l="0" t="0" r="0" b="0"/>
                <wp:wrapNone/>
                <wp:docPr id="9" name="Frame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The Company and Nature of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Company’s products include a series of patented titanium implants and the instruments used to implant them, as well as implantable bone products. Since launching its first generation iFuse in 2009, the Company has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 In Europe, iFuse, iFuse-3D and iFuse TORQ are approved for applications in sacroiliac fusion, adult spinal deformity and pelvic fracture fixation.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07060"/>
                <wp:effectExtent l="0" t="0" r="0" b="0"/>
                <wp:wrapNone/>
                <wp:docPr id="10" name="Frame1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2024 has been derived from the audited consolidated financial statements at that date but does not include all of the information required by U.S.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six months ended June 30, 2025 are not necessarily indicative of the results to be expected for the year ending December 31, 2025 or for any other interim period or for any other future year.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should be read in conjunction with the audited financial statements and related notes thereto for the year ended December 31, 2024 contained in the Company’s Annual Report on Form 10-K filed with the SEC on February 25, 2025 (the “2024 Annual Report”).</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disclosed in the 2024 Annual Report. There have been no material changes to these accounting policies.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makers (“CODMs”) are the Chief Executive Officer and Chief Financial Officer. The Company has determined that it has a single operating and reportable segment. The CODMs use revenue and net loss at the consolidated level to measure segment profit and loss, allocate resources, monitor plan versus actual results, and manage operations. Significant expenses within net loss include cost of goods sold, sales and marketing, research and development, and general and administrative at the consolidated level. Other segment items within net loss include interest income, interest expense, and other income (expense), net.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Substantially all of the segment revenue is derived from sales to customers in the U.S. Description of segment products are included in </w:t>
      </w:r>
      <w:hyperlink w:anchor="i38baa2fc70ab4aae81435fc9ced35472_31">
        <w:r>
          <w:rPr>
            <w:rStyle w:val="InternetLink"/>
            <w:rFonts w:ascii="Times New Roman;serif" w:hAnsi="Times New Roman;serif"/>
            <w:b w:val="false"/>
            <w:strike w:val="false"/>
            <w:dstrike w:val="false"/>
            <w:color w:val="000000"/>
            <w:sz w:val="20"/>
            <w:u w:val="none"/>
            <w:effect w:val="none"/>
          </w:rPr>
          <w:t>Note 1. The Company and Nature of Business</w:t>
        </w:r>
      </w:hyperlink>
      <w:r>
        <w:rPr>
          <w:rFonts w:ascii="Times New Roman;serif" w:hAnsi="Times New Roman;serif"/>
          <w:b w:val="false"/>
          <w:color w:val="000000"/>
          <w:sz w:val="20"/>
        </w:rPr>
        <w:t>. Revenue by geography is based on billing address of the customer. International revenue accounted for less than 10% of the total revenue during the periods presented. Long-lived assets held outside the U.S. are immaterial. The following table summarizes the Company's revenue by geography:</w:t>
      </w:r>
    </w:p>
    <w:tbl>
      <w:tblPr>
        <w:tblW w:w="7723" w:type="dxa"/>
        <w:jc w:val="left"/>
        <w:tblInd w:w="0" w:type="dxa"/>
        <w:tblLayout w:type="fixed"/>
        <w:tblCellMar>
          <w:top w:w="28" w:type="dxa"/>
          <w:left w:w="28" w:type="dxa"/>
          <w:bottom w:w="28" w:type="dxa"/>
          <w:right w:w="28" w:type="dxa"/>
        </w:tblCellMar>
      </w:tblPr>
      <w:tblGrid>
        <w:gridCol w:w="435"/>
        <w:gridCol w:w="381"/>
        <w:gridCol w:w="383"/>
        <w:gridCol w:w="214"/>
        <w:gridCol w:w="732"/>
        <w:gridCol w:w="110"/>
        <w:gridCol w:w="110"/>
        <w:gridCol w:w="110"/>
        <w:gridCol w:w="110"/>
        <w:gridCol w:w="214"/>
        <w:gridCol w:w="732"/>
        <w:gridCol w:w="110"/>
        <w:gridCol w:w="109"/>
        <w:gridCol w:w="109"/>
        <w:gridCol w:w="109"/>
        <w:gridCol w:w="109"/>
        <w:gridCol w:w="193"/>
        <w:gridCol w:w="193"/>
        <w:gridCol w:w="374"/>
        <w:gridCol w:w="1280"/>
        <w:gridCol w:w="193"/>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60" w:type="dxa"/>
            <w:gridSpan w:val="9"/>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07060"/>
                <wp:effectExtent l="0" t="0" r="0" b="0"/>
                <wp:wrapNone/>
                <wp:docPr id="11" name="Frame1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The Company is currently evaluating the impacts of ASU 2023-09 on its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Marketable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marketable securities:</w:t>
      </w:r>
    </w:p>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27,821 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111,413 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139,234 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142,420 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June 30, 2025 and December 31, 2024, unrealized gains and losses from the investments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June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07060"/>
                <wp:effectExtent l="0" t="0" r="0" b="0"/>
                <wp:wrapNone/>
                <wp:docPr id="12" name="Frame1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elected to present accrued interest receivable separately from short-term investments on its condensed consolidated balance sheets. Accrued interest receivable were $0.4 million and $0.3 million as of June 30, 2025 and December 31, 2024, respectively,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six months ended June 30, 2025 or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Fair Value Measurement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fair value of the Company’s marketable securities measured at fair value on a recurring basis based on the three-tier fair value hierarchy:</w:t>
      </w:r>
    </w:p>
    <w:tbl>
      <w:tblPr>
        <w:tblW w:w="7289" w:type="dxa"/>
        <w:jc w:val="left"/>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616"/>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07060"/>
                <wp:effectExtent l="0" t="0" r="0" b="0"/>
                <wp:wrapNone/>
                <wp:docPr id="13" name="Frame1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2025, inventory consisted of finished goods of $29.8 million and work-in-progress and components of $4.4 million. As of December 31, 2024, inventory consisted of finished goods of $24.0 million and work-in-progress and components of $3.1 million.</w:t>
      </w:r>
    </w:p>
    <w:p>
      <w:pPr>
        <w:pStyle w:val="TextBody"/>
        <w:bidi w:val="0"/>
        <w:spacing w:lineRule="auto" w:line="288" w:before="120" w:after="283"/>
        <w:ind w:left="0" w:right="0" w:firstLine="540"/>
        <w:jc w:val="left"/>
        <w:rPr/>
      </w:pPr>
      <w:r>
        <w:rPr>
          <w:rFonts w:ascii="Times New Roman;serif" w:hAnsi="Times New Roman;serif"/>
          <w:b/>
          <w:i/>
          <w:color w:val="000000"/>
          <w:sz w:val="20"/>
        </w:rPr>
        <w:t>Property and Equipment, net:</w:t>
      </w:r>
      <w:r>
        <w:rPr>
          <w:color w:val="000000"/>
        </w:rPr>
        <w:t>    </w:t>
      </w:r>
    </w:p>
    <w:tbl>
      <w:tblPr>
        <w:tblW w:w="7227" w:type="dxa"/>
        <w:jc w:val="left"/>
        <w:tblInd w:w="0" w:type="dxa"/>
        <w:tblLayout w:type="fixed"/>
        <w:tblCellMar>
          <w:top w:w="28" w:type="dxa"/>
          <w:left w:w="28" w:type="dxa"/>
          <w:bottom w:w="28" w:type="dxa"/>
          <w:right w:w="28" w:type="dxa"/>
        </w:tblCellMar>
      </w:tblPr>
      <w:tblGrid>
        <w:gridCol w:w="1504"/>
        <w:gridCol w:w="1321"/>
        <w:gridCol w:w="1330"/>
        <w:gridCol w:w="234"/>
        <w:gridCol w:w="800"/>
        <w:gridCol w:w="121"/>
        <w:gridCol w:w="109"/>
        <w:gridCol w:w="109"/>
        <w:gridCol w:w="109"/>
        <w:gridCol w:w="309"/>
        <w:gridCol w:w="1056"/>
        <w:gridCol w:w="225"/>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erif" w:hAnsi="Times New Roman;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 trays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23,158 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2025, construction in progress pertains to the cost of individual components of an instrument tray used for surgical placement of the Company's products that have not yet been placed into service of $6.3 million and software costs of $0.3 million. As of December 31, 2024, construction in progress pertains to cost of individual components of an instrument tray used for surgical placement of the Company's products that have not yet been placed into service of $5.6 million and software costs of $0.6 million. Depreciation expense was $1.4 million and $1.0 million for the three months ended June 30, 2025 and 2024, respectively. Depreciation expense was $2.6 million and $2.1 million for the six months ended June 30, 2025 and 2024, respectively.</w:t>
      </w:r>
    </w:p>
    <w:p>
      <w:pPr>
        <w:pStyle w:val="TextBody"/>
        <w:bidi w:val="0"/>
        <w:spacing w:lineRule="auto" w:line="288" w:before="120" w:after="283"/>
        <w:ind w:left="0" w:right="0" w:firstLine="540"/>
        <w:jc w:val="left"/>
        <w:rPr/>
      </w:pPr>
      <w:r>
        <w:rPr>
          <w:rFonts w:ascii="Times New Roman;serif" w:hAnsi="Times New Roman;serif"/>
          <w:b/>
          <w:i/>
          <w:color w:val="000000"/>
          <w:sz w:val="20"/>
        </w:rPr>
        <w:t>Accrued Liabilities and Other</w:t>
      </w:r>
      <w:r>
        <w:rPr>
          <w:rFonts w:ascii="Times New Roman;serif" w:hAnsi="Times New Roman;serif"/>
          <w:b w:val="false"/>
          <w:color w:val="000000"/>
          <w:sz w:val="20"/>
        </w:rPr>
        <w:t>:</w:t>
      </w:r>
    </w:p>
    <w:tbl>
      <w:tblPr>
        <w:tblW w:w="6777" w:type="dxa"/>
        <w:jc w:val="left"/>
        <w:tblInd w:w="0" w:type="dxa"/>
        <w:tblLayout w:type="fixed"/>
        <w:tblCellMar>
          <w:top w:w="28" w:type="dxa"/>
          <w:left w:w="28" w:type="dxa"/>
          <w:bottom w:w="28" w:type="dxa"/>
          <w:right w:w="28" w:type="dxa"/>
        </w:tblCellMar>
      </w:tblPr>
      <w:tblGrid>
        <w:gridCol w:w="1343"/>
        <w:gridCol w:w="1178"/>
        <w:gridCol w:w="1184"/>
        <w:gridCol w:w="234"/>
        <w:gridCol w:w="800"/>
        <w:gridCol w:w="121"/>
        <w:gridCol w:w="109"/>
        <w:gridCol w:w="109"/>
        <w:gridCol w:w="109"/>
        <w:gridCol w:w="309"/>
        <w:gridCol w:w="1056"/>
        <w:gridCol w:w="225"/>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erif" w:hAnsi="Times New Roman;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expenses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royalty</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Accrued professional services </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movement in the allowance for credit losses was as follows:</w:t>
      </w:r>
    </w:p>
    <w:tbl>
      <w:tblPr>
        <w:tblW w:w="5711" w:type="dxa"/>
        <w:jc w:val="left"/>
        <w:tblInd w:w="0" w:type="dxa"/>
        <w:tblLayout w:type="fixed"/>
        <w:tblCellMar>
          <w:top w:w="28" w:type="dxa"/>
          <w:left w:w="28" w:type="dxa"/>
          <w:bottom w:w="28" w:type="dxa"/>
          <w:right w:w="28" w:type="dxa"/>
        </w:tblCellMar>
      </w:tblPr>
      <w:tblGrid>
        <w:gridCol w:w="956"/>
        <w:gridCol w:w="840"/>
        <w:gridCol w:w="843"/>
        <w:gridCol w:w="310"/>
        <w:gridCol w:w="685"/>
        <w:gridCol w:w="160"/>
        <w:gridCol w:w="109"/>
        <w:gridCol w:w="109"/>
        <w:gridCol w:w="109"/>
        <w:gridCol w:w="342"/>
        <w:gridCol w:w="999"/>
        <w:gridCol w:w="24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07060"/>
                <wp:effectExtent l="0" t="0" r="0" b="0"/>
                <wp:wrapNone/>
                <wp:docPr id="14" name="Frame1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non-cancelable operating lease for an office building space, located in Santa Clara, California, with an original lease period expiring in May 2025. On July 18, 2024, the Company extended the term of the lease for an additional period of fourteen months commencing on June 1, 2025 and expiring July 31, 2026.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non-cancelable leases for a building used for research and development and warehouse space in Santa Clara, California which expires in October 2026, and office building space in Gallarate, Italy which expires in August 2027.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vehicles under operating lease arrangements for certain of its personnel in Europe which expire at various times throughout 2025 to 2028. </w:t>
      </w:r>
    </w:p>
    <w:p>
      <w:pPr>
        <w:pStyle w:val="TextBody"/>
        <w:bidi w:val="0"/>
        <w:spacing w:lineRule="auto" w:line="288" w:before="180" w:after="283"/>
        <w:ind w:left="0" w:right="0" w:firstLine="495"/>
        <w:jc w:val="both"/>
        <w:rPr/>
      </w:pPr>
      <w:r>
        <w:rPr>
          <w:rFonts w:ascii="Times New Roman;serif" w:hAnsi="Times New Roman;serif"/>
          <w:b w:val="false"/>
          <w:color w:val="000000"/>
          <w:sz w:val="20"/>
          <w:shd w:fill="FFFFFF" w:val="clear"/>
        </w:rPr>
        <w:t>Supplemental information related to lease expense and valuation of the lease assets and lease liabilit</w:t>
      </w:r>
      <w:r>
        <w:rPr>
          <w:rFonts w:ascii="Times New Roman;serif" w:hAnsi="Times New Roman;serif"/>
          <w:b w:val="false"/>
          <w:color w:val="000000"/>
          <w:sz w:val="20"/>
        </w:rPr>
        <w:t>ies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7"/>
        <w:gridCol w:w="1493"/>
        <w:gridCol w:w="1502"/>
        <w:gridCol w:w="460"/>
        <w:gridCol w:w="269"/>
        <w:gridCol w:w="260"/>
        <w:gridCol w:w="184"/>
        <w:gridCol w:w="184"/>
        <w:gridCol w:w="184"/>
        <w:gridCol w:w="650"/>
        <w:gridCol w:w="335"/>
        <w:gridCol w:w="330"/>
        <w:gridCol w:w="109"/>
        <w:gridCol w:w="109"/>
        <w:gridCol w:w="109"/>
        <w:gridCol w:w="342"/>
        <w:gridCol w:w="210"/>
        <w:gridCol w:w="211"/>
        <w:gridCol w:w="170"/>
        <w:gridCol w:w="170"/>
        <w:gridCol w:w="170"/>
        <w:gridCol w:w="342"/>
        <w:gridCol w:w="267"/>
        <w:gridCol w:w="358"/>
      </w:tblGrid>
      <w:tr>
        <w:trPr/>
        <w:tc>
          <w:tcPr>
            <w:tcW w:w="178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4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as of June 30, 2025 was as follows:</w:t>
      </w:r>
    </w:p>
    <w:tbl>
      <w:tblPr>
        <w:tblW w:w="3930" w:type="dxa"/>
        <w:jc w:val="left"/>
        <w:tblInd w:w="0" w:type="dxa"/>
        <w:tblLayout w:type="fixed"/>
        <w:tblCellMar>
          <w:top w:w="28" w:type="dxa"/>
          <w:left w:w="28" w:type="dxa"/>
          <w:bottom w:w="28" w:type="dxa"/>
          <w:right w:w="28" w:type="dxa"/>
        </w:tblCellMar>
      </w:tblPr>
      <w:tblGrid>
        <w:gridCol w:w="962"/>
        <w:gridCol w:w="845"/>
        <w:gridCol w:w="848"/>
        <w:gridCol w:w="274"/>
        <w:gridCol w:w="801"/>
        <w:gridCol w:w="200"/>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no operating lease liabilities that had not commenced.</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Purchase Commitments and Obligations</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certain purchase commitments related to its inventory management with certain manufacturing suppliers based on the agreements or blanket purchase orders. The contractual obligations represent future cash commitments and liabilities under agreements with third parties and exclude orders for goods and services entered into in the normal course of business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07060"/>
                <wp:effectExtent l="0" t="0" r="0" b="0"/>
                <wp:wrapNone/>
                <wp:docPr id="15" name="Frame1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enforceable or legally binding. These outstanding commitments amounted to $1.9 million and $0.4 million as of June 30, 2025 and December 31, 2024, respectively.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 care professionals. The Company is cooperating with the Investigation but is currently unable to express a view regarding the likely duration, or ultimate outcome, of the Investigation or estimate the possibility of, or amount or range of, any possible financial impact. Depending on how the Investigation progresses, there may be a material impact on the Company’s business, results of operations, or financial condition.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involved in legal proceedings arising in the ordinary course of its business. Except with regards to the Investigation,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Borrowings</w:t>
      </w:r>
    </w:p>
    <w:p>
      <w:pPr>
        <w:pStyle w:val="TextBody"/>
        <w:bidi w:val="0"/>
        <w:spacing w:lineRule="auto" w:line="288" w:before="18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18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borrowings from the term loan as of periods presented:</w:t>
      </w:r>
    </w:p>
    <w:tbl>
      <w:tblPr>
        <w:tblW w:w="10182" w:type="dxa"/>
        <w:jc w:val="left"/>
        <w:tblInd w:w="0" w:type="dxa"/>
        <w:tblLayout w:type="fixed"/>
        <w:tblCellMar>
          <w:top w:w="28" w:type="dxa"/>
          <w:left w:w="28" w:type="dxa"/>
          <w:bottom w:w="28" w:type="dxa"/>
          <w:right w:w="28" w:type="dxa"/>
        </w:tblCellMar>
      </w:tblPr>
      <w:tblGrid>
        <w:gridCol w:w="2574"/>
        <w:gridCol w:w="2264"/>
        <w:gridCol w:w="2272"/>
        <w:gridCol w:w="234"/>
        <w:gridCol w:w="800"/>
        <w:gridCol w:w="121"/>
        <w:gridCol w:w="109"/>
        <w:gridCol w:w="109"/>
        <w:gridCol w:w="109"/>
        <w:gridCol w:w="309"/>
        <w:gridCol w:w="1056"/>
        <w:gridCol w:w="225"/>
      </w:tblGrid>
      <w:tr>
        <w:trPr/>
        <w:tc>
          <w:tcPr>
            <w:tcW w:w="2574"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lender fees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debt, net of debt issuance costs and unaccreted value of final payment fee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35,510 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2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outstanding debt is related to a Loan and Security Agreement dated August 12, 2021 (the “Original Loan Agreement”) entered into by the Company with Silicon Valley Bank, a California corporation (“SVB”). Pursuant to the Original Loan Agreement, SVB provided a term loan in the aggregate principal amount of $35.0 million to the Company (the “Original Term Loan”).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2023, the Company entered into a First Amendment to Loan and Security Agreement with SVB pursuant to which the Company received a new term loan facility in an aggregate principal amount of $36.0 million (the “First Amendment” and with the Original Loan Agreement, collectively the “Amended Loan Agreement”). Upon entry into the Amended Loan Agreement, the Company borrowed $36.0 million pursuant to the term loan (the “First Amendment Term Loan”), which was substantially used to repay in full the $35.0 million Original Term Loan outstanding under the Original Loan Agreement and the Company obtained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07060"/>
                <wp:effectExtent l="0" t="0" r="0" b="0"/>
                <wp:wrapNone/>
                <wp:docPr id="16" name="Frame1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secured revolving credit facility in an aggregate principal amount of up to $15.0 million (the “Revolving Line”). The First Amendment also provided for a final payment fee payable to SVB of 2% of the original principal amount of the First Amendment Term Loan due upon the earlier of the First Amendment Term Loan Maturity Date, termination of the Amended Loan Agreement, acceleration by the Lender following an event of default, or prepayment of the First Amendment Term Loan.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2024, the Company entered into a Second Amendment to Loan and Security Agreement with Silicon Valley Bank, a division of First-Citizens Bank &amp; Trust Company, as successor in interest to SVB (“First Citizens”) which amended the Company's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8, 2024, the Company entered into a Third Amendment to the Loan and Security Agreement with First-Citizens (the “Third Amendment” and together with the Second Amended Loan Agreement, collectively, the “Third Amended Loan Agreement”), pursuant to which a new term loan in the original aggregate principal amount of $36.0 million was extended by First-Citizens to the Company (the “Third Amendment Term Loan”), which was substantially used to refinance and repay in full the then-outstanding $36.0 million existing First Amendment Term Loan. The Company also paid a final payment fee of $0.7 million due relative to such prior First Amendment Term Loan. The Third Amendment sets the maturity date for the Third Amendment Term Loan as September 1, 2029 (the “Third Amendment Term Loan Maturity Date”),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Third Amendment Term Loan will be payable monthly at a floating rate per annum equal to the greater of 4.25% and the WSJ Prime Rate minus 0.5%. The Company may elect to prepay the Third Amendment Term Loan in whole prior to the Third Amendment Term Loan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 and the periods in which such covenants apply.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Third Amended Loan Agreement as a debt modification. Accordingly, the remaining unamortized debt issuance costs related to the Second Amended Loan Agreement together with any lender fees incurred in connection with the entry of the Third Amended Loan Agreement are amortized to interest expense using the straight-line method over the new term of the loan through August 2029.</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interest rate for the three and six months ended June 30, 2025 was 7.3%. The effective interest rate for the three and six months ended June 30, 2024 was 9.3%. </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future principal payments under the Third Amendment Term Loan as of June 30, 2025:</w:t>
      </w:r>
    </w:p>
    <w:tbl>
      <w:tblPr>
        <w:tblW w:w="3434" w:type="dxa"/>
        <w:jc w:val="left"/>
        <w:tblInd w:w="0" w:type="dxa"/>
        <w:tblLayout w:type="fixed"/>
        <w:tblCellMar>
          <w:top w:w="28" w:type="dxa"/>
          <w:left w:w="28" w:type="dxa"/>
          <w:bottom w:w="28" w:type="dxa"/>
          <w:right w:w="28" w:type="dxa"/>
        </w:tblCellMar>
      </w:tblPr>
      <w:tblGrid>
        <w:gridCol w:w="782"/>
        <w:gridCol w:w="688"/>
        <w:gridCol w:w="690"/>
        <w:gridCol w:w="247"/>
        <w:gridCol w:w="847"/>
        <w:gridCol w:w="180"/>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Third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June 30, 2025, the Company was in compliance with all debt covenants.</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07060"/>
                <wp:effectExtent l="0" t="0" r="0" b="0"/>
                <wp:wrapNone/>
                <wp:docPr id="17" name="Frame1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8. Stock-Based Incentive Compensation Plans </w:t>
      </w:r>
    </w:p>
    <w:p>
      <w:pPr>
        <w:pStyle w:val="TextBody"/>
        <w:bidi w:val="0"/>
        <w:spacing w:lineRule="auto" w:line="28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stock option activity for the six months ended June 30, 2025:</w:t>
      </w:r>
    </w:p>
    <w:tbl>
      <w:tblPr>
        <w:tblW w:w="10205" w:type="dxa"/>
        <w:jc w:val="left"/>
        <w:tblInd w:w="0" w:type="dxa"/>
        <w:tblLayout w:type="fixed"/>
        <w:tblCellMar>
          <w:top w:w="28" w:type="dxa"/>
          <w:left w:w="28" w:type="dxa"/>
          <w:bottom w:w="28" w:type="dxa"/>
          <w:right w:w="28" w:type="dxa"/>
        </w:tblCellMar>
      </w:tblPr>
      <w:tblGrid>
        <w:gridCol w:w="839"/>
        <w:gridCol w:w="736"/>
        <w:gridCol w:w="739"/>
        <w:gridCol w:w="109"/>
        <w:gridCol w:w="109"/>
        <w:gridCol w:w="109"/>
        <w:gridCol w:w="488"/>
        <w:gridCol w:w="488"/>
        <w:gridCol w:w="280"/>
        <w:gridCol w:w="109"/>
        <w:gridCol w:w="109"/>
        <w:gridCol w:w="109"/>
        <w:gridCol w:w="211"/>
        <w:gridCol w:w="618"/>
        <w:gridCol w:w="109"/>
        <w:gridCol w:w="109"/>
        <w:gridCol w:w="109"/>
        <w:gridCol w:w="109"/>
        <w:gridCol w:w="852"/>
        <w:gridCol w:w="852"/>
        <w:gridCol w:w="854"/>
        <w:gridCol w:w="109"/>
        <w:gridCol w:w="109"/>
        <w:gridCol w:w="109"/>
        <w:gridCol w:w="393"/>
        <w:gridCol w:w="1147"/>
        <w:gridCol w:w="291"/>
      </w:tblGrid>
      <w:tr>
        <w:trPr/>
        <w:tc>
          <w:tcPr>
            <w:tcW w:w="83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Contractual 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 (in thousands)</w:t>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1,041,131 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913,617 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vested and exercisable,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913,617 </w:t>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vested and expected to vest,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913,617 </w:t>
            </w:r>
          </w:p>
        </w:tc>
        <w:tc>
          <w:tcPr>
            <w:tcW w:w="2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2025, there is no unrecognized compensation cost related to stock options.</w: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stock options granted during the three and six months ended June 30, 2025 and 2024.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RSUs are share awards that entitle the holder to receive freely tradable shares of the Company’s common stock upon vesting. RSUs generally vest over one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1111"/>
        <w:gridCol w:w="948"/>
        <w:gridCol w:w="950"/>
        <w:gridCol w:w="109"/>
        <w:gridCol w:w="109"/>
        <w:gridCol w:w="109"/>
        <w:gridCol w:w="109"/>
        <w:gridCol w:w="109"/>
        <w:gridCol w:w="109"/>
        <w:gridCol w:w="479"/>
        <w:gridCol w:w="271"/>
        <w:gridCol w:w="494"/>
        <w:gridCol w:w="184"/>
        <w:gridCol w:w="599"/>
        <w:gridCol w:w="184"/>
        <w:gridCol w:w="184"/>
        <w:gridCol w:w="184"/>
        <w:gridCol w:w="208"/>
        <w:gridCol w:w="199"/>
        <w:gridCol w:w="190"/>
        <w:gridCol w:w="109"/>
        <w:gridCol w:w="109"/>
        <w:gridCol w:w="109"/>
        <w:gridCol w:w="237"/>
        <w:gridCol w:w="236"/>
        <w:gridCol w:w="228"/>
        <w:gridCol w:w="109"/>
        <w:gridCol w:w="109"/>
        <w:gridCol w:w="109"/>
        <w:gridCol w:w="198"/>
        <w:gridCol w:w="198"/>
        <w:gridCol w:w="200"/>
        <w:gridCol w:w="109"/>
        <w:gridCol w:w="109"/>
        <w:gridCol w:w="109"/>
        <w:gridCol w:w="198"/>
        <w:gridCol w:w="198"/>
        <w:gridCol w:w="200"/>
        <w:gridCol w:w="109"/>
        <w:gridCol w:w="109"/>
        <w:gridCol w:w="109"/>
        <w:gridCol w:w="165"/>
      </w:tblGrid>
      <w:tr>
        <w:trPr/>
        <w:tc>
          <w:tcPr>
            <w:tcW w:w="111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366" w:type="dxa"/>
            <w:gridSpan w:val="22"/>
            <w:tcBorders/>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49.0%</w:t>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0.05</w:t>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1415" w:type="dxa"/>
            <w:gridSpan w:val="10"/>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07060"/>
                <wp:effectExtent l="0" t="0" r="0" b="0"/>
                <wp:wrapNone/>
                <wp:docPr id="18" name="Frame1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RSU and PSU activity for the six months ended June 30, 2025:</w:t>
      </w:r>
    </w:p>
    <w:tbl>
      <w:tblPr>
        <w:tblW w:w="10205" w:type="dxa"/>
        <w:jc w:val="left"/>
        <w:tblInd w:w="0" w:type="dxa"/>
        <w:tblLayout w:type="fixed"/>
        <w:tblCellMar>
          <w:top w:w="28" w:type="dxa"/>
          <w:left w:w="28" w:type="dxa"/>
          <w:bottom w:w="28" w:type="dxa"/>
          <w:right w:w="28" w:type="dxa"/>
        </w:tblCellMar>
      </w:tblPr>
      <w:tblGrid>
        <w:gridCol w:w="810"/>
        <w:gridCol w:w="711"/>
        <w:gridCol w:w="713"/>
        <w:gridCol w:w="109"/>
        <w:gridCol w:w="109"/>
        <w:gridCol w:w="109"/>
        <w:gridCol w:w="468"/>
        <w:gridCol w:w="380"/>
        <w:gridCol w:w="382"/>
        <w:gridCol w:w="109"/>
        <w:gridCol w:w="109"/>
        <w:gridCol w:w="109"/>
        <w:gridCol w:w="698"/>
        <w:gridCol w:w="698"/>
        <w:gridCol w:w="700"/>
        <w:gridCol w:w="109"/>
        <w:gridCol w:w="109"/>
        <w:gridCol w:w="109"/>
        <w:gridCol w:w="424"/>
        <w:gridCol w:w="380"/>
        <w:gridCol w:w="382"/>
        <w:gridCol w:w="109"/>
        <w:gridCol w:w="109"/>
        <w:gridCol w:w="109"/>
        <w:gridCol w:w="626"/>
        <w:gridCol w:w="626"/>
        <w:gridCol w:w="899"/>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PSUs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1,884,640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$16.47</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1,270,498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337,110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15.89</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19.50</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2,514,767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785,457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16.17</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ESPP shares is estimated using the Black-Scholes option pricing model, which is being amortized over the requisite service period. As of June 30, 2025 and December 31, 2024, total accumulated ESPP related employee payroll deductions amounted to $0.2 million and $0.3 million, respectively, which were included within accrued compensation and related expenses in the condensed consolidated balance sheets.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07060"/>
                <wp:effectExtent l="0" t="0" r="0" b="0"/>
                <wp:wrapNone/>
                <wp:docPr id="19" name="Frame1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detail of stock-based compensation expense amounts included in the condensed consolidated statements of operations:</w:t>
      </w:r>
    </w:p>
    <w:tbl>
      <w:tblPr>
        <w:tblW w:w="7616" w:type="dxa"/>
        <w:jc w:val="left"/>
        <w:tblInd w:w="0" w:type="dxa"/>
        <w:tblLayout w:type="fixed"/>
        <w:tblCellMar>
          <w:top w:w="28" w:type="dxa"/>
          <w:left w:w="28" w:type="dxa"/>
          <w:bottom w:w="28" w:type="dxa"/>
          <w:right w:w="28" w:type="dxa"/>
        </w:tblCellMar>
      </w:tblPr>
      <w:tblGrid>
        <w:gridCol w:w="837"/>
        <w:gridCol w:w="730"/>
        <w:gridCol w:w="74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common stock warrants activity for the six months ended June 30, 2025:</w:t>
      </w:r>
    </w:p>
    <w:tbl>
      <w:tblPr>
        <w:tblW w:w="10205" w:type="dxa"/>
        <w:jc w:val="left"/>
        <w:tblInd w:w="0" w:type="dxa"/>
        <w:tblLayout w:type="fixed"/>
        <w:tblCellMar>
          <w:top w:w="28" w:type="dxa"/>
          <w:left w:w="28" w:type="dxa"/>
          <w:bottom w:w="28" w:type="dxa"/>
          <w:right w:w="28" w:type="dxa"/>
        </w:tblCellMar>
      </w:tblPr>
      <w:tblGrid>
        <w:gridCol w:w="300"/>
        <w:gridCol w:w="263"/>
        <w:gridCol w:w="265"/>
        <w:gridCol w:w="109"/>
        <w:gridCol w:w="109"/>
        <w:gridCol w:w="109"/>
        <w:gridCol w:w="315"/>
        <w:gridCol w:w="315"/>
        <w:gridCol w:w="316"/>
        <w:gridCol w:w="109"/>
        <w:gridCol w:w="109"/>
        <w:gridCol w:w="109"/>
        <w:gridCol w:w="393"/>
        <w:gridCol w:w="392"/>
        <w:gridCol w:w="393"/>
        <w:gridCol w:w="109"/>
        <w:gridCol w:w="109"/>
        <w:gridCol w:w="109"/>
        <w:gridCol w:w="219"/>
        <w:gridCol w:w="642"/>
        <w:gridCol w:w="113"/>
        <w:gridCol w:w="109"/>
        <w:gridCol w:w="109"/>
        <w:gridCol w:w="109"/>
        <w:gridCol w:w="306"/>
        <w:gridCol w:w="306"/>
        <w:gridCol w:w="307"/>
        <w:gridCol w:w="109"/>
        <w:gridCol w:w="109"/>
        <w:gridCol w:w="109"/>
        <w:gridCol w:w="308"/>
        <w:gridCol w:w="308"/>
        <w:gridCol w:w="309"/>
        <w:gridCol w:w="109"/>
        <w:gridCol w:w="109"/>
        <w:gridCol w:w="109"/>
        <w:gridCol w:w="285"/>
        <w:gridCol w:w="285"/>
        <w:gridCol w:w="286"/>
        <w:gridCol w:w="109"/>
        <w:gridCol w:w="109"/>
        <w:gridCol w:w="109"/>
        <w:gridCol w:w="413"/>
        <w:gridCol w:w="357"/>
        <w:gridCol w:w="520"/>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Balance at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Balance at</w:t>
            </w:r>
          </w:p>
        </w:tc>
      </w:tr>
      <w:tr>
        <w:trPr/>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41,650 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25,709 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78,459 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78,459 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Net Loss Per Share of Common Stock</w:t>
      </w:r>
    </w:p>
    <w:p>
      <w:pPr>
        <w:pStyle w:val="TextBody"/>
        <w:bidi w:val="0"/>
        <w:spacing w:lineRule="auto" w:line="288" w:before="240" w:after="24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597"/>
        <w:gridCol w:w="1402"/>
        <w:gridCol w:w="1406"/>
        <w:gridCol w:w="270"/>
        <w:gridCol w:w="811"/>
        <w:gridCol w:w="111"/>
        <w:gridCol w:w="111"/>
        <w:gridCol w:w="111"/>
        <w:gridCol w:w="111"/>
        <w:gridCol w:w="270"/>
        <w:gridCol w:w="811"/>
        <w:gridCol w:w="111"/>
        <w:gridCol w:w="109"/>
        <w:gridCol w:w="109"/>
        <w:gridCol w:w="109"/>
        <w:gridCol w:w="240"/>
        <w:gridCol w:w="841"/>
        <w:gridCol w:w="109"/>
        <w:gridCol w:w="109"/>
        <w:gridCol w:w="109"/>
        <w:gridCol w:w="109"/>
        <w:gridCol w:w="240"/>
        <w:gridCol w:w="841"/>
        <w:gridCol w:w="158"/>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and diluted net loss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42,788,123 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41,317,627 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41,126,009 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07060"/>
                <wp:effectExtent l="0" t="0" r="0" b="0"/>
                <wp:wrapNone/>
                <wp:docPr id="20" name="Frame2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8979" w:type="dxa"/>
        <w:jc w:val="left"/>
        <w:tblInd w:w="0" w:type="dxa"/>
        <w:tblLayout w:type="fixed"/>
        <w:tblCellMar>
          <w:top w:w="28" w:type="dxa"/>
          <w:left w:w="28" w:type="dxa"/>
          <w:bottom w:w="28" w:type="dxa"/>
          <w:right w:w="28" w:type="dxa"/>
        </w:tblCellMar>
      </w:tblPr>
      <w:tblGrid>
        <w:gridCol w:w="748"/>
        <w:gridCol w:w="659"/>
        <w:gridCol w:w="662"/>
        <w:gridCol w:w="488"/>
        <w:gridCol w:w="488"/>
        <w:gridCol w:w="285"/>
        <w:gridCol w:w="271"/>
        <w:gridCol w:w="271"/>
        <w:gridCol w:w="271"/>
        <w:gridCol w:w="678"/>
        <w:gridCol w:w="298"/>
        <w:gridCol w:w="271"/>
        <w:gridCol w:w="109"/>
        <w:gridCol w:w="109"/>
        <w:gridCol w:w="109"/>
        <w:gridCol w:w="662"/>
        <w:gridCol w:w="314"/>
        <w:gridCol w:w="242"/>
        <w:gridCol w:w="242"/>
        <w:gridCol w:w="242"/>
        <w:gridCol w:w="242"/>
        <w:gridCol w:w="661"/>
        <w:gridCol w:w="315"/>
        <w:gridCol w:w="342"/>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913,617</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913,617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1,088,277 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3,300,224</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3,300,224</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2,998,474 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ESPP purchase rights</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45,023</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45,023</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78,459</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78,459</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4,337,323 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4,235,877 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4,337,323 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4,235,877 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six months ended June 30, 2025 and 2024. The Company continues to maintain a full valuation allowance against its net deferred tax assets due to the uncertainty surrounding realization of such assets.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w:t>
      </w:r>
      <w:r>
        <w:rPr>
          <w:rFonts w:ascii="Times New Roman;serif" w:hAnsi="Times New Roman;serif"/>
          <w:b w:val="false"/>
          <w:color w:val="000000"/>
          <w:sz w:val="20"/>
          <w:shd w:fill="FFFFFF" w:val="clear"/>
        </w:rPr>
        <w:t>June 30, 2025</w:t>
      </w:r>
      <w:r>
        <w:rPr>
          <w:color w:val="000000"/>
        </w:rPr>
        <w:t xml:space="preserve"> </w:t>
      </w:r>
      <w:r>
        <w:rPr>
          <w:rFonts w:ascii="Times New Roman;serif" w:hAnsi="Times New Roman;serif"/>
          <w:b w:val="false"/>
          <w:color w:val="000000"/>
          <w:sz w:val="20"/>
        </w:rPr>
        <w:t>compared to December 31, 2024.</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assessing its impact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07060"/>
                <wp:effectExtent l="0" t="0" r="0" b="0"/>
                <wp:wrapNone/>
                <wp:docPr id="21" name="Frame2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240" w:after="240"/>
        <w:jc w:val="both"/>
        <w:rPr/>
      </w:pPr>
      <w:r>
        <w:rPr>
          <w:color w:val="000000"/>
        </w:rPr>
        <w:t>    </w:t>
      </w: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February 25,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of our Annual Report on Form 10-K filed on February 25, 2025,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include a series of patented titanium implants and the instruments used to implant them, as well as implantable bone products. Since launching our first generation iFuse in 2009, we have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 In Europe, iFuse, iFuse-3D and iFuse TORQ are approved for applications in sacroiliac fusion, adult spinal deformity and pelvic fracture fixation.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market our products primarily with a direct sales force as well as a number of third-party sales agents in the United States, and with a combination of a direct sales force, and sales agents and resellers in other countries. As of June 30, 2025, over 127,000 procedures have been performed using our products by over 4,600 physicians in the United States and 38 other countries since we introduced iFuse in 2009.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Factors Affecting Results of Operations and Key Performance Indicators</w:t>
      </w:r>
    </w:p>
    <w:p>
      <w:pPr>
        <w:pStyle w:val="TextBody"/>
        <w:bidi w:val="0"/>
        <w:spacing w:lineRule="auto" w:line="28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w:t>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Expand Access to Solutions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our U.S. sales force consisted of 85 territory sales managers and 75 clinical support specialists directly employed by us and 295 third-party sales agents, compared to 85 territory sales managers and 67 clinical support specialists directly employed by us and 204 third-party sales agents as of June 30, 2024. As of June 30, 2025, our international sales force consisted of 10 sales representatives directly employed by us and a total of 29 third-party sales agents and resellers, compared to 11 sales representatives directly employed by us and a total of 29 third-party sales agents and resellers as of June 30, 2024.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quarter ended June 30, 2025, over 30 percent of our procedures for sacroiliac joint dysfunction were performed at ambulatory surgery centers (ASCs) or Office-Based Labs (OBLs). With the steady increase in the numbers of minimally invasive procedures, including sacroiliac joint fusion procedures, being performed at ASCs or OBLs, we continue to actively engage with these facilities to educate their management groups on our clinical evidence, exclusive commercial payor coverage and focus on driving improved education and pathways between pain physicians and surgeons.</w:t>
      </w:r>
    </w:p>
    <w:p>
      <w:pPr>
        <w:pStyle w:val="TextBody"/>
        <w:bidi w:val="0"/>
        <w:spacing w:lineRule="auto" w:line="288" w:before="24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Physician Engagement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a combination of hands-on cadaveric and dry-lab training, as well as the SI-BONE SImulator - a portable, radiation-free, haptics and computer-based simulator - for training purposes, and optimize our programs to improve adoption rate, time to first case and ultimately physician productivity.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currently targeting over 12,000 U.S. physicians, including over 8,000 orthopedic and neurological spine surgeons and approximately 4,500 interventional spine physicians, to perform our procedures. As of June 30, 2025 and 2024, in the United States more than 3,600 and 2,900 physicians, respectively, have been trained on our products and have treated at least one patient. Outside the United States, as of June 30, 2025 and 2024, more than 1,100 and 1,000 physicians, respectively, have been trained on our product and have treated at least one patient. Since launching our academic training program in August 2018, we have trained residents and fellows in over 285 academic programs in the United States, resulting in the training of approximately 2,000 surgical residents and fellows.</w:t>
      </w:r>
    </w:p>
    <w:p>
      <w:pPr>
        <w:pStyle w:val="TextBody"/>
        <w:bidi w:val="0"/>
        <w:spacing w:lineRule="auto" w:line="256" w:before="24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Expand Addressable Markets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Expanding our platform of sacropelvic solutions to address sacroiliac joint dysfunction, pelvic fixation and pelvic trauma has been a key tenet of our strategy, and we have made substantial progress on this mission. With iFuse-3D, iFuse TORQ, iFuse Bedrock Granite and iFuse TORQ TNT, we believe that the value of our innovative, versatile, and complementary product portfolio provides physicians with a comprehensive set of alternatives, and positions us as the top choice for physicians for sacropelvic solutions. We also offer an allograft bone implant for physicians who believe that this kind of implant can be important in addressing sacroiliac joint dysfunction.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Demonstrating the safe and effective use of our implants in post-market clinical trials, including their use in ways that may not yet be part of standard-of-care practice, is an important component of our market-building strategy. In June 2022, we completed enrollment in SILVIA, a two-year prospective international multi-center randomized controlled trial comparing pelvic fixation with and without the addition of an iFuse-3D implant. iFuse-3D is used to provide sacroiliac fusion as part of multilevel spinal fusion procedures, both to improve the stability of the pelvic fixation construct and to decrease the incidence of new-onset postoperative SI joint pain. Data analysis from SILVIA showed that the study’s primary clinical endpoint was met, namely that placement of iFuse-3D implants adjacent to pelvic fixation screws in these procedures reduced the incidence of new-onset SI joint pain following the procedure. A manuscript describing these findings is currently under review.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2022, we began enrolling patients in our SAFFRON study, a prospective randomized controlled trial of surgery using our iFuse TORQ device compared to non-surgical management in patients with debilitating sacral fragility or insufficiency fractures. The study was completed using available data. Results from SAFFRON were published in May 2025 and showed a higher rate of recovery of mobility after surgical treatment using iFuse TORQ compared to non-surgical treatment.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STACI is a prospective study on the use of iFuse TORQ in patients with sacroiliac joint dysfunction. The purpose of STACI is to provide information on the safety and effectiveness of minimally invasive sacroiliac joint fusion performed by interventional physicians using iFuse TORQ. Study enrollment completed in November 2024. Early results from STACI were published in June 2025 and showed that placement of iFuse TORQ by interventional pain management physician was associated with a low adverse event rate and early improvement in pain and function.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the six months ended June 30, 2025, we spent $8.8 million on research and development, equating to 9% of our revenue. During the six months ended June 30, 2024, we spent $8.7 million on research and development, equating to 11% of our revenue.</w:t>
      </w:r>
    </w:p>
    <w:p>
      <w:pPr>
        <w:pStyle w:val="TextBody"/>
        <w:bidi w:val="0"/>
        <w:spacing w:before="24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24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Enhance Employee Experience and Engagement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recruit, develop and retain highly skilled talent is a significant determinant of our success. To attract, develop and retain our talent, we seek to create a diverse and inclusive workplace with opportunities for our employees to thrive and advance in their careers. We support this with market-competitive compensation, comprehensive benefits, and health and wellness programs.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fostering an inclusive workplace and ensuring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 </w:t>
      </w:r>
    </w:p>
    <w:p>
      <w:pPr>
        <w:pStyle w:val="TextBody"/>
        <w:bidi w:val="0"/>
        <w:spacing w:lineRule="auto" w:line="28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Gain Operational Efficiency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 sites of service. As of June 30, 2025, our trailing twelve month average revenue per territory sales manager has increased to approximately $2.1 million from $1.7 million as of June 30, 2024.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erif" w:hAnsi="Times New Roman;serif"/>
          <w:b w:val="false"/>
          <w:color w:val="000000"/>
          <w:sz w:val="20"/>
        </w:rPr>
        <w:t>Lastly, we are integrating our demand planning and manufacturing systems, to ensure we leverage actual usage trends as we build surgical capacity to support our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95"/>
        <w:jc w:val="both"/>
        <w:rPr/>
      </w:pPr>
      <w:r>
        <w:rPr>
          <w:rFonts w:ascii="Times New Roman;serif" w:hAnsi="Times New Roman;serif"/>
          <w:b w:val="false"/>
          <w:color w:val="000000"/>
          <w:sz w:val="20"/>
        </w:rPr>
        <w:t>Our revenue from sales of implants fluctuates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product launches, and seasonality.</w:t>
      </w:r>
      <w:r>
        <w:rPr>
          <w:color w:val="000000"/>
        </w:rPr>
        <w:t xml:space="preserve"> </w:t>
      </w:r>
      <w:r>
        <w:rPr>
          <w:rFonts w:ascii="Times New Roman;serif" w:hAnsi="Times New Roman;serif"/>
          <w:b w:val="false"/>
          <w:color w:val="000000"/>
          <w:sz w:val="20"/>
        </w:rPr>
        <w:t>In addition, our revenue is impacted by changes in average selling price as we respond to the competitive landscape and price differences at different medical facilities, such as hospitals, ASCs and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Goods Sold, Gross Profit, and Gross Margin</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w:t>
      </w:r>
    </w:p>
    <w:p>
      <w:pPr>
        <w:pStyle w:val="TextBody"/>
        <w:bidi w:val="0"/>
        <w:spacing w:before="0" w:after="0"/>
        <w:ind w:left="0" w:right="0" w:firstLine="540"/>
        <w:jc w:val="left"/>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is primarily related to our investments of excess cash in money market funds and marketable securities.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6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is primarily related to borrowings, amortization of debt issuance costs, and accretion of final fees on the First-Citizens Third Amended Loan Agreement. </w:t>
      </w:r>
    </w:p>
    <w:p>
      <w:pPr>
        <w:pStyle w:val="TextBody"/>
        <w:bidi w:val="0"/>
        <w:spacing w:lineRule="auto" w:line="288" w:before="24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net foreign exchange gains and losses on foreign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Comparison of the Three Months Ended June 30, 2025 and 2024 </w:t>
      </w:r>
    </w:p>
    <w:p>
      <w:pPr>
        <w:pStyle w:val="TextBody"/>
        <w:bidi w:val="0"/>
        <w:spacing w:lineRule="auto" w:line="288" w:before="240" w:after="240"/>
        <w:jc w:val="left"/>
        <w:rPr/>
      </w:pPr>
      <w:r>
        <w:rPr>
          <w:rFonts w:ascii="Times New Roman;serif" w:hAnsi="Times New Roman;serif"/>
          <w:b/>
          <w:i/>
          <w:color w:val="000000"/>
          <w:sz w:val="20"/>
        </w:rPr>
        <w:t>Revenue, Cost of Goods Sold, Gross Profit, and Gross Margin</w:t>
      </w:r>
      <w:r>
        <w:rPr>
          <w:rFonts w:ascii="Times New Roman;serif" w:hAnsi="Times New Roman;serif"/>
          <w:b w:val="false"/>
          <w:color w:val="000000"/>
          <w:sz w:val="20"/>
        </w:rPr>
        <w:t>:</w:t>
      </w:r>
    </w:p>
    <w:tbl>
      <w:tblPr>
        <w:tblW w:w="7047" w:type="dxa"/>
        <w:jc w:val="left"/>
        <w:tblInd w:w="0" w:type="dxa"/>
        <w:tblLayout w:type="fixed"/>
        <w:tblCellMar>
          <w:top w:w="28" w:type="dxa"/>
          <w:left w:w="28" w:type="dxa"/>
          <w:bottom w:w="28" w:type="dxa"/>
          <w:right w:w="28" w:type="dxa"/>
        </w:tblCellMar>
      </w:tblPr>
      <w:tblGrid>
        <w:gridCol w:w="591"/>
        <w:gridCol w:w="521"/>
        <w:gridCol w:w="523"/>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the majority of our revenue from sales to customers in the U.S. Revenue by geography is based on billing address of the customer. The table below summarizes our revenue by geography: </w:t>
      </w:r>
    </w:p>
    <w:p>
      <w:pPr>
        <w:pStyle w:val="TextBody"/>
        <w:bidi w:val="0"/>
        <w:spacing w:before="0" w:after="0"/>
        <w:ind w:left="0" w:right="0" w:firstLine="540"/>
        <w:jc w:val="left"/>
        <w:rPr/>
      </w:pPr>
      <w:r>
        <w:rPr/>
      </w:r>
    </w:p>
    <w:tbl>
      <w:tblPr>
        <w:tblW w:w="8947"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80"/>
        <w:gridCol w:w="280"/>
        <w:gridCol w:w="281"/>
        <w:gridCol w:w="109"/>
        <w:gridCol w:w="109"/>
        <w:gridCol w:w="109"/>
        <w:gridCol w:w="255"/>
        <w:gridCol w:w="256"/>
        <w:gridCol w:w="578"/>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380" w:type="dxa"/>
            <w:gridSpan w:val="30"/>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40"/>
        <w:ind w:left="0" w:right="0" w:firstLine="54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The increase in revenue for the three months ended June 30, 2025 as compared to the three months ended June 30, 2024 was primarily driven by a $8.6 million increase in our U.S. revenue from increased case volumes due to our expanded product portfolio.</w:t>
      </w:r>
    </w:p>
    <w:p>
      <w:pPr>
        <w:pStyle w:val="TextBody"/>
        <w:bidi w:val="0"/>
        <w:spacing w:lineRule="auto" w:line="268" w:before="0" w:after="0"/>
        <w:ind w:left="0" w:right="0" w:firstLine="540"/>
        <w:jc w:val="both"/>
        <w:rPr/>
      </w:pPr>
      <w:r>
        <w:rPr>
          <w:rFonts w:ascii="Times New Roman;serif" w:hAnsi="Times New Roman;serif"/>
          <w:b w:val="false"/>
          <w:i/>
          <w:color w:val="000000"/>
          <w:sz w:val="20"/>
        </w:rPr>
        <w:t>Gross Profit and Gross Margin.</w:t>
      </w:r>
      <w:r>
        <w:rPr>
          <w:color w:val="000000"/>
        </w:rPr>
        <w:t xml:space="preserve"> </w:t>
      </w:r>
      <w:r>
        <w:rPr>
          <w:rFonts w:ascii="Times New Roman;serif" w:hAnsi="Times New Roman;serif"/>
          <w:b w:val="false"/>
          <w:color w:val="000000"/>
          <w:sz w:val="20"/>
        </w:rPr>
        <w:t>Gross profit increased $7.2 million for the three months ended June 30, 2025 as compared to the three months ended June 30, 2024, mainly driven by higher revenue. The gross margin was 79.8% for the three months ended June 30, 2025 compared to a gross margin of 79.0% for the three months ended June 30, 2024 due to lower product costs, partially offset by higher royalties and reserves.</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i/>
          <w:color w:val="000000"/>
          <w:sz w:val="20"/>
        </w:rPr>
        <w:t>Operating Expenses</w:t>
      </w:r>
      <w:r>
        <w:rPr>
          <w:rFonts w:ascii="Times New Roman;serif" w:hAnsi="Times New Roman;serif"/>
          <w:b w:val="false"/>
          <w:color w:val="000000"/>
          <w:sz w:val="20"/>
        </w:rPr>
        <w:t>:</w:t>
      </w:r>
    </w:p>
    <w:tbl>
      <w:tblPr>
        <w:tblW w:w="7431" w:type="dxa"/>
        <w:jc w:val="left"/>
        <w:tblInd w:w="0" w:type="dxa"/>
        <w:tblLayout w:type="fixed"/>
        <w:tblCellMar>
          <w:top w:w="28" w:type="dxa"/>
          <w:left w:w="28" w:type="dxa"/>
          <w:bottom w:w="28" w:type="dxa"/>
          <w:right w:w="28" w:type="dxa"/>
        </w:tblCellMar>
      </w:tblPr>
      <w:tblGrid>
        <w:gridCol w:w="836"/>
        <w:gridCol w:w="736"/>
        <w:gridCol w:w="738"/>
        <w:gridCol w:w="214"/>
        <w:gridCol w:w="732"/>
        <w:gridCol w:w="110"/>
        <w:gridCol w:w="110"/>
        <w:gridCol w:w="110"/>
        <w:gridCol w:w="110"/>
        <w:gridCol w:w="214"/>
        <w:gridCol w:w="732"/>
        <w:gridCol w:w="110"/>
        <w:gridCol w:w="109"/>
        <w:gridCol w:w="109"/>
        <w:gridCol w:w="109"/>
        <w:gridCol w:w="211"/>
        <w:gridCol w:w="616"/>
        <w:gridCol w:w="109"/>
        <w:gridCol w:w="109"/>
        <w:gridCol w:w="109"/>
        <w:gridCol w:w="109"/>
        <w:gridCol w:w="254"/>
        <w:gridCol w:w="257"/>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45,811 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41,654 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Sales and Marketing Expenses. </w:t>
      </w:r>
      <w:r>
        <w:rPr>
          <w:rFonts w:ascii="Times New Roman;serif" w:hAnsi="Times New Roman;serif"/>
          <w:b w:val="false"/>
          <w:color w:val="000000"/>
          <w:sz w:val="20"/>
        </w:rPr>
        <w:t>The increase in sales and marketing expenses for the three months ended June 30, 2025 as compared to the three months ended June 30, 2024 was primarily due to a $2.5 million increase in commissions and personnel cost driven by higher revenues and increase in headcount, partially offset by a decrease of $0.7 million related to travel, stock-based compensation and consulting.</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The research and development expenses for the three months ended June 30, 2025 is consistent with research and development expenses for the three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The increase in general and administrative expenses for the three months ended June 30, 2025 compared to the three months ended June 30, 2024 was primarily due to a $1.4 million increase in personnel costs and stock-based compensation associated with an increase in headcount within general and administrative departments and a $0.9 million increase in legal and consulting.</w:t>
      </w:r>
    </w:p>
    <w:p>
      <w:pPr>
        <w:pStyle w:val="TextBody"/>
        <w:bidi w:val="0"/>
        <w:spacing w:lineRule="auto" w:line="288" w:before="300" w:after="240"/>
        <w:jc w:val="left"/>
        <w:rPr/>
      </w:pPr>
      <w:r>
        <w:rPr>
          <w:rFonts w:ascii="Times New Roman;serif" w:hAnsi="Times New Roman;serif"/>
          <w:b/>
          <w:i/>
          <w:color w:val="000000"/>
          <w:sz w:val="20"/>
        </w:rPr>
        <w:t>Interest and Other Income (Expense), Net</w:t>
      </w:r>
      <w:r>
        <w:rPr>
          <w:rFonts w:ascii="Times New Roman;serif" w:hAnsi="Times New Roman;serif"/>
          <w:b w:val="false"/>
          <w:color w:val="000000"/>
          <w:sz w:val="20"/>
        </w:rPr>
        <w:t>:</w:t>
      </w:r>
    </w:p>
    <w:tbl>
      <w:tblPr>
        <w:tblW w:w="8285" w:type="dxa"/>
        <w:jc w:val="left"/>
        <w:tblInd w:w="0" w:type="dxa"/>
        <w:tblLayout w:type="fixed"/>
        <w:tblCellMar>
          <w:top w:w="28" w:type="dxa"/>
          <w:left w:w="28" w:type="dxa"/>
          <w:bottom w:w="28" w:type="dxa"/>
          <w:right w:w="28" w:type="dxa"/>
        </w:tblCellMar>
      </w:tblPr>
      <w:tblGrid>
        <w:gridCol w:w="1108"/>
        <w:gridCol w:w="974"/>
        <w:gridCol w:w="977"/>
        <w:gridCol w:w="234"/>
        <w:gridCol w:w="685"/>
        <w:gridCol w:w="121"/>
        <w:gridCol w:w="121"/>
        <w:gridCol w:w="121"/>
        <w:gridCol w:w="121"/>
        <w:gridCol w:w="234"/>
        <w:gridCol w:w="685"/>
        <w:gridCol w:w="121"/>
        <w:gridCol w:w="109"/>
        <w:gridCol w:w="109"/>
        <w:gridCol w:w="109"/>
        <w:gridCol w:w="211"/>
        <w:gridCol w:w="541"/>
        <w:gridCol w:w="109"/>
        <w:gridCol w:w="109"/>
        <w:gridCol w:w="109"/>
        <w:gridCol w:w="109"/>
        <w:gridCol w:w="344"/>
        <w:gridCol w:w="346"/>
        <w:gridCol w:w="578"/>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 and other expense,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95"/>
        <w:jc w:val="both"/>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The decrease in interest income for the three months ended June 30, 2025 as compared to the three months ended June 30, 2024 was primarily due to lower investment balances.</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The decrease in interest expense for the three months ended June 30, 2025 as compared to the three months ended June 30, 2024 was due to lower interest rates associated with the First-Citizens Third Amendment Term Loan.</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The change in other income (expense), net for the three months ended June 30, 2025 as compared to the three months ended June 30, 2024 was primarily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rFonts w:ascii="Times New Roman;serif" w:hAnsi="Times New Roman;serif"/>
          <w:b/>
          <w:color w:val="000000"/>
          <w:sz w:val="20"/>
        </w:rPr>
      </w:pPr>
      <w:r>
        <w:rPr>
          <w:rFonts w:ascii="Times New Roman;serif" w:hAnsi="Times New Roman;serif"/>
          <w:b/>
          <w:color w:val="000000"/>
          <w:sz w:val="20"/>
        </w:rPr>
        <w:t xml:space="preserve">Comparison of the Six Months Ended June 30, 2025 and 2024 </w:t>
      </w:r>
    </w:p>
    <w:p>
      <w:pPr>
        <w:pStyle w:val="TextBody"/>
        <w:bidi w:val="0"/>
        <w:spacing w:lineRule="auto" w:line="288" w:before="240" w:after="240"/>
        <w:jc w:val="left"/>
        <w:rPr/>
      </w:pPr>
      <w:r>
        <w:rPr>
          <w:rFonts w:ascii="Times New Roman;serif" w:hAnsi="Times New Roman;serif"/>
          <w:b/>
          <w:i/>
          <w:color w:val="000000"/>
          <w:sz w:val="20"/>
        </w:rPr>
        <w:t>Revenue, Cost of Goods Sold, Gross Profit, and Gross Margin</w:t>
      </w:r>
      <w:r>
        <w:rPr>
          <w:rFonts w:ascii="Times New Roman;serif" w:hAnsi="Times New Roman;serif"/>
          <w:b w:val="false"/>
          <w:color w:val="000000"/>
          <w:sz w:val="20"/>
        </w:rPr>
        <w:t>:</w:t>
      </w:r>
    </w:p>
    <w:tbl>
      <w:tblPr>
        <w:tblW w:w="7152" w:type="dxa"/>
        <w:jc w:val="left"/>
        <w:tblInd w:w="0" w:type="dxa"/>
        <w:tblLayout w:type="fixed"/>
        <w:tblCellMar>
          <w:top w:w="28" w:type="dxa"/>
          <w:left w:w="28" w:type="dxa"/>
          <w:bottom w:w="28" w:type="dxa"/>
          <w:right w:w="28" w:type="dxa"/>
        </w:tblCellMar>
      </w:tblPr>
      <w:tblGrid>
        <w:gridCol w:w="591"/>
        <w:gridCol w:w="521"/>
        <w:gridCol w:w="523"/>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55"/>
        <w:gridCol w:w="256"/>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the majority of our revenue from sales to customers in the U.S. Revenue by geography is based on billing address of the customer. The table below summarizes our revenue by geography:</w:t>
      </w:r>
    </w:p>
    <w:p>
      <w:pPr>
        <w:pStyle w:val="TextBody"/>
        <w:bidi w:val="0"/>
        <w:spacing w:before="0" w:after="0"/>
        <w:ind w:left="0" w:right="0" w:firstLine="540"/>
        <w:jc w:val="left"/>
        <w:rPr/>
      </w:pPr>
      <w:r>
        <w:rPr/>
      </w:r>
    </w:p>
    <w:tbl>
      <w:tblPr>
        <w:tblW w:w="8947"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80"/>
        <w:gridCol w:w="280"/>
        <w:gridCol w:w="281"/>
        <w:gridCol w:w="109"/>
        <w:gridCol w:w="109"/>
        <w:gridCol w:w="109"/>
        <w:gridCol w:w="255"/>
        <w:gridCol w:w="256"/>
        <w:gridCol w:w="578"/>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380" w:type="dxa"/>
            <w:gridSpan w:val="30"/>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The increase in revenue for the six months ended June 30, 2025 as compared to the six months ended June 30, 2024 was primarily driven by a $18.0 million increase in our U.S. revenue due to the increase in case volumes due to our expanded product portfolio.</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i/>
          <w:color w:val="000000"/>
          <w:sz w:val="20"/>
        </w:rPr>
        <w:t>Gross Profit and Gross Margin.</w:t>
      </w:r>
      <w:r>
        <w:rPr>
          <w:color w:val="000000"/>
        </w:rPr>
        <w:t xml:space="preserve"> </w:t>
      </w:r>
      <w:r>
        <w:rPr>
          <w:rFonts w:ascii="Times New Roman;serif" w:hAnsi="Times New Roman;serif"/>
          <w:b w:val="false"/>
          <w:color w:val="000000"/>
          <w:sz w:val="20"/>
        </w:rPr>
        <w:t>Gross profit increased $15.1 million for the six months ended June 30, 2025 as compared to the six months ended June 30, 2024, mainly driven by higher revenue. The gross margin was 79.8% for the six months ended June 30, 2025 as compared to 78.9% for the six months ended June 30, 2024. Gross margin increased in the six months ended June 30, 2025 as compared to the six months ended June 30, 2024, primarily due to changes in procedure and product mix, partially offset by higher royalties and reserves.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40"/>
        <w:jc w:val="left"/>
        <w:rPr/>
      </w:pPr>
      <w:r>
        <w:rPr>
          <w:rFonts w:ascii="Times New Roman;serif" w:hAnsi="Times New Roman;serif"/>
          <w:b/>
          <w:i/>
          <w:color w:val="000000"/>
          <w:sz w:val="20"/>
        </w:rPr>
        <w:t>Operating Expenses</w:t>
      </w:r>
      <w:r>
        <w:rPr>
          <w:rFonts w:ascii="Times New Roman;serif" w:hAnsi="Times New Roman;serif"/>
          <w:b w:val="false"/>
          <w:color w:val="000000"/>
          <w:sz w:val="20"/>
        </w:rPr>
        <w:t>:</w:t>
      </w:r>
    </w:p>
    <w:tbl>
      <w:tblPr>
        <w:tblW w:w="7398" w:type="dxa"/>
        <w:jc w:val="left"/>
        <w:tblInd w:w="0" w:type="dxa"/>
        <w:tblLayout w:type="fixed"/>
        <w:tblCellMar>
          <w:top w:w="28" w:type="dxa"/>
          <w:left w:w="28" w:type="dxa"/>
          <w:bottom w:w="28" w:type="dxa"/>
          <w:right w:w="28" w:type="dxa"/>
        </w:tblCellMar>
      </w:tblPr>
      <w:tblGrid>
        <w:gridCol w:w="836"/>
        <w:gridCol w:w="736"/>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Sales and Marketing Expenses. </w:t>
      </w:r>
      <w:r>
        <w:rPr>
          <w:rFonts w:ascii="Times New Roman;serif" w:hAnsi="Times New Roman;serif"/>
          <w:b w:val="false"/>
          <w:color w:val="000000"/>
          <w:sz w:val="20"/>
        </w:rPr>
        <w:t>The increase in sales and marketing expenses for the six months ended June 30, 2025 as compared to the six months ended June 30, 2024 was primarily due to a $4.2 million increase in commissions and personnel costs driven by higher revenues, partially offset by $1.1 million decrease in travel costs and stock-based compensation.</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The research and development expenses for the six months ended June 30, 2025 is consistent as compared to the research and development expenses for the six months ended June 30, 2024.</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The increase in general and administrative expenses for the six months ended June 30, 2025 as compared to the six months ended June 30, 2024 was primarily due to a $2.5 million increase in personnel costs and stock-based compensation associated with an increase in headcount within general and administrative departments, and a $1.7 million increase in legal, consulting, and bad debt expense.</w:t>
      </w:r>
    </w:p>
    <w:p>
      <w:pPr>
        <w:pStyle w:val="TextBody"/>
        <w:bidi w:val="0"/>
        <w:spacing w:lineRule="auto" w:line="288" w:before="300" w:after="240"/>
        <w:jc w:val="left"/>
        <w:rPr/>
      </w:pPr>
      <w:r>
        <w:rPr>
          <w:rFonts w:ascii="Times New Roman;serif" w:hAnsi="Times New Roman;serif"/>
          <w:b/>
          <w:i/>
          <w:color w:val="000000"/>
          <w:sz w:val="20"/>
        </w:rPr>
        <w:t>Interest and Other Income (Expense), Net</w:t>
      </w:r>
      <w:r>
        <w:rPr>
          <w:rFonts w:ascii="Times New Roman;serif" w:hAnsi="Times New Roman;serif"/>
          <w:b w:val="false"/>
          <w:color w:val="000000"/>
          <w:sz w:val="20"/>
        </w:rPr>
        <w:t>:</w:t>
      </w:r>
    </w:p>
    <w:tbl>
      <w:tblPr>
        <w:tblW w:w="7597" w:type="dxa"/>
        <w:jc w:val="left"/>
        <w:tblInd w:w="0" w:type="dxa"/>
        <w:tblLayout w:type="fixed"/>
        <w:tblCellMar>
          <w:top w:w="28" w:type="dxa"/>
          <w:left w:w="28" w:type="dxa"/>
          <w:bottom w:w="28" w:type="dxa"/>
          <w:right w:w="28" w:type="dxa"/>
        </w:tblCellMar>
      </w:tblPr>
      <w:tblGrid>
        <w:gridCol w:w="963"/>
        <w:gridCol w:w="843"/>
        <w:gridCol w:w="849"/>
        <w:gridCol w:w="213"/>
        <w:gridCol w:w="606"/>
        <w:gridCol w:w="118"/>
        <w:gridCol w:w="118"/>
        <w:gridCol w:w="118"/>
        <w:gridCol w:w="118"/>
        <w:gridCol w:w="213"/>
        <w:gridCol w:w="606"/>
        <w:gridCol w:w="118"/>
        <w:gridCol w:w="109"/>
        <w:gridCol w:w="109"/>
        <w:gridCol w:w="109"/>
        <w:gridCol w:w="196"/>
        <w:gridCol w:w="631"/>
        <w:gridCol w:w="109"/>
        <w:gridCol w:w="109"/>
        <w:gridCol w:w="109"/>
        <w:gridCol w:w="109"/>
        <w:gridCol w:w="277"/>
        <w:gridCol w:w="279"/>
        <w:gridCol w:w="568"/>
      </w:tblGrid>
      <w:tr>
        <w:trPr/>
        <w:tc>
          <w:tcPr>
            <w:tcW w:w="96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other expense, net</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0"/>
        <w:ind w:left="0" w:right="0" w:firstLine="495"/>
        <w:jc w:val="both"/>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The decrease in interest income for the six months ended June 30, 2025 as compared to the six months ended June 30, 2024 was primarily due to lower investment balance.</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The decrease in interest expense for the six months ended June 30, 2025 as compared to the six months ended June 30, 2024 was primarily due to lower interest rates associated with the First-Citizens Third Amendment Term Loan.</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The change in other income (expense), net for the six months ended June 30, 2025 as compared to the six months ended June 30, 2024 was primarily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2025, we had cash and marketable securities of $145.5 million as compared to $150.0 million as of December 31, 2024. We have financed our operations primarily through the sale of our common stock in our public offerings and debt financing arrangements. As of both June 30, 2025 and December 31, 2024, we had $35.5 million in outstanding debt.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we had an accumulated deficit of $444.0 million as compared to $431.4 million as of December 31, 2024. During the six months ended June 30, 2025, we incurred a net loss of $6.2 million. During the years ended December 31, 2024 and 2023, we incurred a net loss of $30.9 million and $43.3 million, respectively, and expect to incur additional losses in the future. We have not achieved positive cash flow from operations to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our current operating plan, we believe that our existing cash and marketable securities will enable us to fund our operating expenses and capital expenditure requirements over the next 12 months from the filing of this Form 10-Q. However, the financial impact of a potential economic downturn or capital market disruptions pose risks to and uncertainties in our future available capital resources. We may face challenges and uncertainties and, as a result, may need to raise additional capital as our available capital resources may be consumed more rapidly than currently expected due to, but not limited to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 In addition, as we seek to deploy new product offerings, the need for additional capital to fund the purchase of inventories of implants and instrument trays may become more acute and may limit the number of revenue opportunities that we pursue. Each new product family introduced typically requires the purchase of consumable implant inventory as well as investment in a fleet of instrument trays required to support procedures nationwide. </w:t>
      </w:r>
    </w:p>
    <w:p>
      <w:pPr>
        <w:pStyle w:val="TextBody"/>
        <w:bidi w:val="0"/>
        <w:spacing w:lineRule="auto" w:line="28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debt is related to a Loan and Security Agreement (the “Original Loan Agreement”) dated August 12, 2021 (the “Effective Date”), entered into by us and Silicon Valley Bank, a California corporation (“SVB”). Pursuant to the Original Loan Agreement, SVB provided us with a term loan in the aggregate principal amount of $35.0 million (the “Original Term Loan”).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2023, we entered into a First Amendment to Loan and Security Agreement with SVB (the “First Amendment”, and together with the Original Loan Agreement, collectively the “Amended Loan Agreement”). Upon entry into the Amended Loan Agreement, we borrowed $36.0 million pursuant to a new term loan (the “First Amendment Term Loan”), which was substantially used to repay in full the $35.0 million Original Term Loan outstanding under the Original Loan Agreement, and we also obtained a secured revolving credit facility in an aggregate principal amount of up to $15.0 million (the “Revolving Line").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2024, we entered into a Second Amendment to Loan and Security Agreement with Silicon Valley Bank, a division of First-Citizens Bank &amp; Trust Company, as successor in interest to SVB (“First-Citizens”) which further amended our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November 8, 2024, we entered into a Third Amendment to Loan and Security Agreement with First-Citizens (the “Third Amendment” and together with the Second Amended Loan Agreement, collectively, the “Third Amended Loan Agreement”), relative to a new term loan in the original aggregate principal amount of $36.0 million extended by First-Citizens to the Company (the “Third Amendment Term Loan”), which was substantially used to refinance and repay in full the then-outstanding $36.0 million existing First Amendment Term Loan. We also paid a certain final payment fee due relative to such prior First Amendment Term Loan. The Third Amendment set the maturity date for the Third Amendment Term Loan to September 1, 2029 (the "Third Amendment Term Loan Maturity Date"), and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outstanding principal balance of the Third Amendment Term Loan is payable monthly at a floating rate per annum equal to the greater of 4.25% and the WSJ prime rate minus 0.5%. The Company may elect to prepay the Third Amendment Term Loan in whole prior to the Third Amendment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 and the periods in which such covenants apply, and First-Citizens and the Company also agreed to terminate the Revolving Line and an uncommitted accordion term loan provision.</w:t>
      </w:r>
    </w:p>
    <w:p>
      <w:pPr>
        <w:pStyle w:val="TextBody"/>
        <w:bidi w:val="0"/>
        <w:spacing w:lineRule="auto" w:line="276" w:before="24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include various contractual and other obligations consisting of long-term debt obligations with First-Citizens, operating lease obligations and purchase obligations with some of our suppliers and have not changed materially since the Form 10-K filed with the SEC on February 25, 2025. As of June 30, 2025, expected timing of those payments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tbl>
      <w:tblPr>
        <w:tblW w:w="9695" w:type="dxa"/>
        <w:jc w:val="left"/>
        <w:tblInd w:w="0" w:type="dxa"/>
        <w:tblLayout w:type="fixed"/>
        <w:tblCellMar>
          <w:top w:w="28" w:type="dxa"/>
          <w:left w:w="28" w:type="dxa"/>
          <w:bottom w:w="28" w:type="dxa"/>
          <w:right w:w="28" w:type="dxa"/>
        </w:tblCellMar>
      </w:tblPr>
      <w:tblGrid>
        <w:gridCol w:w="852"/>
        <w:gridCol w:w="749"/>
        <w:gridCol w:w="754"/>
        <w:gridCol w:w="211"/>
        <w:gridCol w:w="721"/>
        <w:gridCol w:w="109"/>
        <w:gridCol w:w="109"/>
        <w:gridCol w:w="109"/>
        <w:gridCol w:w="109"/>
        <w:gridCol w:w="307"/>
        <w:gridCol w:w="898"/>
        <w:gridCol w:w="159"/>
        <w:gridCol w:w="109"/>
        <w:gridCol w:w="109"/>
        <w:gridCol w:w="109"/>
        <w:gridCol w:w="211"/>
        <w:gridCol w:w="721"/>
        <w:gridCol w:w="109"/>
        <w:gridCol w:w="109"/>
        <w:gridCol w:w="109"/>
        <w:gridCol w:w="109"/>
        <w:gridCol w:w="211"/>
        <w:gridCol w:w="721"/>
        <w:gridCol w:w="109"/>
        <w:gridCol w:w="109"/>
        <w:gridCol w:w="109"/>
        <w:gridCol w:w="109"/>
        <w:gridCol w:w="423"/>
        <w:gridCol w:w="814"/>
        <w:gridCol w:w="308"/>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More than 5 years</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Principal obligations </w:t>
            </w:r>
            <w:r>
              <w:rPr>
                <w:rFonts w:ascii="Times New Roman;serif" w:hAnsi="Times New Roman;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Interest obligations </w:t>
            </w:r>
            <w:r>
              <w:rPr>
                <w:rFonts w:ascii="Times New Roman;serif" w:hAnsi="Times New Roman;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the principal obligations of our First-Citizens Third Amendment Term Loan.</w:t>
      </w:r>
    </w:p>
    <w:p>
      <w:pPr>
        <w:pStyle w:val="TextBody"/>
        <w:bidi w:val="0"/>
        <w:spacing w:lineRule="auto" w:line="288" w:before="0" w:after="0"/>
        <w:ind w:left="0" w:right="0" w:hanging="360"/>
        <w:jc w:val="left"/>
        <w:rPr/>
      </w:pPr>
      <w:r>
        <w:rPr>
          <w:rFonts w:ascii="Times New Roman;serif" w:hAnsi="Times New Roman;serif"/>
          <w:b w:val="false"/>
          <w:color w:val="000000"/>
          <w:sz w:val="16"/>
        </w:rPr>
        <w:t>(2)Represents the future interest obligations on our First-Citizens Third Amendment Term Loan estimated using an interest rate of 7%</w:t>
      </w:r>
      <w:r>
        <w:rPr>
          <w:color w:val="000000"/>
        </w:rPr>
        <w:t xml:space="preserve"> </w:t>
      </w:r>
      <w:r>
        <w:rPr>
          <w:rFonts w:ascii="Times New Roman;serif" w:hAnsi="Times New Roman;serif"/>
          <w:b w:val="false"/>
          <w:color w:val="000000"/>
          <w:sz w:val="16"/>
        </w:rPr>
        <w:t>as of June 30, 2025.</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compares to $48.1 million of contractual obligations as of December 31,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for each of the periods presented below:</w:t>
      </w:r>
    </w:p>
    <w:tbl>
      <w:tblPr>
        <w:tblW w:w="9140" w:type="dxa"/>
        <w:jc w:val="left"/>
        <w:tblInd w:w="0" w:type="dxa"/>
        <w:tblLayout w:type="fixed"/>
        <w:tblCellMar>
          <w:top w:w="28" w:type="dxa"/>
          <w:left w:w="28" w:type="dxa"/>
          <w:bottom w:w="28" w:type="dxa"/>
          <w:right w:w="28" w:type="dxa"/>
        </w:tblCellMar>
      </w:tblPr>
      <w:tblGrid>
        <w:gridCol w:w="1864"/>
        <w:gridCol w:w="1644"/>
        <w:gridCol w:w="1652"/>
        <w:gridCol w:w="211"/>
        <w:gridCol w:w="691"/>
        <w:gridCol w:w="109"/>
        <w:gridCol w:w="109"/>
        <w:gridCol w:w="109"/>
        <w:gridCol w:w="109"/>
        <w:gridCol w:w="211"/>
        <w:gridCol w:w="796"/>
        <w:gridCol w:w="109"/>
        <w:gridCol w:w="109"/>
        <w:gridCol w:w="109"/>
        <w:gridCol w:w="109"/>
        <w:gridCol w:w="211"/>
        <w:gridCol w:w="616"/>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cash provided by (used in):</w:t>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Used in Operating Activities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2025 of $4.7 million resulted from cash outflows due to a net loss of $12.7 million, adjusted for $16.6 million of non-cash items, and cash outflows from net changes in operating assets and liabilities of $8.7 million. Net cash used in operating activities for the six months ended June 30, 2024 of $13.9 million resulted from cash outflows due to a net loss of $19.8 million, adjusted for $14.0 million of non-cash items, and cash outflows from changes in operating assets and liabilities of $8.1 million. The decrease in net loss, net of non-cash items for the six months ended June 30, 2025 as compared to the six months ended June 30, 2024 was mainly due to increased revenues. Net cash outflows from changes in operating assets and liabilities for the six months ended June 30, 2025 was primarily due to higher inventory build-up related to our new product introductions and lower accrued liabilities attributable to the normal timing of expenses, offset by lower account receivable balance resulting from improved collections. Net cash outflows from changes in operating assets and liabilities for the six months ended June 30, 2024 was primarily due to lower accrued liabilities attributable to the normal course timing of expenses and higher Account Receivable due to timing of collection.</w:t>
      </w:r>
    </w:p>
    <w:p>
      <w:pPr>
        <w:pStyle w:val="TextBody"/>
        <w:bidi w:val="0"/>
        <w:spacing w:lineRule="auto" w:line="288" w:before="24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in the six months ended June 30, 2025 was $1.2 million as compared to cash provided by investing activities of $4.5 million in the six months ended June 30, 2024. Net cash provided by investing activities for the six months ended June 30, 2025 consisted of maturities of our marketable securities net of purchases of $5.3 million, and purchases of property and equipment of $4.2 million primarily related to individual components in instrument sets to support revenue growth. Net cash used in investing activities for the six months ended June 30, 2024 consisted of purchases of our marketable securities net of maturities of $9.7 million, and purchases of property and equipment of $5.2 million primarily related to individual components in instrument sets.</w:t>
      </w:r>
    </w:p>
    <w:p>
      <w:pPr>
        <w:pStyle w:val="TextBody"/>
        <w:bidi w:val="0"/>
        <w:spacing w:lineRule="auto" w:line="288" w:before="24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financing activities in the six months ended June 30, 2025 and 2024 was $2.3 million and $1.9 million, respectively, resulting from the issuance of common stock under our stock-based incentive compensation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24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described in “Management's Discussion and Analysis of Financial Condition and Results of Operations - Critical Accounting Policies, Significant Judgments, and Use of Estimates” in our 2024 Annual Report. There had been no material changes to the descriptions of these accounting policies, judgments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6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including changes to foreign currency exchange rates and interest rates.</w:t>
      </w:r>
    </w:p>
    <w:p>
      <w:pPr>
        <w:pStyle w:val="TextBody"/>
        <w:bidi w:val="0"/>
        <w:spacing w:lineRule="auto" w:line="288" w:before="24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three and six months ended June 30, 2025 and 2024 were not material. A hypothetical 100 basis point change in foreign exchange rates during any of the periods presented would not have had a material impact on our condensed consolidated financial statements.</w:t>
      </w:r>
    </w:p>
    <w:p>
      <w:pPr>
        <w:pStyle w:val="TextBody"/>
        <w:bidi w:val="0"/>
        <w:spacing w:lineRule="auto" w:line="288" w:before="24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changes in interest rates relates to interest earned and market value on our cash and cash equivalents and short-term investments. Our cash and cash equivalents and short-term investments consist of cash, money market funds,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With the execution of the Third Amendment with First-Citizens relative to the Third Amendment Term Loan, interest is payable monthly at a floating annual rate set at the greater of the prime rate as published in the Wall Street Journal minus 0.5% or 4.25%. Rising interest rates will increase the amount of interest paid on this debt. We believe that our exposure to interest rate risk is not significant due to the low risk profile of our investments and the amount of our Third Amendment Term Loan, therefore a hypothetical 100 basis point change in market interest rates during any of the periods presented would not have had a material impact on our condensed consolidated financial statements.</w:t>
      </w:r>
    </w:p>
    <w:p>
      <w:pPr>
        <w:pStyle w:val="TextBody"/>
        <w:bidi w:val="0"/>
        <w:spacing w:before="24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2025,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Based on that evaluation, our CEO and our CFO have concluded that, as of June 30, 2025, our disclosure controls and procedures were effective at the reasonable assurance level. </w:t>
      </w:r>
    </w:p>
    <w:p>
      <w:pPr>
        <w:pStyle w:val="TextBody"/>
        <w:bidi w:val="0"/>
        <w:spacing w:lineRule="auto" w:line="288" w:before="18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2025, there were no changes in our internal controls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pStyle w:val="TextBody"/>
        <w:bidi w:val="0"/>
        <w:spacing w:before="24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before="24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24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from the risk factors previously disclosed in Part I, Item 1A. “Risk Factors” of our 2024 Annual Report. The risk factors described in our 2024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2024 Annual Report. Additional risks and uncertainties not presently known to us or that we currently believe to be immaterial may also adversely affect our business and the trading price of our securities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before="0" w:after="0"/>
        <w:jc w:val="both"/>
        <w:rPr/>
      </w:pPr>
      <w:r>
        <w:rPr/>
      </w:r>
    </w:p>
    <w:p>
      <w:pPr>
        <w:pStyle w:val="TextBody"/>
        <w:bidi w:val="0"/>
        <w:spacing w:lineRule="auto" w:line="276" w:before="0" w:after="0"/>
        <w:ind w:left="0" w:right="0" w:firstLine="495"/>
        <w:jc w:val="both"/>
        <w:rPr/>
      </w:pPr>
      <w:r>
        <w:rPr>
          <w:rFonts w:ascii="Times New Roman;serif" w:hAnsi="Times New Roman;serif"/>
          <w:b w:val="false"/>
          <w:color w:val="000000"/>
          <w:sz w:val="20"/>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tariffs and retaliatory countermeasures, inflation or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w:t>
      </w:r>
      <w:r>
        <w:rPr>
          <w:color w:val="000000"/>
        </w:rPr>
        <w:t xml:space="preserve"> </w:t>
      </w:r>
      <w:r>
        <w:rPr>
          <w:rFonts w:ascii="Times New Roman;serif" w:hAnsi="Times New Roman;serif"/>
          <w:b w:val="false"/>
          <w:color w:val="000000"/>
          <w:sz w:val="20"/>
        </w:rPr>
        <w:t>The imposition of tariffs on titanium sourced from Canada or elsewhere could further exacerbate these challenges and increase the cost of our implants.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 epidemics, we may be unable to transition to other contract sterilizers, sterilizer locations or sterilization methods in a timely or cost effective manner or at all, which could have a material impact on our results of operations and financial condition.</w:t>
      </w:r>
    </w:p>
    <w:p>
      <w:pPr>
        <w:pStyle w:val="TextBody"/>
        <w:bidi w:val="0"/>
        <w:spacing w:before="0" w:after="0"/>
        <w:ind w:left="0" w:right="0" w:firstLine="495"/>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Various factors outside our direct control may adversely affect manufacturing, sterilization, and distribution of our products.</w:t>
      </w:r>
    </w:p>
    <w:p>
      <w:pPr>
        <w:pStyle w:val="TextBody"/>
        <w:bidi w:val="0"/>
        <w:spacing w:before="0" w:after="0"/>
        <w:ind w:left="0" w:right="0" w:firstLine="495"/>
        <w:jc w:val="left"/>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pStyle w:val="TextBody"/>
        <w:bidi w:val="0"/>
        <w:spacing w:before="0" w:after="0"/>
        <w:ind w:left="0" w:right="0" w:firstLine="495"/>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failure to complete sterilization on time or in compliance with the required regulatory standards;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transportation and import and export risk;</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delays in analytical results or failure of analytical techniques that we depend on for quality control and release of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large-scale epidemics of communicable diseases;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supply chain disruptions, including those caused by material and labor supply shortages, tariffs and retaliatory countermeasures, and prolonged inflation;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natural disasters, labor disputes, financial distress, raw material availability, issues with facilities and equipment, or other forms of disruption to business operations affecting our manufacturers or suppliers;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latent defects that may become apparent after products have been released and that may result in a recall or field safety corrective action with respect to such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any of these risks were to materialize, our ability to provide our products to customers on a timely basis could be adversely impacted.</w:t>
      </w:r>
      <w:r>
        <w:rPr>
          <w:color w:val="000000"/>
        </w:rPr>
        <w:t xml:space="preserve"> </w:t>
      </w:r>
    </w:p>
    <w:p>
      <w:pPr>
        <w:pStyle w:val="TextBody"/>
        <w:bidi w:val="0"/>
        <w:spacing w:before="0" w:after="0"/>
        <w:ind w:left="0" w:right="0" w:firstLine="495"/>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price of our common stock may be volatile, and the value of an investment in our common stock could decline.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pStyle w:val="TextBody"/>
        <w:bidi w:val="0"/>
        <w:spacing w:before="0" w:after="0"/>
        <w:ind w:left="0" w:right="0" w:firstLine="495"/>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interest rates, tariff policy investor risk appetite and other macroeconomic factors impacting the market for securities issued by medical device companies;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risk of inflation, interest rate increases, economic downturn or instability and other macroeconomic factors impacting patients’ economic ability and likelihood of undergoing elective procedures, whether real or as perceived by investors;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impact of infectious diseases, and measures taken to combat them, on our business;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results of our clinical trials and that of our competitors’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actions with respect to our products or our competitor’s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announcements of new offerings, products, services or technologies, commercial relationships, acquisitions, or other events by us or our competitors;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price and volume fluctuations in the overall stock market from time to time;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significant volatility in the market price and trading volume of healthcare companies, in general, and of companies in the medical device industry in particular;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fluctuations in the trading volume of our shares or the size of our public float;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negative publicity;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whether our results of operations meet the expectations of securities analysts or investors or those expectations change;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litigation involving us, our industry, or both;</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developments in the United States, foreign countries, or both;</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lock-up releases and sales of large blocks of our common stock;</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additions or departures of key employees or scientific personnel;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economic conditions and trends.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Inadequate funding for the FDA and other government agencies, disruptions or diminishment of the workforces of these government agencies, or a work slowdown or stoppage at those agencies as part of a broader federal government shutdown, or comparable scenarios with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pPr>
      <w:r>
        <w:rPr>
          <w:rFonts w:ascii="Times New Roman;serif" w:hAnsi="Times New Roman;serif"/>
          <w:b w:val="false"/>
          <w:color w:val="000000"/>
          <w:sz w:val="20"/>
        </w:rPr>
        <w:t>The ability of the FDA to review and approve or clear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Disruptions at FDA and other agencies may also slow the time necessary for new product applications to be reviewed and/or approved by necessary government agencies, which could adversely affect our business. For example, in recent years, including for 35 days beginning on December 22, 2018, the U.S. government shut down several times and certain regulatory agencies, such as the FDA, had to furlough critical employees and stop critical activities. Average review times at FDA have fluctuated in recent years as a result. In addition, funding of other government agencies on which our operations may rely is subject to the political process, which is inherently fluid and unpredictable.</w:t>
      </w:r>
      <w:r>
        <w:rPr>
          <w:color w:val="000000"/>
        </w:rPr>
        <w:t xml:space="preserve"> </w:t>
      </w:r>
      <w:r>
        <w:rPr>
          <w:rFonts w:ascii="Times New Roman;serif" w:hAnsi="Times New Roman;serif"/>
          <w:b w:val="false"/>
          <w:color w:val="000000"/>
          <w:sz w:val="20"/>
        </w:rPr>
        <w:t>More recently, the FDA and other governmental agencies in the U.S. have been subject to sudden and dramatic reductions in the workforces due to termination of probationary employees, broad-based offers of early retirement to government employees and other efforts led by the Department of Government Efficiency under the current presidential administration.</w:t>
      </w:r>
      <w:r>
        <w:rPr>
          <w:color w:val="000000"/>
        </w:rPr>
        <w:t xml:space="preserve"> </w:t>
      </w:r>
      <w:r>
        <w:rPr>
          <w:rFonts w:ascii="Times New Roman;serif" w:hAnsi="Times New Roman;serif"/>
          <w:b w:val="false"/>
          <w:color w:val="000000"/>
          <w:sz w:val="20"/>
        </w:rPr>
        <w:t>The impact of these reductions to the federal workforce remains to be seen.</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If a prolonged government shutdown occurs, continued reductions in the U.S. governmental workforce, or if global health concerns or other political or world events prevent the FDA or other regulatory authorities from conducting their regular reviews or other regulatory activities, it could significantly impact the ability of the FDA to timely review and process our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submissions, which could have a material adverse effect on our business. Future government shutdowns or delays could also impact our ability to access the public markets and obtain capital to fund the growth of our operations. Similar considerations and concerns apply to foreign regulatory authorities.</w:t>
      </w:r>
    </w:p>
    <w:p>
      <w:pPr>
        <w:pStyle w:val="TextBody"/>
        <w:bidi w:val="0"/>
        <w:spacing w:before="0" w:after="0"/>
        <w:ind w:left="0" w:right="0" w:firstLine="495"/>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ability to access credit on favorable terms, if necessary, for the funding of our operations and capital projects may be limited due to changes in credit markets.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tariff policy and potential trade wars,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On November 8, 2024, we entered into a Third Amendment to Loan and Security Agreement (the “Third Amendment”) with Silicon Valley Bank, a division of First-Citizens Bank &amp; Trust Company (“First-Citizen”), which amends the Company’s Loan and Security Agreement, dated as of August 12, 2021 (the “Original Loan Agreement”), as amended by that certain First Amendment to Loan and Security Agreement, dated as of January 6, 2023 (the “First Amendment”) and that certain Second Amendment to Loan and Security Agreement, dated as of January 25, 2024 (the “Second Amendment” and collectively with the Original Loan Agreement, as amended by the First Amendment, Second Amendment and Third Amendment, the “Third Amended Loan Agreement”). The Third Amendment Term Loan extended by First-Citizens to us pursuant to the current Third Amended Loan Agreement terminates and matures on September 1, 2029, and if we cannot renew or refinance this Third Amendment Term Loan, if needed at such time, or obtain funding when needed, in each case on acceptable terms, such conditions may have an adverse effect on our ability to operate our business. See “Note 7. Borrowings” to the “Notes to Consolidated Financial Statements” included in this report for additional information.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Uncertainty in the coverage and reimbursement environment may decrease demand for our products and adversely affect our business.</w:t>
      </w:r>
    </w:p>
    <w:p>
      <w:pPr>
        <w:pStyle w:val="TextBody"/>
        <w:bidi w:val="0"/>
        <w:spacing w:before="0" w:after="0"/>
        <w:jc w:val="both"/>
        <w:rPr/>
      </w:pPr>
      <w:r>
        <w:rPr/>
      </w:r>
    </w:p>
    <w:p>
      <w:pPr>
        <w:pStyle w:val="TextBody"/>
        <w:bidi w:val="0"/>
        <w:spacing w:lineRule="auto" w:line="276" w:before="0" w:after="0"/>
        <w:ind w:left="0" w:right="0" w:firstLine="495"/>
        <w:jc w:val="both"/>
        <w:rPr/>
      </w:pPr>
      <w:r>
        <w:rPr>
          <w:rFonts w:ascii="Times New Roman;serif" w:hAnsi="Times New Roman;serif"/>
          <w:b w:val="false"/>
          <w:color w:val="000000"/>
          <w:sz w:val="20"/>
        </w:rPr>
        <w:t>Minimally invasive surgical sacroiliac joint fusion procedures are primarily separated into two main types: procedures where the devices transfix the joint, and newer procedures using intra-articular (in-line) devices that do not transfix the joint.</w:t>
      </w:r>
      <w:r>
        <w:rPr>
          <w:color w:val="000000"/>
        </w:rPr>
        <w:t xml:space="preserve"> </w:t>
      </w:r>
      <w:r>
        <w:rPr>
          <w:rFonts w:ascii="Times New Roman;serif" w:hAnsi="Times New Roman;serif"/>
          <w:b w:val="false"/>
          <w:color w:val="000000"/>
          <w:sz w:val="20"/>
        </w:rPr>
        <w:t xml:space="preserve">The transfixing procedures are described by CPT Code 27279. The non-transfixing procedures are described by CPT Code 27278, which was adopted by the AMA CPT Editorial Panel on January 1, 2024.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pPr>
      <w:r>
        <w:rPr>
          <w:rFonts w:ascii="Times New Roman;serif" w:hAnsi="Times New Roman;serif"/>
          <w:b w:val="false"/>
          <w:color w:val="000000"/>
          <w:sz w:val="20"/>
        </w:rPr>
        <w:t>We believe that the favorable coverage and reimbursement profile of CPT Code 27279 as compared to CPT Code 27278 is a result of third-party payers’ review and assessment of peer-reviewed clinical literature supporting its use. Most procedures available to U.S. patients have a clear coding interpretation, reported as either CPT Code 27279 or 27278. Ambiguity exists, however, over the proper categorization of some sacroiliac joint devices which use an intra-articular (in-line) approach, but also have integrated fixation design features which “pierce” ilium and sacrum bones on either side of the implant. The AMA has accepted a proposal via the CPT Editorial process to change some of the code definition for CPT Code 27279, to allow newer sacroiliac joint procedures to be reported effective January 1, 2026.</w:t>
      </w:r>
      <w:r>
        <w:rPr>
          <w:color w:val="000000"/>
        </w:rPr>
        <w:t xml:space="preserve"> </w:t>
      </w:r>
      <w:r>
        <w:rPr>
          <w:rFonts w:ascii="Times New Roman;serif" w:hAnsi="Times New Roman;serif"/>
          <w:b w:val="false"/>
          <w:color w:val="000000"/>
          <w:sz w:val="20"/>
        </w:rPr>
        <w:t>These changes will impact the code definition for CPT 27279, but not for CPT 27278.</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If procedures requiring lower work effort supported by lower-quality clinical evidence, and/or having less favorable patient outcomes are reported via CPT Code 27279 as a result of changes to the code definitions, it may contribute to a loss of value for CPT Code 27279. This dynamic could also prompt reevaluations of third-party payers’ coverage policies, which could ultimately decrease demand for our products and negatively impact our business and prospects. Additionally, if physicians and facilities are confused about the proper coding for our products or our competitors’ products, physicians may choose competitors’ products or choose not to perform sacroiliac joint procedures altogether, which would adversely affect demand for our products.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Any changes of, or uncertainty with respect to, future coverage or reimbursement rates could affect demand for our products, which in turn could impact our ability to successfully commercialize our products and could have an adverse material effect on our business, financial condition and results of operations.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2025, the following Section 16 officer and director adopted, modified or terminated a “Rule 10b5-1 trading arrangement” (as defined in Item 408 of Regulation S-K of the Exchange Act) as set forth in the table below.</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635"/>
        <w:gridCol w:w="526"/>
        <w:gridCol w:w="528"/>
        <w:gridCol w:w="294"/>
        <w:gridCol w:w="294"/>
        <w:gridCol w:w="298"/>
        <w:gridCol w:w="486"/>
        <w:gridCol w:w="486"/>
        <w:gridCol w:w="487"/>
        <w:gridCol w:w="258"/>
        <w:gridCol w:w="258"/>
        <w:gridCol w:w="258"/>
        <w:gridCol w:w="474"/>
        <w:gridCol w:w="315"/>
        <w:gridCol w:w="292"/>
        <w:gridCol w:w="459"/>
        <w:gridCol w:w="367"/>
        <w:gridCol w:w="367"/>
        <w:gridCol w:w="370"/>
        <w:gridCol w:w="109"/>
        <w:gridCol w:w="109"/>
        <w:gridCol w:w="109"/>
        <w:gridCol w:w="1130"/>
        <w:gridCol w:w="376"/>
        <w:gridCol w:w="376"/>
        <w:gridCol w:w="544"/>
      </w:tblGrid>
      <w:tr>
        <w:trPr/>
        <w:tc>
          <w:tcPr>
            <w:tcW w:w="6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11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14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Adoption/Termination Date</w:t>
            </w:r>
          </w:p>
        </w:tc>
        <w:tc>
          <w:tcPr>
            <w:tcW w:w="7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10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Non-Rule 10b5-1**</w:t>
            </w:r>
          </w:p>
        </w:tc>
        <w:tc>
          <w:tcPr>
            <w:tcW w:w="1563" w:type="dxa"/>
            <w:gridSpan w:val="4"/>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of Common Stock to be Sold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c>
          <w:tcPr>
            <w:tcW w:w="1296" w:type="dxa"/>
            <w:gridSpan w:val="3"/>
            <w:tcBorders/>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Michael Pisetsky, Chief Business &amp; Legal Affairs Officer</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4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13, 2025</w:t>
            </w:r>
          </w:p>
        </w:tc>
        <w:tc>
          <w:tcPr>
            <w:tcW w:w="7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08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238,985</w:t>
            </w:r>
          </w:p>
        </w:tc>
        <w:tc>
          <w:tcPr>
            <w:tcW w:w="37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130"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6, 2026</w:t>
            </w:r>
          </w:p>
        </w:tc>
      </w:tr>
      <w:tr>
        <w:trPr/>
        <w:tc>
          <w:tcPr>
            <w:tcW w:w="16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Jeffrey W. Dunn, Chairman of the Board of Directors</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4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8, 2025</w:t>
            </w:r>
          </w:p>
        </w:tc>
        <w:tc>
          <w:tcPr>
            <w:tcW w:w="7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08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240,000</w:t>
            </w:r>
          </w:p>
        </w:tc>
        <w:tc>
          <w:tcPr>
            <w:tcW w:w="37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130"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8, 2026</w:t>
            </w:r>
          </w:p>
        </w:tc>
      </w:tr>
      <w:tr>
        <w:trPr/>
        <w:tc>
          <w:tcPr>
            <w:tcW w:w="168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r>
        <w:trPr/>
        <w:tc>
          <w:tcPr>
            <w:tcW w:w="7779" w:type="dxa"/>
            <w:gridSpan w:val="2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instruction or written plan intended to satisfy the affirmative defense conditions of Rule 10b5-1(c) under the Exchange Act</w:t>
            </w:r>
          </w:p>
        </w:tc>
        <w:tc>
          <w:tcPr>
            <w:tcW w:w="2426" w:type="dxa"/>
            <w:gridSpan w:val="4"/>
            <w:tcBorders/>
          </w:tcPr>
          <w:p>
            <w:pPr>
              <w:pStyle w:val="TableContents"/>
              <w:bidi w:val="0"/>
              <w:spacing w:before="0" w:after="283"/>
              <w:jc w:val="left"/>
              <w:rPr>
                <w:sz w:val="4"/>
                <w:szCs w:val="4"/>
              </w:rPr>
            </w:pPr>
            <w:r>
              <w:rPr>
                <w:sz w:val="4"/>
                <w:szCs w:val="4"/>
              </w:rPr>
            </w:r>
          </w:p>
        </w:tc>
      </w:tr>
      <w:tr>
        <w:trPr/>
        <w:tc>
          <w:tcPr>
            <w:tcW w:w="7779" w:type="dxa"/>
            <w:gridSpan w:val="2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“Non-Rule 10b5-1 trading arrangement” as defined in Item 408(c) of Regulation S-K under the Exchange Act. </w:t>
            </w:r>
          </w:p>
        </w:tc>
        <w:tc>
          <w:tcPr>
            <w:tcW w:w="2426"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(a) up to 136,300 shares of common stock held by the Michael Pisetsky Separate Property Trust; (b) up to 63,743 shares of common stock subject to restricted stock unit awards (“RSUs”) previously granted to Mr. Pisetsky that may vest and be released to him on or before October 1, 2026 upon satisfaction of the applicable service-based vesting conditions, to be reduced by the shares sold to satisfy tax withholding obligations arising from the vesting of such RSUs; and (c) up to 38,942 shares of common stock subject to performance-based restricted stock unit awards (“PSUs”) previously granted to Mr. Pisetsky that may vest and be released to him on or before February 15, 2026 upon satisfaction of the applicable performance-based vesting conditions, to be reduced by the shares sold to satisfy tax withholding obligations arising from the vesting of such PSUs. The actual number of shares of common stock that may vest and be released to Mr. Pisetsky upon satisfaction of the applicable performance-based vesting conditions pursuant to the PSUs is not yet determinable. Moreover, the actual number of shares of common stock that will be sold pursuant to the Rule 10b5-1 trading arrangement is not yet determinable.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 up to 128,067 shares of common stock upon exercise of vested options held by Mr. Dunn and (b) 111,933 shares of common stock held by Jeffrey W. Dunn as Trustee of the Jeffrey W. Dunn Living Trust.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the Company’s other directors or executive officers adopted a Rule 10b5-1 trading arrangement or a non-Rule 10b5-1 trading arrangement, as defined in Item 408 of Regulation S-K under the Exchange Act during the three-month period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73"/>
        <w:gridCol w:w="241"/>
        <w:gridCol w:w="242"/>
        <w:gridCol w:w="109"/>
        <w:gridCol w:w="109"/>
        <w:gridCol w:w="109"/>
        <w:gridCol w:w="1469"/>
        <w:gridCol w:w="1372"/>
        <w:gridCol w:w="1385"/>
        <w:gridCol w:w="109"/>
        <w:gridCol w:w="109"/>
        <w:gridCol w:w="109"/>
        <w:gridCol w:w="173"/>
        <w:gridCol w:w="173"/>
        <w:gridCol w:w="174"/>
        <w:gridCol w:w="142"/>
        <w:gridCol w:w="142"/>
        <w:gridCol w:w="142"/>
        <w:gridCol w:w="349"/>
        <w:gridCol w:w="349"/>
        <w:gridCol w:w="350"/>
        <w:gridCol w:w="142"/>
        <w:gridCol w:w="142"/>
        <w:gridCol w:w="142"/>
        <w:gridCol w:w="274"/>
        <w:gridCol w:w="274"/>
        <w:gridCol w:w="278"/>
        <w:gridCol w:w="109"/>
        <w:gridCol w:w="109"/>
        <w:gridCol w:w="109"/>
        <w:gridCol w:w="289"/>
        <w:gridCol w:w="289"/>
        <w:gridCol w:w="418"/>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10/19/2018</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9/20/2023</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Amendment to Amended and Restated Certificate of Incorporation</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6/26/2024</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10/5/2018</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Reference is made to Exhibits </w:t>
            </w:r>
            <w:hyperlink r:id="rId6">
              <w:r>
                <w:rPr>
                  <w:rStyle w:val="InternetLink"/>
                  <w:rFonts w:ascii="Times New Roman;serif" w:hAnsi="Times New Roman;serif"/>
                  <w:b w:val="false"/>
                  <w:color w:val="0000FF"/>
                  <w:sz w:val="20"/>
                  <w:u w:val="single"/>
                </w:rPr>
                <w:t>3.1</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 xml:space="preserve">, and </w:t>
            </w:r>
            <w:hyperlink r:id="rId8">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Second Amended and Restated Participation Agreement dated May 5, 2025 between the Registrant and Laura Francis.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5/6/2025</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02_nonxemployeedir.htm">
              <w:r>
                <w:rPr>
                  <w:rStyle w:val="InternetLink"/>
                  <w:rFonts w:ascii="Times New Roman;serif" w:hAnsi="Times New Roman;serif"/>
                  <w:b w:val="false"/>
                  <w:color w:val="0000FF"/>
                  <w:sz w:val="20"/>
                  <w:u w:val="single"/>
                </w:rPr>
                <w:t>2025 Non-Employee Directors’ Compensation Policy</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03.pdf">
              <w:r>
                <w:rPr>
                  <w:rStyle w:val="InternetLink"/>
                  <w:rFonts w:ascii="Times New Roman;serif" w:hAnsi="Times New Roman;serif"/>
                  <w:b w:val="false"/>
                  <w:color w:val="000080"/>
                  <w:sz w:val="20"/>
                  <w:u w:val="single"/>
                </w:rPr>
                <w:t>Consulting Agreement between the Registrant and Anthony J. Recupero, effective as of February 1</w:t>
              </w:r>
            </w:hyperlink>
            <w:hyperlink w:anchor="sibn-ex103.pdf">
              <w:r>
                <w:rPr>
                  <w:rStyle w:val="InternetLink"/>
                  <w:rFonts w:ascii="Times New Roman;serif" w:hAnsi="Times New Roman;serif"/>
                  <w:b w:val="false"/>
                  <w:color w:val="000080"/>
                  <w:sz w:val="20"/>
                  <w:u w:val="single"/>
                </w:rPr>
                <w:t>6</w:t>
              </w:r>
            </w:hyperlink>
            <w:hyperlink w:anchor="sibn-ex103.pdf">
              <w:r>
                <w:rPr>
                  <w:rStyle w:val="InternetLink"/>
                  <w:rFonts w:ascii="Times New Roman;serif" w:hAnsi="Times New Roman;serif"/>
                  <w:b w:val="false"/>
                  <w:color w:val="000080"/>
                  <w:sz w:val="20"/>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04.pdf">
              <w:r>
                <w:rPr>
                  <w:rStyle w:val="InternetLink"/>
                  <w:rFonts w:ascii="Times New Roman;serif" w:hAnsi="Times New Roman;serif"/>
                  <w:b w:val="false"/>
                  <w:color w:val="000080"/>
                  <w:sz w:val="20"/>
                  <w:u w:val="single"/>
                </w:rPr>
                <w:t>Anthony J. Recupero</w:t>
              </w:r>
            </w:hyperlink>
            <w:hyperlink w:anchor="sibn-ex104.pdf">
              <w:r>
                <w:rPr>
                  <w:rStyle w:val="InternetLink"/>
                  <w:rFonts w:ascii="Times New Roman;serif" w:hAnsi="Times New Roman;serif"/>
                  <w:b w:val="false"/>
                  <w:color w:val="000080"/>
                  <w:sz w:val="20"/>
                  <w:u w:val="single"/>
                </w:rPr>
                <w:t>’</w:t>
              </w:r>
            </w:hyperlink>
            <w:hyperlink w:anchor="sibn-ex104.pdf">
              <w:r>
                <w:rPr>
                  <w:rStyle w:val="InternetLink"/>
                  <w:rFonts w:ascii="Times New Roman;serif" w:hAnsi="Times New Roman;serif"/>
                  <w:b w:val="false"/>
                  <w:color w:val="000080"/>
                  <w:sz w:val="20"/>
                  <w:u w:val="single"/>
                </w:rPr>
                <w:t>s retirement letter dated July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05_rmsmsaamendment.htm">
              <w:r>
                <w:rPr>
                  <w:rStyle w:val="InternetLink"/>
                  <w:rFonts w:ascii="Times New Roman;serif" w:hAnsi="Times New Roman;serif"/>
                  <w:b w:val="false"/>
                  <w:color w:val="0000FF"/>
                  <w:sz w:val="20"/>
                  <w:u w:val="single"/>
                </w:rPr>
                <w:t>Amendment No. 1 to Manufacture and Supply Agreement, dated August 1, 2025, between the Registrant and RMS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630202510xq.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0630202510xq.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0630202510xq.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pPr>
      <w:r>
        <w:rPr>
          <w:rFonts w:ascii="Times New Roman;serif" w:hAnsi="Times New Roman;serif"/>
          <w:b w:val="false"/>
          <w:color w:val="000000"/>
          <w:sz w:val="20"/>
        </w:rPr>
        <w:t>**   Furnished herewith.</w:t>
      </w:r>
      <w:r>
        <w:rPr>
          <w:color w:val="000000"/>
        </w:rPr>
        <w:t> </w:t>
      </w:r>
      <w:r>
        <w:rPr>
          <w:rFonts w:ascii="Times New Roman;serif" w:hAnsi="Times New Roman;serif"/>
          <w:b w:val="false"/>
          <w:color w:val="000000"/>
          <w:sz w:val="20"/>
        </w:rPr>
        <w:t>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lineRule="auto" w:line="288" w:before="0" w:after="0"/>
        <w:ind w:left="0" w:right="0" w:hanging="360"/>
        <w:jc w:val="left"/>
        <w:rPr/>
      </w:pP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Company has omitted portions of the referenced exhibit pursuant to Item 601(b) of Regulation S-K because it (a) is not material and (b) the type of information that the Registrant both customarily and actually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 in Santa Clara, California, on August 5, 2025.</w:t>
      </w:r>
    </w:p>
    <w:p>
      <w:pPr>
        <w:pStyle w:val="TextBody"/>
        <w:bidi w:val="0"/>
        <w:spacing w:lineRule="auto" w:line="288" w:before="0" w:after="0"/>
        <w:jc w:val="left"/>
        <w:rPr>
          <w:color w:val="000000"/>
        </w:rPr>
      </w:pPr>
      <w:r>
        <w:rPr>
          <w:color w:val="000000"/>
        </w:rPr>
        <w:t> </w:t>
      </w:r>
    </w:p>
    <w:tbl>
      <w:tblPr>
        <w:tblW w:w="8667"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200"/>
        <w:gridCol w:w="200"/>
        <w:gridCol w:w="200"/>
        <w:gridCol w:w="1777"/>
        <w:gridCol w:w="1777"/>
        <w:gridCol w:w="256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(Duly Authorized Officer and Principal Executive Officer</w:t>
            </w:r>
            <w:r>
              <w:rPr>
                <w:rFonts w:ascii="Times New Roman;serif" w:hAnsi="Times New Roman;serif"/>
                <w:b w:val="false"/>
                <w:color w:val="000000"/>
                <w:sz w:val="16"/>
              </w:rPr>
              <w:t xml:space="preserve">)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and Accounting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SI-BONE,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2025 Non-Employee Directors’ Compensation Policy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Approved by the Board of Directors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Adopted on June 5, 2025</w:t>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Each member of the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who is not also serving as an employee of SI-BONE,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or any of its subsidiaries (each such member, an “</w:t>
      </w:r>
      <w:r>
        <w:rPr>
          <w:rFonts w:ascii="Times New Roman;serif" w:hAnsi="Times New Roman;serif"/>
          <w:b/>
          <w:i/>
          <w:color w:val="000000"/>
          <w:sz w:val="22"/>
        </w:rPr>
        <w:t>Eligible Director</w:t>
      </w:r>
      <w:r>
        <w:rPr>
          <w:color w:val="000000"/>
        </w:rPr>
        <w:t>”</w:t>
      </w:r>
      <w:r>
        <w:rPr>
          <w:rFonts w:ascii="Times New Roman;serif" w:hAnsi="Times New Roman;serif"/>
          <w:b w:val="false"/>
          <w:color w:val="000000"/>
          <w:sz w:val="22"/>
        </w:rPr>
        <w:t>) will receive the compensation described in this Non-Employee Directors’ Compensation Policy (the “</w:t>
      </w:r>
      <w:r>
        <w:rPr>
          <w:rFonts w:ascii="Times New Roman;serif" w:hAnsi="Times New Roman;serif"/>
          <w:b/>
          <w:i/>
          <w:color w:val="000000"/>
          <w:sz w:val="22"/>
        </w:rPr>
        <w:t>Director Compensation Policy</w:t>
      </w:r>
      <w:r>
        <w:rPr>
          <w:color w:val="000000"/>
        </w:rPr>
        <w:t>”</w:t>
      </w:r>
      <w:r>
        <w:rPr>
          <w:rFonts w:ascii="Times New Roman;serif" w:hAnsi="Times New Roman;serif"/>
          <w:b w:val="false"/>
          <w:color w:val="000000"/>
          <w:sz w:val="22"/>
        </w:rPr>
        <w:t>) for his or her Board service. The Director Compensation Policy may be amended at any time in the sole discretion of the Board or the Compensation Committee of the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Annual Cash Compensation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Each Eligible Director shall receive the cash compensation described below. The annual cash compensation amount set forth below is payable in equal quarterly installments, payable in arrears on the last day of each fiscal quarter in which the service occurred. If an Eligible Director joins the Board or a committee of the Board (“</w:t>
      </w:r>
      <w:r>
        <w:rPr>
          <w:rFonts w:ascii="Times New Roman;serif" w:hAnsi="Times New Roman;serif"/>
          <w:b/>
          <w:i/>
          <w:color w:val="000000"/>
          <w:sz w:val="22"/>
        </w:rPr>
        <w:t>Committee</w:t>
      </w:r>
      <w:r>
        <w:rPr>
          <w:color w:val="000000"/>
        </w:rPr>
        <w:t>”</w:t>
      </w:r>
      <w:r>
        <w:rPr>
          <w:rFonts w:ascii="Times New Roman;serif" w:hAnsi="Times New Roman;serif"/>
          <w:b w:val="false"/>
          <w:color w:val="000000"/>
          <w:sz w:val="22"/>
        </w:rPr>
        <w:t xml:space="preserve">)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 upon payment.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w:t>
      </w:r>
      <w:r>
        <w:rPr>
          <w:color w:val="000000"/>
        </w:rPr>
        <w:t>    </w:t>
      </w:r>
      <w:r>
        <w:rPr>
          <w:rFonts w:ascii="Times New Roman;serif" w:hAnsi="Times New Roman;serif"/>
          <w:b w:val="false"/>
          <w:color w:val="000000"/>
          <w:sz w:val="22"/>
          <w:u w:val="single"/>
        </w:rPr>
        <w:t>Annual Board Service Retainer</w:t>
      </w:r>
      <w:r>
        <w:rPr>
          <w:rFonts w:ascii="Times New Roman;serif" w:hAnsi="Times New Roman;serif"/>
          <w:b w:val="false"/>
          <w:color w:val="000000"/>
          <w:sz w:val="22"/>
        </w:rPr>
        <w:t>: $45,000 payable in cash (“</w:t>
      </w:r>
      <w:r>
        <w:rPr>
          <w:rFonts w:ascii="Times New Roman;serif" w:hAnsi="Times New Roman;serif"/>
          <w:b/>
          <w:i/>
          <w:color w:val="000000"/>
          <w:sz w:val="22"/>
        </w:rPr>
        <w:t>Annual Retainer</w:t>
      </w:r>
      <w:r>
        <w:rPr>
          <w:color w:val="000000"/>
        </w:rPr>
        <w:t>”</w:t>
      </w:r>
      <w:r>
        <w:rPr>
          <w:rFonts w:ascii="Times New Roman;serif" w:hAnsi="Times New Roman;serif"/>
          <w:b w:val="false"/>
          <w:color w:val="000000"/>
          <w:sz w:val="22"/>
        </w:rPr>
        <w:t xml:space="preserve">)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Annual Committee Member / Chair Service Retainer</w:t>
      </w:r>
      <w:r>
        <w:rPr>
          <w:rFonts w:ascii="Times New Roman;serif" w:hAnsi="Times New Roman;serif"/>
          <w:b w:val="false"/>
          <w:color w:val="000000"/>
          <w:sz w:val="22"/>
        </w:rPr>
        <w: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Member / Chairperson of the Audit Committee: $10,000 / $20,000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Member / Chairperson of the Compensation Committee: $7,500 / $15,000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Member / Chairperson of the N&amp;CG Committee: $5,000 / $10,000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Chair of the Board: $45,000</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Annual Lead Independent Director Service Retainer</w:t>
      </w:r>
      <w:r>
        <w:rPr>
          <w:rFonts w:ascii="Times New Roman;serif" w:hAnsi="Times New Roman;serif"/>
          <w:b w:val="false"/>
          <w:color w:val="000000"/>
          <w:sz w:val="22"/>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Lead Independent Director: $5,000</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Equity Compensation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The equity compensation set forth below will be granted under the SI-BONE, Inc. 2018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and will be documented on the applicable form of equity award agreement most recently approved for use by the Board (or a duly authorized committee thereof) for Eligible Directors. Any stock options granted under the Director Compensation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 Any RSU grant provided for by this Director Compensation Policy that vests quarterly shall have quarterly vesting dates of March 15, June 15, September 15 and December 15 (the “</w:t>
      </w:r>
      <w:r>
        <w:rPr>
          <w:rFonts w:ascii="Times New Roman;serif" w:hAnsi="Times New Roman;serif"/>
          <w:b/>
          <w:i/>
          <w:color w:val="000000"/>
          <w:sz w:val="22"/>
        </w:rPr>
        <w:t>Quarterly Vesting Dates</w:t>
      </w:r>
      <w:r>
        <w:rPr>
          <w:color w:val="000000"/>
        </w:rPr>
        <w:t>”</w:t>
      </w:r>
      <w:r>
        <w:rPr>
          <w:rFonts w:ascii="Times New Roman;serif" w:hAnsi="Times New Roman;serif"/>
          <w:b w:val="false"/>
          <w:color w:val="000000"/>
          <w:sz w:val="22"/>
        </w:rPr>
        <w:t>), and any RSU Grant that vests annually shall vest on the earlier to occur of the one-year anniversary of the date of grant or the Company’s next Annual General Meeting of its stockholders.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Initial Share Grant</w:t>
      </w:r>
      <w:r>
        <w:rPr>
          <w:rFonts w:ascii="Times New Roman;serif" w:hAnsi="Times New Roman;serif"/>
          <w:b w:val="false"/>
          <w:color w:val="000000"/>
          <w:sz w:val="22"/>
        </w:rPr>
        <w:t>: Upon first election to the Board, each Eligible Director will be granted, upon approval by the Board or Compensation Committee of the Board, restricted stock units having a value of $300,000 based on the 30-day trailing average of the Company’s closing stock price (the “</w:t>
      </w:r>
      <w:r>
        <w:rPr>
          <w:rFonts w:ascii="Times New Roman;serif" w:hAnsi="Times New Roman;serif"/>
          <w:b/>
          <w:i/>
          <w:color w:val="000000"/>
          <w:sz w:val="22"/>
        </w:rPr>
        <w:t>Initial RSU Grant</w:t>
      </w:r>
      <w:r>
        <w:rPr>
          <w:color w:val="000000"/>
        </w:rPr>
        <w:t>”</w:t>
      </w:r>
      <w:r>
        <w:rPr>
          <w:rFonts w:ascii="Times New Roman;serif" w:hAnsi="Times New Roman;serif"/>
          <w:b w:val="false"/>
          <w:color w:val="000000"/>
          <w:sz w:val="22"/>
        </w:rPr>
        <w:t>). The Initial RSU Grant will vest quarterly over three years beginning on the Quarterly Vesting Date that follows the date of grant, such that the Initial RSU Grant will be fully vested on the next Quarterly Vesting Date that follows the third anniversary of the Eligible Director’s first election to the Board, subject to the Eligible Director’s Continuous Service on each applicable vesting date. In addition, in the event of a Change in Control or a Corporate Transaction, any unvested portion of the Initial RSU Grant will fully vest and become exercisable as of immediately prior to the effective time of such Change in Control or Corporate Transaction, subject to the Eligible Director’s Continuous Service on the effective date of such transaction.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w:t>
      </w:r>
      <w:r>
        <w:rPr>
          <w:color w:val="000000"/>
        </w:rPr>
        <w:t>    </w:t>
      </w:r>
      <w:r>
        <w:rPr>
          <w:rFonts w:ascii="Times New Roman;serif" w:hAnsi="Times New Roman;serif"/>
          <w:b w:val="false"/>
          <w:color w:val="000000"/>
          <w:sz w:val="22"/>
          <w:u w:val="single"/>
        </w:rPr>
        <w:t>Additional RSU Grants</w:t>
      </w:r>
      <w:r>
        <w:rPr>
          <w:rFonts w:ascii="Times New Roman;serif" w:hAnsi="Times New Roman;serif"/>
          <w:b w:val="false"/>
          <w:color w:val="000000"/>
          <w:sz w:val="22"/>
        </w:rPr>
        <w:t>: The Compensation Committee may review and approve additional equity grants to Eligible Directors on the date of each subsequent annual meeting. At the first Board meeting held following the Company’s annual stockholder meeting, each incumbent Eligible Director shall receive an annual RSU grant having an approximate value of $150,000 based on the 30-day trailing average of the Company’s closing stock price, which will vest approximately one year from the grant date (the “</w:t>
      </w:r>
      <w:r>
        <w:rPr>
          <w:rFonts w:ascii="Times New Roman;serif" w:hAnsi="Times New Roman;serif"/>
          <w:b/>
          <w:i/>
          <w:color w:val="000000"/>
          <w:sz w:val="22"/>
        </w:rPr>
        <w:t>Additional Annual RSU Grant</w:t>
      </w:r>
      <w:r>
        <w:rPr>
          <w:color w:val="000000"/>
        </w:rPr>
        <w:t>”</w:t>
      </w:r>
      <w:r>
        <w:rPr>
          <w:rFonts w:ascii="Times New Roman;serif" w:hAnsi="Times New Roman;serif"/>
          <w:b w:val="false"/>
          <w:color w:val="000000"/>
          <w:sz w:val="22"/>
        </w:rPr>
        <w:t>), subject to the Eligible Director’s Continuous Service on each applicable vesting date. In addition, in the event of a Change in Control or a Corporate Transaction, any unvested portion of the Additional Annual RSU Grant will fully vest and become exercisable as of immediately prior to the effective time of such Change in Control or Corporate Transaction, subject to the Eligible Director’s Continuous Service on the effective date of such transaction. With respect to any person who first becomes an Eligible Director after the annual stockholder meeting of the preceding year, the Additional Annual RSU Grant shall be prorated based on the portion of the 12-month period prior to the annual stockholder meeting that such person served as an Eligible Director. By way of example, if an Eligible Director joins the Board on March 15 and the annual stockholder meeting is held June 15, s/he would receive an Additional Annual RSU Grant having an approximate value of $30,000 based on the 30-day trailing average of the Company’s closing stock price.</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Annual Pay Limit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aggregate value of all compensation granted or paid, as applicable, to any individual for service as an Eligible Director with respect to any calendar year, including equity compensation awards granted and cash fees paid by the Company to such Eligible Director, will not exceed (i) $750,000 in total value or (ii) in the event such Eligible Director is first appointed or elected to the Board during such calendar year, $1,000,000 in total value, in each case calculating the value of any equity awards based on the grant date fair value of such equity awards for financial reporting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Philosophy </w:t>
      </w:r>
    </w:p>
    <w:p>
      <w:pPr>
        <w:pStyle w:val="TextBody"/>
        <w:bidi w:val="0"/>
        <w:spacing w:lineRule="auto" w:line="288" w:before="198" w:after="283"/>
        <w:jc w:val="both"/>
        <w:rPr>
          <w:color w:val="000000"/>
        </w:rPr>
      </w:pPr>
      <w:r>
        <w:rPr>
          <w:color w:val="000000"/>
        </w:rPr>
        <w:t>    </w:t>
      </w:r>
      <w:r>
        <w:rPr>
          <w:rFonts w:ascii="Times New Roman;serif" w:hAnsi="Times New Roman;serif"/>
          <w:b w:val="false"/>
          <w:color w:val="000000"/>
          <w:sz w:val="22"/>
        </w:rPr>
        <w:t xml:space="preserve">The Director Compensation Policy is designed to attract and retain experienced, talented individuals to serve on the Board. The Board anticipates that the Board, or a duly authorized committee thereof, will generally review Eligible Director compensation on an annual basis on or about the date of the Company’s Annual General Meeting of its stockholders. The Director Compensation Policy, as amended from time to time, may take into account the time commitment expected of Eligible Directors, best practices and market rates in director compensation, the economic position of the Company, broader economic conditions, historical compensation structure, the advice of the compensation consultant that the Compensation Committee or the Board may retain from time to time, and the potential dilutive effect of equity awards on our stockholders.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198" w:after="283"/>
        <w:jc w:val="both"/>
        <w:rPr>
          <w:color w:val="000000"/>
        </w:rPr>
      </w:pPr>
      <w:r>
        <w:rPr>
          <w:color w:val="000000"/>
        </w:rPr>
        <w:t>    </w:t>
      </w:r>
      <w:r>
        <w:rPr>
          <w:rFonts w:ascii="Times New Roman;serif" w:hAnsi="Times New Roman;serif"/>
          <w:b w:val="false"/>
          <w:color w:val="000000"/>
          <w:sz w:val="22"/>
        </w:rPr>
        <w:t>Under the Director Compensation Policy, Eligible Directors receive cash compensation in the form of retainers to recognize their level of responsibility as well as the necessary time commitment involved in serving in a leadership role and/or on Committees. Eligible Directors also receive equity compensation because we believe that stock ownership provides an incentive to act in ways that maximize long-term stockholder value. Further, we believe that stock-based awards are essential to attracting and retaining talented Board 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remains exercisable. We believe that the vesting acceleration provided in the case of a Change in Control or other Corporate Transaction is consistent with market practices and is critical to attracting and retaining high quality directors.</w:t>
      </w:r>
    </w:p>
    <w:p>
      <w:pPr>
        <w:pStyle w:val="TextBody"/>
        <w:bidi w:val="0"/>
        <w:spacing w:before="0" w:after="0"/>
        <w:jc w:val="center"/>
        <w:rPr/>
      </w:pPr>
      <w:bookmarkStart w:id="0" w:name="sibn-ex103.htm"/>
      <w:bookmarkStart w:id="1" w:name="kssibnex103"/>
      <w:bookmarkEnd w:id="0"/>
      <w:bookmarkEnd w:id="1"/>
      <w:r>
        <w:rPr/>
        <w:drawing>
          <wp:inline distT="0" distB="0" distL="0" distR="0">
            <wp:extent cx="10048875" cy="13001625"/>
            <wp:effectExtent l="0" t="0" r="0" b="0"/>
            <wp:docPr id="4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jc w:val="center"/>
        <w:rPr>
          <w:color w:val="FFFFFF"/>
          <w:sz w:val="2"/>
        </w:rPr>
      </w:pPr>
      <w:r>
        <w:rPr>
          <w:color w:val="FFFFFF"/>
          <w:sz w:val="2"/>
        </w:rPr>
        <w:t xml:space="preserve">1. CONSULTING AGREEMENT THIS CONSULTING AGREEMENT (the “Agreement”) by and between SI-BONE, Inc. (“Client”) and Anthony J. Recupero, an individual (“Consultant”) (Client and Consultant together, the “Parties”) is effective as of February 16, 2026 (the “Effective Date”). 1. Engagement of Services. Consultant agrees to provide the following consulting services and other services upon request of the Client (the “Services”). • Advise on the continued commercialization of the Company’s existing and planned future products; • Advise on the Company’s strategies regarding management of its Sales organization; • Provide positive encouragement and motivation of the Company’s Sales leadership and Sales organization in a manner consistent with the Company’s management team’s objectives; • Engage with targeted individual surgeons identified by the Company with which Consultant can aid in the Company’s sales efforts; and • Provide such other services that the Company and Consultant mutually agree shall further the Company’s business and the intent of this Agreement. Consultant agrees to exercise the highest degree of professionalism and utilize their expertise and creative talents in performing these Services. 2. Compensation. Consultant shall be paid a monthly retainer amount of $12,500 commencing on the date one month following the Effective Date, with the final payment to be made on or promptly following the conclusion of Consultant’s Services hereunder. The Parties acknowledge that Consultant was previously an employee of Client and in such capacity was granted various equity awards under the Company’s equity incentive plans in respect of the common stock of the Company. The continued vesting of such equity awards will be considered additional consideration provided to Consultant for the Services. It is acknowledged and agreed there shall be no break in service between the cessation of Consultant’s services as an employee of the Client and the commencement of Consultant’s services as a consultant such that Consultant’s Company equity awards will continue to vest pursuant to their terms during the term of this Agreement. The treatment of any outstanding equity awards shall be determined in accordance with the terms of the Stock option plans. Notwithstanding the foregoing, if, upon the closing of a Change in Control (as defined in Client’s 2018 Equity Incentive Plan, or “Equity Plan”) or following the closing of a Change in Control and prior to the expiration of this Agreement, Consultant’s services are terminated by the Company without Cause (as defined below) or by Consultant for Good Reason (as defined below), then, subject to Consultant’s execution of a general release of claims in favor of and in a form provided by Client, all of Consultant’s outstanding Stock Awards (as defined in the Equity Plan), shall vest and become exercisable effective as of the date of termination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3. Expenses and Liabilities. Consultant agrees that as an independent contractor, Consultant is solely responsible for all incidental expenses (and profits/losses) Consultant incurs in connection with the performance of the Services. Consultant understands that Consultant will not be reimbursed for any supplies, equipment, or operating costs, nor will these costs of doing business be defrayed in any way by the Client. In addition, the Client does not guarantee to Consultant that fees derived from Consultant’s business will exceed Consultant’s costs. Notwithstanding the foregoing, Client agrees to reimburse Consultant for any reasonable, documented, out-of-pocket costs and expenses, including costs of travel outside of the Bay Area and business meals incurred in connection with Company business, provided such activities relate directly to activities requested by Client. 4. Term and Termination. The term of this Agreement and the “Consulting Period” is from the Effective Date until the date one year following the Effective Date (the “Scheduled End Date”), unless earlier terminated as provided in this Agreement. During the Consulting Period, the Consultant’s Services hereunder may be terminated prior to the Scheduled End Date by Client or by Consultant only as provided in this Section 4 (an “Early Termination”). Upon an Early Termination, the Consultant shall be entitled to the compensation and benefits described in this Section 4 and shall have no further rights to any compensation or any other benefits from the Client or any of its affiliates. 4.1 Termination Initiated by Client. Client may terminate the Consultant at any time during the Consulting Period without Cause (as defined below). Should Client terminate the Consultant during the Consulting Period without Cause, or if Consultant should die or become physically or mentally incapacitated and therefore unable to perform the Services hereunder, then, subject to Consultant’s (or, in the event of Consultant’s death or physical or mental incapacity, Consultant’s estate’s or executor’s) execution of a general release of claims in favor of and in a form provided by Client, Consultant shall be due the monthly retainer amounts through the Scheduled End Date and the Client will accelerate any then-unvested equity awards held by Consultant that would otherwise vest solely with respect to time such that Consultant would be vested in such equity awards as if Consultant had remained engaged with Client as a Consultant through the Scheduled End Date. (a) Client may terminate the Consultant’s Services at any time during the Consulting Period with Cause as set forth herein with a Notice for Cause. For purposes of this Agreement, "Notice for Cause" means the giving of written notice by the Client of the termination of this Agreement upon the discharge of Consultant for Cause, as determined by Client’s Board of Directors acting in good faith, based upon facts reasonably believed it to be true, and not for any arbitrary, capricious, or illegal reason. This shall be the standard applied by any fact finder adjudicating any dispute as to “Cause” for termination of the Consulting Period by Client. The following are an exclusive list of conduct by the Consultant that is deemed "Cause" for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 the Consultant's breach of this Agreement or material failure to perform his duties under this Agreement (other than any such failure resulting from incapacity due to physical or mental illness) after a written demand for substantial performance is delivered to the Consultant by the Client, which demand specifically identifies the manner in which the Client believes that the Consultant has not substantially performed the Consultant's duties, which failure or refusal is not remedied by the Consultant within thirty (30) days after the written notice from the Client; (ii) the Consultant's engagement in dishonesty, illegal conduct, or misconduct, which is, in each case, injurious to the Client or its affiliates; (iii) the Consultant's embezzlement, misappropriation, or fraud, whether or not related to the Consultant's Services with the Client; (iv) the Consultant's conviction of or plea of guilty or nolo contendere to a crime that constitutes a felony at federal or state law, or a crime that constitutes a misdemeanor involving moral turpitude, if such felony or other crime is work-related, impairs the Consultant's ability to perform services for the Client, or results in material, reputational or financial harm to the Client or its affiliates. 4.2 Termination Initiated by Consultant. Consultant may terminate the Consulting Period at any time, with or without Good Reason, as defined below. (a) Should Consultant terminate the Consulting Period without Good Reason, Consultant shall be entitled to receive the accrued sums due hereunder through the date of such termination and no further compensation accruing after the termination. (b) Consultant may terminate the Consulting Period with Good Reason at any time such condition may exist. For purposes of this Agreement, "Good Reason" shall mean the occurrence of any material breach by the Client of any material provision of this Agreement (which shall include an acquiror’s failure to assume the terms of this Agreement) or any material provision of any other agreement between the Consultant and the Client during the Services Term without the Consultant's written consent. In order to resign for Good Reason, Consultant must within 30 days after the first occurrence of the event giving rise to Good Reason provide written notice to the Client (including any Client acquiror) setting forth the basis for Consultant’s resignation, allow Client at least 30 days from receipt of such written notice to cure such event, and if such event is not reasonably cured within such period, Consultant must terminate this Agreement not later than 30 days after the expiration of the cure period. Should Consultant terminate Consultant’s Services at any time during the Consulting Period for Good Reason, then, subject to Consultant’s execution of a general release of claims in favor of and in a form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by Client, Consultant shall be due the monthly retainer amounts through the end of the Consulting Period and the Client will accelerate any then-unvested equity awards held by Consultant that vest solely with respect to time such that Consultant would be vested in such equity awards as if Consultant has remained engaged with Client as a Consultant through the Scheduled End Date. 4.3 Consultant’s Obligations Upon Termination. Upon any termination or expiration of this Agreement, Consultant (i) shall immediately discontinue all use of Client’s Confidential Information delivered under this Agreement; (ii) shall delete any such Client Confidential Information from Consultant’s computer storage or any other media; and (iii) shall return to Client, or, at Client’s option, destroy, all copies of such Confidential Information then in Consultant’s possession. 5. Non-Exclusivity. The Client reserves the right to engage other consultants to perform services, without giving Consultant a right of first refusal or any other exclusive rights. Consultant reserves the right to perform services for other persons, provided that the performance of such services are not materially incompatible with services provided pursuant to or obligations under this Agreement, and provided further that the other person(s) for whom the Consultant would perform services does not, and does not have plans to, compete against the business of the Company as it is actually conducted and as it is planned to be conducted in the future (the “Company Field”), which includes any business entity commercializing medical devices in the sacropelvic solutions and/or spinopelvic care segments. Consultant agrees to indemnify Client from any and all loss or liability incurred by reason of the alleged breach by Consultant of any services agreement with any third party. 6. Consultant’s Responsibilities. As an independent contractor, the mode, manner, method and means used by Consultant in the performance of Services shall be of Consultant’s selection and under the sole control and direction of Consultant. Consultant shall be responsible for all risks incurred in the operation of Consultant’s business and shall enjoy all the benefits thereof. Consultant agrees and understands that the Services being provided by Consultant are personal and unique and Consultant agrees that and understands that Consultant is not permitted to subcontract or delegate performance of the Services. Consultant shall reasonably provide the Services. Consultant has no specific hourly responsibilities to Client. 7. Independent Contractor Relationship. Consultant is an independent contractor and not an employee of the Client. Nothing in this Agreement is intended to, or should be construed to, create a partnership, agency, joint venture or employment relationship. In completing the consulting services, Consultant agrees to provide their own equipment, tools and other materials at their own expense. Consultant is not authorized to make any representation, contract, or commitment on behalf of Client or incur any liabilities or obligations of any kind in the name of or on behalf of the Client. Consultant agrees: (a) to proceed with diligence and promptness and hereby warrants that such services shall be performed in accordance with the highest professional standards in the field to the satisfaction of the Client; and (b) to comply, at Consultant’s own expense, with the provisions of all state, local, and federal laws, regulations, ordinances, requirements and codes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are applicable to the performance of the Services hereunder. Consultant and the Client agree that the Client will treat Consultant as an independent contractor for purposes of all tax laws (local, state and federal) and file forms consistent with that status. Consultant acknowledges and agrees that neither Consultant nor anyone acting on Consultant’s behalf shall receive any employee benefits of any kind from the Client. Consultant shall hold harmless the Client and its affiliates, officers, directors, agents, owners, and employees, for any claims brought or liabilities imposed against the Client by Consultant, including claims related to worker’s compensation, wage and hour laws, employment taxes, and benefits, arising from or in any way related to any acts or omissions of Consultant and/or Consultant’s agents in performing the Services. This undertaking shall apply to any restitution or damage award sought, including any and all losses and damages, including costs and attorneys’ fees. 8. Ownership of Work Product. The parties acknowledge and agree that Consultant may provide services to third parties, subject to the limitations set forth in Section 5 above, and as such may develop Work Product for Client and third persons (the “Work Product”), including all copyrights, trademarks and other intellectual property rights (including but not limited to patent rights) relating thereto. Work Product developed by Consultant for third parties, Work Product developed by Consultant prior to June 20, 2016, as well as skills and knowledge general for the trade remain Work Product of the Consultant. Work Product developed in the course of Consultant’s employment by the Company between June 20, 2016 and the date hereof shall continue to be governed by Consultant’s Employee Proprietary Information and Inventions Assignment Agreement entered into in connection with Consultant’s prior employment by Client. Consultant agrees that any and all Work Product of Client shall be and remain the property of Client and Consultant hereby irrevocably assigns, grants and conveys to Client all right, title and interest now existing or that may exist in the future in and to any Work Product developed by Consultant for or at the request of Client, pursuant to this Agreement and/or with reference to or in reliance upon Client’s Confidential Information (the “Client Work Product”). Consultant agrees to execute, at Client’s request and expense, all documents and other instruments necessary or desirable to confirm such assignment. In the event that Consultant does not, for any reason, execute such documents within a reasonable time of Client’s request, Consultant hereby irrevocably appoints Client as Consultant’s attorney-in-fact for the purpose of executing such documents on Consultant’s behalf, which appointment is coupled with an interest. Consultant retains no rights in the Client Work Product and agrees not to challenge Client’s ownership of the rights embodied in the Client Work Product. Consultant further agrees to assist Client in every proper way to enforce Client’s rights relating to the Client Work Product in any and all countries, including, but not limited to, executing, verifying and delivering such documents and performing such other acts (including appearing as a witness) as Client may reasonably request for use in obtaining, perfecting, evidencing, sustaining and enforcing Client’s rights relating to the Client Work Product. If Consultant has any rights, including without limitation “artist’s rights” or “moral rights,” in the Client Work Product which cannot be assigned (the “Non-Assignable Rights”), Consultant agrees to waive enforcement worldwide of such rights against Client. In the event that Consultant has any such rights that cannot be assigned or waived Consultant hereby grants to Client a royalty-free, paid-up, exclusive, worldwide, irrevocable, perpetual license under the Non-Assignable Rights to (i) use, make, sell, offer to sell, have made, and further sublicense the Client Work Product, and (ii) reproduce,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6"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distribute, create derivative works of, publicly perform and publicly display the Client Work Product in any medium or format, whether now known or later developed. Client agrees that any Work Product developed by Consultant for third party(s), which is not developed using Client’s resources or with any reference to or use of Client’s Confidential Information (as defined below), may be assigned by Consultant to such third-party, provided such third- party is not in competition with the business of Client. 9. Conflicts of Interest. 9.1 No Conflicts of Interest. During the term of this Agreement, unless written permission is given by the Client, Consultant will not accept work, enter into a contract, or provide services to any third party that provides products or services which compete in the Company Field nor may Consultant enter into any agreement or perform any services which would be materially incompatible with the Services provided pursuant to or the obligations under this Agreement. Consultant warrants that there is no other contract or duty on Consultant’s part that prevents or impedes Consultant’s performance under this Agreement. 9.2 Non-Interference. During the term of this Agreement, Consultant agrees not to interfere with the business of Client by (i) soliciting or attempting to solicit any employee or consultant of Client to terminate such employee’s or consultant’s employment or service in order to become an employee, consultant or independent contractor to or for any other person or entity or (ii) soliciting or attempting to solicit any vendor, supplier, investor, financier, or other person or entity either directly or indirectly engaged in a business relationship with Client, to diminish, cease, or otherwise adversely change such business relationship, or otherwise direct his, her or its business or services to any person, firm, corporation, institution or other entity in competition with the business of Client. Following the expiration or termination of the Consulting Period, Consultant agrees not to misuse any trade secret or other Confidential Information of Client acquired by Consultant pursuant to this Agreement or in connection with Consultant’s prior employment by Client to interfere with the business of Client by soliciting or attempting to solicit any employee or consultant of Client to terminate such employee’s or consultant’s employment or service in order to become an employee, consultant or independent contractor to or for any other person or entity. 10. Non-Disparagement. Consultant agrees not to disparage the Client, its business strategies and decisions, or its officers, directors, employees, shareholders, parents, subsidiaries, affiliates, and agents, in any manner likely to be harmful to its or their business, business reputation, or personal reputation or in any way distracting to Client’s employees or otherwise disruptive to the Client’s business; provided that Consultant may respond accurately and fully to any request for information if required by legal process or in connection with a government investigation. In addition, nothing in this provision or this Agreement prohibits or restrains Consultant from making disclosures protected under the whistleblower provisions of federal or state law or from discussing or disclosing information about unlawful acts in the workplace, such as harassment or discrimination or any other conduct that Consultant has reason to believe is unlawful. Consultant acknowledges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7"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agrees that any breach of this Section 10 (Non-Disparagement) is a material breach of this Agreement and shall give rise to Cause for its termination. Further, nothing in this provision or this Agreement limits Consultant’s ability to communicate with any federal, state or local governmental agency or commission or otherwise participate in any investigation or proceeding that may be conducted by such government agency, including providing documents or other information, without notice to the Client. 11. Confidential Information. 11.1 No Misuse or Unauthorized Disclosure. Consultant agrees to hold Client’s Confidential Information (as defined below) in strict confidence and not to disclose such Confidential Information to any third parties. Consultant also agrees not to use any of Client’s Confidential Information for any purpose other than performance of Consultant’s Services hereunder. 11.2 Definition. As used in this Agreement, “Confidential Information” shall mean all information that derives independent economic value, actual or potential, from not being generally known to the public or to other persons who can obtain economic value from its disclosure or use. Confidential Information also includes proprietary or confidential information of any third party who may disclose such information to Client or Consultant in the course of Client’s business that derives independent economic value, actual or potential, from not being generally known to the public or to other persons who can obtain economic value from its dis-closure or use, disclosed by Client to Consultant, or otherwise, regarding Client, Client’s business, as well as Client’s subsidiaries, affiliates, and their respective business, obtained by Consultant pursuant to Services provided under this Agreement that is not generally known in the Client’s trade or industry and shall include, without limitation, (a) concepts and ideas relating to the development and distribution of content in any medium or to the current, future and proposed business activities of Client or its subsidiaries and affiliates; (b) trade secrets, drawings, inventions, know-how, software programs, intellectual property rights, and software source documents; (c) information regarding plans for research, development, investments, dispositions, acquisitions, marketing and selling, business plans, business forecasts, budgets and unpublished financial statements, licenses and distribution arrangements, prices and costs, suppliers and customers; (d) any information regarding the skills and compensation of employees, contractors or other agents of the Client or its subsidiaries and affiliates; and (f) any other non-public information that a competitor of Company could use to Company’s competitive disadvantage or the competitive disadvantage of any of Client’s subsidiaries and affiliates. 11.3 Exceptions to Consultant’s Obligations. Consultant’s obligations set forth in this Section 11 shall not apply with respect to any portion of the Confidential Information that (i) is in the public domain through no fault of Consultant; (ii) has been rightfully independently communicated to Consultant free of any obligation of confidence; or (iii) was developed by Consultant independently of and without reference to any information communicated to Consultant by Client. In addition, Consultant may disclose Client’s Confidential Information in response to a valid order by a court or other governmental body, as otherwise required by law. All Confidential Information furnished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8"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Consultant by Client is the sole and exclusive property of Client or, as applicable, such subsidiary, affiliate, supplier, or customer. Upon request by Client, Consultant agrees to promptly deliver to Client the original and any copies of such Confidential Information. Notwithstanding Consultant’s obligations not to disclose such information, pursuant to 18 U.S.C. Section 1833(b), Consultant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12. Indemnity. Client hereby reaffirms its obligations to Consultant under the Indemnity Agreement dated October 19, 2018 by and between Client and Consultant, a copy of which is attached hereto as Attachment 1 (the “Indemnity Agreement”). Client and Consultant hereby agree that for purposes of interpreting the Indemnity Agreement, (i) Consultant shall be an “Agent” of the Company (as defined therein) during the Consulting Period, (ii) Consultant shall be afforded the rights to indemnification, advancement of expenses and such other rights as set forth in the Indemnity Agreement, (iii) as between Client and Consultant, the Indemnity Agreement shall continue to govern with respect to its subject matter during the Consulting Period and for the period thereafter specified by the Indemnity Agreement. 13. Injunctive Relief for Breach. Consultant’s obligations under this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any monetary relief. 14. Arbitration of All Disputes. 14.1 Agreement to Arbitrate. To aid in the rapid and economical resolution of disputes that may arise between Consultant and Client, both Consultant and Client mutually agree that pursuant to the Federal Arbitration Act, 9 U.S.C. §1-16, and to the fullest extent permitted by applicable law, they will submit solely to final, binding and confidential arbitration any and all disputes, claims, or causes of action, in law or equity, including but not limited to statutory claims arising from or relating to: (i) the negotiation, execution, interpretation, performance, breach or enforcement of this Agreement; or (ii) the relationship between Client and Consultant; or (iii) the termination of that relationship; provided, however, that this Section 14 shall not be mandatory for any claim or cause of action to the extent applicable law prohibits subjecting such claim or cause of action to mandatory arbitration and such applicable law is not preempted by the Federal Arbitration Act or otherwise invalid (each such claim an “Excluded Claim”), such as non-individual claims that cannot be waived under applicable law, or claims or causes of action alleging sexual harassment or a nonconsensual sexual act or sexual contact. In the event either party intends to bring multiple claims, including one of the Excluded Claims listed above,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9"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Excluded Claims may be filed with a court, while any other claims will remain subject to mandatory arbitration. Consultant acknowledges and agrees that proceedings of any non- individual claim(s) under the California Private Attorneys General Act (“PAGA”) that may be brought in court shall be stayed for the duration and pending a final resolution of the arbitration of any individual or individual PAGA claim. The Federal Arbitration Act, 9 U.S.C. § 1 et seq., will, to the fullest extent permitted by law, govern the interpretation and enforcement of this arbitration agreement and any arbitration proceedings. BY AGREEING TO THIS ARBITRATION PROCEDURE, BOTH CONSULTANT AND CLIENT WAIVE THE RIGHT TO RESOLVE ANY SUCH DISPUTES THROUGH A TRIAL BY JURY OR JUDGE OR THROUGH AN ADMINISTRATIVE PROCEEDING. 14.2 Arbitrator Authority.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14.3 Individual Capacity Only. With the exception of Excluded Claims arising out of 9 U.S.C. § 401 et seq., all claims, disputes, or causes of action under this Section 14, whether by Consultant or Client, must be brought solely in an individual capacity, and shall not be brought as a plaintiff (or claimant) or class member in any purported class or representative proceeding, nor joined or consolidated with the claims of any other person or entity. Consultant acknowledges that by agreeing to this arbitration procedure, both Consultant and Client waive all rights to have any dispute be brought, heard, administered, resolved, or arbitrated on a class, representative, or collective action basis. Nothing herein prevents Consultant from filing and pursuing proceedings before a federal or state governmental agency, although if Consultant chooses to pursue a claim following the exhaustion of any applicable administrative remedies, that claim would be subject to this provision. The arbitrator may not consolidate the claims of more than one person or entity, and may not preside over any form of representative or class proceeding. To the extent that the preceding sentences in this Section 14.3 are found to violate applicable law or are otherwise found unenforceable, any claim(s) alleged or brought on behalf of a class shall proceed in a court of law rather than by arbitration. 14.4 Arbitration Process. Any arbitration proceeding under this Section 14 shall be presided over by a single arbitrator and conducted by JAMS, Inc. (“JAMS”) in Sam Francisco, CA under the then applicable JAMS streamlined rules for the resolution of disputes (available upon request and also currently available at http://www.jamsadr.com/rules-streamlined-arbitration/). Consultant and Client both have the right to be represented by legal counsel at any arbitration proceeding, at each party’s own expense. The arbitrator shall: (i) have the authority to compel adequate discovery for the resolution of the dispute; (ii) issue a written arbitration decision, to include the arbitrator’s essential findings and conclusions and a statement of the award; and (iii) be authorized to award any or all remedies that Consultant or Client would be entitled to seek in a court of law. Client shall pay all arbitration administrative fees in excess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0"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administrative fees that Consultant would be required to pay if the dispute were decided in a court of law. 14.5 Injunctive Relief and Final Orders. Nothing in this Section 14 is intended to prevent either Consultant or Client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 15. Miscellaneous. This Agreement constitutes the entire understanding of the parties relating to the subject matter and supersedes any previous oral or written communications, representations, understanding, or agreement between the parties concerning such subject matter. Sections 7, 8, 9, 10, 11, 12, 13, 14 and 15 will survive any termination or expiration of this Agreement. The Parties acknowledge and agree that each is not relying on any representations concerning the matters embraced herein other than the terms set forth in this letter. This Agreement shall not be changed, modified, supplemented or amended except by express written agreement signed by Consultant and the Client. This Agreement shall be governed in all respects by the laws of the State of California, as such laws are applied to agreements entered into and to be performed entirely within California between California residents. Consultant may not assign, subcontract, or otherwise delegate Consultant’s obligations under this Agreement without Client’s prior written consent but may assign monetary benefits. Client may assign this Agreement and this Agreement will be for the benefit of Client’s successors and assigns. Any notice required or permitted by this Agreement shall be in writing and shall be delivered as follows with notice deemed given as indicated: (i) by overnight courier upon written verification of receipt; or (ii) by telecopy or facsimile transmission upon acknowledgment of receipt of electronic transmission. Notice shall be sent to the addresses set forth below or such other address as either party may specify in writing. The waiver by the Client of a breach of any provision of this Agreement by Consultant shall not operate or be construed as a waiver of any other or subsequent breach by Consultant. Should any provisions of this Agreement be held by a court of law to be illegal, invalid or unenforceable, the legality, validity and enforceability of the remaining provisions of this Agreement shall not be affected or impaired thereby.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1"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executed this Agreement effective as of the date first written above. “CLIENT” “CONSULTANT” SI-BONE, INC. ANTHONY J. RECUPERO By: /s/ Laura A. Francis /s/ Anthony J. Recupero Name (print): Laura A. Francis Name (print): Anthony J. Recupero Title: Chief Executive Officer Address: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2"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1 INDEMNITY AGREEMENT DATED OCTOBER 19, 2018 BETWEEN CLIENT AND CONSULTANT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3"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INDEMNITY AGREEMENT THIS INDEMNITY AGREEMENT (this “Agreement”) dated as of October 19, 2018, is made by and between SI-BONE, INC., a Delaware corporation (the “Company”), and ANTHONY RECUPERO (“Indemnitee”). RECITALS A. The Company desires to attract and retain the services of highly qualified individuals as directors, officers, employees and agents. B. The Company’s amended and restated bylaws (the “Bylaws”) require that the Company indemnify its directors and officers, and empowers the Company to indemnify its employees and agents, as authorized by the Delaware General Corporation Law, as amended (the “Code”),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 C. Indemnitee does not regard the protection currently provided by applicable law, the Bylaws, the Company’s other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 D. The Company desires and has requested Indemnitee to serve or continue to serve as a director, officer, employee or agent of the Company, as the case may be, and has proffered this Agreement to Indemnitee as an additional inducement to serve in such capacity. E. Indemnitee is willing to serve, or to continue to serve, as a director, officer, employee or agent of the Company, as the case may be, if Indemnitee is furnished the indemnity provided for herein by the Company. AGREEMENT NOW THEREFORE, in consideration of the mutual covenants and agreements set forth herein, the parties hereto, intending to be legally bound, hereby agree as follows: 1. Definitions. (a) Agent. For purposes of this Agreement, the term “Agent” of the Company means any person who: (i) is or was a director, officer, 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4"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Change in Control. For purposes of this Agreement, a “Change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(ii) individuals who on the date of this Agreement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be considered as a member of the Incumbent Board),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 (c) Expenses. For purposes of this Agreement, the term “Expenses” shall be broadly construed and shall include, without limitation, all 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Code or otherwise, The term “Expenses” shall also include reasonable compensation for time spent by Indemnitee for which he or she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 (d) Independent Counsel. For purposes of this Agreement, the term “Independent Counsel” means a law firm, or a partner (or, if 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5"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 action to determine Indemnitee’s rights under this Agreement. The Company will pay the reasonable fees and expenses of the Independent Counsel referred to above and to fully indemnify such counsel against any and all expenses, claims, liabilities and damages arising out of or relating to this Agreement or its engagement pursuant hereto. (e) Liabilities. For purposes of this Agreement, the term “Liabilities” shall be broadly construed and shall include, without limitation, judgments, damages, deficiencies, liabilities, losses, penalties, excise taxes, fines, assessments and amounts paid in settlement, including any interest and any federal, state, local or foreign taxes imposed as a result of the actual or deemed receipt of any payment under this Agreement. (f) Proceedings. For purposes of this Agreement, the term “proceeding” shall be broadly construed and shall include, without limitation,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 (g) Subsidiary. For purposes of this Agreement, the term “subsidiary” means any corporation, limited liability company, or other entity, 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an Agent. (h) Voting Securities. For purposes of this Agreement, "Voting Securities" shall mean any securities of the Company that vote generally in the election of directors. 2. Agreement to Serve. Indemnitee will serve, or continue to serve, as the case may be, as an Agent, faithfully and to the best of his or her ability, at the will of such entity designated by the Company and at the request of the Company (or under separate agreement, if such agreement exists), in the capacity Indemnitee currently serves such entity, so long as Indemnitee is duly appointed or elected and qualified in accordance with the applicable provisions of the governance documents of such entity, or until such time as Indemnitee tenders his or her resignation in writing; provided, however, that nothing contained in this Agreement is intended as an employment agreement between Indemnitee and the Company or any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6"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subsidiaries or to create any right to continued employment of Indemnitee with the Company or any of its subsidiaries in any capacity. 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 3. Indemnification. (a) Indemnification in Third Party Proceedings. Subject to Section 10 below, the Company shall indemnify Indemnitee to the fullest extent permitted by the Code, as the same may be amended from time to time (but, to the fullest extent of the law, only to the extent that such amendment permits Indemnitee to broader indemnification rights than the Code permitted prior to adoption of such amendment), if Indemnitee is a party to or threatened to be made a party to or otherwise involved in any proceeding, other than a proceeding by or in the right of the Company to procure a judgment in its favor, for any and all Expenses and Liabilities (including all interest, assessments and other charges paid or payable in connection with or in respect of such Expenses and Liabilities)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of the Company, the Bylaws, vote of its stockholders or disinterested directors, or applicable law. (b) Indemnification in Derivative Actions and Direct Actions by the Company. Subject to Section 10 below, the Company shall indemnify Indemnitee to the fullest extent permitted by the Code, as the same may be amended from time to time (but,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competent jurisdiction to be liable to the Company, unless and only to the extent that the Chancery Court of the State of Delaware or any court in which the proceeding was brought shall determine upon application that, despite the adjudication of liability but in view of all the circumstances of the case, Indemnitee is fairly and reasonably entitled to indemnification. 4. Indemnification of Expenses of Successful Party. Notwithstanding any other provision of this Agreement, in circumstances where indemnification is not available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7"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Section 3(a) or 3(b), as the case may be, to the fullest extent permitted by law and to the extent that Indemnitee is a party to (or a participant in) any proceeding and has been successful on the merits or otherwise in defense of any proceeding or in defense of any claim, issue or matter therein, in whole or part, including the dismissal of any action without prejudice, the Company shall indemnify Indemnitee against all Expenses and Liabilities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and Liabilities incurred by Indemnitee or on Indemnitee’s behalf in connection with or related to each successfully resolved claim, issue or matter to the fullest extent permitted by law. 5. Partial Indemnification; Witness Indemnification. If Indemnitee is entitled under any provision of this Agreement to indemnification by the Company for some or a portion of any Expenses and Liabilities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incurred by Indemnitee or on Indemnitee’s behalf in connection therewith. 6. Advancement of Expenses. To the extent not prohibited by law, the Company shall advance the Expenses incurred by Indemnitee in 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8"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7. Notice and Other Indemnification Procedures. (a) Notification of Proceeding. Indemnitee will notify the Company in writing promptly upon being served with any summons, citation, 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 (b) Request for Indemnification Payments.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under the terms of this Agreement, and shall request payment thereof by the Company. (c) Determination of Right to Indemnification Payments. Upon written request by Indemnitee for indemnification pursuant to the Section 7(b) hereof, a determination with respect to Indemnitee’s entitlement thereto shall be made in the specific case by one of the following four methods, which shall be at the election of the Board of Directors: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in a written opinion to the Board of Directors, a copy of which shall be delivered to the Indemnitee, or (4) if so directed by the Board of Directors, by the stockholders of the Company; provided, however, that if there has been a Change in Control, then such determination shall be made by Independent Counsel selected by Indemnitee and approved by the Company (which approval shall not be unreasonably withheld). For purposes hereof, disinterested directors are those members of the board of directors of the Company who are not parties to the action, suit or proceeding in respect of which indemnification is sought by Indemnitee. Indemnification payments requested by Indemnitee under Section 3 hereof shall be made by the Company no later than sixty (60) days after receipt of the written request of Indemnitee. Claims for advancement of Expenses shall be made under the provisions of Section 6 herein. (d) Application for Enforcement. In the event the Company fails to make timely payments as set forth in Sections 6 or 7(b) above, 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Independent Counsel) or stockholders, that Indemnitee is not entitled to indemnification hereunder, shall not be a defense by the Company to the action nor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9"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create any presumption that Indemnitee is not entitled to indemnification or advancement of Expenses hereunder. (e) Indemnification of Certain Expenses. The Company shall indemnify Indemnitee against all Expenses incurred in connection with any hearing or proceeding under this Section 7 unless the Company prevails in such hearing or proceeding on the merits in all material respects. 8. Assumption of Defense. In the event the Company shall be requested by Indemnitee to pay the Expenses of any proceeding, the 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 9. Insurance. To the extent that the Company maintains an insurance policy or policies providing liability insurance for Agents or for agents of any other Enterprise, Indemnitee shall be covered by such policy or policies in accordance with its or their terms to the maximum extent of the coverage available for any such Agent or agent under such policy or policies. If, at the time of the receipt of a notice of a claim pursuant to the terms hereof, the Company has director and officer liability insurance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10. Exceptions. (a) Certain Matters. Any provision herein to the contrary notwithstanding, the Company shall not be obligated pursuant to the terms of 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0"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accounting, disgorgement or repayment of profits made from the purchase or sale by Indemnitee of securities of the Company against Indemnitee pursuant to the provisions of Section 16(b) of the Securities Exchange Act of 1934, as amended, or other provisions of any federal, state or local statute or rules and regulations thereunder; or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 (b) Claims Initiated by Indemnitee. Any provision herein to the contrary notwithstanding, the Company shall not be obligated to indemnify or advance Expenses to Indemnitee with respect to proceedings or claims initiated or brought by Indemnitee against the Company or its Agents and not by way of defense, except (i) with respect to proceedings brought to establish or enforce a right to indemnification or advancement under this Agreement or under any other agreement, provision in the Bylaws or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 (c) Unauthorized Settlements. Any provision herein to the contrary notwithstanding, the Company shall not be obligated pursuant to the 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 (d) Securities Act Liabilities. Any provision herein to the contrary notwithstanding, the Company shall not be obligated pursuant to the terms of this Agreement to indemnify Indemnitee or otherwise act in violation of any undertaking appearing in and required by the rules and regulations promulgated under the Securities Act of 1933, as amended (the “Act”),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1"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 Prior Payments Any provision herein to the contrary notwithstanding, the Company shall not be obligated pursuant to the terms of this Agreement to indemnify or advance Expenses to Indemnitee under this Agreement for which payment has actually been made to or on behalf of Indemnitee under any insurance policy or other indemnity provision, expect with respect to any excess beyond the amount paid under any insurance policy or indemnity policy. 11. Nonexclusivity and Survival of Rights. The provisions for indemnification and advancement of Expenses set forth in this Agreement shall not be deemed exclusive of any other rights which Indemnitee may at any time be entitled under any provision of applicable law, the Company’s Certificate of Incorporation,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 12. Term. This Agreement shall continue until and terminate upon the later of: (a) five (5) years after the date that Indemnitee shall have ceased to serve as an Agent; or (b) one (1) year after the final termination of any proceeding, including any appeal then pending, in respect to which Indemnitee was granted rights of indemnification or advancement of Expenses hereunder. 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period; provided, however, that if any shorter period of limitations is otherwise applicable to such cause of action, such shorter period shall govern. 13. Subrogation. In the event of payment under this Agreement, the Company shall be subrogated to the extent of such payment to all of the 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 14. Interpretation of Agreement. It is understood that the parties hereto intend this Agreement to be interpreted and enforced so as to provide indemnification and advancement of Expenses to Indemnitee to the fullest extent now or hereafter permitted by law. 15. Severability. If any provision of this Agreement shall be held to be invalid, illegal or unenforceable for any reason whatsoever, (a)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 16. Amendment and Waiver. No supplement, modification, amendment, or cancellation of this Agreement shall be binding unless executed in writing by the parties hereto. No waiver of any of the provisions of this Agreement shall be deemed or shall constitute a waiver of any other provision hereof (whether or not similar) nor shall such waiver constitute a continuing waiver. 17. Notice. Except as otherwise provided herein, any notice or demand which, by the provisions hereof, is required or which may be given to or 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 18. Governing Law. This Agreement shall be governed exclusively by and construed according to the laws of the State of Delaware, as applied to contracts between Delaware residents entered into and to be performed entirely within Delaware. 19. Counterparts. This Agreement may be executed in one or more counterparts, each of which shall for all purposes be deemed to be an original but all of which together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constitute but one and the same Agreement. Only one such counterpart need be produced to evidence the existence of this Agreement. 20. Headings. The headings of the sections of this Agreement are inserted for convenience only and shall not be deemed to constitute part of this Agreement or to affect the construction hereof. 21. Entire Agreement. Subject to Section 11 hereof, this Agreement constitutes the entire agreement between the parties with respect to the subject matter hereof and supersedes all prior agreements, understandings and negotiations, written and oral, between the parties with respect to the subject matter of this Agreement; provided, however, that this Agreement is a supplement to and in furtherance of the Company’s Certificate of Incorporation, Bylaws, the Code and any other applicable law, and shall not be deemed a substitute therefor, and does not diminish or abrogate any rights of Indemnitee thereunder. 22. Contribution.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Indemnitee in connection with such event(s) and/or transaction(s). 23. Consent to Jurisdiction.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34600" cy="13001625"/>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33"/>
                    <a:stretch>
                      <a:fillRect/>
                    </a:stretch>
                  </pic:blipFill>
                  <pic:spPr bwMode="auto">
                    <a:xfrm>
                      <a:off x="0" y="0"/>
                      <a:ext cx="10134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entered into this Agreement effective as of the date first above written. SI-BONE, INC. INDEMNITEE Signature of Indem11itee Anthony Recupero Print or Type Name oflndemnitee [Signature Page to Indemnity Agreement] By: _______________ _ JEFFREY W. DUNN President and Chief Executive Office /s/ Jeffrey W. Dunn /s/ Anthony Recupero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sibn-ex104.htm"/>
      <w:bookmarkStart w:id="3" w:name="kssibnex104"/>
      <w:bookmarkEnd w:id="2"/>
      <w:bookmarkEnd w:id="3"/>
      <w:r>
        <w:rPr/>
        <w:drawing>
          <wp:inline distT="0" distB="0" distL="0" distR="0">
            <wp:extent cx="10048875" cy="13001625"/>
            <wp:effectExtent l="0" t="0" r="0" b="0"/>
            <wp:docPr id="6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5"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SI-BONE, Inc. • 471 El Camino Real, Suite 101, Santa Clara, CA 95050 U.S.A. • t 408-207-0700 • f 408-557-8312 • www.SI-BONE.com July 31, 2025 Anthony J. Recupero [***] [***] Re: Your Retirement Dear Tony, This letter confirms certain terms regarding your transition from SI-BONE, Inc. (the “Company”). 1. SEPARATION DATE. You have given notice of your voluntary resignation of employment with the Company effective February 15, 2026, and therefore, your last day of employment with the Company will be February 15, 2026 (the “Separation Date”). Between the date of this letter and the Separation Date (the “Transition Period”), you will remain an at-will employee in your current role and perform your regular job duties. The Severance Benefit Plan will remain in effect during the Transition Period. 2. TRANSITION PERIOD. During the Transition Period, you will also transition these duties and responsibilities to the Company’s designated successor to your role and be expected to perform other tasks as requested by the Company. During the Transition Period, your base salary will remain the same, you will be eligible to receive a bonus for calendar year 2025 at the same time as bonuses under the 2025 Corporate Bonus Plan are paid out, and calculated in the same manner as those of other executives participating in the Corporate Bonus Plan, and you will continue to be eligible for the Company’s standard benefits, subject to the terms and conditions applicable to such plans and programs, and your Company equity awards will continue to vest under the existing terms and conditions set forth in the governing plan documents and option agreement. 3. FINAL PAY. On the Separation Date, the Company will pay you all accrued salary earned through the Separation Date, subject to standard payroll deductions and withholdings. You are entitled to this payment by law. Since the Company has an unlimited/nonaccrual PTO policy, you do not have any accrued vacation or other paid time off and thus will not be paid out for any accrued vacation or other paid time off. 4. CONSULTING SERVICES. Beginning on the day immediately following the Separation Date, you will be engaged by the Company as a consultant pursuant to the Consulting Agreement attached to this letter as Exhibit A. It is both your and the Company’s intention that there be no break in service between the cessation of your services as an employee of the Company and the commencement of your services as a consultant such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6"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Anthony J. Recupero July 31, 2025 Page 2 SI-BONE, Inc. • 471 El Camino Real, Suite 101, Santa Clara, CA 95050 U.S.A. • t 408-207-0700 • f 408-557-8312 • www.SI-BONE.com your Company equity awards will continue to vest pursuant to their terms. You are encouraged to obtain independent tax advice concerning your options and how the terms of the Consulting Agreement may affect the tax treatment of the options. 5. HEALTH INSURANCE. Unless you follow the procedures set forth in this paragraph, your participation in the Company’s group health insurance plan will end on the last day of the month in which the Separation Date occurs. To the extent provided by the federal COBRA law or, if applicable, state insurance laws, and by the Company’s current group health insurance policies, you will be eligible to continue your group health insurance benefits at your own expense beginning in the month following the Separation Date. Later, you may be able to convert to an individual policy through the provider of the Company’s health insurance, if you wish. You will be provided with a separate notice describing your rights and obligations under COBRA and a form for electing COBRA coverage. 6. CONFIDENTIAL INFORMATION OBLIGATIONS. You remain bound by all continuing obligations under the Proprietary Information and Inventions Assignment Agreement you signed as a condition of employment (the “Confidentiality Agreement”), a copy of which is attached as Exhibit B to this letter. Please review your Confidentiality Agreement to ensure you understand all of your continuing confidentiality, non-disclosure and other obligations under it, which are binding both during and after the Transition Period. 7. RETURN OF COMPANY PROPERTY. Within five (5) days following the Separation Date, you must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must make a diligent search to locate any such documents, property and information by the close of business on the Separation Date or as soon as possible thereafter. You will be permitted to retain any Company property that you and the Company agree is necessary for you to perform your consulting services (all of which must be returned upon termination of the Consulting Agreement). Please sign this letter where noted below to acknowledge that you received and understand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7"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Anthony J. Recupero July 31, 2025 Page 3 SI-BONE, Inc. • 471 El Camino Real, Suite 101, Santa Clara, CA 95050 U.S.A. • t 408-207-0700 • f 408-557-8312 • www.SI-BONE.com Thank you for your efforts on behalf of the Company. We wish you all the best in the future. Sincerely, SI-BONE, Inc. By: /s/ Laura A. Francis Laura A. Francis Chief Executive Officer Exhibit A – Consulting Agreement Exhibit B – Confidentiality Agreement ACKNOWLEDGED AND AGREED: /s/ Anthony J. Recupero Date: July 31, 2025 Anthony J. Recupero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8"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Consulting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9"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CONSULTING AGREEMENT THIS CONSULTING AGREEMENT (the “Agreement”) by and between SI-BONE, Inc. (“Client”) and Anthony J. Recupero, an individual (“Consultant”) (Client and Consultant together, the “Parties”) is effective as of February 16, 2026 (the “Effective Date”). 1. Engagement of Services. Consultant agrees to provide the following consulting services and other services upon request of the Client (the “Services”). • Advise on the continued commercialization of the Company’s existing and planned future products; • Advise on the Company’s strategies regarding management of its Sales organization; • Provide positive encouragement and motivation of the Company’s Sales leadership and Sales organization in a manner consistent with the Company’s management team’s objectives; • Engage with targeted individual surgeons identified by the Company with which Consultant can aid in the Company’s sales efforts; and • Provide such other services that the Company and Consultant mutually agree shall further the Company’s business and the intent of this Agreement. Consultant agrees to exercise the highest degree of professionalism and utilize their expertise and creative talents in performing these Services. 2. Compensation. Consultant shall be paid a monthly retainer amount of $12,500 commencing on the date one month following the Effective Date, with the final payment to be made on or promptly following the conclusion of Consultant’s Services hereunder. The Parties acknowledge that Consultant was previously an employee of Client and in such capacity was granted various equity awards under the Company’s equity incentive plans in respect of the common stock of the Company. The continued vesting of such equity awards will be considered additional consideration provided to Consultant for the Services. It is acknowledged and agreed there shall be no break in service between the cessation of Consultant’s services as an employee of the Client and the commencement of Consultant’s services as a consultant such that Consultant’s Company equity awards will continue to vest pursuant to their terms during the term of this Agreement. The treatment of any outstanding equity awards shall be determined in accordance with the terms of the Stock option plans. Notwithstanding the foregoing, if, upon the closing of a Change in Control (as defined in Client’s 2018 Equity Incentive Plan, or “Equity Plan”) or following the closing of a Change in Control and prior to the expiration of this Agreement, Consultant’s services are terminated by the Company without Cause (as defined below) or by Consultant for Good Reason (as defined below), then, subject to Consultant’s execution of a general release of claims in favor of and in a form provided by Client, all of Consultant’s outstanding Stock Awards (as defined in the Equity Plan), shall vest and become exercisable effective as of the date of termination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0"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3. Expenses and Liabilities. Consultant agrees that as an independent contractor, Consultant is solely responsible for all incidental expenses (and profits/losses) Consultant incurs in connection with the performance of the Services. Consultant understands that Consultant will not be reimbursed for any supplies, equipment, or operating costs, nor will these costs of doing business be defrayed in any way by the Client. In addition, the Client does not guarantee to Consultant that fees derived from Consultant’s business will exceed Consultant’s costs. Notwithstanding the foregoing, Client agrees to reimburse Consultant for any reasonable, documented, out-of-pocket costs and expenses, including costs of travel outside of the Bay Area and business meals incurred in connection with Company business, provided such activities relate directly to activities requested by Client. 4. Term and Termination. The term of this Agreement and the “Consulting Period” is from the Effective Date until the date one year following the Effective Date (the “Scheduled End Date”), unless earlier terminated as provided in this Agreement. During the Consulting Period, the Consultant’s Services hereunder may be terminated prior to the Scheduled End Date by Client or by Consultant only as provided in this Section 4 (an “Early Termination”). Upon an Early Termination, the Consultant shall be entitled to the compensation and benefits described in this Section 4 and shall have no further rights to any compensation or any other benefits from the Client or any of its affiliates. 4.1 Termination Initiated by Client. Client may terminate the Consultant at any time during the Consulting Period without Cause (as defined below). Should Client terminate the Consultant during the Consulting Period without Cause, or if Consultant should die or become physically or mentally incapacitated and therefore unable to perform the Services hereunder, then, subject to Consultant’s (or, in the event of Consultant’s death or physical or mental incapacity, Consultant’s estate’s or executor’s) execution of a general release of claims in favor of and in a form provided by Client, Consultant shall be due the monthly retainer amounts through the Scheduled End Date and the Client will accelerate any then-unvested equity awards held by Consultant that would otherwise vest solely with respect to time such that Consultant would be vested in such equity awards as if Consultant had remained engaged with Client as a Consultant through the Scheduled End Date. (a) Client may terminate the Consultant’s Services at any time during the Consulting Period with Cause as set forth herein with a Notice for Cause. For purposes of this Agreement, "Notice for Cause" means the giving of written notice by the Client of the termination of this Agreement upon the discharge of Consultant for Cause, as determined by Client’s Board of Directors acting in good faith, based upon facts reasonably believed it to be true, and not for any arbitrary, capricious, or illegal reason. This shall be the standard applied by any fact finder adjudicating any dispute as to “Cause” for termination of the Consulting Period by Client. The following are an exclusive list of conduct by the Consultant that is deemed "Cause" for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1"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 the Consultant's breach of this Agreement or material failure to perform his duties under this Agreement (other than any such failure resulting from incapacity due to physical or mental illness) after a written demand for substantial performance is delivered to the Consultant by the Client, which demand specifically identifies the manner in which the Client believes that the Consultant has not substantially performed the Consultant's duties, which failure or refusal is not remedied by the Consultant within thirty (30) days after the written notice from the Client; (ii) the Consultant's engagement in dishonesty, illegal conduct, or misconduct, which is, in each case, injurious to the Client or its affiliates; (iii) the Consultant's embezzlement, misappropriation, or fraud, whether or not related to the Consultant's Services with the Client; (iv) the Consultant's conviction of or plea of guilty or nolo contendere to a crime that constitutes a felony at federal or state law, or a crime that constitutes a misdemeanor involving moral turpitude, if such felony or other crime is work-related, impairs the Consultant's ability to perform services for the Client, or results in material, reputational or financial harm to the Client or its affiliates. 4.2 Termination Initiated by Consultant. Consultant may terminate the Consulting Period at any time, with or without Good Reason, as defined below. (a) Should Consultant terminate the Consulting Period without Good Reason, Consultant shall be entitled to receive the accrued sums due hereunder through the date of such termination and no further compensation accruing after the termination. (b) Consultant may terminate the Consulting Period with Good Reason at any time such condition may exist. For purposes of this Agreement, "Good Reason" shall mean the occurrence of any material breach by the Client of any material provision of this Agreement (which shall include an acquiror’s failure to assume the terms of this Agreement) or any material provision of any other agreement between the Consultant and the Client during the Services Term without the Consultant's written consent. In order to resign for Good Reason, Consultant must within 30 days after the first occurrence of the event giving rise to Good Reason provide written notice to the Client (including any Client acquiror) setting forth the basis for Consultant’s resignation, allow Client at least 30 days from receipt of such written notice to cure such event, and if such event is not reasonably cured within such period, Consultant must terminate this Agreement not later than 30 days after the expiration of the cure period. Should Consultant terminate Consultant’s Services at any time during the Consulting Period for Good Reason, then, subject to Consultant’s execution of a general release of claims in favor of and in a form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2"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by Client, Consultant shall be due the monthly retainer amounts through the end of the Consulting Period and the Client will accelerate any then-unvested equity awards held by Consultant that vest solely with respect to time such that Consultant would be vested in such equity awards as if Consultant has remained engaged with Client as a Consultant through the Scheduled End Date. 4.3 Consultant’s Obligations Upon Termination. Upon any termination or expiration of this Agreement, Consultant (i) shall immediately discontinue all use of Client’s Confidential Information delivered under this Agreement; (ii) shall delete any such Client Confidential Information from Consultant’s computer storage or any other media; and (iii) shall return to Client, or, at Client’s option, destroy, all copies of such Confidential Information then in Consultant’s possession. 5. Non-Exclusivity. The Client reserves the right to engage other consultants to perform services, without giving Consultant a right of first refusal or any other exclusive rights. Consultant reserves the right to perform services for other persons, provided that the performance of such services are not materially incompatible with services provided pursuant to or obligations under this Agreement, and provided further that the other person(s) for whom the Consultant would perform services does not, and does not have plans to, compete against the business of the Company as it is actually conducted and as it is planned to be conducted in the future (the “Company Field”), which includes any business entity commercializing medical devices in the sacropelvic solutions and/or spinopelvic care segments. Consultant agrees to indemnify Client from any and all loss or liability incurred by reason of the alleged breach by Consultant of any services agreement with any third party. 6. Consultant’s Responsibilities. As an independent contractor, the mode, manner, method and means used by Consultant in the performance of Services shall be of Consultant’s selection and under the sole control and direction of Consultant. Consultant shall be responsible for all risks incurred in the operation of Consultant’s business and shall enjoy all the benefits thereof. Consultant agrees and understands that the Services being provided by Consultant are personal and unique and Consultant agrees that and understands that Consultant is not permitted to subcontract or delegate performance of the Services. Consultant shall reasonably provide the Services. Consultant has no specific hourly responsibilities to Client. 7. Independent Contractor Relationship. Consultant is an independent contractor and not an employee of the Client. Nothing in this Agreement is intended to, or should be construed to, create a partnership, agency, joint venture or employment relationship. In completing the consulting services, Consultant agrees to provide their own equipment, tools and other materials at their own expense. Consultant is not authorized to make any representation, contract, or commitment on behalf of Client or incur any liabilities or obligations of any kind in the name of or on behalf of the Client. Consultant agrees: (a) to proceed with diligence and promptness and hereby warrants that such services shall be performed in accordance with the highest professional standards in the field to the satisfaction of the Client; and (b) to comply, at Consultant’s own expense, with the provisions of all state, local, and federal laws, regulations, ordinances, requirements and codes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3"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are applicable to the performance of the Services hereunder. Consultant and the Client agree that the Client will treat Consultant as an independent contractor for purposes of all tax laws (local, state and federal) and file forms consistent with that status. Consultant acknowledges and agrees that neither Consultant nor anyone acting on Consultant’s behalf shall receive any employee benefits of any kind from the Client. Consultant shall hold harmless the Client and its affiliates, officers, directors, agents, owners, and employees, for any claims brought or liabilities imposed against the Client by Consultant, including claims related to worker’s compensation, wage and hour laws, employment taxes, and benefits, arising from or in any way related to any acts or omissions of Consultant and/or Consultant’s agents in performing the Services. This undertaking shall apply to any restitution or damage award sought, including any and all losses and damages, including costs and attorneys’ fees. 8. Ownership of Work Product. The parties acknowledge and agree that Consultant may provide services to third parties, subject to the limitations set forth in Section 5 above, and as such may develop Work Product for Client and third persons (the “Work Product”), including all copyrights, trademarks and other intellectual property rights (including but not limited to patent rights) relating thereto. Work Product developed by Consultant for third parties, Work Product developed by Consultant prior to June 20, 2016, as well as skills and knowledge general for the trade remain Work Product of the Consultant. Work Product developed in the course of Consultant’s employment by the Company between June 20, 2016 and the date hereof shall continue to be governed by Consultant’s Employee Proprietary Information and Inventions Assignment Agreement entered into in connection with Consultant’s prior employment by Client. Consultant agrees that any and all Work Product of Client shall be and remain the property of Client and Consultant hereby irrevocably assigns, grants and conveys to Client all right, title and interest now existing or that may exist in the future in and to any Work Product developed by Consultant for or at the request of Client, pursuant to this Agreement and/or with reference to or in reliance upon Client’s Confidential Information (the “Client Work Product”). Consultant agrees to execute, at Client’s request and expense, all documents and other instruments necessary or desirable to confirm such assignment. In the event that Consultant does not, for any reason, execute such documents within a reasonable time of Client’s request, Consultant hereby irrevocably appoints Client as Consultant’s attorney-in-fact for the purpose of executing such documents on Consultant’s behalf, which appointment is coupled with an interest. Consultant retains no rights in the Client Work Product and agrees not to challenge Client’s ownership of the rights embodied in the Client Work Product. Consultant further agrees to assist Client in every proper way to enforce Client’s rights relating to the Client Work Product in any and all countries, including, but not limited to, executing, verifying and delivering such documents and performing such other acts (including appearing as a witness) as Client may reasonably request for use in obtaining, perfecting, evidencing, sustaining and enforcing Client’s rights relating to the Client Work Product. If Consultant has any rights, including without limitation “artist’s rights” or “moral rights,” in the Client Work Product which cannot be assigned (the “Non-Assignable Rights”), Consultant agrees to waive enforcement worldwide of such rights against Client. In the event that Consultant has any such rights that cannot be assigned or waived Consultant hereby grants to Client a royalty-free, paid-up, exclusive, worldwide, irrevocable, perpetual license under the Non-Assignable Rights to (i) use, make, sell, offer to sell, have made, and further sublicense the Client Work Product, and (ii) reproduce,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4"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distribute, create derivative works of, publicly perform and publicly display the Client Work Product in any medium or format, whether now known or later developed. Client agrees that any Work Product developed by Consultant for third party(s), which is not developed using Client’s resources or with any reference to or use of Client’s Confidential Information (as defined below), may be assigned by Consultant to such third-party, provided such third- party is not in competition with the business of Client. 9. Conflicts of Interest. 9.1 No Conflicts of Interest. During the term of this Agreement, unless written permission is given by the Client, Consultant will not accept work, enter into a contract, or provide services to any third party that provides products or services which compete in the Company Field nor may Consultant enter into any agreement or perform any services which would be materially incompatible with the Services provided pursuant to or the obligations under this Agreement. Consultant warrants that there is no other contract or duty on Consultant’s part that prevents or impedes Consultant’s performance under this Agreement. 9.2 Non-Interference. During the term of this Agreement, Consultant agrees not to interfere with the business of Client by (i) soliciting or attempting to solicit any employee or consultant of Client to terminate such employee’s or consultant’s employment or service in order to become an employee, consultant or independent contractor to or for any other person or entity or (ii) soliciting or attempting to solicit any vendor, supplier, investor, financier, or other person or entity either directly or indirectly engaged in a business relationship with Client, to diminish, cease, or otherwise adversely change such business relationship, or otherwise direct his, her or its business or services to any person, firm, corporation, institution or other entity in competition with the business of Client. Following the expiration or termination of the Consulting Period, Consultant agrees not to misuse any trade secret or other Confidential Information of Client acquired by Consultant pursuant to this Agreement or in connection with Consultant’s prior employment by Client to interfere with the business of Client by soliciting or attempting to solicit any employee or consultant of Client to terminate such employee’s or consultant’s employment or service in order to become an employee, consultant or independent contractor to or for any other person or entity. 10. Non-Disparagement. Consultant agrees not to disparage the Client, its business strategies and decisions, or its officers, directors, employees, shareholders, parents, subsidiaries, affiliates, and agents, in any manner likely to be harmful to its or their business, business reputation, or personal reputation or in any way distracting to Client’s employees or otherwise disruptive to the Client’s business; provided that Consultant may respond accurately and fully to any request for information if required by legal process or in connection with a government investigation. In addition, nothing in this provision or this Agreement prohibits or restrains Consultant from making disclosures protected under the whistleblower provisions of federal or state law or from discussing or disclosing information about unlawful acts in the workplace, such as harassment or discrimination or any other conduct that Consultant has reason to believe is unlawful. Consultant acknowledges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5"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agrees that any breach of this Section 10 (Non-Disparagement) is a material breach of this Agreement and shall give rise to Cause for its termination. Further, nothing in this provision or this Agreement limits Consultant’s ability to communicate with any federal, state or local governmental agency or commission or otherwise participate in any investigation or proceeding that may be conducted by such government agency, including providing documents or other information, without notice to the Client. 11. Confidential Information. 11.1 No Misuse or Unauthorized Disclosure. Consultant agrees to hold Client’s Confidential Information (as defined below) in strict confidence and not to disclose such Confidential Information to any third parties. Consultant also agrees not to use any of Client’s Confidential Information for any purpose other than performance of Consultant’s Services hereunder. 11.2 Definition. As used in this Agreement, “Confidential Information” shall mean all information that derives independent economic value, actual or potential, from not being generally known to the public or to other persons who can obtain economic value from its disclosure or use. Confidential Information also includes proprietary or confidential information of any third party who may disclose such information to Client or Consultant in the course of Client’s business that derives independent economic value, actual or potential, from not being generally known to the public or to other persons who can obtain economic value from its dis-closure or use, disclosed by Client to Consultant, or otherwise, regarding Client, Client’s business, as well as Client’s subsidiaries, affiliates, and their respective business, obtained by Consultant pursuant to Services provided under this Agreement that is not generally known in the Client’s trade or industry and shall include, without limitation, (a) concepts and ideas relating to the development and distribution of content in any medium or to the current, future and proposed business activities of Client or its subsidiaries and affiliates; (b) trade secrets, drawings, inventions, know-how, software programs, intellectual property rights, and software source documents; (c) information regarding plans for research, development, investments, dispositions, acquisitions, marketing and selling, business plans, business forecasts, budgets and unpublished financial statements, licenses and distribution arrangements, prices and costs, suppliers and customers; (d) any information regarding the skills and compensation of employees, contractors or other agents of the Client or its subsidiaries and affiliates; and (f) any other non-public information that a competitor of Company could use to Company’s competitive disadvantage or the competitive disadvantage of any of Client’s subsidiaries and affiliates. 11.3 Exceptions to Consultant’s Obligations. Consultant’s obligations set forth in this Section 11 shall not apply with respect to any portion of the Confidential Information that (i) is in the public domain through no fault of Consultant; (ii) has been rightfully independently communicated to Consultant free of any obligation of confidence; or (iii) was developed by Consultant independently of and without reference to any information communicated to Consultant by Client. In addition, Consultant may disclose Client’s Confidential Information in response to a valid order by a court or other governmental body, as otherwise required by law. All Confidential Information furnished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6"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Consultant by Client is the sole and exclusive property of Client or, as applicable, such subsidiary, affiliate, supplier, or customer. Upon request by Client, Consultant agrees to promptly deliver to Client the original and any copies of such Confidential Information. Notwithstanding Consultant’s obligations not to disclose such information, pursuant to 18 U.S.C. Section 1833(b), Consultant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12. Indemnity. Client hereby reaffirms its obligations to Consultant under the Indemnity Agreement dated October 19, 2018 by and between Client and Consultant, a copy of which is attached hereto as Attachment 1 (the “Indemnity Agreement”). Client and Consultant hereby agree that for purposes of interpreting the Indemnity Agreement, (i) Consultant shall be an “Agent” of the Company (as defined therein) during the Consulting Period, (ii) Consultant shall be afforded the rights to indemnification, advancement of expenses and such other rights as set forth in the Indemnity Agreement, (iii) as between Client and Consultant, the Indemnity Agreement shall continue to govern with respect to its subject matter during the Consulting Period and for the period thereafter specified by the Indemnity Agreement. 13. Injunctive Relief for Breach. Consultant’s obligations under this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any monetary relief. 14. Arbitration of All Disputes. 14.1 Agreement to Arbitrate. To aid in the rapid and economical resolution of disputes that may arise between Consultant and Client, both Consultant and Client mutually agree that pursuant to the Federal Arbitration Act, 9 U.S.C. §1-16, and to the fullest extent permitted by applicable law, they will submit solely to final, binding and confidential arbitration any and all disputes, claims, or causes of action, in law or equity, including but not limited to statutory claims arising from or relating to: (i) the negotiation, execution, interpretation, performance, breach or enforcement of this Agreement; or (ii) the relationship between Client and Consultant; or (iii) the termination of that relationship; provided, however, that this Section 14 shall not be mandatory for any claim or cause of action to the extent applicable law prohibits subjecting such claim or cause of action to mandatory arbitration and such applicable law is not preempted by the Federal Arbitration Act or otherwise invalid (each such claim an “Excluded Claim”), such as non-individual claims that cannot be waived under applicable law, or claims or causes of action alleging sexual harassment or a nonconsensual sexual act or sexual contact. In the event either party intends to bring multiple claims, including one of the Excluded Claims listed above,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7"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Excluded Claims may be filed with a court, while any other claims will remain subject to mandatory arbitration. Consultant acknowledges and agrees that proceedings of any non- individual claim(s) under the California Private Attorneys General Act (“PAGA”) that may be brought in court shall be stayed for the duration and pending a final resolution of the arbitration of any individual or individual PAGA claim. The Federal Arbitration Act, 9 U.S.C. § 1 et seq., will, to the fullest extent permitted by law, govern the interpretation and enforcement of this arbitration agreement and any arbitration proceedings. BY AGREEING TO THIS ARBITRATION PROCEDURE, BOTH CONSULTANT AND CLIENT WAIVE THE RIGHT TO RESOLVE ANY SUCH DISPUTES THROUGH A TRIAL BY JURY OR JUDGE OR THROUGH AN ADMINISTRATIVE PROCEEDING. 14.2 Arbitrator Authority.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14.3 Individual Capacity Only. With the exception of Excluded Claims arising out of 9 U.S.C. § 401 et seq., all claims, disputes, or causes of action under this Section 14, whether by Consultant or Client, must be brought solely in an individual capacity, and shall not be brought as a plaintiff (or claimant) or class member in any purported class or representative proceeding, nor joined or consolidated with the claims of any other person or entity. Consultant acknowledges that by agreeing to this arbitration procedure, both Consultant and Client waive all rights to have any dispute be brought, heard, administered, resolved, or arbitrated on a class, representative, or collective action basis. Nothing herein prevents Consultant from filing and pursuing proceedings before a federal or state governmental agency, although if Consultant chooses to pursue a claim following the exhaustion of any applicable administrative remedies, that claim would be subject to this provision. The arbitrator may not consolidate the claims of more than one person or entity, and may not preside over any form of representative or class proceeding. To the extent that the preceding sentences in this Section 14.3 are found to violate applicable law or are otherwise found unenforceable, any claim(s) alleged or brought on behalf of a class shall proceed in a court of law rather than by arbitration. 14.4 Arbitration Process. Any arbitration proceeding under this Section 14 shall be presided over by a single arbitrator and conducted by JAMS, Inc. (“JAMS”) in Sam Francisco, CA under the then applicable JAMS streamlined rules for the resolution of disputes (available upon request and also currently available at http://www.jamsadr.com/rules-streamlined-arbitration/). Consultant and Client both have the right to be represented by legal counsel at any arbitration proceeding, at each party’s own expense. The arbitrator shall: (i) have the authority to compel adequate discovery for the resolution of the dispute; (ii) issue a written arbitration decision, to include the arbitrator’s essential findings and conclusions and a statement of the award; and (iii) be authorized to award any or all remedies that Consultant or Client would be entitled to seek in a court of law. Client shall pay all arbitration administrative fees in excess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8"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administrative fees that Consultant would be required to pay if the dispute were decided in a court of law. 14.5 Injunctive Relief and Final Orders. Nothing in this Section 14 is intended to prevent either Consultant or Client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 15. Miscellaneous. This Agreement constitutes the entire understanding of the parties relating to the subject matter and supersedes any previous oral or written communications, representations, understanding, or agreement between the parties concerning such subject matter. Sections 7, 8, 9, 10, 11, 12, 13, 14 and 15 will survive any termination or expiration of this Agreement. The Parties acknowledge and agree that each is not relying on any representations concerning the matters embraced herein other than the terms set forth in this letter. This Agreement shall not be changed, modified, supplemented or amended except by express written agreement signed by Consultant and the Client. This Agreement shall be governed in all respects by the laws of the State of California, as such laws are applied to agreements entered into and to be performed entirely within California between California residents. Consultant may not assign, subcontract, or otherwise delegate Consultant’s obligations under this Agreement without Client’s prior written consent but may assign monetary benefits. Client may assign this Agreement and this Agreement will be for the benefit of Client’s successors and assigns. Any notice required or permitted by this Agreement shall be in writing and shall be delivered as follows with notice deemed given as indicated: (i) by overnight courier upon written verification of receipt; or (ii) by telecopy or facsimile transmission upon acknowledgment of receipt of electronic transmission. Notice shall be sent to the addresses set forth below or such other address as either party may specify in writing. The waiver by the Client of a breach of any provision of this Agreement by Consultant shall not operate or be construed as a waiver of any other or subsequent breach by Consultant. Should any provisions of this Agreement be held by a court of law to be illegal, invalid or unenforceable, the legality, validity and enforceability of the remaining provisions of this Agreement shall not be affected or impaired thereby.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9"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executed this Agreement effective as of the date first written above. “CLIENT” “CONSULTANT” SI-BONE, INC. ANTHONY J. RECUPERO By: /s/ Laura A. Francis /s/ Anthony J. Recupero Name (print): Laura A. Francis Name (print): Anthony J. Recupero Title: Chief Executive Officer Address: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0"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1 INDEMNITY AGREEMENT DATED OCTOBER 19, 2018 BETWEEN CLIENT AND CONSULTANT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1"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INDEMNITY AGREEMENT THIS INDEMNITY AGREEMENT (this “Agreement”) dated as of October 19, 2018, is made by and between SI-BONE, INC., a Delaware corporation (the “Company”), and ANTHONY RECUPERO (“Indemnitee”). RECITALS A. The Company desires to attract and retain the services of highly qualified individuals as directors, officers, employees and agents. B. The Company’s amended and restated bylaws (the “Bylaws”) require that the Company indemnify its directors and officers, and empowers the Company to indemnify its employees and agents, as authorized by the Delaware General Corporation Law, as amended (the “Code”),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 C. Indemnitee does not regard the protection currently provided by applicable law, the Bylaws, the Company’s other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 D. The Company desires and has requested Indemnitee to serve or continue to serve as a director, officer, employee or agent of the Company, as the case may be, and has proffered this Agreement to Indemnitee as an additional inducement to serve in such capacity. E. Indemnitee is willing to serve, or to continue to serve, as a director, officer, employee or agent of the Company, as the case may be, if Indemnitee is furnished the indemnity provided for herein by the Company. AGREEMENT NOW THEREFORE, in consideration of the mutual covenants and agreements set forth herein, the parties hereto, intending to be legally bound, hereby agree as follows: 1. Definitions. (a) Agent. For purposes of this Agreement, the term “Agent” of the Company means any person who: (i) is or was a director, officer, 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2"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Change in Control. For purposes of this Agreement, a “Change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(ii) individuals who on the date of this Agreement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be considered as a member of the Incumbent Board),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 (c) Expenses. For purposes of this Agreement, the term “Expenses” shall be broadly construed and shall include, without limitation, all 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Code or otherwise, The term “Expenses” shall also include reasonable compensation for time spent by Indemnitee for which he or she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 (d) Independent Counsel. For purposes of this Agreement, the term “Independent Counsel” means a law firm, or a partner (or, if 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 action to determine Indemnitee’s rights under this Agreement. The Company will pay the reasonable fees and expenses of the Independent Counsel referred to above and to fully indemnify such counsel against any and all expenses, claims, liabilities and damages arising out of or relating to this Agreement or its engagement pursuant hereto. (e) Liabilities. For purposes of this Agreement, the term “Liabilities” shall be broadly construed and shall include, without limitation, judgments, damages, deficiencies, liabilities, losses, penalties, excise taxes, fines, assessments and amounts paid in settlement, including any interest and any federal, state, local or foreign taxes imposed as a result of the actual or deemed receipt of any payment under this Agreement. (f) Proceedings. For purposes of this Agreement, the term “proceeding” shall be broadly construed and shall include, without limitation,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 (g) Subsidiary. For purposes of this Agreement, the term “subsidiary” means any corporation, limited liability company, or other entity, 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an Agent. (h) Voting Securities. For purposes of this Agreement, "Voting Securities" shall mean any securities of the Company that vote generally in the election of directors. 2. Agreement to Serve. Indemnitee will serve, or continue to serve, as the case may be, as an Agent, faithfully and to the best of his or her ability, at the will of such entity designated by the Company and at the request of the Company (or under separate agreement, if such agreement exists), in the capacity Indemnitee currently serves such entity, so long as Indemnitee is duly appointed or elected and qualified in accordance with the applicable provisions of the governance documents of such entity, or until such time as Indemnitee tenders his or her resignation in writing; provided, however, that nothing contained in this Agreement is intended as an employment agreement between Indemnitee and the Company or any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4"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subsidiaries or to create any right to continued employment of Indemnitee with the Company or any of its subsidiaries in any capacity. 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 3. Indemnification. (a) Indemnification in Third Party Proceedings. Subject to Section 10 below, the Company shall indemnify Indemnitee to the fullest extent permitted by the Code, as the same may be amended from time to time (but, to the fullest extent of the law, only to the extent that such amendment permits Indemnitee to broader indemnification rights than the Code permitted prior to adoption of such amendment), if Indemnitee is a party to or threatened to be made a party to or otherwise involved in any proceeding, other than a proceeding by or in the right of the Company to procure a judgment in its favor, for any and all Expenses and Liabilities (including all interest, assessments and other charges paid or payable in connection with or in respect of such Expenses and Liabilities)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of the Company, the Bylaws, vote of its stockholders or disinterested directors, or applicable law. (b) Indemnification in Derivative Actions and Direct Actions by the Company. Subject to Section 10 below, the Company shall indemnify Indemnitee to the fullest extent permitted by the Code, as the same may be amended from time to time (but,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competent jurisdiction to be liable to the Company, unless and only to the extent that the Chancery Court of the State of Delaware or any court in which the proceeding was brought shall determine upon application that, despite the adjudication of liability but in view of all the circumstances of the case, Indemnitee is fairly and reasonably entitled to indemnification. 4. Indemnification of Expenses of Successful Party. Notwithstanding any other provision of this Agreement, in circumstances where indemnification is not available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5"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Section 3(a) or 3(b), as the case may be, to the fullest extent permitted by law and to the extent that Indemnitee is a party to (or a participant in) any proceeding and has been successful on the merits or otherwise in defense of any proceeding or in defense of any claim, issue or matter therein, in whole or part, including the dismissal of any action without prejudice, the Company shall indemnify Indemnitee against all Expenses and Liabilities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and Liabilities incurred by Indemnitee or on Indemnitee’s behalf in connection with or related to each successfully resolved claim, issue or matter to the fullest extent permitted by law. 5. Partial Indemnification; Witness Indemnification. If Indemnitee is entitled under any provision of this Agreement to indemnification by the Company for some or a portion of any Expenses and Liabilities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incurred by Indemnitee or on Indemnitee’s behalf in connection therewith. 6. Advancement of Expenses. To the extent not prohibited by law, the Company shall advance the Expenses incurred by Indemnitee in 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6"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7. Notice and Other Indemnification Procedures. (a) Notification of Proceeding. Indemnitee will notify the Company in writing promptly upon being served with any summons, citation, 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 (b) Request for Indemnification Payments.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under the terms of this Agreement, and shall request payment thereof by the Company. (c) Determination of Right to Indemnification Payments. Upon written request by Indemnitee for indemnification pursuant to the Section 7(b) hereof, a determination with respect to Indemnitee’s entitlement thereto shall be made in the specific case by one of the following four methods, which shall be at the election of the Board of Directors: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in a written opinion to the Board of Directors, a copy of which shall be delivered to the Indemnitee, or (4) if so directed by the Board of Directors, by the stockholders of the Company; provided, however, that if there has been a Change in Control, then such determination shall be made by Independent Counsel selected by Indemnitee and approved by the Company (which approval shall not be unreasonably withheld). For purposes hereof, disinterested directors are those members of the board of directors of the Company who are not parties to the action, suit or proceeding in respect of which indemnification is sought by Indemnitee. Indemnification payments requested by Indemnitee under Section 3 hereof shall be made by the Company no later than sixty (60) days after receipt of the written request of Indemnitee. Claims for advancement of Expenses shall be made under the provisions of Section 6 herein. (d) Application for Enforcement. In the event the Company fails to make timely payments as set forth in Sections 6 or 7(b) above, 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Independent Counsel) or stockholders, that Indemnitee is not entitled to indemnification hereunder, shall not be a defense by the Company to the action nor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7"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create any presumption that Indemnitee is not entitled to indemnification or advancement of Expenses hereunder. (e) Indemnification of Certain Expenses. The Company shall indemnify Indemnitee against all Expenses incurred in connection with any hearing or proceeding under this Section 7 unless the Company prevails in such hearing or proceeding on the merits in all material respects. 8. Assumption of Defense. In the event the Company shall be requested by Indemnitee to pay the Expenses of any proceeding, the 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 9. Insurance. To the extent that the Company maintains an insurance policy or policies providing liability insurance for Agents or for agents of any other Enterprise, Indemnitee shall be covered by such policy or policies in accordance with its or their terms to the maximum extent of the coverage available for any such Agent or agent under such policy or policies. If, at the time of the receipt of a notice of a claim pursuant to the terms hereof, the Company has director and officer liability insurance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10. Exceptions. (a) Certain Matters. Any provision herein to the contrary notwithstanding, the Company shall not be obligated pursuant to the terms of 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8"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accounting, disgorgement or repayment of profits made from the purchase or sale by Indemnitee of securities of the Company against Indemnitee pursuant to the provisions of Section 16(b) of the Securities Exchange Act of 1934, as amended, or other provisions of any federal, state or local statute or rules and regulations thereunder; or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 (b) Claims Initiated by Indemnitee. Any provision herein to the contrary notwithstanding, the Company shall not be obligated to indemnify or advance Expenses to Indemnitee with respect to proceedings or claims initiated or brought by Indemnitee against the Company or its Agents and not by way of defense, except (i) with respect to proceedings brought to establish or enforce a right to indemnification or advancement under this Agreement or under any other agreement, provision in the Bylaws or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 (c) Unauthorized Settlements. Any provision herein to the contrary notwithstanding, the Company shall not be obligated pursuant to the 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 (d) Securities Act Liabilities. Any provision herein to the contrary notwithstanding, the Company shall not be obligated pursuant to the terms of this Agreement to indemnify Indemnitee or otherwise act in violation of any undertaking appearing in and required by the rules and regulations promulgated under the Securities Act of 1933, as amended (the “Act”),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9"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 Prior Payments Any provision herein to the contrary notwithstanding, the Company shall not be obligated pursuant to the terms of this Agreement to indemnify or advance Expenses to Indemnitee under this Agreement for which payment has actually been made to or on behalf of Indemnitee under any insurance policy or other indemnity provision, expect with respect to any excess beyond the amount paid under any insurance policy or indemnity policy. 11. Nonexclusivity and Survival of Rights. The provisions for indemnification and advancement of Expenses set forth in this Agreement shall not be deemed exclusive of any other rights which Indemnitee may at any time be entitled under any provision of applicable law, the Company’s Certificate of Incorporation,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 12. Term. This Agreement shall continue until and terminate upon the later of: (a) five (5) years after the date that Indemnitee shall have ceased to serve as an Agent; or (b) one (1) year after the final termination of any proceeding, including any appeal then pending, in respect to which Indemnitee was granted rights of indemnification or advancement of Expenses hereunder. 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0"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period; provided, however, that if any shorter period of limitations is otherwise applicable to such cause of action, such shorter period shall govern. 13. Subrogation. In the event of payment under this Agreement, the Company shall be subrogated to the extent of such payment to all of the 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 14. Interpretation of Agreement. It is understood that the parties hereto intend this Agreement to be interpreted and enforced so as to provide indemnification and advancement of Expenses to Indemnitee to the fullest extent now or hereafter permitted by law. 15. Severability. If any provision of this Agreement shall be held to be invalid, illegal or unenforceable for any reason whatsoever, (a)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 16. Amendment and Waiver. No supplement, modification, amendment, or cancellation of this Agreement shall be binding unless executed in writing by the parties hereto. No waiver of any of the provisions of this Agreement shall be deemed or shall constitute a waiver of any other provision hereof (whether or not similar) nor shall such waiver constitute a continuing waiver. 17. Notice. Except as otherwise provided herein, any notice or demand which, by the provisions hereof, is required or which may be given to or 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 18. Governing Law. This Agreement shall be governed exclusively by and construed according to the laws of the State of Delaware, as applied to contracts between Delaware residents entered into and to be performed entirely within Delaware. 19. Counterparts. This Agreement may be executed in one or more counterparts, each of which shall for all purposes be deemed to be an original but all of which together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1"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constitute but one and the same Agreement. Only one such counterpart need be produced to evidence the existence of this Agreement. 20. Headings. The headings of the sections of this Agreement are inserted for convenience only and shall not be deemed to constitute part of this Agreement or to affect the construction hereof. 21. Entire Agreement. Subject to Section 11 hereof, this Agreement constitutes the entire agreement between the parties with respect to the subject matter hereof and supersedes all prior agreements, understandings and negotiations, written and oral, between the parties with respect to the subject matter of this Agreement; provided, however, that this Agreement is a supplement to and in furtherance of the Company’s Certificate of Incorporation, Bylaws, the Code and any other applicable law, and shall not be deemed a substitute therefor, and does not diminish or abrogate any rights of Indemnitee thereunder. 22. Contribution.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Indemnitee in connection with such event(s) and/or transaction(s). 23. Consent to Jurisdiction.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34600" cy="13001625"/>
            <wp:effectExtent l="0" t="0" r="0" b="0"/>
            <wp:docPr id="9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2" descr=""/>
                    <pic:cNvPicPr>
                      <a:picLocks noChangeAspect="1" noChangeArrowheads="1"/>
                    </pic:cNvPicPr>
                  </pic:nvPicPr>
                  <pic:blipFill>
                    <a:blip r:embed="rId61"/>
                    <a:stretch>
                      <a:fillRect/>
                    </a:stretch>
                  </pic:blipFill>
                  <pic:spPr bwMode="auto">
                    <a:xfrm>
                      <a:off x="0" y="0"/>
                      <a:ext cx="10134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entered into this Agreement effective as of the date first above written. SI-BONE, INC. INDEMNITEE Signature of Indem11itee Anthony Recupero Print or Type Name oflndemnitee [Signature Page to Indemnity Agreement] By: _______________ _ JEFFREY W. DUNN President and Chief Executive Office /s/ Jeffrey W. Dunn /s/ Anthony Recupero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3"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Confidentiality Agreement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before="0" w:after="0"/>
        <w:jc w:val="both"/>
        <w:rPr/>
      </w:pPr>
      <w:r>
        <w:rPr/>
      </w:r>
    </w:p>
    <w:p>
      <w:pPr>
        <w:pStyle w:val="TextBody"/>
        <w:bidi w:val="0"/>
        <w:spacing w:lineRule="auto" w:line="288" w:before="0" w:after="120"/>
        <w:jc w:val="right"/>
        <w:rPr>
          <w:rFonts w:ascii="Times New Roman;serif" w:hAnsi="Times New Roman;serif"/>
          <w:b/>
          <w:color w:val="000000"/>
          <w:sz w:val="24"/>
        </w:rPr>
      </w:pPr>
      <w:r>
        <w:rPr>
          <w:rFonts w:ascii="Times New Roman;serif" w:hAnsi="Times New Roman;serif"/>
          <w:b/>
          <w:color w:val="000000"/>
          <w:sz w:val="24"/>
        </w:rPr>
        <w:t>Exhibit 10.5</w:t>
      </w:r>
    </w:p>
    <w:p>
      <w:pPr>
        <w:pStyle w:val="TextBody"/>
        <w:bidi w:val="0"/>
        <w:spacing w:before="0" w:after="120"/>
        <w:jc w:val="right"/>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AMENDMENT NO. 1 TO MANUFACTURE AND SUPPLY AGREEMENT</w:t>
      </w:r>
    </w:p>
    <w:p>
      <w:pPr>
        <w:pStyle w:val="TextBody"/>
        <w:bidi w:val="0"/>
        <w:spacing w:lineRule="auto" w:line="288" w:before="0" w:after="120"/>
        <w:ind w:left="0" w:right="0" w:firstLine="720"/>
        <w:jc w:val="both"/>
        <w:rPr/>
      </w:pPr>
      <w:r>
        <w:rPr>
          <w:rFonts w:ascii="Times New Roman;serif" w:hAnsi="Times New Roman;serif"/>
          <w:b/>
          <w:color w:val="000000"/>
          <w:sz w:val="22"/>
        </w:rPr>
        <w:t>THIS AMENDMENT NO. 1 TO MANUFACTURE AND SUPPLY AGREEMENT</w:t>
      </w:r>
      <w:r>
        <w:rPr>
          <w:color w:val="000000"/>
        </w:rPr>
        <w:t xml:space="preserve"> </w:t>
      </w:r>
      <w:r>
        <w:rPr>
          <w:rFonts w:ascii="Times New Roman;serif" w:hAnsi="Times New Roman;serif"/>
          <w:b w:val="false"/>
          <w:color w:val="000000"/>
          <w:sz w:val="22"/>
        </w:rPr>
        <w:t>(this “</w:t>
      </w:r>
      <w:r>
        <w:rPr>
          <w:rFonts w:ascii="Times New Roman;serif" w:hAnsi="Times New Roman;serif"/>
          <w:b/>
          <w:i/>
          <w:color w:val="000000"/>
          <w:sz w:val="22"/>
        </w:rPr>
        <w:t>Amendment</w:t>
      </w:r>
      <w:r>
        <w:rPr>
          <w:color w:val="000000"/>
        </w:rPr>
        <w:t>”</w:t>
      </w:r>
      <w:r>
        <w:rPr>
          <w:rFonts w:ascii="Times New Roman;serif" w:hAnsi="Times New Roman;serif"/>
          <w:b w:val="false"/>
          <w:color w:val="000000"/>
          <w:sz w:val="22"/>
        </w:rPr>
        <w:t>) is entered into as of August 1, 2025 (the “</w:t>
      </w:r>
      <w:r>
        <w:rPr>
          <w:rFonts w:ascii="Times New Roman;serif" w:hAnsi="Times New Roman;serif"/>
          <w:b/>
          <w:i/>
          <w:color w:val="000000"/>
          <w:sz w:val="22"/>
        </w:rPr>
        <w:t>Amendment Effective Date</w:t>
      </w:r>
      <w:r>
        <w:rPr>
          <w:color w:val="000000"/>
        </w:rPr>
        <w:t>”</w:t>
      </w:r>
      <w:r>
        <w:rPr>
          <w:rFonts w:ascii="Times New Roman;serif" w:hAnsi="Times New Roman;serif"/>
          <w:b w:val="false"/>
          <w:color w:val="000000"/>
          <w:sz w:val="22"/>
        </w:rPr>
        <w:t xml:space="preserve">), between </w:t>
      </w:r>
      <w:r>
        <w:rPr>
          <w:rFonts w:ascii="Times New Roman;serif" w:hAnsi="Times New Roman;serif"/>
          <w:b/>
          <w:color w:val="000000"/>
          <w:sz w:val="22"/>
        </w:rPr>
        <w:t>SI-BONE, INC.</w:t>
      </w:r>
      <w:r>
        <w:rPr>
          <w:rFonts w:ascii="Times New Roman;serif" w:hAnsi="Times New Roman;serif"/>
          <w:b w:val="false"/>
          <w:color w:val="000000"/>
          <w:sz w:val="22"/>
        </w:rPr>
        <w:t>, a Delaware corporation having an address of 471 El Camino Real, Suite 101, Santa Clara, CA 95050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xml:space="preserve">) and </w:t>
      </w:r>
      <w:r>
        <w:rPr>
          <w:rFonts w:ascii="Times New Roman;serif" w:hAnsi="Times New Roman;serif"/>
          <w:b/>
          <w:color w:val="000000"/>
          <w:sz w:val="22"/>
        </w:rPr>
        <w:t xml:space="preserve">RMS COMPANY, </w:t>
      </w:r>
      <w:r>
        <w:rPr>
          <w:rFonts w:ascii="Times New Roman;serif" w:hAnsi="Times New Roman;serif"/>
          <w:b w:val="false"/>
          <w:color w:val="000000"/>
          <w:sz w:val="22"/>
        </w:rPr>
        <w:t>a Minnesota corporation having an address of 8600 Evergreen Boulevard, Coon Rapids, MN 55433 (“</w:t>
      </w:r>
      <w:r>
        <w:rPr>
          <w:rFonts w:ascii="Times New Roman;serif" w:hAnsi="Times New Roman;serif"/>
          <w:b/>
          <w:i/>
          <w:color w:val="000000"/>
          <w:sz w:val="22"/>
        </w:rPr>
        <w:t>Supplier</w:t>
      </w:r>
      <w:r>
        <w:rPr>
          <w:color w:val="000000"/>
        </w:rPr>
        <w:t>”</w:t>
      </w:r>
      <w:r>
        <w:rPr>
          <w:rFonts w:ascii="Times New Roman;serif" w:hAnsi="Times New Roman;serif"/>
          <w:b w:val="false"/>
          <w:color w:val="000000"/>
          <w:sz w:val="22"/>
        </w:rPr>
        <w:t>), and this Amendment amends that certain Manufacture and Supply Agreement, dated as of February 23, 2024 and as amended from time to time (the “</w:t>
      </w:r>
      <w:r>
        <w:rPr>
          <w:rFonts w:ascii="Times New Roman;serif" w:hAnsi="Times New Roman;serif"/>
          <w:b/>
          <w:i/>
          <w:color w:val="000000"/>
          <w:sz w:val="22"/>
        </w:rPr>
        <w:t>Existing Agreement</w:t>
      </w:r>
      <w:r>
        <w:rPr>
          <w:color w:val="000000"/>
        </w:rPr>
        <w:t>”</w:t>
      </w:r>
      <w:r>
        <w:rPr>
          <w:rFonts w:ascii="Times New Roman;serif" w:hAnsi="Times New Roman;serif"/>
          <w:b w:val="false"/>
          <w:color w:val="000000"/>
          <w:sz w:val="22"/>
        </w:rPr>
        <w:t>, and the Existing Agreement as amended by this Amendment,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Capitalized terms used and not defined herein shall have their respective meanings set forth in the Existing Agreement.</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12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Company and Supplier desire to amend the Existing Agreement, on the terms and conditions set forth below.</w:t>
      </w:r>
    </w:p>
    <w:p>
      <w:pPr>
        <w:pStyle w:val="TextBody"/>
        <w:bidi w:val="0"/>
        <w:spacing w:lineRule="auto" w:line="288" w:before="0" w:after="12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foregoing premises and the mutual covenants and agreements provided herein, the parties, intending to be legally bound, agree as follows.</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88" w:before="0" w:after="120"/>
        <w:ind w:left="0" w:right="0" w:hanging="720"/>
        <w:jc w:val="both"/>
        <w:rPr/>
      </w:pPr>
      <w:r>
        <w:rPr>
          <w:rFonts w:ascii="Times New Roman;serif" w:hAnsi="Times New Roman;serif"/>
          <w:b/>
          <w:color w:val="000000"/>
          <w:sz w:val="24"/>
        </w:rPr>
        <w:t>1.</w:t>
      </w:r>
      <w:r>
        <w:rPr>
          <w:rFonts w:ascii="Times New Roman;serif" w:hAnsi="Times New Roman;serif"/>
          <w:b/>
          <w:color w:val="000000"/>
          <w:sz w:val="22"/>
        </w:rPr>
        <w:t>AMENDMENTS</w:t>
      </w:r>
    </w:p>
    <w:p>
      <w:pPr>
        <w:pStyle w:val="TextBody"/>
        <w:bidi w:val="0"/>
        <w:spacing w:lineRule="auto" w:line="288" w:before="0" w:after="120"/>
        <w:ind w:left="0" w:right="0" w:hanging="720"/>
        <w:jc w:val="both"/>
        <w:rPr/>
      </w:pPr>
      <w:r>
        <w:rPr>
          <w:rFonts w:ascii="Times New Roman;serif" w:hAnsi="Times New Roman;serif"/>
          <w:b/>
          <w:color w:val="000000"/>
          <w:sz w:val="24"/>
        </w:rPr>
        <w:t>1.1</w:t>
      </w:r>
      <w:r>
        <w:rPr>
          <w:rFonts w:ascii="Times New Roman;serif" w:hAnsi="Times New Roman;serif"/>
          <w:b w:val="false"/>
          <w:color w:val="000000"/>
          <w:sz w:val="22"/>
        </w:rPr>
        <w:t>Section 1.1 of the Existing Agreement is hereby amended and restated in its entirety to read as follows:</w:t>
      </w:r>
    </w:p>
    <w:p>
      <w:pPr>
        <w:pStyle w:val="TextBody"/>
        <w:bidi w:val="0"/>
        <w:spacing w:lineRule="auto" w:line="288" w:before="0" w:after="120"/>
        <w:jc w:val="both"/>
        <w:rPr/>
      </w:pPr>
      <w:r>
        <w:rPr>
          <w:color w:val="000000"/>
        </w:rPr>
        <w:t>“</w:t>
      </w:r>
      <w:r>
        <w:rPr>
          <w:rFonts w:ascii="Times New Roman;serif" w:hAnsi="Times New Roman;serif"/>
          <w:b/>
          <w:color w:val="000000"/>
          <w:sz w:val="22"/>
        </w:rPr>
        <w:t>1.1    </w:t>
      </w:r>
      <w:r>
        <w:rPr>
          <w:rFonts w:ascii="Times New Roman;serif" w:hAnsi="Times New Roman;serif"/>
          <w:b/>
          <w:color w:val="000000"/>
          <w:sz w:val="22"/>
          <w:u w:val="single"/>
        </w:rPr>
        <w:t>Purchase and Sale</w:t>
      </w:r>
      <w:r>
        <w:rPr>
          <w:rFonts w:ascii="Times New Roman;serif" w:hAnsi="Times New Roman;serif"/>
          <w:b w:val="false"/>
          <w:color w:val="000000"/>
          <w:sz w:val="22"/>
        </w:rPr>
        <w:t xml:space="preserve">. Subject to the terms of this Agreement, during the Term, Company shall purchase from Supplier, and Supplier shall supply to Company, the products listed on </w:t>
      </w:r>
      <w:r>
        <w:rPr>
          <w:rFonts w:ascii="Times New Roman;serif" w:hAnsi="Times New Roman;serif"/>
          <w:b/>
          <w:color w:val="000000"/>
          <w:sz w:val="22"/>
        </w:rPr>
        <w:t xml:space="preserve">Exhibits A through D </w:t>
      </w:r>
      <w:r>
        <w:rPr>
          <w:rFonts w:ascii="Times New Roman;serif" w:hAnsi="Times New Roman;serif"/>
          <w:b w:val="false"/>
          <w:color w:val="000000"/>
          <w:sz w:val="22"/>
        </w:rPr>
        <w:t>and other products purchased by Company from Supplier from time to time (collectively, the “</w:t>
      </w:r>
      <w:r>
        <w:rPr>
          <w:rFonts w:ascii="Times New Roman;serif" w:hAnsi="Times New Roman;serif"/>
          <w:b/>
          <w:i/>
          <w:color w:val="000000"/>
          <w:sz w:val="22"/>
        </w:rPr>
        <w:t>Products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Exhibits A through D</w:t>
      </w:r>
      <w:r>
        <w:rPr>
          <w:color w:val="000000"/>
        </w:rPr>
        <w:t xml:space="preserve"> </w:t>
      </w:r>
      <w:r>
        <w:rPr>
          <w:rFonts w:ascii="Times New Roman;serif" w:hAnsi="Times New Roman;serif"/>
          <w:b w:val="false"/>
          <w:color w:val="000000"/>
          <w:sz w:val="22"/>
        </w:rPr>
        <w:t xml:space="preserve">shall include (a) a detailed description of the Product(s), (b) the purchase price of the Product(s), and (c) any other relevant information pertaining to the Products. From time to time, the parties may mutually agree to add additional products to </w:t>
      </w:r>
      <w:r>
        <w:rPr>
          <w:rFonts w:ascii="Times New Roman;serif" w:hAnsi="Times New Roman;serif"/>
          <w:b/>
          <w:color w:val="000000"/>
          <w:sz w:val="22"/>
        </w:rPr>
        <w:t>Exhibits A through D</w:t>
      </w:r>
      <w:r>
        <w:rPr>
          <w:color w:val="000000"/>
        </w:rPr>
        <w:t xml:space="preserve"> </w:t>
      </w:r>
      <w:r>
        <w:rPr>
          <w:rFonts w:ascii="Times New Roman;serif" w:hAnsi="Times New Roman;serif"/>
          <w:b w:val="false"/>
          <w:color w:val="000000"/>
          <w:sz w:val="22"/>
        </w:rPr>
        <w:t>pursuant to a writing signed by both parties, at which time such products will become Products for purposes of this Agreement.”</w:t>
      </w:r>
    </w:p>
    <w:p>
      <w:pPr>
        <w:pStyle w:val="TextBody"/>
        <w:bidi w:val="0"/>
        <w:spacing w:lineRule="auto" w:line="288" w:before="0" w:after="120"/>
        <w:ind w:left="0" w:right="0" w:hanging="720"/>
        <w:jc w:val="both"/>
        <w:rPr/>
      </w:pPr>
      <w:r>
        <w:rPr>
          <w:rFonts w:ascii="Times New Roman;serif" w:hAnsi="Times New Roman;serif"/>
          <w:b/>
          <w:color w:val="000000"/>
          <w:sz w:val="24"/>
        </w:rPr>
        <w:t>1.2</w:t>
      </w:r>
      <w:r>
        <w:rPr>
          <w:rFonts w:ascii="Times New Roman;serif" w:hAnsi="Times New Roman;serif"/>
          <w:b/>
          <w:color w:val="000000"/>
          <w:sz w:val="22"/>
        </w:rPr>
        <w:t>Exhibits A through D</w:t>
      </w:r>
      <w:r>
        <w:rPr>
          <w:color w:val="000000"/>
        </w:rPr>
        <w:t xml:space="preserve"> </w:t>
      </w:r>
      <w:r>
        <w:rPr>
          <w:rFonts w:ascii="Times New Roman;serif" w:hAnsi="Times New Roman;serif"/>
          <w:b w:val="false"/>
          <w:color w:val="000000"/>
          <w:sz w:val="22"/>
        </w:rPr>
        <w:t xml:space="preserve">of the Existing Agreement are hereby amended and restated in their entirety by </w:t>
      </w:r>
      <w:r>
        <w:rPr>
          <w:rFonts w:ascii="Times New Roman;serif" w:hAnsi="Times New Roman;serif"/>
          <w:b/>
          <w:color w:val="000000"/>
          <w:sz w:val="22"/>
        </w:rPr>
        <w:t xml:space="preserve">Exhibits A through D </w:t>
      </w:r>
      <w:r>
        <w:rPr>
          <w:rFonts w:ascii="Times New Roman;serif" w:hAnsi="Times New Roman;serif"/>
          <w:b w:val="false"/>
          <w:color w:val="000000"/>
          <w:sz w:val="22"/>
        </w:rPr>
        <w:t>attached hereto.</w:t>
      </w:r>
    </w:p>
    <w:p>
      <w:pPr>
        <w:pStyle w:val="TextBody"/>
        <w:bidi w:val="0"/>
        <w:spacing w:lineRule="auto" w:line="288" w:before="0" w:after="120"/>
        <w:ind w:left="0" w:right="0" w:hanging="720"/>
        <w:jc w:val="both"/>
        <w:rPr/>
      </w:pPr>
      <w:r>
        <w:rPr>
          <w:rFonts w:ascii="Times New Roman;serif" w:hAnsi="Times New Roman;serif"/>
          <w:b/>
          <w:color w:val="000000"/>
          <w:sz w:val="24"/>
        </w:rPr>
        <w:t>2.</w:t>
      </w:r>
      <w:r>
        <w:rPr>
          <w:rFonts w:ascii="Times New Roman;serif" w:hAnsi="Times New Roman;serif"/>
          <w:b/>
          <w:color w:val="000000"/>
          <w:sz w:val="22"/>
        </w:rPr>
        <w:t>MISCELLANEOUS</w:t>
      </w:r>
    </w:p>
    <w:p>
      <w:pPr>
        <w:pStyle w:val="TextBody"/>
        <w:bidi w:val="0"/>
        <w:spacing w:lineRule="auto" w:line="288" w:before="0" w:after="120"/>
        <w:ind w:left="0" w:right="0" w:hanging="720"/>
        <w:jc w:val="both"/>
        <w:rPr/>
      </w:pPr>
      <w:r>
        <w:rPr>
          <w:rFonts w:ascii="Times New Roman;serif" w:hAnsi="Times New Roman;serif"/>
          <w:b/>
          <w:color w:val="000000"/>
          <w:sz w:val="24"/>
        </w:rPr>
        <w:t>2.1</w:t>
      </w:r>
      <w:r>
        <w:rPr>
          <w:rFonts w:ascii="Times New Roman;serif" w:hAnsi="Times New Roman;serif"/>
          <w:b/>
          <w:color w:val="000000"/>
          <w:sz w:val="22"/>
        </w:rPr>
        <w:t>No Other Amendments</w:t>
      </w:r>
      <w:r>
        <w:rPr>
          <w:rFonts w:ascii="Times New Roman;serif" w:hAnsi="Times New Roman;serif"/>
          <w:b w:val="false"/>
          <w:color w:val="000000"/>
          <w:sz w:val="22"/>
        </w:rPr>
        <w:t>. Except as specified above, all other terms and conditions of the Existing Agreement shall remain unchanged and in full force and effect.</w:t>
      </w:r>
    </w:p>
    <w:p>
      <w:pPr>
        <w:pStyle w:val="TextBody"/>
        <w:bidi w:val="0"/>
        <w:spacing w:lineRule="auto" w:line="288" w:before="0" w:after="120"/>
        <w:ind w:left="0" w:right="0" w:hanging="720"/>
        <w:jc w:val="both"/>
        <w:rPr/>
      </w:pPr>
      <w:r>
        <w:rPr>
          <w:rFonts w:ascii="Times New Roman;serif" w:hAnsi="Times New Roman;serif"/>
          <w:b/>
          <w:color w:val="000000"/>
          <w:sz w:val="24"/>
        </w:rPr>
        <w:t>2.2</w:t>
      </w:r>
      <w:r>
        <w:rPr>
          <w:rFonts w:ascii="Times New Roman;serif" w:hAnsi="Times New Roman;serif"/>
          <w:b/>
          <w:color w:val="000000"/>
          <w:sz w:val="22"/>
        </w:rPr>
        <w:t>Entire Agreement</w:t>
      </w:r>
      <w:r>
        <w:rPr>
          <w:rFonts w:ascii="Times New Roman;serif" w:hAnsi="Times New Roman;serif"/>
          <w:b w:val="false"/>
          <w:color w:val="000000"/>
          <w:sz w:val="22"/>
        </w:rPr>
        <w:t>. The Agreement (including this Amendment) contains the entire agreement of the parties hereto with respect to its subject matter, superseding all negotiations, prior discussions and preliminary agreements made prior to the date hereof.</w:t>
      </w:r>
    </w:p>
    <w:p>
      <w:pPr>
        <w:pStyle w:val="TextBody"/>
        <w:bidi w:val="0"/>
        <w:spacing w:lineRule="auto" w:line="288" w:before="0" w:after="120"/>
        <w:ind w:left="0" w:right="0" w:hanging="720"/>
        <w:jc w:val="both"/>
        <w:rPr/>
      </w:pPr>
      <w:r>
        <w:rPr>
          <w:rFonts w:ascii="Times New Roman;serif" w:hAnsi="Times New Roman;serif"/>
          <w:b/>
          <w:color w:val="000000"/>
          <w:sz w:val="24"/>
        </w:rPr>
        <w:t>2.3</w:t>
      </w:r>
      <w:r>
        <w:rPr>
          <w:rFonts w:ascii="Times New Roman;serif" w:hAnsi="Times New Roman;serif"/>
          <w:b/>
          <w:color w:val="000000"/>
          <w:sz w:val="22"/>
        </w:rPr>
        <w:t>Counterparts</w:t>
      </w:r>
      <w:r>
        <w:rPr>
          <w:rFonts w:ascii="Times New Roman;serif" w:hAnsi="Times New Roman;serif"/>
          <w:b w:val="false"/>
          <w:color w:val="000000"/>
          <w:sz w:val="22"/>
        </w:rPr>
        <w:t xml:space="preserve">. This Amendment may be executed manually or by facsimile by the parties, in any number of counterparts, each of which shall be considered one and the same agreement and shall become effective when a counterpart hereof shall have been signed by each of the parties and delivered to each of the other parties.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36855"/>
                <wp:effectExtent l="0" t="0" r="0" b="0"/>
                <wp:wrapNone/>
                <wp:docPr id="97" name="Frame44"/>
                <a:graphic xmlns:a="http://schemas.openxmlformats.org/drawingml/2006/main">
                  <a:graphicData uri="http://schemas.microsoft.com/office/word/2010/wordprocessingShape">
                    <wps:wsp>
                      <wps:cNvSpPr txBox="1"/>
                      <wps:spPr>
                        <a:xfrm>
                          <a:off x="0" y="0"/>
                          <a:ext cx="6480175" cy="23685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Page 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Page 1 of 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Amendment to be executed by their respective duly authorized officers as of the Amendment Effective Date.</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SI-BONE, INC.</w:t>
      </w:r>
    </w:p>
    <w:p>
      <w:pPr>
        <w:pStyle w:val="TextBody"/>
        <w:bidi w:val="0"/>
        <w:spacing w:lineRule="auto" w:line="288" w:before="0" w:after="0"/>
        <w:ind w:left="0" w:right="0" w:firstLine="720"/>
        <w:jc w:val="both"/>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Anshul Maheshwari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Anshul Maheshwari</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RMS COMPANY</w:t>
      </w:r>
    </w:p>
    <w:p>
      <w:pPr>
        <w:pStyle w:val="TextBody"/>
        <w:bidi w:val="0"/>
        <w:spacing w:lineRule="auto" w:line="288" w:before="0" w:after="0"/>
        <w:ind w:left="0" w:right="0" w:firstLine="720"/>
        <w:jc w:val="both"/>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John Braun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John Braun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President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36855"/>
                <wp:effectExtent l="0" t="0" r="0" b="0"/>
                <wp:wrapNone/>
                <wp:docPr id="98" name="Frame45"/>
                <a:graphic xmlns:a="http://schemas.openxmlformats.org/drawingml/2006/main">
                  <a:graphicData uri="http://schemas.microsoft.com/office/word/2010/wordprocessingShape">
                    <wps:wsp>
                      <wps:cNvSpPr txBox="1"/>
                      <wps:spPr>
                        <a:xfrm>
                          <a:off x="0" y="0"/>
                          <a:ext cx="6480175" cy="23685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Page 2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Page 2 of 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PRICING ADDENDUM</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D</w:t>
      </w:r>
    </w:p>
    <w:p>
      <w:pPr>
        <w:pStyle w:val="TextBody"/>
        <w:bidi w:val="0"/>
        <w:spacing w:lineRule="auto" w:line="288"/>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Laura A. Francis,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90"/>
        <w:jc w:val="both"/>
        <w:rPr>
          <w:color w:val="000000"/>
        </w:rPr>
      </w:pPr>
      <w:r>
        <w:rPr>
          <w:color w:val="000000"/>
        </w:rPr>
        <w:t> </w:t>
      </w:r>
    </w:p>
    <w:tbl>
      <w:tblPr>
        <w:tblW w:w="502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ind w:left="0" w:right="0" w:hanging="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632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399"/>
        <w:gridCol w:w="399"/>
        <w:gridCol w:w="399"/>
        <w:gridCol w:w="399"/>
        <w:gridCol w:w="399"/>
        <w:gridCol w:w="399"/>
        <w:gridCol w:w="399"/>
        <w:gridCol w:w="399"/>
        <w:gridCol w:w="5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AND PRINCIPAL FINANCIAL OFFICER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 The Company’s Quarterly Report on Form 10-Q for the period ended June 30, 2025, to which this Certification is attached as Exhibit 32.1 (the “Periodic Report”), fully complies with the requirements of Section 13(a) or Section 15(d) of the Exchange Act; 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Periodic Report fairly presents, in all material respects, the financial condition and results of operations of the Company. </w:t>
      </w:r>
    </w:p>
    <w:tbl>
      <w:tblPr>
        <w:tblW w:w="632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263"/>
        <w:gridCol w:w="263"/>
        <w:gridCol w:w="263"/>
        <w:gridCol w:w="463"/>
        <w:gridCol w:w="463"/>
        <w:gridCol w:w="463"/>
        <w:gridCol w:w="463"/>
        <w:gridCol w:w="463"/>
        <w:gridCol w:w="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9839/000119312518303020/d641574dex31.htm" TargetMode="External"/><Relationship Id="rId3" Type="http://schemas.openxmlformats.org/officeDocument/2006/relationships/hyperlink" Target="https://www.sec.gov/Archives/edgar/data/1459839/000119312518293978/d452987dex34.htm" TargetMode="External"/><Relationship Id="rId4" Type="http://schemas.openxmlformats.org/officeDocument/2006/relationships/hyperlink" Target="https://www.sec.gov/ix?doc=/Archives/edgar/data/0001459839/000145983924000048/sibn-20240625.htm" TargetMode="External"/><Relationship Id="rId5" Type="http://schemas.openxmlformats.org/officeDocument/2006/relationships/hyperlink" Target="https://www.sec.gov/Archives/edgar/data/1459839/000119312518293978/d452987dex41.htm" TargetMode="External"/><Relationship Id="rId6" Type="http://schemas.openxmlformats.org/officeDocument/2006/relationships/hyperlink" Target="https://www.sec.gov/Archives/edgar/data/1459839/000119312518303020/d641574dex31.htm" TargetMode="External"/><Relationship Id="rId7" Type="http://schemas.openxmlformats.org/officeDocument/2006/relationships/hyperlink" Target="https://www.sec.gov/Archives/edgar/data/1459839/000119312518293978/d452987dex34.htm" TargetMode="External"/><Relationship Id="rId8" Type="http://schemas.openxmlformats.org/officeDocument/2006/relationships/hyperlink" Target="https://www.sec.gov/ix?doc=/Archives/edgar/data/0001459839/000145983924000048/sibn-20240625.htm" TargetMode="External"/><Relationship Id="rId9" Type="http://schemas.openxmlformats.org/officeDocument/2006/relationships/hyperlink" Target="https://www.sec.gov/Archives/edgar/data/1459839/000145983925000061/a2ndarparticipationagreeme.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1.jpeg"/><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image" Target="media/image4.jpeg"/><Relationship Id="rId42" Type="http://schemas.openxmlformats.org/officeDocument/2006/relationships/image" Target="media/image5.jpeg"/><Relationship Id="rId43" Type="http://schemas.openxmlformats.org/officeDocument/2006/relationships/image" Target="media/image6.jpeg"/><Relationship Id="rId44" Type="http://schemas.openxmlformats.org/officeDocument/2006/relationships/image" Target="media/image7.jpeg"/><Relationship Id="rId45" Type="http://schemas.openxmlformats.org/officeDocument/2006/relationships/image" Target="media/image8.jpeg"/><Relationship Id="rId46" Type="http://schemas.openxmlformats.org/officeDocument/2006/relationships/image" Target="media/image9.jpeg"/><Relationship Id="rId47" Type="http://schemas.openxmlformats.org/officeDocument/2006/relationships/image" Target="media/image10.jpeg"/><Relationship Id="rId48" Type="http://schemas.openxmlformats.org/officeDocument/2006/relationships/image" Target="media/image11.jpeg"/><Relationship Id="rId49" Type="http://schemas.openxmlformats.org/officeDocument/2006/relationships/image" Target="media/image12.jpeg"/><Relationship Id="rId50" Type="http://schemas.openxmlformats.org/officeDocument/2006/relationships/image" Target="media/image13.jpeg"/><Relationship Id="rId51" Type="http://schemas.openxmlformats.org/officeDocument/2006/relationships/image" Target="media/image14.jpeg"/><Relationship Id="rId52" Type="http://schemas.openxmlformats.org/officeDocument/2006/relationships/image" Target="media/image15.jpeg"/><Relationship Id="rId53" Type="http://schemas.openxmlformats.org/officeDocument/2006/relationships/image" Target="media/image16.jpeg"/><Relationship Id="rId54" Type="http://schemas.openxmlformats.org/officeDocument/2006/relationships/image" Target="media/image17.jpeg"/><Relationship Id="rId55" Type="http://schemas.openxmlformats.org/officeDocument/2006/relationships/image" Target="media/image18.jpeg"/><Relationship Id="rId56" Type="http://schemas.openxmlformats.org/officeDocument/2006/relationships/image" Target="media/image19.jpeg"/><Relationship Id="rId57" Type="http://schemas.openxmlformats.org/officeDocument/2006/relationships/image" Target="media/image20.jpeg"/><Relationship Id="rId58" Type="http://schemas.openxmlformats.org/officeDocument/2006/relationships/image" Target="media/image21.jpeg"/><Relationship Id="rId59" Type="http://schemas.openxmlformats.org/officeDocument/2006/relationships/image" Target="media/image22.jpeg"/><Relationship Id="rId60" Type="http://schemas.openxmlformats.org/officeDocument/2006/relationships/image" Target="media/image23.jpeg"/><Relationship Id="rId61" Type="http://schemas.openxmlformats.org/officeDocument/2006/relationships/image" Target="media/image24.jpeg"/><Relationship Id="rId62" Type="http://schemas.openxmlformats.org/officeDocument/2006/relationships/image" Target="media/image29.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44731</Words>
  <Characters>244897</Characters>
  <CharactersWithSpaces>288562</CharactersWithSpaces>
  <Paragraphs>2475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sibn-ex104</dc:title>
</cp:coreProperties>
</file>