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8"/>
        </w:rPr>
        <w:t>Date of report (Date of earliest event reported): February 28, 2022</w:t>
      </w:r>
      <w:r>
        <w:rPr>
          <w:color w:val="000000"/>
        </w:rPr>
        <w:t xml:space="preserve">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SI-BONE,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____________________________________________________________________________</w:t>
      </w:r>
    </w:p>
    <w:tbl>
      <w:tblPr>
        <w:tblW w:w="5410" w:type="dxa"/>
        <w:jc w:val="center"/>
        <w:tblInd w:w="0" w:type="dxa"/>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001-38701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Suite 101</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Santa Clara, CA 95050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(408) 207-0700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include area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Former Address, if Changed Since Last Report)</w: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CellMar>
          <w:top w:w="28" w:type="dxa"/>
          <w:left w:w="28" w:type="dxa"/>
          <w:bottom w:w="28" w:type="dxa"/>
          <w:right w:w="28" w:type="dxa"/>
        </w:tblCellMar>
      </w:tblPr>
      <w:tblGrid>
        <w:gridCol w:w="124"/>
        <w:gridCol w:w="109"/>
        <w:gridCol w:w="109"/>
        <w:gridCol w:w="1904"/>
        <w:gridCol w:w="1904"/>
        <w:gridCol w:w="270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CellMar>
          <w:top w:w="28" w:type="dxa"/>
          <w:left w:w="28" w:type="dxa"/>
          <w:bottom w:w="28" w:type="dxa"/>
          <w:right w:w="28" w:type="dxa"/>
        </w:tblCellMar>
      </w:tblPr>
      <w:tblGrid>
        <w:gridCol w:w="124"/>
        <w:gridCol w:w="109"/>
        <w:gridCol w:w="109"/>
        <w:gridCol w:w="1904"/>
        <w:gridCol w:w="1904"/>
        <w:gridCol w:w="27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1904" w:type="dxa"/>
            <w:tcBorders/>
            <w:shd w:fill="auto" w:val="clear"/>
            <w:vAlign w:val="center"/>
          </w:tcPr>
          <w:p>
            <w:pPr>
              <w:pStyle w:val="TableContents"/>
              <w:spacing w:before="0" w:after="283"/>
              <w:rPr>
                <w:sz w:val="4"/>
                <w:szCs w:val="4"/>
              </w:rPr>
            </w:pPr>
            <w:r>
              <w:rPr>
                <w:sz w:val="4"/>
                <w:szCs w:val="4"/>
              </w:rPr>
            </w:r>
          </w:p>
        </w:tc>
        <w:tc>
          <w:tcPr>
            <w:tcW w:w="27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5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CellMar>
          <w:top w:w="28" w:type="dxa"/>
          <w:left w:w="28" w:type="dxa"/>
          <w:bottom w:w="28" w:type="dxa"/>
          <w:right w:w="28" w:type="dxa"/>
        </w:tblCellMar>
      </w:tblPr>
      <w:tblGrid>
        <w:gridCol w:w="124"/>
        <w:gridCol w:w="109"/>
        <w:gridCol w:w="109"/>
        <w:gridCol w:w="2368"/>
        <w:gridCol w:w="2368"/>
        <w:gridCol w:w="33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CellMar>
          <w:top w:w="28" w:type="dxa"/>
          <w:left w:w="28" w:type="dxa"/>
          <w:bottom w:w="28" w:type="dxa"/>
          <w:right w:w="28" w:type="dxa"/>
        </w:tblCellMar>
      </w:tblPr>
      <w:tblGrid>
        <w:gridCol w:w="124"/>
        <w:gridCol w:w="109"/>
        <w:gridCol w:w="109"/>
        <w:gridCol w:w="2350"/>
        <w:gridCol w:w="2350"/>
        <w:gridCol w:w="33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33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414" w:type="dxa"/>
        <w:jc w:val="center"/>
        <w:tblInd w:w="0" w:type="dxa"/>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Title of each class </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Trading Symbol(s) </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Name of each exchange on which registered </w:t>
            </w:r>
          </w:p>
        </w:tc>
      </w:tr>
      <w:tr>
        <w:trPr/>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SIBN</w:t>
            </w:r>
          </w:p>
        </w:tc>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SI-BONE, Inc. (the "Company") issued a press release (the “Press Release”) announcing results for the quarter and year ended December 31, 2021. A copy of the Press Release is attached as Exhibit 99.1 to this current report on Form 8-K and is incorporated by reference herein.</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spacing w:before="0" w:after="0"/>
        <w:ind w:left="0" w:right="0" w:firstLine="540"/>
        <w:jc w:val="both"/>
        <w:rPr/>
      </w:pPr>
      <w:r>
        <w:rPr/>
      </w:r>
    </w:p>
    <w:p>
      <w:pPr>
        <w:pStyle w:val="TextBody"/>
        <w:spacing w:before="0" w:after="0"/>
        <w:jc w:val="both"/>
        <w:rPr/>
      </w:pPr>
      <w:r>
        <w:rPr/>
      </w:r>
    </w:p>
    <w:p>
      <w:pPr>
        <w:pStyle w:val="TextBody"/>
        <w:spacing w:before="0" w:after="0"/>
        <w:ind w:left="0" w:right="0" w:firstLine="54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08" w:type="dxa"/>
        <w:jc w:val="left"/>
        <w:tblInd w:w="0" w:type="dxa"/>
        <w:tblCellMar>
          <w:top w:w="28" w:type="dxa"/>
          <w:left w:w="28" w:type="dxa"/>
          <w:bottom w:w="28" w:type="dxa"/>
          <w:right w:w="28" w:type="dxa"/>
        </w:tblCellMar>
      </w:tblPr>
      <w:tblGrid>
        <w:gridCol w:w="391"/>
        <w:gridCol w:w="344"/>
        <w:gridCol w:w="346"/>
        <w:gridCol w:w="109"/>
        <w:gridCol w:w="109"/>
        <w:gridCol w:w="109"/>
        <w:gridCol w:w="1928"/>
        <w:gridCol w:w="1928"/>
        <w:gridCol w:w="274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274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991_sibn12312021ear.htm">
              <w:r>
                <w:rPr>
                  <w:rStyle w:val="InternetLink"/>
                  <w:rFonts w:ascii="Times New Roman;sans-serif" w:hAnsi="Times New Roman;sans-serif"/>
                  <w:b w:val="false"/>
                  <w:color w:val="0000FF"/>
                  <w:sz w:val="20"/>
                  <w:u w:val="single"/>
                </w:rPr>
                <w:t>Press release dated February 28, 2022</w:t>
              </w:r>
            </w:hyperlink>
          </w:p>
        </w:tc>
      </w:tr>
      <w:tr>
        <w:trPr/>
        <w:tc>
          <w:tcPr>
            <w:tcW w:w="10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575" w:type="dxa"/>
        <w:jc w:val="left"/>
        <w:tblInd w:w="0" w:type="dxa"/>
        <w:tblCellMar>
          <w:top w:w="28" w:type="dxa"/>
          <w:left w:w="28" w:type="dxa"/>
          <w:bottom w:w="28" w:type="dxa"/>
          <w:right w:w="28" w:type="dxa"/>
        </w:tblCellMar>
      </w:tblPr>
      <w:tblGrid>
        <w:gridCol w:w="200"/>
        <w:gridCol w:w="177"/>
        <w:gridCol w:w="178"/>
        <w:gridCol w:w="529"/>
        <w:gridCol w:w="529"/>
        <w:gridCol w:w="531"/>
        <w:gridCol w:w="222"/>
        <w:gridCol w:w="222"/>
        <w:gridCol w:w="222"/>
        <w:gridCol w:w="1098"/>
        <w:gridCol w:w="1098"/>
        <w:gridCol w:w="156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r>
      <w:tr>
        <w:trPr/>
        <w:tc>
          <w:tcPr>
            <w:tcW w:w="6575"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SI-BONE, INC.</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jc w:val="center"/>
        <w:rPr/>
      </w:pPr>
      <w:r>
        <w:rPr/>
        <w:drawing>
          <wp:inline distT="0" distB="6350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SI-BONE, Inc. Reports Fourth Quarter and Full Year 2021 Financial Results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and Issues 2022 Revenue Guidance</w:t>
      </w:r>
    </w:p>
    <w:p>
      <w:pPr>
        <w:pStyle w:val="TextBody"/>
        <w:spacing w:before="0" w:after="0"/>
        <w:jc w:val="both"/>
        <w:rPr/>
      </w:pPr>
      <w:r>
        <w:rPr/>
      </w:r>
    </w:p>
    <w:p>
      <w:pPr>
        <w:pStyle w:val="TextBody"/>
        <w:spacing w:before="0" w:after="0"/>
        <w:jc w:val="both"/>
        <w:rPr/>
      </w:pPr>
      <w:r>
        <w:rPr/>
      </w:r>
    </w:p>
    <w:p>
      <w:pPr>
        <w:pStyle w:val="TextBody"/>
        <w:spacing w:lineRule="auto" w:line="345" w:before="0" w:after="0"/>
        <w:jc w:val="both"/>
        <w:rPr/>
      </w:pPr>
      <w:r>
        <w:rPr>
          <w:rFonts w:ascii="Times New Roman;sans-serif" w:hAnsi="Times New Roman;sans-serif"/>
          <w:b/>
          <w:color w:val="000000"/>
          <w:sz w:val="22"/>
        </w:rPr>
        <w:t xml:space="preserve">SANTA CLARA, Calif. </w:t>
      </w:r>
      <w:r>
        <w:rPr>
          <w:rFonts w:ascii="Times New Roman;sans-serif" w:hAnsi="Times New Roman;sans-serif"/>
          <w:b w:val="false"/>
          <w:color w:val="000000"/>
          <w:sz w:val="22"/>
        </w:rPr>
        <w:t>February 28, 2022 - SI-BONE, Inc. (Nasdaq:SIBN), a medical device company dedicated to solving musculoskeletal disorders of the sacropelvic anatomy, today reported financial results for the quarter and full year ended December 31, 2021.</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Recent Highlights </w:t>
      </w:r>
    </w:p>
    <w:p>
      <w:pPr>
        <w:pStyle w:val="TextBody"/>
        <w:spacing w:before="0" w:after="0"/>
        <w:jc w:val="both"/>
        <w:rPr/>
      </w:pPr>
      <w:r>
        <w:rPr/>
      </w:r>
    </w:p>
    <w:p>
      <w:pPr>
        <w:pStyle w:val="TextBody"/>
        <w:spacing w:lineRule="auto" w:line="417" w:before="0" w:after="0"/>
        <w:ind w:left="0" w:right="0" w:hanging="405"/>
        <w:rPr/>
      </w:pPr>
      <w:r>
        <w:rPr>
          <w:color w:val="000000"/>
        </w:rPr>
        <w:t>•</w:t>
      </w:r>
      <w:r>
        <w:rPr>
          <w:rFonts w:ascii="Times New Roman;sans-serif" w:hAnsi="Times New Roman;sans-serif"/>
          <w:b w:val="false"/>
          <w:color w:val="000000"/>
          <w:sz w:val="22"/>
        </w:rPr>
        <w:t xml:space="preserve">Worldwide revenue of $25.2 million for the fourth quarter 2021 and $90.2 million for the full year 2021, representing an increase of 14% and 23%, respectively, over the corresponding periods in 2020 </w:t>
      </w:r>
    </w:p>
    <w:p>
      <w:pPr>
        <w:pStyle w:val="TextBody"/>
        <w:spacing w:lineRule="auto" w:line="417" w:before="0" w:after="0"/>
        <w:ind w:left="0" w:right="0" w:hanging="405"/>
        <w:rPr/>
      </w:pPr>
      <w:r>
        <w:rPr>
          <w:color w:val="000000"/>
        </w:rPr>
        <w:t>•</w:t>
      </w:r>
      <w:r>
        <w:rPr>
          <w:rFonts w:ascii="Times New Roman;sans-serif" w:hAnsi="Times New Roman;sans-serif"/>
          <w:b w:val="false"/>
          <w:color w:val="000000"/>
          <w:sz w:val="22"/>
        </w:rPr>
        <w:t>U.S. revenue of $23.3 million for the fourth quarter 2021 and $82.7 million for the full year 2021, representing an increase of 13% and 21%, respectively, over the corresponding prior periods in 2020</w:t>
      </w:r>
    </w:p>
    <w:p>
      <w:pPr>
        <w:pStyle w:val="TextBody"/>
        <w:spacing w:lineRule="auto" w:line="417" w:before="0" w:after="0"/>
        <w:ind w:left="0" w:right="0" w:hanging="405"/>
        <w:rPr/>
      </w:pPr>
      <w:r>
        <w:rPr>
          <w:color w:val="000000"/>
        </w:rPr>
        <w:t>•</w:t>
      </w:r>
      <w:r>
        <w:rPr>
          <w:rFonts w:ascii="Times New Roman;sans-serif" w:hAnsi="Times New Roman;sans-serif"/>
          <w:b w:val="false"/>
          <w:color w:val="000000"/>
          <w:sz w:val="22"/>
        </w:rPr>
        <w:t>Gross Margin of 88% for the full year 2021</w:t>
      </w:r>
    </w:p>
    <w:p>
      <w:pPr>
        <w:pStyle w:val="TextBody"/>
        <w:spacing w:lineRule="auto" w:line="417" w:before="0" w:after="0"/>
        <w:ind w:left="0" w:right="0" w:hanging="405"/>
        <w:rPr/>
      </w:pPr>
      <w:r>
        <w:rPr>
          <w:color w:val="000000"/>
        </w:rPr>
        <w:t>•</w:t>
      </w:r>
      <w:r>
        <w:rPr>
          <w:rFonts w:ascii="Times New Roman;sans-serif" w:hAnsi="Times New Roman;sans-serif"/>
          <w:b w:val="false"/>
          <w:color w:val="000000"/>
          <w:sz w:val="22"/>
        </w:rPr>
        <w:t>Surpass</w:t>
      </w:r>
      <w:r>
        <w:rPr>
          <w:rFonts w:ascii="Times New Roman;sans-serif" w:hAnsi="Times New Roman;sans-serif"/>
          <w:b w:val="false"/>
          <w:color w:val="000000"/>
          <w:sz w:val="22"/>
          <w:highlight w:val="white"/>
        </w:rPr>
        <w:t>ed 65,000 proc</w:t>
      </w:r>
      <w:r>
        <w:rPr>
          <w:rFonts w:ascii="Times New Roman;sans-serif" w:hAnsi="Times New Roman;sans-serif"/>
          <w:b w:val="false"/>
          <w:color w:val="000000"/>
          <w:sz w:val="22"/>
        </w:rPr>
        <w:t xml:space="preserve">edures performed by over 2,600 surgeons worldwide, including </w:t>
      </w:r>
      <w:r>
        <w:rPr>
          <w:rFonts w:ascii="Times New Roman;sans-serif" w:hAnsi="Times New Roman;sans-serif"/>
          <w:b w:val="false"/>
          <w:color w:val="000000"/>
          <w:sz w:val="22"/>
          <w:highlight w:val="white"/>
        </w:rPr>
        <w:t xml:space="preserve">over 690 </w:t>
      </w:r>
      <w:r>
        <w:rPr>
          <w:rFonts w:ascii="Times New Roman;sans-serif" w:hAnsi="Times New Roman;sans-serif"/>
          <w:b w:val="false"/>
          <w:color w:val="000000"/>
          <w:sz w:val="22"/>
        </w:rPr>
        <w:t>U.S. active surgeons in the fourth quarter 2021</w:t>
      </w:r>
    </w:p>
    <w:p>
      <w:pPr>
        <w:pStyle w:val="TextBody"/>
        <w:spacing w:lineRule="auto" w:line="417" w:before="0" w:after="0"/>
        <w:ind w:left="0" w:right="0" w:hanging="405"/>
        <w:rPr/>
      </w:pPr>
      <w:r>
        <w:rPr>
          <w:color w:val="000000"/>
        </w:rPr>
        <w:t>•</w:t>
      </w:r>
      <w:r>
        <w:rPr>
          <w:rFonts w:ascii="Times New Roman;sans-serif" w:hAnsi="Times New Roman;sans-serif"/>
          <w:b w:val="false"/>
          <w:color w:val="000000"/>
          <w:sz w:val="22"/>
        </w:rPr>
        <w:t>150 U.S. field sales representatives, including 85 Territory Managers and 65 Clinical Support Specialists at the end of 2021</w:t>
      </w:r>
    </w:p>
    <w:p>
      <w:pPr>
        <w:pStyle w:val="TextBody"/>
        <w:spacing w:before="0" w:after="0"/>
        <w:rPr/>
      </w:pPr>
      <w:r>
        <w:rPr/>
      </w:r>
    </w:p>
    <w:p>
      <w:pPr>
        <w:pStyle w:val="TextBody"/>
        <w:spacing w:lineRule="auto" w:line="345" w:before="0" w:after="0"/>
        <w:jc w:val="both"/>
        <w:rPr>
          <w:color w:val="000000"/>
        </w:rPr>
      </w:pPr>
      <w:r>
        <w:rPr>
          <w:color w:val="000000"/>
        </w:rPr>
        <w:t>“</w:t>
      </w:r>
      <w:r>
        <w:rPr>
          <w:rFonts w:ascii="Times New Roman;sans-serif" w:hAnsi="Times New Roman;sans-serif"/>
          <w:b w:val="false"/>
          <w:color w:val="000000"/>
          <w:sz w:val="22"/>
        </w:rPr>
        <w:t xml:space="preserve">I am pleased with the team's execution in 2021, as we extended our market leadership, grew our commercial infrastructure, expanded exclusive payor coverage, and ended the year with a record active surgeon base.” said Laura Francis, Chief Executive Officer of SI-BONE. “As we look beyond the near-term impact from the recent resurgence of COVID-19 on elective procedures and hospital infrastructure, we see strong underlying momentum in our business. In 2022 we will continue to leverage our investments to execute on our long-term strategy and expand the market for sacropelvic surgical solutions.” </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Fourth Quarter 2021 Financial Results</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Revenue was $25.2 million in the fourth quarter 2021, a 14% increase from $22.1 million in the corresponding period in 2020 . U.S. revenue for the fourth quarter 2021 was $23.3 million, an increase of 13% from $20.7 million in the corresponding period in 2020 primarily driven by growth of domestic case volumes. International revenue was $1.9 million in the fourth quarter 2021 compared to $1.5 million in the corresponding period in 2020 .</w:t>
      </w:r>
    </w:p>
    <w:p>
      <w:pPr>
        <w:pStyle w:val="TextBody"/>
        <w:spacing w:before="0" w:after="0"/>
        <w:jc w:val="both"/>
        <w:rPr/>
      </w:pPr>
      <w:r>
        <w:rPr/>
      </w:r>
    </w:p>
    <w:p>
      <w:pPr>
        <w:pStyle w:val="TextBody"/>
        <w:spacing w:lineRule="auto" w:line="345"/>
        <w:jc w:val="both"/>
        <w:rPr>
          <w:rFonts w:ascii="Times New Roman;sans-serif" w:hAnsi="Times New Roman;sans-serif"/>
          <w:b w:val="false"/>
          <w:color w:val="000000"/>
          <w:sz w:val="22"/>
        </w:rPr>
      </w:pPr>
      <w:r>
        <w:rPr>
          <w:rFonts w:ascii="Times New Roman;sans-serif" w:hAnsi="Times New Roman;sans-serif"/>
          <w:b w:val="false"/>
          <w:color w:val="000000"/>
          <w:sz w:val="22"/>
        </w:rPr>
        <w:t>Gross margin was 87% for the fourth quarter 2021, compared to 90% in the corresponding period in 2020. Gross margin in the fourth quarter 2021 was impacted by an increase in cost of operations to support the growth of the business.</w:t>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expenses increased 29% to $35.8 million in the fourth quarter 2021 compared to $27.7 million in the corresponding period in 2020. The increase was driven by higher sales and marketing expenses related to increased sales hiring, higher travel costs, research and development expenses and increased stock-based compensation.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was $13.9 million in the fourth quarter 2021, as compared to $7.9 million in the corresponding period in 2020.</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was $14.5 million, or $0.43 per diluted share for the fourth quarter 2021, as compared to $9.0 million, or $0.28 per diluted share in the corresponding period in 2020. </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2021 Financial Results</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Revenue was $90.2 million for 2021, a 23% increase from $73.4 million in 2020. U.S. revenue for 2021 was $82.7 million, a 21% increase from $68.1 million in 2020, primarily driven by growth of domestic case volumes. International revenue was $7.4 million in 2021 compared to $5.3 million in 2020.</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Gross margin was 88% in 2021 and 2020. In 2021, the gross margin was impacted by an increase in cost of operations to support the growth of the business. In 2020, the gross margin was impacted by an increase in write-downs of iFuse related inventory as a result of faster than anticipated adoption of iFuse-3D.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expenses increased 28% to $131.4 million in 2021 compared to $103.1 million in 2020. The increase was driven by higher sales and marketing expenses related to increased sales hiring, research and development expenses and increased stock-based compensation expense. Operating expenses in 2020 were lower due to the preemptive steps taken to reduce discretionary spend in response to COVID-19.</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loss was $51.7 million in 2021, as compared to $38.6 million in 2020.</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Net loss was $56.6 million, or $1.71 per diluted share for 2021, as compared to $43.7 million, or $1.50 per diluted share in 2020. </w:t>
      </w:r>
    </w:p>
    <w:p>
      <w:pPr>
        <w:pStyle w:val="TextBody"/>
        <w:spacing w:before="0" w:after="0"/>
        <w:jc w:val="both"/>
        <w:rPr/>
      </w:pPr>
      <w:r>
        <w:rPr/>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and marketable securities were $147.0 million as of December 31, 2021.</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2022 Financial Guidance</w:t>
      </w:r>
    </w:p>
    <w:p>
      <w:pPr>
        <w:pStyle w:val="TextBody"/>
        <w:spacing w:before="0" w:after="0"/>
        <w:jc w:val="both"/>
        <w:rPr/>
      </w:pPr>
      <w:r>
        <w:rPr/>
      </w:r>
    </w:p>
    <w:p>
      <w:pPr>
        <w:pStyle w:val="TextBody"/>
        <w:spacing w:lineRule="auto" w:line="360"/>
        <w:jc w:val="both"/>
        <w:rPr/>
      </w:pPr>
      <w:r>
        <w:rPr>
          <w:rFonts w:ascii="Times New Roman;sans-serif" w:hAnsi="Times New Roman;sans-serif"/>
          <w:b w:val="false"/>
          <w:color w:val="000000"/>
          <w:sz w:val="22"/>
        </w:rPr>
        <w:t>SI-BONE continues to see strong momentum in its business in 2022, but remains cognizant of the uncertainty surrounding COVID-19 and its impact on elective procedures as well as hospital and ASC infrastructure and staffing levels.</w:t>
      </w:r>
      <w:r>
        <w:rPr>
          <w:color w:val="000000"/>
        </w:rPr>
        <w:t xml:space="preserve"> </w:t>
      </w:r>
      <w:r>
        <w:rPr>
          <w:rFonts w:ascii="Times New Roman;sans-serif" w:hAnsi="Times New Roman;sans-serif"/>
          <w:b w:val="false"/>
          <w:color w:val="000000"/>
          <w:sz w:val="22"/>
        </w:rPr>
        <w:t xml:space="preserve">The Company's 2022 outlook is highly sensitive to assumptions on a steady global recovery, which anticipates case scheduling and elective procedure levels normalizing throughout the year. Based on these assumptions, the Company expects total 2022 revenue of approximately $106 million to $108 million, representing growth of 18% to 20% compared to full year 2021. </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97" w:before="240" w:after="283"/>
        <w:jc w:val="both"/>
        <w:rPr>
          <w:rFonts w:ascii="Times New Roman;sans-serif" w:hAnsi="Times New Roman;sans-serif"/>
          <w:b/>
          <w:color w:val="000000"/>
          <w:sz w:val="22"/>
        </w:rPr>
      </w:pPr>
      <w:r>
        <w:rPr>
          <w:rFonts w:ascii="Times New Roman;sans-serif" w:hAnsi="Times New Roman;sans-serif"/>
          <w:b/>
          <w:color w:val="000000"/>
          <w:sz w:val="22"/>
        </w:rPr>
        <w:t>Webcast and Conference Call Information</w:t>
      </w:r>
    </w:p>
    <w:p>
      <w:pPr>
        <w:pStyle w:val="TextBody"/>
        <w:spacing w:before="0" w:after="0"/>
        <w:jc w:val="both"/>
        <w:rPr/>
      </w:pPr>
      <w:r>
        <w:rPr/>
      </w:r>
    </w:p>
    <w:p>
      <w:pPr>
        <w:pStyle w:val="TextBody"/>
        <w:spacing w:lineRule="auto" w:line="345" w:before="0" w:after="0"/>
        <w:jc w:val="both"/>
        <w:rPr/>
      </w:pPr>
      <w:r>
        <w:rPr>
          <w:rFonts w:ascii="Times New Roman;sans-serif" w:hAnsi="Times New Roman;sans-serif"/>
          <w:b w:val="false"/>
          <w:color w:val="000000"/>
          <w:sz w:val="22"/>
        </w:rPr>
        <w:t xml:space="preserve">SI-BONE will host a conference call to discuss the fourth quarter 2021 financial results after market close on Monday, February 28, 2022 at 4:30 P.M. Eastern Time. The conference call can be accessed live over the phone </w:t>
      </w:r>
      <w:r>
        <w:rPr>
          <w:rFonts w:ascii="Times New Roman;sans-serif" w:hAnsi="Times New Roman;sans-serif"/>
          <w:b w:val="false"/>
          <w:color w:val="222222"/>
          <w:sz w:val="22"/>
        </w:rPr>
        <w:t xml:space="preserve">(866) </w:t>
      </w:r>
      <w:r>
        <w:rPr>
          <w:rFonts w:ascii="Times New Roman;sans-serif" w:hAnsi="Times New Roman;sans-serif"/>
          <w:b w:val="false"/>
          <w:color w:val="000000"/>
          <w:sz w:val="22"/>
        </w:rPr>
        <w:t xml:space="preserve">470-1968 for domestic callers or </w:t>
      </w:r>
      <w:r>
        <w:rPr>
          <w:rFonts w:ascii="Times New Roman;sans-serif" w:hAnsi="Times New Roman;sans-serif"/>
          <w:b w:val="false"/>
          <w:color w:val="222222"/>
          <w:sz w:val="22"/>
        </w:rPr>
        <w:t xml:space="preserve">(409) 217-8248 </w:t>
      </w:r>
      <w:r>
        <w:rPr>
          <w:rFonts w:ascii="Times New Roman;sans-serif" w:hAnsi="Times New Roman;sans-serif"/>
          <w:b w:val="false"/>
          <w:color w:val="000000"/>
          <w:sz w:val="22"/>
        </w:rPr>
        <w:t xml:space="preserve">for international callers, using conference ID: 6575191. </w:t>
      </w:r>
      <w:r>
        <w:rPr>
          <w:rFonts w:ascii="Times New Roman;sans-serif" w:hAnsi="Times New Roman;sans-serif"/>
          <w:b w:val="false"/>
          <w:color w:val="000000"/>
          <w:sz w:val="22"/>
          <w:highlight w:val="white"/>
        </w:rPr>
        <w:t>T</w:t>
      </w:r>
      <w:r>
        <w:rPr>
          <w:rFonts w:ascii="Times New Roman;sans-serif" w:hAnsi="Times New Roman;sans-serif"/>
          <w:b w:val="false"/>
          <w:color w:val="000000"/>
          <w:sz w:val="22"/>
        </w:rPr>
        <w:t xml:space="preserve">he webcast can be accessed at </w:t>
      </w:r>
      <w:r>
        <w:rPr>
          <w:rFonts w:ascii="Times New Roman;sans-serif" w:hAnsi="Times New Roman;sans-serif"/>
          <w:b w:val="false"/>
          <w:color w:val="0000FF"/>
          <w:sz w:val="22"/>
          <w:u w:val="single"/>
        </w:rPr>
        <w:t>https:/investor.si-bone.com</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345" w:before="0" w:after="0"/>
        <w:jc w:val="both"/>
        <w:rPr>
          <w:rFonts w:ascii="Times New Roman;sans-serif" w:hAnsi="Times New Roman;sans-serif"/>
          <w:b/>
          <w:color w:val="000000"/>
          <w:sz w:val="22"/>
        </w:rPr>
      </w:pPr>
      <w:r>
        <w:rPr>
          <w:rFonts w:ascii="Times New Roman;sans-serif" w:hAnsi="Times New Roman;sans-serif"/>
          <w:b/>
          <w:color w:val="000000"/>
          <w:sz w:val="22"/>
        </w:rPr>
        <w:t>About SI-BONE</w:t>
      </w:r>
    </w:p>
    <w:p>
      <w:pPr>
        <w:pStyle w:val="TextBody"/>
        <w:spacing w:before="0" w:after="0"/>
        <w:jc w:val="both"/>
        <w:rPr/>
      </w:pPr>
      <w:r>
        <w:rPr/>
      </w:r>
    </w:p>
    <w:p>
      <w:pPr>
        <w:pStyle w:val="TextBody"/>
        <w:spacing w:lineRule="auto" w:line="312" w:before="0" w:after="0"/>
        <w:jc w:val="both"/>
        <w:rPr/>
      </w:pPr>
      <w:r>
        <w:rPr>
          <w:rFonts w:ascii="Times New Roman;sans-serif" w:hAnsi="Times New Roman;sans-serif"/>
          <w:b w:val="false"/>
          <w:color w:val="000000"/>
          <w:sz w:val="22"/>
        </w:rPr>
        <w:t xml:space="preserve">SI-BONE (NASDAQ: SIBN) is a global leader in technology for surgical treatment of musculoskeletal disorders of the sacropelvic anatomy. In 2009, SI-BONE introduced the iFuse Implant System for minimally invasive surgery of the SI joint, shown to be a source of pain in 15% to 30% of chronic low back pain. Since then, more than 2,600 surgeons have performed a combined total of more than 65,000 SI joint fusion procedures. A unique body of evidence, supporting the triangular iFuse implant, including two RCT’s and over 100 peer reviewed publications, has enabled multiple government and private insurance payors to establish coverage of the SI joint fusion procedure exclusively when performed with SI-BONE's triangular iFuse implant. SI-BONE is leveraging its market leadership position, supported by this proprietary reimbursement advantage, to commercialize other devices intended for surgical treatment of related aspects of the human anatomy. For more information or to join our team, please visit us at </w:t>
      </w:r>
      <w:r>
        <w:rPr>
          <w:rFonts w:ascii="Times New Roman;sans-serif" w:hAnsi="Times New Roman;sans-serif"/>
          <w:b w:val="false"/>
          <w:color w:val="0000FF"/>
          <w:sz w:val="22"/>
        </w:rPr>
        <w:t>www.si-bone.com</w:t>
      </w:r>
      <w:r>
        <w:rPr>
          <w:rFonts w:ascii="Times New Roman;sans-serif" w:hAnsi="Times New Roman;sans-serif"/>
          <w:b w:val="false"/>
          <w:color w:val="000000"/>
          <w:sz w:val="22"/>
        </w:rPr>
        <w:t>.</w:t>
      </w:r>
    </w:p>
    <w:p>
      <w:pPr>
        <w:pStyle w:val="TextBody"/>
        <w:spacing w:before="0" w:after="0"/>
        <w:rPr/>
      </w:pPr>
      <w:r>
        <w:rPr/>
      </w:r>
    </w:p>
    <w:p>
      <w:pPr>
        <w:pStyle w:val="TextBody"/>
        <w:spacing w:lineRule="auto" w:line="312" w:before="0" w:after="0"/>
        <w:jc w:val="both"/>
        <w:rPr/>
      </w:pPr>
      <w:r>
        <w:rPr>
          <w:rFonts w:ascii="Times New Roman;sans-serif" w:hAnsi="Times New Roman;sans-serif"/>
          <w:b w:val="false"/>
          <w:color w:val="000000"/>
          <w:sz w:val="22"/>
        </w:rPr>
        <w:t xml:space="preserve">For additional information on the company or the products including risks and benefits, please visit </w:t>
      </w:r>
      <w:r>
        <w:rPr>
          <w:rFonts w:ascii="Times New Roman;sans-serif" w:hAnsi="Times New Roman;sans-serif"/>
          <w:b w:val="false"/>
          <w:color w:val="0000FF"/>
          <w:sz w:val="22"/>
        </w:rPr>
        <w:t>www.si-bone.com</w:t>
      </w:r>
      <w:r>
        <w:rPr>
          <w:rFonts w:ascii="Times New Roman;sans-serif" w:hAnsi="Times New Roman;sans-serif"/>
          <w:b w:val="false"/>
          <w:color w:val="000000"/>
          <w:sz w:val="22"/>
        </w:rPr>
        <w:t>.</w:t>
      </w:r>
    </w:p>
    <w:p>
      <w:pPr>
        <w:pStyle w:val="TextBody"/>
        <w:spacing w:before="0" w:after="0"/>
        <w:jc w:val="both"/>
        <w:rPr/>
      </w:pPr>
      <w:r>
        <w:rPr/>
      </w:r>
    </w:p>
    <w:p>
      <w:pPr>
        <w:pStyle w:val="TextBody"/>
        <w:spacing w:lineRule="auto" w:line="31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SI-BONE and iFuse Implant System are registered trademarks of SI-BONE, Inc. ©2022 SI-BONE, Inc. All Rights Reserved.</w:t>
      </w:r>
    </w:p>
    <w:p>
      <w:pPr>
        <w:pStyle w:val="TextBody"/>
        <w:spacing w:lineRule="auto" w:line="324" w:before="240" w:after="240"/>
        <w:jc w:val="both"/>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spacing w:lineRule="auto" w:line="345"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Investor Contact</w:t>
      </w:r>
    </w:p>
    <w:p>
      <w:pPr>
        <w:pStyle w:val="TextBody"/>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Matt Bacso, CFA</w:t>
      </w:r>
    </w:p>
    <w:p>
      <w:pPr>
        <w:pStyle w:val="TextBody"/>
        <w:spacing w:lineRule="auto" w:line="288" w:before="0" w:after="0"/>
        <w:jc w:val="both"/>
        <w:rPr>
          <w:rFonts w:ascii="Times New Roman;sans-serif" w:hAnsi="Times New Roman;sans-serif"/>
          <w:b w:val="false"/>
          <w:color w:val="0000FF"/>
          <w:sz w:val="22"/>
          <w:u w:val="single"/>
        </w:rPr>
      </w:pPr>
      <w:r>
        <w:rPr>
          <w:rFonts w:ascii="Times New Roman;sans-serif" w:hAnsi="Times New Roman;sans-serif"/>
          <w:b w:val="false"/>
          <w:color w:val="0000FF"/>
          <w:sz w:val="22"/>
          <w:u w:val="single"/>
        </w:rPr>
        <w:t>investors@SI-BONE.com</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1593"/>
        <w:gridCol w:w="923"/>
        <w:gridCol w:w="925"/>
        <w:gridCol w:w="109"/>
        <w:gridCol w:w="109"/>
        <w:gridCol w:w="109"/>
        <w:gridCol w:w="240"/>
        <w:gridCol w:w="841"/>
        <w:gridCol w:w="271"/>
        <w:gridCol w:w="109"/>
        <w:gridCol w:w="109"/>
        <w:gridCol w:w="109"/>
        <w:gridCol w:w="244"/>
        <w:gridCol w:w="837"/>
        <w:gridCol w:w="271"/>
        <w:gridCol w:w="109"/>
        <w:gridCol w:w="109"/>
        <w:gridCol w:w="109"/>
        <w:gridCol w:w="240"/>
        <w:gridCol w:w="841"/>
        <w:gridCol w:w="271"/>
        <w:gridCol w:w="109"/>
        <w:gridCol w:w="109"/>
        <w:gridCol w:w="109"/>
        <w:gridCol w:w="240"/>
        <w:gridCol w:w="841"/>
        <w:gridCol w:w="319"/>
      </w:tblGrid>
      <w:tr>
        <w:trPr/>
        <w:tc>
          <w:tcPr>
            <w:tcW w:w="159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8,902 </w:t>
            </w:r>
          </w:p>
        </w:tc>
        <w:tc>
          <w:tcPr>
            <w:tcW w:w="3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Gross 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Sales and marketing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19,982 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93,884 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73,790 </w:t>
            </w:r>
          </w:p>
        </w:tc>
        <w:tc>
          <w:tcPr>
            <w:tcW w:w="3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25,069 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19,803 </w:t>
            </w:r>
          </w:p>
        </w:tc>
        <w:tc>
          <w:tcPr>
            <w:tcW w:w="3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(51,670)</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(38,567)</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w:t>
            </w:r>
          </w:p>
        </w:tc>
        <w:tc>
          <w:tcPr>
            <w:tcW w:w="3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(14,476)</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(56,572)</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(43,697)</w:t>
            </w:r>
          </w:p>
        </w:tc>
        <w:tc>
          <w:tcPr>
            <w:tcW w:w="3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33,561,440 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31,752,336 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33,145,930 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29,059,171 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670" w:type="dxa"/>
        <w:jc w:val="center"/>
        <w:tblInd w:w="0" w:type="dxa"/>
        <w:tblCellMar>
          <w:top w:w="28" w:type="dxa"/>
          <w:left w:w="28" w:type="dxa"/>
          <w:bottom w:w="28" w:type="dxa"/>
          <w:right w:w="28" w:type="dxa"/>
        </w:tblCellMar>
      </w:tblPr>
      <w:tblGrid>
        <w:gridCol w:w="1697"/>
        <w:gridCol w:w="1489"/>
        <w:gridCol w:w="1493"/>
        <w:gridCol w:w="109"/>
        <w:gridCol w:w="109"/>
        <w:gridCol w:w="109"/>
        <w:gridCol w:w="211"/>
        <w:gridCol w:w="826"/>
        <w:gridCol w:w="109"/>
        <w:gridCol w:w="109"/>
        <w:gridCol w:w="109"/>
        <w:gridCol w:w="109"/>
        <w:gridCol w:w="211"/>
        <w:gridCol w:w="826"/>
        <w:gridCol w:w="154"/>
      </w:tblGrid>
      <w:tr>
        <w:trPr/>
        <w:tc>
          <w:tcPr>
            <w:tcW w:w="1697"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Operating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and 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2108</Words>
  <CharactersWithSpaces>14043</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