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80" w:right="100"/>
        <w:spacing w:after="0" w:line="277" w:lineRule="auto"/>
        <w:rPr>
          <w:sz w:val="20"/>
          <w:szCs w:val="20"/>
          <w:color w:val="auto"/>
        </w:rPr>
      </w:pPr>
      <w:r>
        <w:rPr>
          <w:rFonts w:ascii="Arial" w:cs="Arial" w:eastAsia="Arial" w:hAnsi="Arial"/>
          <w:sz w:val="18"/>
          <w:szCs w:val="18"/>
          <w:color w:val="auto"/>
        </w:rPr>
        <w:t>INFORMATION TO BE INCLUDED IN STATEMENTS FILED PURSUANT TO RULES 13d-1 (b), (c) AND (d) AND AMENDMENTS THERETO FILED PURSUANT TO 13d-2 (b)</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1)*</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80" w:hanging="624"/>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1" w:lineRule="exact"/>
        <w:rPr>
          <w:sz w:val="24"/>
          <w:szCs w:val="24"/>
          <w:color w:val="auto"/>
        </w:rPr>
      </w:pPr>
    </w:p>
    <w:p>
      <w:pPr>
        <w:ind w:left="1200" w:hanging="544"/>
        <w:spacing w:after="0"/>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Rule 13d-1(d)</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1" w:name="page2"/>
    <w:bookmarkEnd w:id="1"/>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-141605</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980" w:space="720"/>
            <w:col w:w="4540"/>
          </w:cols>
          <w:pgMar w:left="320" w:top="395" w:right="339" w:bottom="1440" w:gutter="0" w:footer="0" w:header="0"/>
        </w:sect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0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37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64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b w:val="1"/>
                <w:bCs w:val="1"/>
                <w:color w:val="auto"/>
              </w:rPr>
              <w:t>Arboretum Ventures IV, L.P.</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 xml:space="preserve">(a) o   </w:t>
            </w:r>
            <w:r>
              <w:rPr>
                <w:rFonts w:ascii="Arial" w:cs="Arial" w:eastAsia="Arial" w:hAnsi="Arial"/>
                <w:sz w:val="18"/>
                <w:szCs w:val="18"/>
                <w:b w:val="1"/>
                <w:bCs w:val="1"/>
                <w:color w:val="auto"/>
              </w:rPr>
              <w:t>(b) x (1)</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tcBorders>
            <w:gridSpan w:val="4"/>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3760" w:type="dxa"/>
            <w:vAlign w:val="bottom"/>
            <w:gridSpan w:val="4"/>
          </w:tcPr>
          <w:p>
            <w:pPr>
              <w:ind w:left="100"/>
              <w:spacing w:after="0"/>
              <w:rPr>
                <w:sz w:val="20"/>
                <w:szCs w:val="20"/>
                <w:color w:val="auto"/>
              </w:rPr>
            </w:pPr>
            <w:r>
              <w:rPr>
                <w:rFonts w:ascii="Arial" w:cs="Arial" w:eastAsia="Arial" w:hAnsi="Arial"/>
                <w:sz w:val="18"/>
                <w:szCs w:val="18"/>
                <w:color w:val="auto"/>
                <w:w w:val="95"/>
              </w:rPr>
              <w:t>CITIZENSHIP OR PLACE OF ORGANIZATION</w:t>
            </w:r>
          </w:p>
        </w:tc>
        <w:tc>
          <w:tcPr>
            <w:tcW w:w="6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Delaware, United States of America</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060" w:type="dxa"/>
            <w:vAlign w:val="bottom"/>
            <w:tcBorders>
              <w:left w:val="single" w:sz="8" w:color="auto"/>
            </w:tcBorders>
          </w:tcPr>
          <w:p>
            <w:pPr>
              <w:spacing w:after="0"/>
              <w:rPr>
                <w:sz w:val="19"/>
                <w:szCs w:val="19"/>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OWNED BY EACH</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1,547,400 shares of Common Stock (2)</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1,547,400 shares of Common Stock (2)</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3760" w:type="dxa"/>
            <w:vAlign w:val="bottom"/>
            <w:gridSpan w:val="4"/>
          </w:tcPr>
          <w:p>
            <w:pPr>
              <w:ind w:left="100"/>
              <w:spacing w:after="0"/>
              <w:rPr>
                <w:sz w:val="20"/>
                <w:szCs w:val="20"/>
                <w:color w:val="auto"/>
              </w:rPr>
            </w:pPr>
            <w:r>
              <w:rPr>
                <w:rFonts w:ascii="Arial" w:cs="Arial" w:eastAsia="Arial" w:hAnsi="Arial"/>
                <w:sz w:val="18"/>
                <w:szCs w:val="18"/>
                <w:b w:val="1"/>
                <w:bCs w:val="1"/>
                <w:color w:val="auto"/>
              </w:rPr>
              <w:t>1,547,400 shares of Common Stock (2)</w:t>
            </w: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 o</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4.7% (3)</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20" w:type="dxa"/>
            <w:vAlign w:val="bottom"/>
            <w:tcBorders>
              <w:right w:val="single" w:sz="8" w:color="auto"/>
            </w:tcBorders>
            <w:vMerge w:val="restart"/>
          </w:tcPr>
          <w:p>
            <w:pPr>
              <w:ind w:left="2680"/>
              <w:spacing w:after="0"/>
              <w:rPr>
                <w:sz w:val="20"/>
                <w:szCs w:val="20"/>
                <w:color w:val="auto"/>
              </w:rPr>
            </w:pPr>
            <w:r>
              <w:rPr>
                <w:rFonts w:ascii="Arial" w:cs="Arial" w:eastAsia="Arial" w:hAnsi="Arial"/>
                <w:sz w:val="18"/>
                <w:szCs w:val="18"/>
                <w:b w:val="1"/>
                <w:bCs w:val="1"/>
                <w:color w:val="auto"/>
              </w:rPr>
              <w:t>PN</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120" w:firstLine="8"/>
        <w:spacing w:after="0" w:line="287" w:lineRule="auto"/>
        <w:tabs>
          <w:tab w:leader="none" w:pos="34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Schedule 13G is filed by Arboretum Ventures IV, L.P., a Delaware limited partnership (“IV LP”), Arboretum Investment Manager IV, LLC (“IV GP”), Jan L. Garfinkle (“Garfinkle”), Timothy B. Petersen (“Petersen”) and Paul McCreadie (“McCreadie” and together with IV LP, IV GP, Garfinkle and Petersen, collectively, the “Reporting Persons”). The Reporting Persons expressly disclaim status as a “group” for purposes of this Schedule 13G.</w:t>
      </w:r>
    </w:p>
    <w:p>
      <w:pPr>
        <w:spacing w:after="0" w:line="2" w:lineRule="exact"/>
        <w:rPr>
          <w:rFonts w:ascii="Arial" w:cs="Arial" w:eastAsia="Arial" w:hAnsi="Arial"/>
          <w:sz w:val="16"/>
          <w:szCs w:val="16"/>
          <w:color w:val="auto"/>
        </w:rPr>
      </w:pPr>
    </w:p>
    <w:p>
      <w:pPr>
        <w:ind w:right="180" w:firstLine="48"/>
        <w:spacing w:after="0" w:line="273" w:lineRule="auto"/>
        <w:tabs>
          <w:tab w:leader="none" w:pos="385"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380" w:firstLine="8"/>
        <w:spacing w:after="0" w:line="276" w:lineRule="auto"/>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upon 32,360,839 shares of Common Stock outstanding as of October 29, 2020 as set forth in the Issuer’s most recent 10-Q filed with the Securities and Exchange Commission on November 3,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2" w:name="page3"/>
    <w:bookmarkEnd w:id="2"/>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-141605</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980" w:space="720"/>
            <w:col w:w="4540"/>
          </w:cols>
          <w:pgMar w:left="320" w:top="395" w:right="339" w:bottom="1440" w:gutter="0" w:footer="0" w:header="0"/>
        </w:sect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0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37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64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3760" w:type="dxa"/>
            <w:vAlign w:val="bottom"/>
            <w:gridSpan w:val="4"/>
          </w:tcPr>
          <w:p>
            <w:pPr>
              <w:ind w:left="100"/>
              <w:spacing w:after="0"/>
              <w:rPr>
                <w:sz w:val="20"/>
                <w:szCs w:val="20"/>
                <w:color w:val="auto"/>
              </w:rPr>
            </w:pPr>
            <w:r>
              <w:rPr>
                <w:rFonts w:ascii="Arial" w:cs="Arial" w:eastAsia="Arial" w:hAnsi="Arial"/>
                <w:sz w:val="18"/>
                <w:szCs w:val="18"/>
                <w:b w:val="1"/>
                <w:bCs w:val="1"/>
                <w:color w:val="auto"/>
              </w:rPr>
              <w:t>Arboretum Investment Manager IV, LLC</w:t>
            </w: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 xml:space="preserve">(a) o   </w:t>
            </w:r>
            <w:r>
              <w:rPr>
                <w:rFonts w:ascii="Arial" w:cs="Arial" w:eastAsia="Arial" w:hAnsi="Arial"/>
                <w:sz w:val="18"/>
                <w:szCs w:val="18"/>
                <w:b w:val="1"/>
                <w:bCs w:val="1"/>
                <w:color w:val="auto"/>
              </w:rPr>
              <w:t>(b) x (1)</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tcBorders>
            <w:gridSpan w:val="4"/>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3760" w:type="dxa"/>
            <w:vAlign w:val="bottom"/>
            <w:gridSpan w:val="4"/>
          </w:tcPr>
          <w:p>
            <w:pPr>
              <w:ind w:left="100"/>
              <w:spacing w:after="0"/>
              <w:rPr>
                <w:sz w:val="20"/>
                <w:szCs w:val="20"/>
                <w:color w:val="auto"/>
              </w:rPr>
            </w:pPr>
            <w:r>
              <w:rPr>
                <w:rFonts w:ascii="Arial" w:cs="Arial" w:eastAsia="Arial" w:hAnsi="Arial"/>
                <w:sz w:val="18"/>
                <w:szCs w:val="18"/>
                <w:color w:val="auto"/>
                <w:w w:val="95"/>
              </w:rPr>
              <w:t>CITIZENSHIP OR PLACE OF ORGANIZATION</w:t>
            </w:r>
          </w:p>
        </w:tc>
        <w:tc>
          <w:tcPr>
            <w:tcW w:w="6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Delaware, United States of America</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060" w:type="dxa"/>
            <w:vAlign w:val="bottom"/>
            <w:tcBorders>
              <w:left w:val="single" w:sz="8" w:color="auto"/>
            </w:tcBorders>
          </w:tcPr>
          <w:p>
            <w:pPr>
              <w:spacing w:after="0"/>
              <w:rPr>
                <w:sz w:val="19"/>
                <w:szCs w:val="19"/>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OWNED BY EACH</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27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jc w:val="center"/>
              <w:ind w:right="95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1,547,400 shares of Common Stock (2)</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tcBorders>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tcBorders>
          </w:tcPr>
          <w:p>
            <w:pPr>
              <w:spacing w:after="0"/>
              <w:rPr>
                <w:sz w:val="21"/>
                <w:szCs w:val="21"/>
                <w:color w:val="auto"/>
              </w:rPr>
            </w:pPr>
          </w:p>
        </w:tc>
        <w:tc>
          <w:tcPr>
            <w:tcW w:w="2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1,547,400 shares of Common Stock (2)</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3760" w:type="dxa"/>
            <w:vAlign w:val="bottom"/>
            <w:gridSpan w:val="4"/>
          </w:tcPr>
          <w:p>
            <w:pPr>
              <w:ind w:left="100"/>
              <w:spacing w:after="0"/>
              <w:rPr>
                <w:sz w:val="20"/>
                <w:szCs w:val="20"/>
                <w:color w:val="auto"/>
              </w:rPr>
            </w:pPr>
            <w:r>
              <w:rPr>
                <w:rFonts w:ascii="Arial" w:cs="Arial" w:eastAsia="Arial" w:hAnsi="Arial"/>
                <w:sz w:val="18"/>
                <w:szCs w:val="18"/>
                <w:b w:val="1"/>
                <w:bCs w:val="1"/>
                <w:color w:val="auto"/>
              </w:rPr>
              <w:t>1,547,400 shares of Common Stock (2)</w:t>
            </w:r>
          </w:p>
        </w:tc>
        <w:tc>
          <w:tcPr>
            <w:tcW w:w="6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 o</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10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4.7% (3)</w:t>
            </w: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20" w:type="dxa"/>
            <w:vAlign w:val="bottom"/>
            <w:tcBorders>
              <w:right w:val="single" w:sz="8" w:color="auto"/>
            </w:tcBorders>
            <w:vMerge w:val="restart"/>
          </w:tcPr>
          <w:p>
            <w:pPr>
              <w:ind w:left="2680"/>
              <w:spacing w:after="0"/>
              <w:rPr>
                <w:sz w:val="20"/>
                <w:szCs w:val="20"/>
                <w:color w:val="auto"/>
              </w:rPr>
            </w:pPr>
            <w:r>
              <w:rPr>
                <w:rFonts w:ascii="Arial" w:cs="Arial" w:eastAsia="Arial" w:hAnsi="Arial"/>
                <w:sz w:val="18"/>
                <w:szCs w:val="18"/>
                <w:b w:val="1"/>
                <w:bCs w:val="1"/>
                <w:color w:val="auto"/>
              </w:rPr>
              <w:t>OO</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right="220" w:firstLine="8"/>
        <w:spacing w:after="0" w:line="265" w:lineRule="auto"/>
        <w:tabs>
          <w:tab w:leader="none" w:pos="34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380" w:firstLine="8"/>
        <w:spacing w:after="0" w:line="260"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upon 32,360,839 shares of Common Stock outstanding as of October 29, 2020 as set forth in the Issuer’s most recent 10-Q filed with the Securities and Exchange Commission on November 3,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3" w:name="page4"/>
    <w:bookmarkEnd w:id="3"/>
    <w:p>
      <w:pPr>
        <w:spacing w:after="0" w:line="14" w:lineRule="exact"/>
        <w:rPr>
          <w:sz w:val="20"/>
          <w:szCs w:val="20"/>
          <w:color w:val="auto"/>
        </w:rPr>
      </w:pPr>
    </w:p>
    <w:p>
      <w:pPr>
        <w:ind w:left="152"/>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-133985</wp:posOffset>
            </wp:positionV>
            <wp:extent cx="7140575" cy="5066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506603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892" w:space="720"/>
            <w:col w:w="3620"/>
          </w:cols>
          <w:pgMar w:left="328" w:top="395" w:right="339" w:bottom="1440" w:gutter="0" w:footer="0" w:header="0"/>
        </w:sectPr>
      </w:pPr>
    </w:p>
    <w:p>
      <w:pPr>
        <w:spacing w:after="0" w:line="291" w:lineRule="exact"/>
        <w:rPr>
          <w:sz w:val="20"/>
          <w:szCs w:val="20"/>
          <w:color w:val="auto"/>
        </w:rPr>
      </w:pPr>
    </w:p>
    <w:p>
      <w:pPr>
        <w:ind w:left="112"/>
        <w:spacing w:after="0"/>
        <w:rPr>
          <w:sz w:val="20"/>
          <w:szCs w:val="20"/>
          <w:color w:val="auto"/>
        </w:rPr>
      </w:pPr>
      <w:r>
        <w:rPr>
          <w:rFonts w:ascii="Arial" w:cs="Arial" w:eastAsia="Arial" w:hAnsi="Arial"/>
          <w:sz w:val="17"/>
          <w:szCs w:val="17"/>
          <w:color w:val="auto"/>
        </w:rPr>
        <w:t>1</w:t>
      </w:r>
    </w:p>
    <w:p>
      <w:pPr>
        <w:spacing w:after="0" w:line="358" w:lineRule="exact"/>
        <w:rPr>
          <w:sz w:val="20"/>
          <w:szCs w:val="20"/>
          <w:color w:val="auto"/>
        </w:rPr>
      </w:pPr>
    </w:p>
    <w:p>
      <w:pPr>
        <w:ind w:left="112"/>
        <w:spacing w:after="0"/>
        <w:rPr>
          <w:sz w:val="20"/>
          <w:szCs w:val="20"/>
          <w:color w:val="auto"/>
        </w:rPr>
      </w:pPr>
      <w:r>
        <w:rPr>
          <w:rFonts w:ascii="Arial" w:cs="Arial" w:eastAsia="Arial" w:hAnsi="Arial"/>
          <w:sz w:val="17"/>
          <w:szCs w:val="17"/>
          <w:color w:val="auto"/>
        </w:rPr>
        <w:t>2</w:t>
      </w:r>
    </w:p>
    <w:p>
      <w:pPr>
        <w:spacing w:after="0" w:line="358" w:lineRule="exact"/>
        <w:rPr>
          <w:sz w:val="20"/>
          <w:szCs w:val="20"/>
          <w:color w:val="auto"/>
        </w:rPr>
      </w:pPr>
    </w:p>
    <w:p>
      <w:pPr>
        <w:ind w:left="112"/>
        <w:spacing w:after="0"/>
        <w:rPr>
          <w:sz w:val="20"/>
          <w:szCs w:val="20"/>
          <w:color w:val="auto"/>
        </w:rPr>
      </w:pPr>
      <w:r>
        <w:rPr>
          <w:rFonts w:ascii="Arial" w:cs="Arial" w:eastAsia="Arial" w:hAnsi="Arial"/>
          <w:sz w:val="17"/>
          <w:szCs w:val="17"/>
          <w:color w:val="auto"/>
        </w:rPr>
        <w:t>3</w:t>
      </w:r>
    </w:p>
    <w:p>
      <w:pPr>
        <w:spacing w:after="0" w:line="142" w:lineRule="exact"/>
        <w:rPr>
          <w:sz w:val="20"/>
          <w:szCs w:val="20"/>
          <w:color w:val="auto"/>
        </w:rPr>
      </w:pPr>
    </w:p>
    <w:p>
      <w:pPr>
        <w:ind w:left="112"/>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 L. Garfinkle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right"/>
        <w:ind w:right="3400"/>
        <w:spacing w:after="0"/>
        <w:tabs>
          <w:tab w:leader="none" w:pos="600" w:val="left"/>
        </w:tabs>
        <w:rPr>
          <w:sz w:val="20"/>
          <w:szCs w:val="20"/>
          <w:color w:val="auto"/>
        </w:rPr>
      </w:pPr>
      <w:r>
        <w:rPr>
          <w:rFonts w:ascii="Arial" w:cs="Arial" w:eastAsia="Arial" w:hAnsi="Arial"/>
          <w:sz w:val="18"/>
          <w:szCs w:val="18"/>
          <w:color w:val="auto"/>
        </w:rPr>
        <w:t>(a) o</w:t>
      </w:r>
      <w:r>
        <w:rPr>
          <w:sz w:val="20"/>
          <w:szCs w:val="20"/>
          <w:color w:val="auto"/>
        </w:rPr>
        <w:tab/>
      </w:r>
      <w:r>
        <w:rPr>
          <w:rFonts w:ascii="Arial" w:cs="Arial" w:eastAsia="Arial" w:hAnsi="Arial"/>
          <w:sz w:val="17"/>
          <w:szCs w:val="17"/>
          <w:b w:val="1"/>
          <w:bCs w:val="1"/>
          <w:color w:val="auto"/>
        </w:rPr>
        <w:t>(b) x (1)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of America</w:t>
      </w:r>
    </w:p>
    <w:p>
      <w:pPr>
        <w:spacing w:after="0" w:line="116" w:lineRule="exact"/>
        <w:rPr>
          <w:sz w:val="20"/>
          <w:szCs w:val="20"/>
          <w:color w:val="auto"/>
        </w:rPr>
      </w:pPr>
    </w:p>
    <w:p>
      <w:pPr>
        <w:sectPr>
          <w:pgSz w:w="11900" w:h="16838" w:orient="portrait"/>
          <w:cols w:equalWidth="0" w:num="2">
            <w:col w:w="212" w:space="640"/>
            <w:col w:w="10380"/>
          </w:cols>
          <w:pgMar w:left="328" w:top="395" w:right="339" w:bottom="1440" w:gutter="0" w:footer="0" w:header="0"/>
          <w:type w:val="continuous"/>
        </w:sectPr>
      </w:pPr>
    </w:p>
    <w:p>
      <w:pPr>
        <w:ind w:left="97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8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732"/>
        <w:spacing w:after="0"/>
        <w:rPr>
          <w:sz w:val="20"/>
          <w:szCs w:val="20"/>
          <w:color w:val="auto"/>
        </w:rPr>
      </w:pPr>
      <w:r>
        <w:rPr>
          <w:rFonts w:ascii="Arial" w:cs="Arial" w:eastAsia="Arial" w:hAnsi="Arial"/>
          <w:sz w:val="17"/>
          <w:szCs w:val="17"/>
          <w:color w:val="auto"/>
        </w:rPr>
        <w:t>OWNED BY EACH</w:t>
      </w:r>
    </w:p>
    <w:p>
      <w:pPr>
        <w:spacing w:after="0" w:line="21" w:lineRule="exact"/>
        <w:rPr>
          <w:sz w:val="20"/>
          <w:szCs w:val="20"/>
          <w:color w:val="auto"/>
        </w:rPr>
      </w:pPr>
    </w:p>
    <w:p>
      <w:pPr>
        <w:ind w:left="99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1,547,400 shares of Common Stock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1,547,400 shares of Common Stock (2)</w:t>
      </w:r>
    </w:p>
    <w:p>
      <w:pPr>
        <w:spacing w:after="0" w:line="151" w:lineRule="exact"/>
        <w:rPr>
          <w:sz w:val="20"/>
          <w:szCs w:val="20"/>
          <w:color w:val="auto"/>
        </w:rPr>
      </w:pPr>
    </w:p>
    <w:p>
      <w:pPr>
        <w:sectPr>
          <w:pgSz w:w="11900" w:h="16838" w:orient="portrait"/>
          <w:cols w:equalWidth="0" w:num="3">
            <w:col w:w="2412" w:space="720"/>
            <w:col w:w="80" w:space="680"/>
            <w:col w:w="7340"/>
          </w:cols>
          <w:pgMar w:left="328" w:top="395" w:right="339" w:bottom="1440" w:gutter="0" w:footer="0" w:header="0"/>
          <w:type w:val="continuous"/>
        </w:sectPr>
      </w:pPr>
    </w:p>
    <w:p>
      <w:pPr>
        <w:ind w:left="852" w:hanging="735"/>
        <w:spacing w:after="0"/>
        <w:tabs>
          <w:tab w:leader="none" w:pos="8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852"/>
        <w:spacing w:after="0"/>
        <w:rPr>
          <w:rFonts w:ascii="Arial" w:cs="Arial" w:eastAsia="Arial" w:hAnsi="Arial"/>
          <w:sz w:val="18"/>
          <w:szCs w:val="18"/>
          <w:color w:val="auto"/>
        </w:rPr>
      </w:pPr>
      <w:r>
        <w:rPr>
          <w:rFonts w:ascii="Arial" w:cs="Arial" w:eastAsia="Arial" w:hAnsi="Arial"/>
          <w:sz w:val="18"/>
          <w:szCs w:val="18"/>
          <w:b w:val="1"/>
          <w:bCs w:val="1"/>
          <w:color w:val="auto"/>
        </w:rPr>
        <w:t>1,547,400 shares of Common Stock (2)</w:t>
      </w:r>
    </w:p>
    <w:p>
      <w:pPr>
        <w:spacing w:after="0" w:line="116" w:lineRule="exact"/>
        <w:rPr>
          <w:sz w:val="20"/>
          <w:szCs w:val="20"/>
          <w:color w:val="auto"/>
        </w:rPr>
      </w:pPr>
    </w:p>
    <w:p>
      <w:pPr>
        <w:ind w:left="852" w:hanging="735"/>
        <w:spacing w:after="0"/>
        <w:tabs>
          <w:tab w:leader="none" w:pos="852"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130" w:lineRule="exact"/>
        <w:rPr>
          <w:rFonts w:ascii="Arial" w:cs="Arial" w:eastAsia="Arial" w:hAnsi="Arial"/>
          <w:sz w:val="18"/>
          <w:szCs w:val="18"/>
          <w:color w:val="auto"/>
        </w:rPr>
      </w:pPr>
    </w:p>
    <w:p>
      <w:pPr>
        <w:ind w:left="852" w:hanging="735"/>
        <w:spacing w:after="0"/>
        <w:tabs>
          <w:tab w:leader="none" w:pos="85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912"/>
        <w:spacing w:after="0"/>
        <w:rPr>
          <w:sz w:val="20"/>
          <w:szCs w:val="20"/>
          <w:color w:val="auto"/>
        </w:rPr>
      </w:pPr>
      <w:r>
        <w:rPr>
          <w:rFonts w:ascii="Arial" w:cs="Arial" w:eastAsia="Arial" w:hAnsi="Arial"/>
          <w:sz w:val="18"/>
          <w:szCs w:val="18"/>
          <w:b w:val="1"/>
          <w:bCs w:val="1"/>
          <w:color w:val="auto"/>
        </w:rPr>
        <w:t>4.7% (3)</w:t>
      </w:r>
    </w:p>
    <w:p>
      <w:pPr>
        <w:spacing w:after="0" w:line="116" w:lineRule="exact"/>
        <w:rPr>
          <w:sz w:val="20"/>
          <w:szCs w:val="20"/>
          <w:color w:val="auto"/>
        </w:rPr>
      </w:pPr>
    </w:p>
    <w:p>
      <w:pPr>
        <w:ind w:left="112"/>
        <w:spacing w:after="0"/>
        <w:tabs>
          <w:tab w:leader="none" w:pos="8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 w:lineRule="exact"/>
        <w:rPr>
          <w:sz w:val="20"/>
          <w:szCs w:val="20"/>
          <w:color w:val="auto"/>
        </w:rPr>
      </w:pPr>
    </w:p>
    <w:p>
      <w:pPr>
        <w:ind w:left="7912"/>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800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52" w:hanging="352"/>
        <w:spacing w:after="0"/>
        <w:tabs>
          <w:tab w:leader="none" w:pos="35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8" w:right="20" w:firstLine="8"/>
        <w:spacing w:after="0" w:line="250" w:lineRule="auto"/>
        <w:tabs>
          <w:tab w:leader="none" w:pos="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left="-8" w:right="380" w:firstLine="8"/>
        <w:spacing w:after="0" w:line="260" w:lineRule="auto"/>
        <w:tabs>
          <w:tab w:leader="none" w:pos="3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32,360,839 shares of Common Stock outstanding as of October 29, 2020 as set forth in the Issuer’s most recent 10-Q filed with the Securities and Exchange Commission on November 3, 2020.</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95" w:right="339" w:bottom="1440" w:gutter="0" w:footer="0" w:header="0"/>
          <w:type w:val="continuous"/>
        </w:sectPr>
      </w:pPr>
    </w:p>
    <w:bookmarkStart w:id="4" w:name="page5"/>
    <w:bookmarkEnd w:id="4"/>
    <w:p>
      <w:pPr>
        <w:spacing w:after="0" w:line="14" w:lineRule="exact"/>
        <w:rPr>
          <w:sz w:val="20"/>
          <w:szCs w:val="20"/>
          <w:color w:val="auto"/>
        </w:rPr>
      </w:pPr>
    </w:p>
    <w:p>
      <w:pPr>
        <w:ind w:left="152"/>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-133985</wp:posOffset>
            </wp:positionV>
            <wp:extent cx="7140575" cy="5066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506603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892" w:space="720"/>
            <w:col w:w="3620"/>
          </w:cols>
          <w:pgMar w:left="328" w:top="395" w:right="339" w:bottom="1440" w:gutter="0" w:footer="0" w:header="0"/>
        </w:sectPr>
      </w:pPr>
    </w:p>
    <w:p>
      <w:pPr>
        <w:spacing w:after="0" w:line="291" w:lineRule="exact"/>
        <w:rPr>
          <w:sz w:val="20"/>
          <w:szCs w:val="20"/>
          <w:color w:val="auto"/>
        </w:rPr>
      </w:pPr>
    </w:p>
    <w:p>
      <w:pPr>
        <w:ind w:left="112"/>
        <w:spacing w:after="0"/>
        <w:rPr>
          <w:sz w:val="20"/>
          <w:szCs w:val="20"/>
          <w:color w:val="auto"/>
        </w:rPr>
      </w:pPr>
      <w:r>
        <w:rPr>
          <w:rFonts w:ascii="Arial" w:cs="Arial" w:eastAsia="Arial" w:hAnsi="Arial"/>
          <w:sz w:val="17"/>
          <w:szCs w:val="17"/>
          <w:color w:val="auto"/>
        </w:rPr>
        <w:t>1</w:t>
      </w:r>
    </w:p>
    <w:p>
      <w:pPr>
        <w:spacing w:after="0" w:line="358" w:lineRule="exact"/>
        <w:rPr>
          <w:sz w:val="20"/>
          <w:szCs w:val="20"/>
          <w:color w:val="auto"/>
        </w:rPr>
      </w:pPr>
    </w:p>
    <w:p>
      <w:pPr>
        <w:ind w:left="112"/>
        <w:spacing w:after="0"/>
        <w:rPr>
          <w:sz w:val="20"/>
          <w:szCs w:val="20"/>
          <w:color w:val="auto"/>
        </w:rPr>
      </w:pPr>
      <w:r>
        <w:rPr>
          <w:rFonts w:ascii="Arial" w:cs="Arial" w:eastAsia="Arial" w:hAnsi="Arial"/>
          <w:sz w:val="17"/>
          <w:szCs w:val="17"/>
          <w:color w:val="auto"/>
        </w:rPr>
        <w:t>2</w:t>
      </w:r>
    </w:p>
    <w:p>
      <w:pPr>
        <w:spacing w:after="0" w:line="358" w:lineRule="exact"/>
        <w:rPr>
          <w:sz w:val="20"/>
          <w:szCs w:val="20"/>
          <w:color w:val="auto"/>
        </w:rPr>
      </w:pPr>
    </w:p>
    <w:p>
      <w:pPr>
        <w:ind w:left="112"/>
        <w:spacing w:after="0"/>
        <w:rPr>
          <w:sz w:val="20"/>
          <w:szCs w:val="20"/>
          <w:color w:val="auto"/>
        </w:rPr>
      </w:pPr>
      <w:r>
        <w:rPr>
          <w:rFonts w:ascii="Arial" w:cs="Arial" w:eastAsia="Arial" w:hAnsi="Arial"/>
          <w:sz w:val="17"/>
          <w:szCs w:val="17"/>
          <w:color w:val="auto"/>
        </w:rPr>
        <w:t>3</w:t>
      </w:r>
    </w:p>
    <w:p>
      <w:pPr>
        <w:spacing w:after="0" w:line="142" w:lineRule="exact"/>
        <w:rPr>
          <w:sz w:val="20"/>
          <w:szCs w:val="20"/>
          <w:color w:val="auto"/>
        </w:rPr>
      </w:pPr>
    </w:p>
    <w:p>
      <w:pPr>
        <w:ind w:left="112"/>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B. Petersen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right"/>
        <w:ind w:right="3400"/>
        <w:spacing w:after="0"/>
        <w:tabs>
          <w:tab w:leader="none" w:pos="600" w:val="left"/>
        </w:tabs>
        <w:rPr>
          <w:sz w:val="20"/>
          <w:szCs w:val="20"/>
          <w:color w:val="auto"/>
        </w:rPr>
      </w:pPr>
      <w:r>
        <w:rPr>
          <w:rFonts w:ascii="Arial" w:cs="Arial" w:eastAsia="Arial" w:hAnsi="Arial"/>
          <w:sz w:val="18"/>
          <w:szCs w:val="18"/>
          <w:color w:val="auto"/>
        </w:rPr>
        <w:t>(a) o</w:t>
      </w:r>
      <w:r>
        <w:rPr>
          <w:sz w:val="20"/>
          <w:szCs w:val="20"/>
          <w:color w:val="auto"/>
        </w:rPr>
        <w:tab/>
      </w:r>
      <w:r>
        <w:rPr>
          <w:rFonts w:ascii="Arial" w:cs="Arial" w:eastAsia="Arial" w:hAnsi="Arial"/>
          <w:sz w:val="17"/>
          <w:szCs w:val="17"/>
          <w:b w:val="1"/>
          <w:bCs w:val="1"/>
          <w:color w:val="auto"/>
        </w:rPr>
        <w:t>(b) x (1)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of America</w:t>
      </w:r>
    </w:p>
    <w:p>
      <w:pPr>
        <w:spacing w:after="0" w:line="116" w:lineRule="exact"/>
        <w:rPr>
          <w:sz w:val="20"/>
          <w:szCs w:val="20"/>
          <w:color w:val="auto"/>
        </w:rPr>
      </w:pPr>
    </w:p>
    <w:p>
      <w:pPr>
        <w:sectPr>
          <w:pgSz w:w="11900" w:h="16838" w:orient="portrait"/>
          <w:cols w:equalWidth="0" w:num="2">
            <w:col w:w="212" w:space="640"/>
            <w:col w:w="10380"/>
          </w:cols>
          <w:pgMar w:left="328" w:top="395" w:right="339" w:bottom="1440" w:gutter="0" w:footer="0" w:header="0"/>
          <w:type w:val="continuous"/>
        </w:sectPr>
      </w:pPr>
    </w:p>
    <w:p>
      <w:pPr>
        <w:ind w:left="97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8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732"/>
        <w:spacing w:after="0"/>
        <w:rPr>
          <w:sz w:val="20"/>
          <w:szCs w:val="20"/>
          <w:color w:val="auto"/>
        </w:rPr>
      </w:pPr>
      <w:r>
        <w:rPr>
          <w:rFonts w:ascii="Arial" w:cs="Arial" w:eastAsia="Arial" w:hAnsi="Arial"/>
          <w:sz w:val="17"/>
          <w:szCs w:val="17"/>
          <w:color w:val="auto"/>
        </w:rPr>
        <w:t>OWNED BY EACH</w:t>
      </w:r>
    </w:p>
    <w:p>
      <w:pPr>
        <w:spacing w:after="0" w:line="21" w:lineRule="exact"/>
        <w:rPr>
          <w:sz w:val="20"/>
          <w:szCs w:val="20"/>
          <w:color w:val="auto"/>
        </w:rPr>
      </w:pPr>
    </w:p>
    <w:p>
      <w:pPr>
        <w:ind w:left="99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2,972 shares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1,547,400 shares of Common Stock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2,972 shares (2)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1,547,400 shares of Common Stock (2)</w:t>
      </w:r>
    </w:p>
    <w:p>
      <w:pPr>
        <w:spacing w:after="0" w:line="151" w:lineRule="exact"/>
        <w:rPr>
          <w:sz w:val="20"/>
          <w:szCs w:val="20"/>
          <w:color w:val="auto"/>
        </w:rPr>
      </w:pPr>
    </w:p>
    <w:p>
      <w:pPr>
        <w:sectPr>
          <w:pgSz w:w="11900" w:h="16838" w:orient="portrait"/>
          <w:cols w:equalWidth="0" w:num="3">
            <w:col w:w="2412" w:space="720"/>
            <w:col w:w="80" w:space="680"/>
            <w:col w:w="7340"/>
          </w:cols>
          <w:pgMar w:left="328" w:top="395" w:right="339" w:bottom="1440" w:gutter="0" w:footer="0" w:header="0"/>
          <w:type w:val="continuous"/>
        </w:sectPr>
      </w:pPr>
    </w:p>
    <w:p>
      <w:pPr>
        <w:ind w:left="852" w:hanging="735"/>
        <w:spacing w:after="0"/>
        <w:tabs>
          <w:tab w:leader="none" w:pos="852"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852"/>
        <w:spacing w:after="0"/>
        <w:rPr>
          <w:rFonts w:ascii="Arial" w:cs="Arial" w:eastAsia="Arial" w:hAnsi="Arial"/>
          <w:sz w:val="18"/>
          <w:szCs w:val="18"/>
          <w:color w:val="auto"/>
        </w:rPr>
      </w:pPr>
      <w:r>
        <w:rPr>
          <w:rFonts w:ascii="Arial" w:cs="Arial" w:eastAsia="Arial" w:hAnsi="Arial"/>
          <w:sz w:val="18"/>
          <w:szCs w:val="18"/>
          <w:b w:val="1"/>
          <w:bCs w:val="1"/>
          <w:color w:val="auto"/>
        </w:rPr>
        <w:t>1,550,372 shares of Common Stock (2)</w:t>
      </w:r>
    </w:p>
    <w:p>
      <w:pPr>
        <w:spacing w:after="0" w:line="84" w:lineRule="exact"/>
        <w:rPr>
          <w:sz w:val="20"/>
          <w:szCs w:val="20"/>
          <w:color w:val="auto"/>
        </w:rPr>
      </w:pPr>
    </w:p>
    <w:p>
      <w:pPr>
        <w:ind w:left="852" w:hanging="735"/>
        <w:spacing w:after="0" w:line="207" w:lineRule="exact"/>
        <w:tabs>
          <w:tab w:leader="none" w:pos="8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163" w:lineRule="exact"/>
        <w:rPr>
          <w:rFonts w:ascii="Arial" w:cs="Arial" w:eastAsia="Arial" w:hAnsi="Arial"/>
          <w:sz w:val="18"/>
          <w:szCs w:val="18"/>
          <w:color w:val="auto"/>
        </w:rPr>
      </w:pPr>
    </w:p>
    <w:p>
      <w:pPr>
        <w:ind w:left="852" w:hanging="735"/>
        <w:spacing w:after="0"/>
        <w:tabs>
          <w:tab w:leader="none" w:pos="8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912"/>
        <w:spacing w:after="0"/>
        <w:rPr>
          <w:sz w:val="20"/>
          <w:szCs w:val="20"/>
          <w:color w:val="auto"/>
        </w:rPr>
      </w:pPr>
      <w:r>
        <w:rPr>
          <w:rFonts w:ascii="Arial" w:cs="Arial" w:eastAsia="Arial" w:hAnsi="Arial"/>
          <w:sz w:val="18"/>
          <w:szCs w:val="18"/>
          <w:b w:val="1"/>
          <w:bCs w:val="1"/>
          <w:color w:val="auto"/>
        </w:rPr>
        <w:t>4.7% (3)</w:t>
      </w:r>
    </w:p>
    <w:p>
      <w:pPr>
        <w:spacing w:after="0" w:line="116" w:lineRule="exact"/>
        <w:rPr>
          <w:sz w:val="20"/>
          <w:szCs w:val="20"/>
          <w:color w:val="auto"/>
        </w:rPr>
      </w:pPr>
    </w:p>
    <w:p>
      <w:pPr>
        <w:ind w:left="112"/>
        <w:spacing w:after="0"/>
        <w:tabs>
          <w:tab w:leader="none" w:pos="8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 w:lineRule="exact"/>
        <w:rPr>
          <w:sz w:val="20"/>
          <w:szCs w:val="20"/>
          <w:color w:val="auto"/>
        </w:rPr>
      </w:pPr>
    </w:p>
    <w:p>
      <w:pPr>
        <w:ind w:left="7912"/>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800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52" w:hanging="352"/>
        <w:spacing w:after="0"/>
        <w:tabs>
          <w:tab w:leader="none" w:pos="3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8" w:right="40" w:firstLine="8"/>
        <w:spacing w:after="0" w:line="250" w:lineRule="auto"/>
        <w:tabs>
          <w:tab w:leader="none" w:pos="3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1,547,400 shares held by IV LP; and (ii) 2,972 shares held directly by Mr. Petersen. IV GP serves as the sole general partner of IV LP and owns no securities of the Issuer directly. Garfinkle, Petersen and McCreadie are managing directors of IV LLC and share voting and dispositive power over the shares held by IV LP.</w:t>
      </w:r>
    </w:p>
    <w:p>
      <w:pPr>
        <w:spacing w:after="0" w:line="1" w:lineRule="exact"/>
        <w:rPr>
          <w:rFonts w:ascii="Arial" w:cs="Arial" w:eastAsia="Arial" w:hAnsi="Arial"/>
          <w:sz w:val="18"/>
          <w:szCs w:val="18"/>
          <w:color w:val="auto"/>
        </w:rPr>
      </w:pPr>
    </w:p>
    <w:p>
      <w:pPr>
        <w:ind w:left="-8" w:right="380" w:firstLine="8"/>
        <w:spacing w:after="0" w:line="260" w:lineRule="auto"/>
        <w:tabs>
          <w:tab w:leader="none" w:pos="3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32,360,839 shares of Common Stock outstanding as of October 29, 2020 as set forth in the Issuer’s most recent 10-Q filed with the Securities and Exchange Commission on November 3, 2020.</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95" w:right="339" w:bottom="1440" w:gutter="0" w:footer="0" w:header="0"/>
          <w:type w:val="continuous"/>
        </w:sectPr>
      </w:pPr>
    </w:p>
    <w:bookmarkStart w:id="5" w:name="page6"/>
    <w:bookmarkEnd w:id="5"/>
    <w:p>
      <w:pPr>
        <w:spacing w:after="0" w:line="14" w:lineRule="exact"/>
        <w:rPr>
          <w:sz w:val="20"/>
          <w:szCs w:val="20"/>
          <w:color w:val="auto"/>
        </w:rPr>
      </w:pPr>
    </w:p>
    <w:p>
      <w:pPr>
        <w:ind w:left="152"/>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-133985</wp:posOffset>
            </wp:positionV>
            <wp:extent cx="7140575" cy="5066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506603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892" w:space="720"/>
            <w:col w:w="3620"/>
          </w:cols>
          <w:pgMar w:left="328" w:top="395" w:right="339" w:bottom="1440" w:gutter="0" w:footer="0" w:header="0"/>
        </w:sectPr>
      </w:pPr>
    </w:p>
    <w:p>
      <w:pPr>
        <w:spacing w:after="0" w:line="291" w:lineRule="exact"/>
        <w:rPr>
          <w:sz w:val="20"/>
          <w:szCs w:val="20"/>
          <w:color w:val="auto"/>
        </w:rPr>
      </w:pPr>
    </w:p>
    <w:p>
      <w:pPr>
        <w:ind w:left="112"/>
        <w:spacing w:after="0"/>
        <w:rPr>
          <w:sz w:val="20"/>
          <w:szCs w:val="20"/>
          <w:color w:val="auto"/>
        </w:rPr>
      </w:pPr>
      <w:r>
        <w:rPr>
          <w:rFonts w:ascii="Arial" w:cs="Arial" w:eastAsia="Arial" w:hAnsi="Arial"/>
          <w:sz w:val="17"/>
          <w:szCs w:val="17"/>
          <w:color w:val="auto"/>
        </w:rPr>
        <w:t>1</w:t>
      </w:r>
    </w:p>
    <w:p>
      <w:pPr>
        <w:spacing w:after="0" w:line="358" w:lineRule="exact"/>
        <w:rPr>
          <w:sz w:val="20"/>
          <w:szCs w:val="20"/>
          <w:color w:val="auto"/>
        </w:rPr>
      </w:pPr>
    </w:p>
    <w:p>
      <w:pPr>
        <w:ind w:left="112"/>
        <w:spacing w:after="0"/>
        <w:rPr>
          <w:sz w:val="20"/>
          <w:szCs w:val="20"/>
          <w:color w:val="auto"/>
        </w:rPr>
      </w:pPr>
      <w:r>
        <w:rPr>
          <w:rFonts w:ascii="Arial" w:cs="Arial" w:eastAsia="Arial" w:hAnsi="Arial"/>
          <w:sz w:val="17"/>
          <w:szCs w:val="17"/>
          <w:color w:val="auto"/>
        </w:rPr>
        <w:t>2</w:t>
      </w:r>
    </w:p>
    <w:p>
      <w:pPr>
        <w:spacing w:after="0" w:line="358" w:lineRule="exact"/>
        <w:rPr>
          <w:sz w:val="20"/>
          <w:szCs w:val="20"/>
          <w:color w:val="auto"/>
        </w:rPr>
      </w:pPr>
    </w:p>
    <w:p>
      <w:pPr>
        <w:ind w:left="112"/>
        <w:spacing w:after="0"/>
        <w:rPr>
          <w:sz w:val="20"/>
          <w:szCs w:val="20"/>
          <w:color w:val="auto"/>
        </w:rPr>
      </w:pPr>
      <w:r>
        <w:rPr>
          <w:rFonts w:ascii="Arial" w:cs="Arial" w:eastAsia="Arial" w:hAnsi="Arial"/>
          <w:sz w:val="17"/>
          <w:szCs w:val="17"/>
          <w:color w:val="auto"/>
        </w:rPr>
        <w:t>3</w:t>
      </w:r>
    </w:p>
    <w:p>
      <w:pPr>
        <w:spacing w:after="0" w:line="142" w:lineRule="exact"/>
        <w:rPr>
          <w:sz w:val="20"/>
          <w:szCs w:val="20"/>
          <w:color w:val="auto"/>
        </w:rPr>
      </w:pPr>
    </w:p>
    <w:p>
      <w:pPr>
        <w:ind w:left="112"/>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McCreadie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right"/>
        <w:ind w:right="3400"/>
        <w:spacing w:after="0"/>
        <w:tabs>
          <w:tab w:leader="none" w:pos="600" w:val="left"/>
        </w:tabs>
        <w:rPr>
          <w:sz w:val="20"/>
          <w:szCs w:val="20"/>
          <w:color w:val="auto"/>
        </w:rPr>
      </w:pPr>
      <w:r>
        <w:rPr>
          <w:rFonts w:ascii="Arial" w:cs="Arial" w:eastAsia="Arial" w:hAnsi="Arial"/>
          <w:sz w:val="18"/>
          <w:szCs w:val="18"/>
          <w:color w:val="auto"/>
        </w:rPr>
        <w:t>(a) o</w:t>
      </w:r>
      <w:r>
        <w:rPr>
          <w:sz w:val="20"/>
          <w:szCs w:val="20"/>
          <w:color w:val="auto"/>
        </w:rPr>
        <w:tab/>
      </w:r>
      <w:r>
        <w:rPr>
          <w:rFonts w:ascii="Arial" w:cs="Arial" w:eastAsia="Arial" w:hAnsi="Arial"/>
          <w:sz w:val="17"/>
          <w:szCs w:val="17"/>
          <w:b w:val="1"/>
          <w:bCs w:val="1"/>
          <w:color w:val="auto"/>
        </w:rPr>
        <w:t>(b) x (1)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of America</w:t>
      </w:r>
    </w:p>
    <w:p>
      <w:pPr>
        <w:spacing w:after="0" w:line="116" w:lineRule="exact"/>
        <w:rPr>
          <w:sz w:val="20"/>
          <w:szCs w:val="20"/>
          <w:color w:val="auto"/>
        </w:rPr>
      </w:pPr>
    </w:p>
    <w:p>
      <w:pPr>
        <w:sectPr>
          <w:pgSz w:w="11900" w:h="16838" w:orient="portrait"/>
          <w:cols w:equalWidth="0" w:num="2">
            <w:col w:w="212" w:space="640"/>
            <w:col w:w="10380"/>
          </w:cols>
          <w:pgMar w:left="328" w:top="395" w:right="339" w:bottom="1440" w:gutter="0" w:footer="0" w:header="0"/>
          <w:type w:val="continuous"/>
        </w:sectPr>
      </w:pPr>
    </w:p>
    <w:p>
      <w:pPr>
        <w:ind w:left="97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852"/>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ind w:left="732"/>
        <w:spacing w:after="0"/>
        <w:rPr>
          <w:sz w:val="20"/>
          <w:szCs w:val="20"/>
          <w:color w:val="auto"/>
        </w:rPr>
      </w:pPr>
      <w:r>
        <w:rPr>
          <w:rFonts w:ascii="Arial" w:cs="Arial" w:eastAsia="Arial" w:hAnsi="Arial"/>
          <w:sz w:val="17"/>
          <w:szCs w:val="17"/>
          <w:color w:val="auto"/>
        </w:rPr>
        <w:t>OWNED BY EACH</w:t>
      </w:r>
    </w:p>
    <w:p>
      <w:pPr>
        <w:spacing w:after="0" w:line="21" w:lineRule="exact"/>
        <w:rPr>
          <w:sz w:val="20"/>
          <w:szCs w:val="20"/>
          <w:color w:val="auto"/>
        </w:rPr>
      </w:pPr>
    </w:p>
    <w:p>
      <w:pPr>
        <w:ind w:left="99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1,547,400 shares of Common Stock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1,547,400 shares of Common Stock (2)</w:t>
      </w:r>
    </w:p>
    <w:p>
      <w:pPr>
        <w:spacing w:after="0" w:line="151" w:lineRule="exact"/>
        <w:rPr>
          <w:sz w:val="20"/>
          <w:szCs w:val="20"/>
          <w:color w:val="auto"/>
        </w:rPr>
      </w:pPr>
    </w:p>
    <w:p>
      <w:pPr>
        <w:sectPr>
          <w:pgSz w:w="11900" w:h="16838" w:orient="portrait"/>
          <w:cols w:equalWidth="0" w:num="3">
            <w:col w:w="2412" w:space="720"/>
            <w:col w:w="80" w:space="680"/>
            <w:col w:w="7340"/>
          </w:cols>
          <w:pgMar w:left="328" w:top="395" w:right="339" w:bottom="1440" w:gutter="0" w:footer="0" w:header="0"/>
          <w:type w:val="continuous"/>
        </w:sectPr>
      </w:pPr>
    </w:p>
    <w:p>
      <w:pPr>
        <w:ind w:left="852" w:hanging="735"/>
        <w:spacing w:after="0"/>
        <w:tabs>
          <w:tab w:leader="none" w:pos="8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852"/>
        <w:spacing w:after="0"/>
        <w:rPr>
          <w:rFonts w:ascii="Arial" w:cs="Arial" w:eastAsia="Arial" w:hAnsi="Arial"/>
          <w:sz w:val="18"/>
          <w:szCs w:val="18"/>
          <w:color w:val="auto"/>
        </w:rPr>
      </w:pPr>
      <w:r>
        <w:rPr>
          <w:rFonts w:ascii="Arial" w:cs="Arial" w:eastAsia="Arial" w:hAnsi="Arial"/>
          <w:sz w:val="18"/>
          <w:szCs w:val="18"/>
          <w:b w:val="1"/>
          <w:bCs w:val="1"/>
          <w:color w:val="auto"/>
        </w:rPr>
        <w:t>1,547,400 shares of Common Stock (2)</w:t>
      </w:r>
    </w:p>
    <w:p>
      <w:pPr>
        <w:spacing w:after="0" w:line="116" w:lineRule="exact"/>
        <w:rPr>
          <w:sz w:val="20"/>
          <w:szCs w:val="20"/>
          <w:color w:val="auto"/>
        </w:rPr>
      </w:pPr>
    </w:p>
    <w:p>
      <w:pPr>
        <w:ind w:left="852" w:hanging="735"/>
        <w:spacing w:after="0"/>
        <w:tabs>
          <w:tab w:leader="none" w:pos="8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130" w:lineRule="exact"/>
        <w:rPr>
          <w:rFonts w:ascii="Arial" w:cs="Arial" w:eastAsia="Arial" w:hAnsi="Arial"/>
          <w:sz w:val="18"/>
          <w:szCs w:val="18"/>
          <w:color w:val="auto"/>
        </w:rPr>
      </w:pPr>
    </w:p>
    <w:p>
      <w:pPr>
        <w:ind w:left="852" w:hanging="735"/>
        <w:spacing w:after="0"/>
        <w:tabs>
          <w:tab w:leader="none" w:pos="8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7912"/>
        <w:spacing w:after="0"/>
        <w:rPr>
          <w:sz w:val="20"/>
          <w:szCs w:val="20"/>
          <w:color w:val="auto"/>
        </w:rPr>
      </w:pPr>
      <w:r>
        <w:rPr>
          <w:rFonts w:ascii="Arial" w:cs="Arial" w:eastAsia="Arial" w:hAnsi="Arial"/>
          <w:sz w:val="18"/>
          <w:szCs w:val="18"/>
          <w:b w:val="1"/>
          <w:bCs w:val="1"/>
          <w:color w:val="auto"/>
        </w:rPr>
        <w:t>4.7% (3)</w:t>
      </w:r>
    </w:p>
    <w:p>
      <w:pPr>
        <w:spacing w:after="0" w:line="116" w:lineRule="exact"/>
        <w:rPr>
          <w:sz w:val="20"/>
          <w:szCs w:val="20"/>
          <w:color w:val="auto"/>
        </w:rPr>
      </w:pPr>
    </w:p>
    <w:p>
      <w:pPr>
        <w:ind w:left="112"/>
        <w:spacing w:after="0"/>
        <w:tabs>
          <w:tab w:leader="none" w:pos="8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 w:lineRule="exact"/>
        <w:rPr>
          <w:sz w:val="20"/>
          <w:szCs w:val="20"/>
          <w:color w:val="auto"/>
        </w:rPr>
      </w:pPr>
    </w:p>
    <w:p>
      <w:pPr>
        <w:ind w:left="7912"/>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800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52" w:hanging="352"/>
        <w:spacing w:after="0"/>
        <w:tabs>
          <w:tab w:leader="none" w:pos="3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8" w:right="220" w:firstLine="8"/>
        <w:spacing w:after="0" w:line="265" w:lineRule="auto"/>
        <w:tabs>
          <w:tab w:leader="none" w:pos="3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left="-8" w:right="380" w:firstLine="8"/>
        <w:spacing w:after="0" w:line="260" w:lineRule="auto"/>
        <w:tabs>
          <w:tab w:leader="none" w:pos="3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is calculated based upon 32,360,839 shares of Common Stock outstanding as of October 29, 2020 as set forth in the Issuer’s most recent 10-Q filed with the Securities and Exchange Commission on November 3, 2020.</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95" w:right="339" w:bottom="1440" w:gutter="0" w:footer="0" w:header="0"/>
          <w:type w:val="continuous"/>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par value $0.0001 per share (“Common Stock”), of SI-Bone, Inc.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ectPr>
          <w:pgSz w:w="11900" w:h="16838" w:orient="portrait"/>
          <w:cols w:equalWidth="0" w:num="1">
            <w:col w:w="11280"/>
          </w:cols>
          <w:pgMar w:left="320" w:top="341" w:right="299" w:bottom="1440" w:gutter="0" w:footer="0" w:header="0"/>
        </w:sectPr>
      </w:pP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Name of 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SI-Bone, Inc.</w:t>
      </w:r>
    </w:p>
    <w:p>
      <w:pPr>
        <w:spacing w:after="0" w:line="200" w:lineRule="exact"/>
        <w:rPr>
          <w:sz w:val="20"/>
          <w:szCs w:val="20"/>
          <w:color w:val="auto"/>
        </w:rPr>
      </w:pPr>
    </w:p>
    <w:p>
      <w:pPr>
        <w:sectPr>
          <w:pgSz w:w="11900" w:h="16838" w:orient="portrait"/>
          <w:cols w:equalWidth="0" w:num="2">
            <w:col w:w="3860" w:space="720"/>
            <w:col w:w="6700"/>
          </w:cols>
          <w:pgMar w:left="320" w:top="341"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471 El Camino Real, Suite 101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00" w:lineRule="exact"/>
        <w:rPr>
          <w:sz w:val="20"/>
          <w:szCs w:val="20"/>
          <w:color w:val="auto"/>
        </w:rPr>
      </w:pPr>
    </w:p>
    <w:p>
      <w:pPr>
        <w:sectPr>
          <w:pgSz w:w="11900" w:h="16838" w:orient="portrait"/>
          <w:cols w:equalWidth="0" w:num="2">
            <w:col w:w="3860" w:space="720"/>
            <w:col w:w="6700"/>
          </w:cols>
          <w:pgMar w:left="320" w:top="341"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Arboretum Ventures IV, L.P. (“IV 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Arboretum Investment Manager IV, LLC (“IV LLC”)</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Jan L. Garfinkle (“Garfinkle”)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Timothy B. Petersen (“Petersen”)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Paul McCreadie (“McCreadie”)</w:t>
      </w:r>
    </w:p>
    <w:p>
      <w:pPr>
        <w:sectPr>
          <w:pgSz w:w="11900" w:h="16838" w:orient="portrait"/>
          <w:cols w:equalWidth="0" w:num="1">
            <w:col w:w="11280"/>
          </w:cols>
          <w:pgMar w:left="320" w:top="341" w:right="299" w:bottom="1440" w:gutter="0" w:footer="0" w:header="0"/>
          <w:type w:val="continuous"/>
        </w:sectPr>
      </w:pP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Address of Principal Business Office: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 Arboretum Ventures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Place Building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303 Detroit Street, Suite 301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 Arbor, MI 48104</w:t>
      </w:r>
    </w:p>
    <w:p>
      <w:pPr>
        <w:spacing w:after="0" w:line="200" w:lineRule="exact"/>
        <w:rPr>
          <w:sz w:val="20"/>
          <w:szCs w:val="20"/>
          <w:color w:val="auto"/>
        </w:rPr>
      </w:pPr>
    </w:p>
    <w:p>
      <w:pPr>
        <w:sectPr>
          <w:pgSz w:w="11900" w:h="16838" w:orient="portrait"/>
          <w:cols w:equalWidth="0" w:num="2">
            <w:col w:w="3860" w:space="720"/>
            <w:col w:w="6700"/>
          </w:cols>
          <w:pgMar w:left="320" w:top="341" w:right="299" w:bottom="1440" w:gutter="0" w:footer="0" w:header="0"/>
          <w:type w:val="continuous"/>
        </w:sectPr>
      </w:pPr>
    </w:p>
    <w:p>
      <w:pPr>
        <w:spacing w:after="0" w:line="11"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720" w:type="dxa"/>
            <w:vAlign w:val="bottom"/>
          </w:tcPr>
          <w:p>
            <w:pPr>
              <w:ind w:left="80"/>
              <w:spacing w:after="0"/>
              <w:rPr>
                <w:sz w:val="20"/>
                <w:szCs w:val="20"/>
                <w:color w:val="auto"/>
              </w:rPr>
            </w:pPr>
            <w:r>
              <w:rPr>
                <w:rFonts w:ascii="Arial" w:cs="Arial" w:eastAsia="Arial" w:hAnsi="Arial"/>
                <w:sz w:val="18"/>
                <w:szCs w:val="18"/>
                <w:color w:val="auto"/>
              </w:rPr>
              <w:t>Entities:</w:t>
            </w:r>
          </w:p>
        </w:tc>
        <w:tc>
          <w:tcPr>
            <w:tcW w:w="1840" w:type="dxa"/>
            <w:vAlign w:val="bottom"/>
          </w:tcPr>
          <w:p>
            <w:pPr>
              <w:ind w:left="640"/>
              <w:spacing w:after="0"/>
              <w:rPr>
                <w:sz w:val="20"/>
                <w:szCs w:val="20"/>
                <w:color w:val="auto"/>
              </w:rPr>
            </w:pPr>
            <w:r>
              <w:rPr>
                <w:rFonts w:ascii="Arial" w:cs="Arial" w:eastAsia="Arial" w:hAnsi="Arial"/>
                <w:sz w:val="18"/>
                <w:szCs w:val="18"/>
                <w:color w:val="auto"/>
              </w:rPr>
              <w:t>IV LP</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60" w:type="dxa"/>
            <w:vAlign w:val="bottom"/>
          </w:tcPr>
          <w:p>
            <w:pPr>
              <w:ind w:left="160"/>
              <w:spacing w:after="0"/>
              <w:rPr>
                <w:sz w:val="20"/>
                <w:szCs w:val="20"/>
                <w:color w:val="auto"/>
              </w:rPr>
            </w:pPr>
            <w:r>
              <w:rPr>
                <w:rFonts w:ascii="Arial" w:cs="Arial" w:eastAsia="Arial" w:hAnsi="Arial"/>
                <w:sz w:val="18"/>
                <w:szCs w:val="18"/>
                <w:color w:val="auto"/>
              </w:rPr>
              <w:t>Delaware, United States of America</w:t>
            </w:r>
          </w:p>
        </w:tc>
      </w:tr>
      <w:tr>
        <w:trPr>
          <w:trHeight w:val="230"/>
        </w:trPr>
        <w:tc>
          <w:tcPr>
            <w:tcW w:w="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40" w:type="dxa"/>
            <w:vAlign w:val="bottom"/>
          </w:tcPr>
          <w:p>
            <w:pPr>
              <w:ind w:left="640"/>
              <w:spacing w:after="0"/>
              <w:rPr>
                <w:sz w:val="20"/>
                <w:szCs w:val="20"/>
                <w:color w:val="auto"/>
              </w:rPr>
            </w:pPr>
            <w:r>
              <w:rPr>
                <w:rFonts w:ascii="Arial" w:cs="Arial" w:eastAsia="Arial" w:hAnsi="Arial"/>
                <w:sz w:val="18"/>
                <w:szCs w:val="18"/>
                <w:color w:val="auto"/>
              </w:rPr>
              <w:t>IV LLC</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60" w:type="dxa"/>
            <w:vAlign w:val="bottom"/>
          </w:tcPr>
          <w:p>
            <w:pPr>
              <w:ind w:left="160"/>
              <w:spacing w:after="0"/>
              <w:rPr>
                <w:sz w:val="20"/>
                <w:szCs w:val="20"/>
                <w:color w:val="auto"/>
              </w:rPr>
            </w:pPr>
            <w:r>
              <w:rPr>
                <w:rFonts w:ascii="Arial" w:cs="Arial" w:eastAsia="Arial" w:hAnsi="Arial"/>
                <w:sz w:val="18"/>
                <w:szCs w:val="18"/>
                <w:color w:val="auto"/>
              </w:rPr>
              <w:t>Delaware, United States of America</w:t>
            </w:r>
          </w:p>
        </w:tc>
      </w:tr>
      <w:tr>
        <w:trPr>
          <w:trHeight w:val="418"/>
        </w:trPr>
        <w:tc>
          <w:tcPr>
            <w:tcW w:w="600" w:type="dxa"/>
            <w:vAlign w:val="bottom"/>
          </w:tcPr>
          <w:p>
            <w:pPr>
              <w:spacing w:after="0"/>
              <w:rPr>
                <w:sz w:val="24"/>
                <w:szCs w:val="24"/>
                <w:color w:val="auto"/>
              </w:rPr>
            </w:pPr>
          </w:p>
        </w:tc>
        <w:tc>
          <w:tcPr>
            <w:tcW w:w="2720" w:type="dxa"/>
            <w:vAlign w:val="bottom"/>
          </w:tcPr>
          <w:p>
            <w:pPr>
              <w:ind w:left="80"/>
              <w:spacing w:after="0"/>
              <w:rPr>
                <w:sz w:val="20"/>
                <w:szCs w:val="20"/>
                <w:color w:val="auto"/>
              </w:rPr>
            </w:pPr>
            <w:r>
              <w:rPr>
                <w:rFonts w:ascii="Arial" w:cs="Arial" w:eastAsia="Arial" w:hAnsi="Arial"/>
                <w:sz w:val="18"/>
                <w:szCs w:val="18"/>
                <w:color w:val="auto"/>
              </w:rPr>
              <w:t>Individuals:</w:t>
            </w:r>
          </w:p>
        </w:tc>
        <w:tc>
          <w:tcPr>
            <w:tcW w:w="1840" w:type="dxa"/>
            <w:vAlign w:val="bottom"/>
          </w:tcPr>
          <w:p>
            <w:pPr>
              <w:ind w:left="640"/>
              <w:spacing w:after="0"/>
              <w:rPr>
                <w:sz w:val="20"/>
                <w:szCs w:val="20"/>
                <w:color w:val="auto"/>
              </w:rPr>
            </w:pPr>
            <w:r>
              <w:rPr>
                <w:rFonts w:ascii="Arial" w:cs="Arial" w:eastAsia="Arial" w:hAnsi="Arial"/>
                <w:sz w:val="18"/>
                <w:szCs w:val="18"/>
                <w:color w:val="auto"/>
              </w:rPr>
              <w:t>Garfinkle</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60" w:type="dxa"/>
            <w:vAlign w:val="bottom"/>
          </w:tcPr>
          <w:p>
            <w:pPr>
              <w:ind w:left="160"/>
              <w:spacing w:after="0"/>
              <w:rPr>
                <w:sz w:val="20"/>
                <w:szCs w:val="20"/>
                <w:color w:val="auto"/>
              </w:rPr>
            </w:pPr>
            <w:r>
              <w:rPr>
                <w:rFonts w:ascii="Arial" w:cs="Arial" w:eastAsia="Arial" w:hAnsi="Arial"/>
                <w:sz w:val="18"/>
                <w:szCs w:val="18"/>
                <w:color w:val="auto"/>
              </w:rPr>
              <w:t>United States of America</w:t>
            </w:r>
          </w:p>
        </w:tc>
      </w:tr>
      <w:tr>
        <w:trPr>
          <w:trHeight w:val="216"/>
        </w:trPr>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40" w:type="dxa"/>
            <w:vAlign w:val="bottom"/>
          </w:tcPr>
          <w:p>
            <w:pPr>
              <w:ind w:left="640"/>
              <w:spacing w:after="0"/>
              <w:rPr>
                <w:sz w:val="20"/>
                <w:szCs w:val="20"/>
                <w:color w:val="auto"/>
              </w:rPr>
            </w:pPr>
            <w:r>
              <w:rPr>
                <w:rFonts w:ascii="Arial" w:cs="Arial" w:eastAsia="Arial" w:hAnsi="Arial"/>
                <w:sz w:val="18"/>
                <w:szCs w:val="18"/>
                <w:color w:val="auto"/>
              </w:rPr>
              <w:t>Petersen</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60" w:type="dxa"/>
            <w:vAlign w:val="bottom"/>
          </w:tcPr>
          <w:p>
            <w:pPr>
              <w:ind w:left="160"/>
              <w:spacing w:after="0"/>
              <w:rPr>
                <w:sz w:val="20"/>
                <w:szCs w:val="20"/>
                <w:color w:val="auto"/>
              </w:rPr>
            </w:pPr>
            <w:r>
              <w:rPr>
                <w:rFonts w:ascii="Arial" w:cs="Arial" w:eastAsia="Arial" w:hAnsi="Arial"/>
                <w:sz w:val="18"/>
                <w:szCs w:val="18"/>
                <w:color w:val="auto"/>
              </w:rPr>
              <w:t>United States of America</w:t>
            </w:r>
          </w:p>
        </w:tc>
      </w:tr>
      <w:tr>
        <w:trPr>
          <w:trHeight w:val="230"/>
        </w:trPr>
        <w:tc>
          <w:tcPr>
            <w:tcW w:w="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40" w:type="dxa"/>
            <w:vAlign w:val="bottom"/>
          </w:tcPr>
          <w:p>
            <w:pPr>
              <w:ind w:left="640"/>
              <w:spacing w:after="0"/>
              <w:rPr>
                <w:sz w:val="20"/>
                <w:szCs w:val="20"/>
                <w:color w:val="auto"/>
              </w:rPr>
            </w:pPr>
            <w:r>
              <w:rPr>
                <w:rFonts w:ascii="Arial" w:cs="Arial" w:eastAsia="Arial" w:hAnsi="Arial"/>
                <w:sz w:val="18"/>
                <w:szCs w:val="18"/>
                <w:color w:val="auto"/>
              </w:rPr>
              <w:t>McCreadie</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60" w:type="dxa"/>
            <w:vAlign w:val="bottom"/>
          </w:tcPr>
          <w:p>
            <w:pPr>
              <w:ind w:left="160"/>
              <w:spacing w:after="0"/>
              <w:rPr>
                <w:sz w:val="20"/>
                <w:szCs w:val="20"/>
                <w:color w:val="auto"/>
              </w:rPr>
            </w:pPr>
            <w:r>
              <w:rPr>
                <w:rFonts w:ascii="Arial" w:cs="Arial" w:eastAsia="Arial" w:hAnsi="Arial"/>
                <w:sz w:val="18"/>
                <w:szCs w:val="18"/>
                <w:color w:val="auto"/>
              </w:rPr>
              <w:t>United States of America</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w:t>
            </w:r>
          </w:p>
        </w:tc>
        <w:tc>
          <w:tcPr>
            <w:tcW w:w="2720" w:type="dxa"/>
            <w:vAlign w:val="bottom"/>
          </w:tcPr>
          <w:p>
            <w:pPr>
              <w:ind w:left="100"/>
              <w:spacing w:after="0"/>
              <w:rPr>
                <w:sz w:val="20"/>
                <w:szCs w:val="20"/>
                <w:color w:val="auto"/>
              </w:rPr>
            </w:pPr>
            <w:r>
              <w:rPr>
                <w:rFonts w:ascii="Arial" w:cs="Arial" w:eastAsia="Arial" w:hAnsi="Arial"/>
                <w:sz w:val="18"/>
                <w:szCs w:val="18"/>
                <w:color w:val="auto"/>
              </w:rPr>
              <w:t>Title of Class of Securities:</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Common Stock</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(e)</w:t>
            </w:r>
          </w:p>
        </w:tc>
        <w:tc>
          <w:tcPr>
            <w:tcW w:w="2720" w:type="dxa"/>
            <w:vAlign w:val="bottom"/>
          </w:tcPr>
          <w:p>
            <w:pPr>
              <w:ind w:left="100"/>
              <w:spacing w:after="0"/>
              <w:rPr>
                <w:sz w:val="20"/>
                <w:szCs w:val="20"/>
                <w:color w:val="auto"/>
              </w:rPr>
            </w:pPr>
            <w:r>
              <w:rPr>
                <w:rFonts w:ascii="Arial" w:cs="Arial" w:eastAsia="Arial" w:hAnsi="Arial"/>
                <w:sz w:val="18"/>
                <w:szCs w:val="18"/>
                <w:color w:val="auto"/>
              </w:rPr>
              <w:t>CUSIP Number:</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b w:val="1"/>
                <w:bCs w:val="1"/>
                <w:color w:val="auto"/>
              </w:rPr>
              <w:t>825704109</w:t>
            </w: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720" w:type="dxa"/>
            <w:vAlign w:val="bottom"/>
          </w:tcPr>
          <w:p>
            <w:pPr>
              <w:ind w:left="720"/>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5460" w:type="dxa"/>
            <w:vAlign w:val="bottom"/>
          </w:tcPr>
          <w:p>
            <w:pPr>
              <w:spacing w:after="0"/>
              <w:rPr>
                <w:sz w:val="24"/>
                <w:szCs w:val="24"/>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type w:val="continuous"/>
        </w:sectPr>
      </w:pPr>
    </w:p>
    <w:bookmarkStart w:id="7" w:name="page8"/>
    <w:bookmarkEnd w:id="7"/>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 Held</w:t>
            </w: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Sole Voting</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Beneficial</w:t>
            </w: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22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Voting</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3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Directly</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Ownership</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 Class (2)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IV LP</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IV LLC</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1,547,400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1,547,400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1,547,400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Garfinkle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1,547,400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1,547,400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1,547,400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Petersen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2,972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1,547,400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1,547,400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1,550,372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McCreadie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1,547,400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1,547,400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1,547,400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205740</wp:posOffset>
            </wp:positionV>
            <wp:extent cx="17659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hanging="332"/>
        <w:spacing w:after="0" w:line="258"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IV GP serves as the sole general partner of IV LP and owns no securities of the Issuer directly. Garfinkle, Petersen and McCreadie are managing directors of IV LLC and share voting and dispositive power over the shares held by IV LP.</w:t>
      </w:r>
    </w:p>
    <w:p>
      <w:pPr>
        <w:spacing w:after="0" w:line="1" w:lineRule="exact"/>
        <w:rPr>
          <w:rFonts w:ascii="Arial" w:cs="Arial" w:eastAsia="Arial" w:hAnsi="Arial"/>
          <w:sz w:val="18"/>
          <w:szCs w:val="18"/>
          <w:color w:val="auto"/>
        </w:rPr>
      </w:pPr>
    </w:p>
    <w:p>
      <w:pPr>
        <w:ind w:left="340" w:right="400" w:hanging="332"/>
        <w:spacing w:after="0" w:line="260"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upon 32,360,839 shares of Common Stock outstanding as of October 29, 2020 as set forth in the Issuer’s most recent 10-Q filed with the Securities and Exchange Commission on November 3, 2020.</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r>
        <w:rPr>
          <w:rFonts w:ascii="Arial" w:cs="Arial" w:eastAsia="Arial" w:hAnsi="Arial"/>
          <w:sz w:val="16"/>
          <w:szCs w:val="16"/>
          <w:color w:val="auto"/>
        </w:rPr>
        <w:t>.</w:t>
      </w:r>
    </w:p>
    <w:p>
      <w:pPr>
        <w:spacing w:after="0" w:line="229" w:lineRule="exact"/>
        <w:rPr>
          <w:sz w:val="20"/>
          <w:szCs w:val="20"/>
          <w:color w:val="auto"/>
        </w:rPr>
      </w:pPr>
    </w:p>
    <w:p>
      <w:pPr>
        <w:ind w:left="980" w:right="360"/>
        <w:spacing w:after="0" w:line="277"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Arial" w:cs="Arial" w:eastAsia="Arial" w:hAnsi="Arial"/>
          <w:sz w:val="18"/>
          <w:szCs w:val="18"/>
          <w:b w:val="1"/>
          <w:bCs w:val="1"/>
          <w:color w:val="auto"/>
        </w:rPr>
        <w:t>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Items 2(a) and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VENTURES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Arboretum Investment Manager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2486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Jan L. Garfinkle,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INVESTMENT MANAGER IV,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2486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Jan L. Garfinkle, Managing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 L. GARFINKLE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Timothy B.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B. PETERSEN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Paul Mccreadie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MCCREADIE</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0" w:name="page11"/>
    <w:bookmarkEnd w:id="10"/>
    <w:p>
      <w:pPr>
        <w:jc w:val="center"/>
        <w:ind w:right="-4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SI-Bone,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VENTURES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Arboretum Investment Manager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2486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Jan L. Garfinkle,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INVESTMENT MANAGER IV,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2486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Jan L. Garfinkle, Managing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 L. GARFINKLE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Timothy B.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B. PETERSEN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Paul Mccreadie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MCCREADIE</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800"/>
      </w:cols>
      <w:pgMar w:left="320" w:top="34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x"/>
      <w:numFmt w:val="bullet"/>
      <w:start w:val="1"/>
    </w:lvl>
  </w:abstractNum>
  <w:abstractNum w:abstractNumId="2">
    <w:nsid w:val="4DB127F8"/>
    <w:multiLevelType w:val="hybridMultilevel"/>
    <w:lvl w:ilvl="0">
      <w:lvlJc w:val="left"/>
      <w:lvlText w:val="(%1)"/>
      <w:numFmt w:val="decimal"/>
      <w:start w:val="1"/>
    </w:lvl>
    <w:lvl w:ilvl="1">
      <w:lvlJc w:val="left"/>
      <w:lvlText w:val="(%2)"/>
      <w:numFmt w:val="decimal"/>
      <w:start w:val="2"/>
    </w:lvl>
  </w:abstractNum>
  <w:abstractNum w:abstractNumId="3">
    <w:nsid w:val="216231B"/>
    <w:multiLevelType w:val="hybridMultilevel"/>
    <w:lvl w:ilvl="0">
      <w:lvlJc w:val="left"/>
      <w:lvlText w:val="(%1)"/>
      <w:numFmt w:val="decimal"/>
      <w:start w:val="3"/>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9"/>
      <w:numFmt w:val="bullet"/>
      <w:start w:val="1"/>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2021-02-22T08:02:18Z</dcterms:created>
  <dcterms:modified xsi:type="dcterms:W3CDTF">2021-02-22T08:02:18Z</dcterms:modified>
</cp:coreProperties>
</file>