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June 16, 2020</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61"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2560" w:type="dxa"/>
            <w:vAlign w:val="bottom"/>
          </w:tcPr>
          <w:p>
            <w:pPr>
              <w:jc w:val="center"/>
              <w:ind w:right="539"/>
              <w:spacing w:after="0"/>
              <w:rPr>
                <w:sz w:val="20"/>
                <w:szCs w:val="20"/>
                <w:color w:val="auto"/>
              </w:rPr>
            </w:pPr>
            <w:r>
              <w:rPr>
                <w:rFonts w:ascii="Arial" w:cs="Arial" w:eastAsia="Arial" w:hAnsi="Arial"/>
                <w:sz w:val="16"/>
                <w:szCs w:val="16"/>
                <w:b w:val="1"/>
                <w:bCs w:val="1"/>
                <w:color w:val="auto"/>
                <w:w w:val="93"/>
              </w:rPr>
              <w:t>Delaware</w:t>
            </w:r>
          </w:p>
        </w:tc>
        <w:tc>
          <w:tcPr>
            <w:tcW w:w="47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2560" w:type="dxa"/>
            <w:vAlign w:val="bottom"/>
          </w:tcPr>
          <w:p>
            <w:pPr>
              <w:jc w:val="center"/>
              <w:ind w:right="539"/>
              <w:spacing w:after="0"/>
              <w:rPr>
                <w:sz w:val="20"/>
                <w:szCs w:val="20"/>
                <w:color w:val="auto"/>
              </w:rPr>
            </w:pPr>
            <w:r>
              <w:rPr>
                <w:rFonts w:ascii="Arial" w:cs="Arial" w:eastAsia="Arial" w:hAnsi="Arial"/>
                <w:sz w:val="16"/>
                <w:szCs w:val="16"/>
                <w:color w:val="auto"/>
                <w:w w:val="94"/>
              </w:rPr>
              <w:t>(State or other jurisdiction of</w:t>
            </w:r>
          </w:p>
        </w:tc>
        <w:tc>
          <w:tcPr>
            <w:tcW w:w="4700" w:type="dxa"/>
            <w:vAlign w:val="bottom"/>
          </w:tcPr>
          <w:p>
            <w:pPr>
              <w:jc w:val="center"/>
              <w:ind w:right="99"/>
              <w:spacing w:after="0"/>
              <w:rPr>
                <w:sz w:val="20"/>
                <w:szCs w:val="20"/>
                <w:color w:val="auto"/>
              </w:rPr>
            </w:pPr>
            <w:r>
              <w:rPr>
                <w:rFonts w:ascii="Arial" w:cs="Arial" w:eastAsia="Arial" w:hAnsi="Arial"/>
                <w:sz w:val="16"/>
                <w:szCs w:val="16"/>
                <w:color w:val="auto"/>
                <w:w w:val="94"/>
              </w:rPr>
              <w:t>(Commission</w:t>
            </w:r>
          </w:p>
        </w:tc>
        <w:tc>
          <w:tcPr>
            <w:tcW w:w="1940" w:type="dxa"/>
            <w:vAlign w:val="bottom"/>
          </w:tcPr>
          <w:p>
            <w:pPr>
              <w:jc w:val="center"/>
              <w:ind w:left="679"/>
              <w:spacing w:after="0"/>
              <w:rPr>
                <w:sz w:val="20"/>
                <w:szCs w:val="20"/>
                <w:color w:val="auto"/>
              </w:rPr>
            </w:pPr>
            <w:r>
              <w:rPr>
                <w:rFonts w:ascii="Arial" w:cs="Arial" w:eastAsia="Arial" w:hAnsi="Arial"/>
                <w:sz w:val="16"/>
                <w:szCs w:val="16"/>
                <w:color w:val="auto"/>
                <w:w w:val="93"/>
              </w:rPr>
              <w:t>(I.R.S. Employer</w:t>
            </w:r>
          </w:p>
        </w:tc>
      </w:tr>
      <w:tr>
        <w:trPr>
          <w:trHeight w:val="206"/>
        </w:trPr>
        <w:tc>
          <w:tcPr>
            <w:tcW w:w="2560" w:type="dxa"/>
            <w:vAlign w:val="bottom"/>
          </w:tcPr>
          <w:p>
            <w:pPr>
              <w:jc w:val="center"/>
              <w:ind w:right="539"/>
              <w:spacing w:after="0"/>
              <w:rPr>
                <w:sz w:val="20"/>
                <w:szCs w:val="20"/>
                <w:color w:val="auto"/>
              </w:rPr>
            </w:pPr>
            <w:r>
              <w:rPr>
                <w:rFonts w:ascii="Arial" w:cs="Arial" w:eastAsia="Arial" w:hAnsi="Arial"/>
                <w:sz w:val="16"/>
                <w:szCs w:val="16"/>
                <w:color w:val="auto"/>
                <w:w w:val="93"/>
              </w:rPr>
              <w:t>incorporation or organization)</w:t>
            </w:r>
          </w:p>
        </w:tc>
        <w:tc>
          <w:tcPr>
            <w:tcW w:w="470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940" w:type="dxa"/>
            <w:vAlign w:val="bottom"/>
          </w:tcPr>
          <w:p>
            <w:pPr>
              <w:jc w:val="center"/>
              <w:ind w:left="659"/>
              <w:spacing w:after="0"/>
              <w:rPr>
                <w:sz w:val="20"/>
                <w:szCs w:val="20"/>
                <w:color w:val="auto"/>
              </w:rPr>
            </w:pPr>
            <w:r>
              <w:rPr>
                <w:rFonts w:ascii="Arial" w:cs="Arial" w:eastAsia="Arial" w:hAnsi="Arial"/>
                <w:sz w:val="16"/>
                <w:szCs w:val="16"/>
                <w:color w:val="auto"/>
                <w:w w:val="96"/>
              </w:rPr>
              <w:t>Identification No.)</w:t>
            </w:r>
          </w:p>
        </w:tc>
      </w:tr>
      <w:tr>
        <w:trPr>
          <w:trHeight w:val="559"/>
        </w:trPr>
        <w:tc>
          <w:tcPr>
            <w:tcW w:w="2560" w:type="dxa"/>
            <w:vAlign w:val="bottom"/>
          </w:tcPr>
          <w:p>
            <w:pPr>
              <w:spacing w:after="0"/>
              <w:rPr>
                <w:sz w:val="24"/>
                <w:szCs w:val="24"/>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940" w:type="dxa"/>
            <w:vAlign w:val="bottom"/>
          </w:tcPr>
          <w:p>
            <w:pPr>
              <w:spacing w:after="0"/>
              <w:rPr>
                <w:sz w:val="24"/>
                <w:szCs w:val="24"/>
                <w:color w:val="auto"/>
              </w:rPr>
            </w:pPr>
          </w:p>
        </w:tc>
      </w:tr>
      <w:tr>
        <w:trPr>
          <w:trHeight w:val="189"/>
        </w:trPr>
        <w:tc>
          <w:tcPr>
            <w:tcW w:w="2560" w:type="dxa"/>
            <w:vAlign w:val="bottom"/>
          </w:tcPr>
          <w:p>
            <w:pPr>
              <w:spacing w:after="0"/>
              <w:rPr>
                <w:sz w:val="16"/>
                <w:szCs w:val="16"/>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94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940" w:type="dxa"/>
            <w:vAlign w:val="bottom"/>
          </w:tcPr>
          <w:p>
            <w:pPr>
              <w:spacing w:after="0"/>
              <w:rPr>
                <w:sz w:val="16"/>
                <w:szCs w:val="16"/>
                <w:color w:val="auto"/>
              </w:rPr>
            </w:pPr>
          </w:p>
        </w:tc>
      </w:tr>
      <w:tr>
        <w:trPr>
          <w:trHeight w:val="206"/>
        </w:trPr>
        <w:tc>
          <w:tcPr>
            <w:tcW w:w="2560" w:type="dxa"/>
            <w:vAlign w:val="bottom"/>
          </w:tcPr>
          <w:p>
            <w:pPr>
              <w:spacing w:after="0"/>
              <w:rPr>
                <w:sz w:val="17"/>
                <w:szCs w:val="17"/>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color w:val="auto"/>
                <w:w w:val="93"/>
              </w:rPr>
              <w:t>(Address of principal executive offices) (Zip Code)</w:t>
            </w:r>
          </w:p>
        </w:tc>
        <w:tc>
          <w:tcPr>
            <w:tcW w:w="1940" w:type="dxa"/>
            <w:vAlign w:val="bottom"/>
          </w:tcPr>
          <w:p>
            <w:pPr>
              <w:spacing w:after="0"/>
              <w:rPr>
                <w:sz w:val="17"/>
                <w:szCs w:val="17"/>
                <w:color w:val="auto"/>
              </w:rPr>
            </w:pPr>
          </w:p>
        </w:tc>
      </w:tr>
      <w:tr>
        <w:trPr>
          <w:trHeight w:val="415"/>
        </w:trPr>
        <w:tc>
          <w:tcPr>
            <w:tcW w:w="2560" w:type="dxa"/>
            <w:vAlign w:val="bottom"/>
          </w:tcPr>
          <w:p>
            <w:pPr>
              <w:spacing w:after="0"/>
              <w:rPr>
                <w:sz w:val="24"/>
                <w:szCs w:val="24"/>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940" w:type="dxa"/>
            <w:vAlign w:val="bottom"/>
          </w:tcPr>
          <w:p>
            <w:pPr>
              <w:spacing w:after="0"/>
              <w:rPr>
                <w:sz w:val="24"/>
                <w:szCs w:val="24"/>
                <w:color w:val="auto"/>
              </w:rPr>
            </w:pPr>
          </w:p>
        </w:tc>
      </w:tr>
      <w:tr>
        <w:trPr>
          <w:trHeight w:val="206"/>
        </w:trPr>
        <w:tc>
          <w:tcPr>
            <w:tcW w:w="2560" w:type="dxa"/>
            <w:vAlign w:val="bottom"/>
          </w:tcPr>
          <w:p>
            <w:pPr>
              <w:spacing w:after="0"/>
              <w:rPr>
                <w:sz w:val="17"/>
                <w:szCs w:val="17"/>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940" w:type="dxa"/>
            <w:vAlign w:val="bottom"/>
          </w:tcPr>
          <w:p>
            <w:pPr>
              <w:spacing w:after="0"/>
              <w:rPr>
                <w:sz w:val="17"/>
                <w:szCs w:val="17"/>
                <w:color w:val="auto"/>
              </w:rPr>
            </w:pP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277" w:lineRule="exact"/>
        <w:rPr>
          <w:sz w:val="24"/>
          <w:szCs w:val="24"/>
          <w:color w:val="auto"/>
        </w:rPr>
      </w:pPr>
    </w:p>
    <w:p>
      <w:pPr>
        <w:ind w:left="12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14"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Written communications pursuant to Rule 425 under the Securities Act (17 CFR 230.425)</w:t>
      </w:r>
    </w:p>
    <w:p>
      <w:pPr>
        <w:spacing w:after="0" w:line="200" w:lineRule="exact"/>
        <w:rPr>
          <w:sz w:val="24"/>
          <w:szCs w:val="24"/>
          <w:color w:val="auto"/>
        </w:rPr>
      </w:pPr>
    </w:p>
    <w:p>
      <w:pPr>
        <w:spacing w:after="0" w:line="251"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Soliciting material pursuant to Rule 14a-12 under the Exchange Act (17 CFR 240.14a-12)</w:t>
      </w:r>
    </w:p>
    <w:p>
      <w:pPr>
        <w:spacing w:after="0" w:line="200" w:lineRule="exact"/>
        <w:rPr>
          <w:sz w:val="24"/>
          <w:szCs w:val="24"/>
          <w:color w:val="auto"/>
        </w:rPr>
      </w:pPr>
    </w:p>
    <w:p>
      <w:pPr>
        <w:spacing w:after="0" w:line="251"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Pre-commencement communications pursuant to Rule 14d-2(b) under the Exchange Act (17 CFR 240.14d-2(b))</w:t>
      </w: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6"/>
          <w:szCs w:val="16"/>
          <w:color w:val="auto"/>
        </w:rPr>
        <w:t>o Pre-commencement communications pursuant to Rule 13e-4(c) under the Exchange Act (17 CFR 240.13e-4(c))</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71"/>
        </w:trPr>
        <w:tc>
          <w:tcPr>
            <w:tcW w:w="3420" w:type="dxa"/>
            <w:vAlign w:val="bottom"/>
            <w:gridSpan w:val="3"/>
          </w:tcPr>
          <w:p>
            <w:pPr>
              <w:jc w:val="center"/>
              <w:ind w:right="540"/>
              <w:spacing w:after="0"/>
              <w:rPr>
                <w:sz w:val="20"/>
                <w:szCs w:val="20"/>
                <w:color w:val="auto"/>
              </w:rPr>
            </w:pPr>
            <w:r>
              <w:rPr>
                <w:rFonts w:ascii="Arial" w:cs="Arial" w:eastAsia="Arial" w:hAnsi="Arial"/>
                <w:sz w:val="16"/>
                <w:szCs w:val="16"/>
                <w:color w:val="auto"/>
                <w:w w:val="90"/>
              </w:rPr>
              <w:t>Common Stock, par value $0.0001 per share</w:t>
            </w:r>
          </w:p>
        </w:tc>
        <w:tc>
          <w:tcPr>
            <w:tcW w:w="520" w:type="dxa"/>
            <w:vAlign w:val="bottom"/>
          </w:tcPr>
          <w:p>
            <w:pPr>
              <w:spacing w:after="0"/>
              <w:rPr>
                <w:sz w:val="23"/>
                <w:szCs w:val="23"/>
                <w:color w:val="auto"/>
              </w:rPr>
            </w:pPr>
          </w:p>
        </w:tc>
        <w:tc>
          <w:tcPr>
            <w:tcW w:w="2320" w:type="dxa"/>
            <w:vAlign w:val="bottom"/>
            <w:gridSpan w:val="2"/>
          </w:tcPr>
          <w:p>
            <w:pPr>
              <w:jc w:val="center"/>
              <w:ind w:right="1020"/>
              <w:spacing w:after="0"/>
              <w:rPr>
                <w:sz w:val="20"/>
                <w:szCs w:val="20"/>
                <w:color w:val="auto"/>
              </w:rPr>
            </w:pPr>
            <w:r>
              <w:rPr>
                <w:rFonts w:ascii="Arial" w:cs="Arial" w:eastAsia="Arial" w:hAnsi="Arial"/>
                <w:sz w:val="16"/>
                <w:szCs w:val="16"/>
                <w:color w:val="auto"/>
              </w:rPr>
              <w:t>SIBN</w:t>
            </w: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37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June 16, 2020, SI-BONE, Inc. held its 2020 Annual Meeting of Stockholders (the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The following is a brief description of each matter voted upon at the Annual Meeting, as well as the final tally of the number of votes cast: (a) for or withheld with respect to the election of directors; and (b) for or against, as well as abstentions, for the ratification of the appointment of PricewaterhouseCoopers LLP as SI-BONE’s independent registered public accounting firm for the fiscal year ending December 31, 2020. Broker non-votes are also reported. A more complete description of each matter is set forth in SI-BONE’s definitive proxy statement filed with the Securities and Exchange Commission on April 22, 2020.</w:t>
      </w:r>
    </w:p>
    <w:p>
      <w:pPr>
        <w:spacing w:after="0" w:line="201" w:lineRule="exact"/>
        <w:rPr>
          <w:sz w:val="20"/>
          <w:szCs w:val="20"/>
          <w:color w:val="auto"/>
        </w:rPr>
      </w:pPr>
    </w:p>
    <w:p>
      <w:pPr>
        <w:jc w:val="both"/>
        <w:ind w:left="1000" w:hanging="1052"/>
        <w:spacing w:after="0" w:line="248" w:lineRule="auto"/>
        <w:tabs>
          <w:tab w:leader="none" w:pos="980" w:val="left"/>
        </w:tabs>
        <w:rPr>
          <w:sz w:val="20"/>
          <w:szCs w:val="20"/>
          <w:color w:val="auto"/>
        </w:rPr>
      </w:pPr>
      <w:r>
        <w:rPr>
          <w:rFonts w:ascii="Arial" w:cs="Arial" w:eastAsia="Arial" w:hAnsi="Arial"/>
          <w:sz w:val="18"/>
          <w:szCs w:val="18"/>
          <w:i w:val="1"/>
          <w:iCs w:val="1"/>
          <w:color w:val="auto"/>
        </w:rPr>
        <w:t>Proposal 1:</w:t>
      </w:r>
      <w:r>
        <w:rPr>
          <w:sz w:val="20"/>
          <w:szCs w:val="20"/>
          <w:color w:val="auto"/>
        </w:rPr>
        <w:tab/>
      </w:r>
      <w:r>
        <w:rPr>
          <w:rFonts w:ascii="Arial" w:cs="Arial" w:eastAsia="Arial" w:hAnsi="Arial"/>
          <w:sz w:val="18"/>
          <w:szCs w:val="18"/>
          <w:color w:val="auto"/>
        </w:rPr>
        <w:t>Each of the three directors proposed by SI-BONE for election was elected by the following votes to serve until SI-BONE’s 2023 Annual Meeting of Stockholders or until his respective successor has been elected and qualified. The tabulation of votes on this matter was as follows:</w:t>
      </w:r>
    </w:p>
    <w:p>
      <w:pPr>
        <w:spacing w:after="0" w:line="254" w:lineRule="exact"/>
        <w:rPr>
          <w:sz w:val="20"/>
          <w:szCs w:val="20"/>
          <w:color w:val="auto"/>
        </w:rPr>
      </w:pPr>
    </w:p>
    <w:tbl>
      <w:tblPr>
        <w:tblLayout w:type="fixed"/>
        <w:tblInd w:w="188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Withheld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70"/>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Jeffrey W. Dunn</w:t>
            </w: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14,314,158</w:t>
            </w:r>
          </w:p>
        </w:tc>
        <w:tc>
          <w:tcPr>
            <w:tcW w:w="16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4,541,181</w:t>
            </w:r>
          </w:p>
        </w:tc>
        <w:tc>
          <w:tcPr>
            <w:tcW w:w="2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5,585,262</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John G. Freund, M.D.</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12,906,193</w:t>
            </w:r>
          </w:p>
        </w:tc>
        <w:tc>
          <w:tcPr>
            <w:tcW w:w="16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5,949,146</w:t>
            </w:r>
          </w:p>
        </w:tc>
        <w:tc>
          <w:tcPr>
            <w:tcW w:w="2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5,585,262</w:t>
            </w: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Gregory K. Hinckley</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14,249,235</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4,606,104</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5,585,262</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Proposal 2: </w:t>
      </w:r>
      <w:r>
        <w:rPr>
          <w:rFonts w:ascii="Arial" w:cs="Arial" w:eastAsia="Arial" w:hAnsi="Arial"/>
          <w:sz w:val="17"/>
          <w:szCs w:val="17"/>
          <w:color w:val="auto"/>
        </w:rPr>
        <w:t>The appointment of PricewaterhouseCoopers LLP as SI-BONE’s independent registered public accounting firm for the fiscal year ending</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December 31, 2020, was ratified. The tabulation of votes on this matter was as follows:</w:t>
      </w:r>
    </w:p>
    <w:p>
      <w:pPr>
        <w:spacing w:after="0" w:line="268"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7"/>
              </w:rPr>
              <w:t>Broker</w:t>
            </w:r>
          </w:p>
        </w:tc>
      </w:tr>
      <w:tr>
        <w:trPr>
          <w:trHeight w:val="186"/>
        </w:trPr>
        <w:tc>
          <w:tcPr>
            <w:tcW w:w="2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For</w:t>
            </w:r>
          </w:p>
        </w:tc>
        <w:tc>
          <w:tcPr>
            <w:tcW w:w="2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Against</w:t>
            </w:r>
          </w:p>
        </w:tc>
        <w:tc>
          <w:tcPr>
            <w:tcW w:w="2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Abstain</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8"/>
              </w:rPr>
              <w:t>Non-Votes</w:t>
            </w:r>
          </w:p>
        </w:tc>
      </w:tr>
      <w:tr>
        <w:trPr>
          <w:trHeight w:val="26"/>
        </w:trPr>
        <w:tc>
          <w:tcPr>
            <w:tcW w:w="19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190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23,534,353</w:t>
            </w:r>
          </w:p>
        </w:tc>
        <w:tc>
          <w:tcPr>
            <w:tcW w:w="300" w:type="dxa"/>
            <w:vAlign w:val="bottom"/>
            <w:shd w:val="clear" w:color="auto" w:fill="CCEEFF"/>
          </w:tcPr>
          <w:p>
            <w:pPr>
              <w:spacing w:after="0"/>
              <w:rPr>
                <w:sz w:val="20"/>
                <w:szCs w:val="20"/>
                <w:color w:val="auto"/>
              </w:rPr>
            </w:pPr>
          </w:p>
        </w:tc>
        <w:tc>
          <w:tcPr>
            <w:tcW w:w="18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238,962</w:t>
            </w:r>
          </w:p>
        </w:tc>
        <w:tc>
          <w:tcPr>
            <w:tcW w:w="280" w:type="dxa"/>
            <w:vAlign w:val="bottom"/>
            <w:shd w:val="clear" w:color="auto" w:fill="CCEEFF"/>
          </w:tcPr>
          <w:p>
            <w:pPr>
              <w:spacing w:after="0"/>
              <w:rPr>
                <w:sz w:val="20"/>
                <w:szCs w:val="20"/>
                <w:color w:val="auto"/>
              </w:rPr>
            </w:pPr>
          </w:p>
        </w:tc>
        <w:tc>
          <w:tcPr>
            <w:tcW w:w="21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667,286</w:t>
            </w:r>
          </w:p>
        </w:tc>
        <w:tc>
          <w:tcPr>
            <w:tcW w:w="240" w:type="dxa"/>
            <w:vAlign w:val="bottom"/>
            <w:shd w:val="clear" w:color="auto" w:fill="CCEEFF"/>
          </w:tcPr>
          <w:p>
            <w:pPr>
              <w:spacing w:after="0"/>
              <w:rPr>
                <w:sz w:val="20"/>
                <w:szCs w:val="20"/>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7"/>
        </w:trPr>
        <w:tc>
          <w:tcPr>
            <w:tcW w:w="1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134"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20"/>
        <w:spacing w:after="0"/>
        <w:tabs>
          <w:tab w:leader="none" w:pos="820" w:val="left"/>
          <w:tab w:leader="none" w:pos="4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686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0720"/>
      </w:cols>
      <w:pgMar w:left="320" w:top="113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2020-06-17T15:11:41Z</dcterms:created>
  <dcterms:modified xsi:type="dcterms:W3CDTF">2020-06-17T15:11:41Z</dcterms:modified>
</cp:coreProperties>
</file>