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739"/>
        <w:spacing w:after="0"/>
        <w:rPr>
          <w:sz w:val="20"/>
          <w:szCs w:val="20"/>
          <w:color w:val="auto"/>
        </w:rPr>
      </w:pPr>
      <w:r>
        <w:rPr>
          <w:rFonts w:ascii="Arial" w:cs="Arial" w:eastAsia="Arial" w:hAnsi="Arial"/>
          <w:sz w:val="32"/>
          <w:szCs w:val="32"/>
          <w:b w:val="1"/>
          <w:bCs w:val="1"/>
          <w:color w:val="auto"/>
        </w:rPr>
        <w:t>SECURITIES AND EXCHANGE COMMISSION</w:t>
      </w:r>
    </w:p>
    <w:p>
      <w:pPr>
        <w:ind w:left="42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720"/>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1180" w:right="162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12(g)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215265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739"/>
        <w:spacing w:after="0"/>
        <w:rPr>
          <w:sz w:val="20"/>
          <w:szCs w:val="20"/>
          <w:color w:val="auto"/>
        </w:rPr>
      </w:pPr>
      <w:r>
        <w:rPr>
          <w:rFonts w:ascii="Arial" w:cs="Arial" w:eastAsia="Arial" w:hAnsi="Arial"/>
          <w:sz w:val="43"/>
          <w:szCs w:val="43"/>
          <w:b w:val="1"/>
          <w:bCs w:val="1"/>
          <w:color w:val="auto"/>
        </w:rPr>
        <w:t>SI-BONE, Inc.</w:t>
      </w:r>
    </w:p>
    <w:p>
      <w:pPr>
        <w:spacing w:after="0" w:line="50" w:lineRule="exact"/>
        <w:rPr>
          <w:sz w:val="24"/>
          <w:szCs w:val="24"/>
          <w:color w:val="auto"/>
        </w:rPr>
      </w:pPr>
    </w:p>
    <w:p>
      <w:pPr>
        <w:ind w:left="34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80" w:type="dxa"/>
        <w:tblCellMar>
          <w:top w:w="0" w:type="dxa"/>
          <w:left w:w="0" w:type="dxa"/>
          <w:bottom w:w="0" w:type="dxa"/>
          <w:right w:w="0" w:type="dxa"/>
        </w:tblCellMar>
      </w:tblPr>
      <w:tr>
        <w:trPr>
          <w:trHeight w:val="212"/>
        </w:trPr>
        <w:tc>
          <w:tcPr>
            <w:tcW w:w="1140" w:type="dxa"/>
            <w:vAlign w:val="bottom"/>
          </w:tcPr>
          <w:p>
            <w:pPr>
              <w:spacing w:after="0"/>
              <w:rPr>
                <w:sz w:val="18"/>
                <w:szCs w:val="18"/>
                <w:color w:val="auto"/>
              </w:rPr>
            </w:pPr>
          </w:p>
        </w:tc>
        <w:tc>
          <w:tcPr>
            <w:tcW w:w="3580" w:type="dxa"/>
            <w:vAlign w:val="bottom"/>
            <w:gridSpan w:val="2"/>
          </w:tcPr>
          <w:p>
            <w:pPr>
              <w:jc w:val="center"/>
              <w:ind w:right="2370"/>
              <w:spacing w:after="0"/>
              <w:rPr>
                <w:sz w:val="20"/>
                <w:szCs w:val="20"/>
                <w:color w:val="auto"/>
              </w:rPr>
            </w:pPr>
            <w:r>
              <w:rPr>
                <w:rFonts w:ascii="Arial" w:cs="Arial" w:eastAsia="Arial" w:hAnsi="Arial"/>
                <w:sz w:val="18"/>
                <w:szCs w:val="18"/>
                <w:b w:val="1"/>
                <w:bCs w:val="1"/>
                <w:color w:val="auto"/>
                <w:w w:val="91"/>
              </w:rPr>
              <w:t>Delaware</w:t>
            </w:r>
          </w:p>
        </w:tc>
        <w:tc>
          <w:tcPr>
            <w:tcW w:w="3420" w:type="dxa"/>
            <w:vAlign w:val="bottom"/>
            <w:gridSpan w:val="2"/>
          </w:tcPr>
          <w:p>
            <w:pPr>
              <w:jc w:val="right"/>
              <w:ind w:right="362"/>
              <w:spacing w:after="0"/>
              <w:rPr>
                <w:sz w:val="20"/>
                <w:szCs w:val="20"/>
                <w:color w:val="auto"/>
              </w:rPr>
            </w:pPr>
            <w:r>
              <w:rPr>
                <w:rFonts w:ascii="Arial" w:cs="Arial" w:eastAsia="Arial" w:hAnsi="Arial"/>
                <w:sz w:val="18"/>
                <w:szCs w:val="18"/>
                <w:b w:val="1"/>
                <w:bCs w:val="1"/>
                <w:color w:val="auto"/>
              </w:rPr>
              <w:t>26-2216351</w:t>
            </w:r>
          </w:p>
        </w:tc>
        <w:tc>
          <w:tcPr>
            <w:tcW w:w="360" w:type="dxa"/>
            <w:vAlign w:val="bottom"/>
          </w:tcPr>
          <w:p>
            <w:pPr>
              <w:spacing w:after="0"/>
              <w:rPr>
                <w:sz w:val="18"/>
                <w:szCs w:val="18"/>
                <w:color w:val="auto"/>
              </w:rPr>
            </w:pPr>
          </w:p>
        </w:tc>
      </w:tr>
      <w:tr>
        <w:trPr>
          <w:trHeight w:val="186"/>
        </w:trPr>
        <w:tc>
          <w:tcPr>
            <w:tcW w:w="4720" w:type="dxa"/>
            <w:vAlign w:val="bottom"/>
            <w:gridSpan w:val="3"/>
          </w:tcPr>
          <w:p>
            <w:pPr>
              <w:jc w:val="center"/>
              <w:ind w:right="1230"/>
              <w:spacing w:after="0"/>
              <w:rPr>
                <w:sz w:val="20"/>
                <w:szCs w:val="20"/>
                <w:color w:val="auto"/>
              </w:rPr>
            </w:pPr>
            <w:r>
              <w:rPr>
                <w:rFonts w:ascii="Arial" w:cs="Arial" w:eastAsia="Arial" w:hAnsi="Arial"/>
                <w:sz w:val="14"/>
                <w:szCs w:val="14"/>
                <w:b w:val="1"/>
                <w:bCs w:val="1"/>
                <w:color w:val="auto"/>
                <w:w w:val="94"/>
              </w:rPr>
              <w:t>(State of Incorporation or Organization)</w:t>
            </w:r>
          </w:p>
        </w:tc>
        <w:tc>
          <w:tcPr>
            <w:tcW w:w="3780" w:type="dxa"/>
            <w:vAlign w:val="bottom"/>
            <w:gridSpan w:val="3"/>
          </w:tcPr>
          <w:p>
            <w:pPr>
              <w:jc w:val="center"/>
              <w:ind w:left="1237"/>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399"/>
        </w:trPr>
        <w:tc>
          <w:tcPr>
            <w:tcW w:w="4720" w:type="dxa"/>
            <w:vAlign w:val="bottom"/>
            <w:gridSpan w:val="3"/>
          </w:tcPr>
          <w:p>
            <w:pPr>
              <w:jc w:val="center"/>
              <w:ind w:right="1210"/>
              <w:spacing w:after="0"/>
              <w:rPr>
                <w:sz w:val="20"/>
                <w:szCs w:val="20"/>
                <w:color w:val="auto"/>
              </w:rPr>
            </w:pPr>
            <w:r>
              <w:rPr>
                <w:rFonts w:ascii="Arial" w:cs="Arial" w:eastAsia="Arial" w:hAnsi="Arial"/>
                <w:sz w:val="18"/>
                <w:szCs w:val="18"/>
                <w:b w:val="1"/>
                <w:bCs w:val="1"/>
                <w:color w:val="auto"/>
                <w:w w:val="91"/>
              </w:rPr>
              <w:t>471 El Camino Real, Suite 101</w:t>
            </w:r>
          </w:p>
        </w:tc>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25"/>
        </w:trPr>
        <w:tc>
          <w:tcPr>
            <w:tcW w:w="4720" w:type="dxa"/>
            <w:vAlign w:val="bottom"/>
            <w:gridSpan w:val="3"/>
          </w:tcPr>
          <w:p>
            <w:pPr>
              <w:jc w:val="center"/>
              <w:ind w:right="1230"/>
              <w:spacing w:after="0"/>
              <w:rPr>
                <w:sz w:val="20"/>
                <w:szCs w:val="20"/>
                <w:color w:val="auto"/>
              </w:rPr>
            </w:pPr>
            <w:r>
              <w:rPr>
                <w:rFonts w:ascii="Arial" w:cs="Arial" w:eastAsia="Arial" w:hAnsi="Arial"/>
                <w:sz w:val="18"/>
                <w:szCs w:val="18"/>
                <w:b w:val="1"/>
                <w:bCs w:val="1"/>
                <w:color w:val="auto"/>
                <w:w w:val="93"/>
              </w:rPr>
              <w:t>Santa Clara, California</w:t>
            </w:r>
          </w:p>
        </w:tc>
        <w:tc>
          <w:tcPr>
            <w:tcW w:w="3420" w:type="dxa"/>
            <w:vAlign w:val="bottom"/>
            <w:gridSpan w:val="2"/>
          </w:tcPr>
          <w:p>
            <w:pPr>
              <w:jc w:val="right"/>
              <w:ind w:right="562"/>
              <w:spacing w:after="0"/>
              <w:rPr>
                <w:sz w:val="20"/>
                <w:szCs w:val="20"/>
                <w:color w:val="auto"/>
              </w:rPr>
            </w:pPr>
            <w:r>
              <w:rPr>
                <w:rFonts w:ascii="Arial" w:cs="Arial" w:eastAsia="Arial" w:hAnsi="Arial"/>
                <w:sz w:val="18"/>
                <w:szCs w:val="18"/>
                <w:b w:val="1"/>
                <w:bCs w:val="1"/>
                <w:color w:val="auto"/>
              </w:rPr>
              <w:t>95050</w:t>
            </w:r>
          </w:p>
        </w:tc>
        <w:tc>
          <w:tcPr>
            <w:tcW w:w="360" w:type="dxa"/>
            <w:vAlign w:val="bottom"/>
          </w:tcPr>
          <w:p>
            <w:pPr>
              <w:spacing w:after="0"/>
              <w:rPr>
                <w:sz w:val="19"/>
                <w:szCs w:val="19"/>
                <w:color w:val="auto"/>
              </w:rPr>
            </w:pPr>
          </w:p>
        </w:tc>
      </w:tr>
      <w:tr>
        <w:trPr>
          <w:trHeight w:val="186"/>
        </w:trPr>
        <w:tc>
          <w:tcPr>
            <w:tcW w:w="4720" w:type="dxa"/>
            <w:vAlign w:val="bottom"/>
            <w:gridSpan w:val="3"/>
          </w:tcPr>
          <w:p>
            <w:pPr>
              <w:jc w:val="center"/>
              <w:ind w:right="121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700" w:type="dxa"/>
            <w:vAlign w:val="bottom"/>
          </w:tcPr>
          <w:p>
            <w:pPr>
              <w:spacing w:after="0"/>
              <w:rPr>
                <w:sz w:val="16"/>
                <w:szCs w:val="16"/>
                <w:color w:val="auto"/>
              </w:rPr>
            </w:pPr>
          </w:p>
        </w:tc>
        <w:tc>
          <w:tcPr>
            <w:tcW w:w="208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w w:val="92"/>
              </w:rPr>
              <w:t>(Zip code)</w:t>
            </w:r>
          </w:p>
        </w:tc>
      </w:tr>
      <w:tr>
        <w:trPr>
          <w:trHeight w:val="417"/>
        </w:trPr>
        <w:tc>
          <w:tcPr>
            <w:tcW w:w="1140" w:type="dxa"/>
            <w:vAlign w:val="bottom"/>
          </w:tcPr>
          <w:p>
            <w:pPr>
              <w:spacing w:after="0"/>
              <w:rPr>
                <w:sz w:val="24"/>
                <w:szCs w:val="24"/>
                <w:color w:val="auto"/>
              </w:rPr>
            </w:pPr>
          </w:p>
        </w:tc>
        <w:tc>
          <w:tcPr>
            <w:tcW w:w="7360" w:type="dxa"/>
            <w:vAlign w:val="bottom"/>
            <w:gridSpan w:val="5"/>
          </w:tcPr>
          <w:p>
            <w:pPr>
              <w:ind w:left="880"/>
              <w:spacing w:after="0"/>
              <w:rPr>
                <w:sz w:val="20"/>
                <w:szCs w:val="20"/>
                <w:color w:val="auto"/>
              </w:rPr>
            </w:pPr>
            <w:r>
              <w:rPr>
                <w:rFonts w:ascii="Arial" w:cs="Arial" w:eastAsia="Arial" w:hAnsi="Arial"/>
                <w:sz w:val="18"/>
                <w:szCs w:val="18"/>
                <w:b w:val="1"/>
                <w:bCs w:val="1"/>
                <w:color w:val="auto"/>
              </w:rPr>
              <w:t>Securities to be registered pursuant to Section 12(b) of the Act:</w:t>
            </w:r>
          </w:p>
        </w:tc>
      </w:tr>
      <w:tr>
        <w:trPr>
          <w:trHeight w:val="369"/>
        </w:trPr>
        <w:tc>
          <w:tcPr>
            <w:tcW w:w="1140" w:type="dxa"/>
            <w:vAlign w:val="bottom"/>
          </w:tcPr>
          <w:p>
            <w:pPr>
              <w:spacing w:after="0"/>
              <w:rPr>
                <w:sz w:val="24"/>
                <w:szCs w:val="24"/>
                <w:color w:val="auto"/>
              </w:rPr>
            </w:pPr>
          </w:p>
        </w:tc>
        <w:tc>
          <w:tcPr>
            <w:tcW w:w="3580" w:type="dxa"/>
            <w:vAlign w:val="bottom"/>
            <w:gridSpan w:val="2"/>
          </w:tcPr>
          <w:p>
            <w:pPr>
              <w:jc w:val="center"/>
              <w:ind w:right="2370"/>
              <w:spacing w:after="0"/>
              <w:rPr>
                <w:sz w:val="20"/>
                <w:szCs w:val="20"/>
                <w:color w:val="auto"/>
              </w:rPr>
            </w:pPr>
            <w:r>
              <w:rPr>
                <w:rFonts w:ascii="Arial" w:cs="Arial" w:eastAsia="Arial" w:hAnsi="Arial"/>
                <w:sz w:val="14"/>
                <w:szCs w:val="14"/>
                <w:b w:val="1"/>
                <w:bCs w:val="1"/>
                <w:color w:val="auto"/>
                <w:w w:val="89"/>
              </w:rPr>
              <w:t>Title of each class</w:t>
            </w:r>
          </w:p>
        </w:tc>
        <w:tc>
          <w:tcPr>
            <w:tcW w:w="1700" w:type="dxa"/>
            <w:vAlign w:val="bottom"/>
          </w:tcPr>
          <w:p>
            <w:pPr>
              <w:spacing w:after="0"/>
              <w:rPr>
                <w:sz w:val="24"/>
                <w:szCs w:val="24"/>
                <w:color w:val="auto"/>
              </w:rPr>
            </w:pPr>
          </w:p>
        </w:tc>
        <w:tc>
          <w:tcPr>
            <w:tcW w:w="208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w w:val="90"/>
              </w:rPr>
              <w:t>Name of exchange on which</w:t>
            </w:r>
          </w:p>
        </w:tc>
      </w:tr>
      <w:tr>
        <w:trPr>
          <w:trHeight w:val="171"/>
        </w:trPr>
        <w:tc>
          <w:tcPr>
            <w:tcW w:w="1140" w:type="dxa"/>
            <w:vAlign w:val="bottom"/>
          </w:tcPr>
          <w:p>
            <w:pPr>
              <w:spacing w:after="0"/>
              <w:rPr>
                <w:sz w:val="14"/>
                <w:szCs w:val="14"/>
                <w:color w:val="auto"/>
              </w:rPr>
            </w:pPr>
          </w:p>
        </w:tc>
        <w:tc>
          <w:tcPr>
            <w:tcW w:w="3580" w:type="dxa"/>
            <w:vAlign w:val="bottom"/>
            <w:gridSpan w:val="2"/>
          </w:tcPr>
          <w:p>
            <w:pPr>
              <w:jc w:val="center"/>
              <w:ind w:right="2350"/>
              <w:spacing w:after="0"/>
              <w:rPr>
                <w:sz w:val="20"/>
                <w:szCs w:val="20"/>
                <w:color w:val="auto"/>
              </w:rPr>
            </w:pPr>
            <w:r>
              <w:rPr>
                <w:rFonts w:ascii="Arial" w:cs="Arial" w:eastAsia="Arial" w:hAnsi="Arial"/>
                <w:sz w:val="14"/>
                <w:szCs w:val="14"/>
                <w:b w:val="1"/>
                <w:bCs w:val="1"/>
                <w:color w:val="auto"/>
                <w:w w:val="87"/>
              </w:rPr>
              <w:t>to be so registered</w:t>
            </w:r>
          </w:p>
        </w:tc>
        <w:tc>
          <w:tcPr>
            <w:tcW w:w="3780" w:type="dxa"/>
            <w:vAlign w:val="bottom"/>
            <w:gridSpan w:val="3"/>
          </w:tcPr>
          <w:p>
            <w:pPr>
              <w:jc w:val="center"/>
              <w:ind w:left="1237"/>
              <w:spacing w:after="0"/>
              <w:rPr>
                <w:sz w:val="20"/>
                <w:szCs w:val="20"/>
                <w:color w:val="auto"/>
              </w:rPr>
            </w:pPr>
            <w:r>
              <w:rPr>
                <w:rFonts w:ascii="Arial" w:cs="Arial" w:eastAsia="Arial" w:hAnsi="Arial"/>
                <w:sz w:val="14"/>
                <w:szCs w:val="14"/>
                <w:b w:val="1"/>
                <w:bCs w:val="1"/>
                <w:color w:val="auto"/>
                <w:w w:val="87"/>
              </w:rPr>
              <w:t>each class is to be registered</w:t>
            </w:r>
          </w:p>
        </w:tc>
      </w:tr>
      <w:tr>
        <w:trPr>
          <w:trHeight w:val="228"/>
        </w:trPr>
        <w:tc>
          <w:tcPr>
            <w:tcW w:w="1140" w:type="dxa"/>
            <w:vAlign w:val="bottom"/>
          </w:tcPr>
          <w:p>
            <w:pPr>
              <w:spacing w:after="0"/>
              <w:rPr>
                <w:sz w:val="20"/>
                <w:szCs w:val="20"/>
                <w:color w:val="auto"/>
              </w:rPr>
            </w:pPr>
            <w:r>
              <w:rPr>
                <w:rFonts w:ascii="Arial" w:cs="Arial" w:eastAsia="Arial" w:hAnsi="Arial"/>
                <w:sz w:val="18"/>
                <w:szCs w:val="18"/>
                <w:b w:val="1"/>
                <w:bCs w:val="1"/>
                <w:color w:val="auto"/>
                <w:w w:val="81"/>
              </w:rPr>
              <w:t>Common Stock,</w:t>
            </w:r>
          </w:p>
        </w:tc>
        <w:tc>
          <w:tcPr>
            <w:tcW w:w="1120" w:type="dxa"/>
            <w:vAlign w:val="bottom"/>
            <w:tcBorders>
              <w:top w:val="single" w:sz="8" w:color="auto"/>
            </w:tcBorders>
          </w:tcPr>
          <w:p>
            <w:pPr>
              <w:ind w:left="140"/>
              <w:spacing w:after="0"/>
              <w:rPr>
                <w:sz w:val="20"/>
                <w:szCs w:val="20"/>
                <w:color w:val="auto"/>
              </w:rPr>
            </w:pPr>
            <w:r>
              <w:rPr>
                <w:rFonts w:ascii="Arial" w:cs="Arial" w:eastAsia="Arial" w:hAnsi="Arial"/>
                <w:sz w:val="18"/>
                <w:szCs w:val="18"/>
                <w:b w:val="1"/>
                <w:bCs w:val="1"/>
                <w:color w:val="auto"/>
                <w:w w:val="97"/>
              </w:rPr>
              <w:t>$0.0001 par</w:t>
            </w:r>
          </w:p>
        </w:tc>
        <w:tc>
          <w:tcPr>
            <w:tcW w:w="2460" w:type="dxa"/>
            <w:vAlign w:val="bottom"/>
          </w:tcPr>
          <w:p>
            <w:pPr>
              <w:spacing w:after="0"/>
              <w:rPr>
                <w:sz w:val="20"/>
                <w:szCs w:val="20"/>
                <w:color w:val="auto"/>
              </w:rPr>
            </w:pPr>
            <w:r>
              <w:rPr>
                <w:rFonts w:ascii="Arial" w:cs="Arial" w:eastAsia="Arial" w:hAnsi="Arial"/>
                <w:sz w:val="18"/>
                <w:szCs w:val="18"/>
                <w:b w:val="1"/>
                <w:bCs w:val="1"/>
                <w:color w:val="auto"/>
              </w:rPr>
              <w:t>value per share</w:t>
            </w:r>
          </w:p>
        </w:tc>
        <w:tc>
          <w:tcPr>
            <w:tcW w:w="1700" w:type="dxa"/>
            <w:vAlign w:val="bottom"/>
          </w:tcPr>
          <w:p>
            <w:pPr>
              <w:ind w:left="1340"/>
              <w:spacing w:after="0"/>
              <w:rPr>
                <w:sz w:val="20"/>
                <w:szCs w:val="20"/>
                <w:color w:val="auto"/>
              </w:rPr>
            </w:pPr>
            <w:r>
              <w:rPr>
                <w:rFonts w:ascii="Arial" w:cs="Arial" w:eastAsia="Arial" w:hAnsi="Arial"/>
                <w:sz w:val="18"/>
                <w:szCs w:val="18"/>
                <w:b w:val="1"/>
                <w:bCs w:val="1"/>
                <w:color w:val="auto"/>
              </w:rPr>
              <w:t>The</w:t>
            </w: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Stock Market</w:t>
            </w:r>
          </w:p>
        </w:tc>
        <w:tc>
          <w:tcPr>
            <w:tcW w:w="360" w:type="dxa"/>
            <w:vAlign w:val="bottom"/>
          </w:tcPr>
          <w:p>
            <w:pPr>
              <w:spacing w:after="0"/>
              <w:rPr>
                <w:sz w:val="20"/>
                <w:szCs w:val="20"/>
                <w:color w:val="auto"/>
              </w:rPr>
            </w:pPr>
            <w:r>
              <w:rPr>
                <w:rFonts w:ascii="Arial" w:cs="Arial" w:eastAsia="Arial" w:hAnsi="Arial"/>
                <w:sz w:val="18"/>
                <w:szCs w:val="18"/>
                <w:b w:val="1"/>
                <w:bCs w:val="1"/>
                <w:color w:val="auto"/>
                <w:w w:val="97"/>
              </w:rPr>
              <w:t>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219710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or (e), please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Securities Act registration statement or Regulation A offering statement file number to which the form relates: 333-227445</w:t>
      </w:r>
    </w:p>
    <w:p>
      <w:pPr>
        <w:spacing w:after="0" w:line="221"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206375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280"/>
          </w:cols>
          <w:pgMar w:left="440" w:top="368" w:right="1179" w:bottom="1440" w:gutter="0" w:footer="0" w:header="0"/>
        </w:sectPr>
      </w:pPr>
    </w:p>
    <w:bookmarkStart w:id="1" w:name="page2"/>
    <w:bookmarkEnd w:id="1"/>
    <w:p>
      <w:pPr>
        <w:spacing w:after="0"/>
        <w:tabs>
          <w:tab w:leader="none" w:pos="8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r>
        <w:rPr>
          <w:sz w:val="20"/>
          <w:szCs w:val="20"/>
          <w:color w:val="auto"/>
        </w:rPr>
        <w:tab/>
      </w:r>
      <w:r>
        <w:rPr>
          <w:rFonts w:ascii="Arial" w:cs="Arial" w:eastAsia="Arial" w:hAnsi="Arial"/>
          <w:sz w:val="15"/>
          <w:szCs w:val="15"/>
          <w:b w:val="1"/>
          <w:bCs w:val="1"/>
          <w:color w:val="auto"/>
        </w:rPr>
        <w:t>Description of Registrant’s Securities to be Registered.</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SI-BONE, Inc. (the “</w:t>
      </w:r>
      <w:r>
        <w:rPr>
          <w:rFonts w:ascii="Arial" w:cs="Arial" w:eastAsia="Arial" w:hAnsi="Arial"/>
          <w:sz w:val="16"/>
          <w:szCs w:val="16"/>
          <w:b w:val="1"/>
          <w:bCs w:val="1"/>
          <w:i w:val="1"/>
          <w:iCs w:val="1"/>
          <w:color w:val="auto"/>
        </w:rPr>
        <w:t>Registrant</w:t>
      </w:r>
      <w:r>
        <w:rPr>
          <w:rFonts w:ascii="Arial" w:cs="Arial" w:eastAsia="Arial" w:hAnsi="Arial"/>
          <w:sz w:val="16"/>
          <w:szCs w:val="16"/>
          <w:color w:val="auto"/>
        </w:rPr>
        <w:t>”) hereby incorporates by reference the description of its Common Stock, par value $0.0001 per share, to be registered hereunder set forth in the section titled “Description of Capital Stock” in the Registrant’s Registration Statement on Form S-1 (File No. 333-227445), as originally filed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on September 20, 2018, as subsequently amended (the “</w:t>
      </w:r>
      <w:r>
        <w:rPr>
          <w:rFonts w:ascii="Arial" w:cs="Arial" w:eastAsia="Arial" w:hAnsi="Arial"/>
          <w:sz w:val="16"/>
          <w:szCs w:val="16"/>
          <w:b w:val="1"/>
          <w:bCs w:val="1"/>
          <w:i w:val="1"/>
          <w:iCs w:val="1"/>
          <w:color w:val="auto"/>
        </w:rPr>
        <w:t>Registration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Statement</w:t>
      </w:r>
      <w:r>
        <w:rPr>
          <w:rFonts w:ascii="Arial" w:cs="Arial" w:eastAsia="Arial" w:hAnsi="Arial"/>
          <w:sz w:val="16"/>
          <w:szCs w:val="16"/>
          <w:color w:val="auto"/>
        </w:rPr>
        <w:t>”), and in the prospectus included in the Registration Statement to be filed separately by the Registrant with the Commission pursuant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Rule 424(b) under the Securities Act of 1933, as amended, which prospectus shall be deemed to be incorporated by reference herein.</w:t>
      </w:r>
    </w:p>
    <w:p>
      <w:pPr>
        <w:spacing w:after="0" w:line="30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Pursuant to the Instructions as to Exhibits with respect to Form 8-A, no exhibits are required to be filed as part of this registration statement because no other securities of the Registrant are registered on The Nasdaq Stock Market LLC and the securities registered hereby are not being registered pursuant to Section 12(g) of the Securities Exchange Act of 1934, as amended.</w:t>
      </w:r>
    </w:p>
    <w:p>
      <w:pPr>
        <w:sectPr>
          <w:pgSz w:w="11900" w:h="16838" w:orient="portrait"/>
          <w:cols w:equalWidth="0" w:num="1">
            <w:col w:w="10980"/>
          </w:cols>
          <w:pgMar w:left="440" w:top="270" w:right="479" w:bottom="1440" w:gutter="0" w:footer="0" w:header="0"/>
        </w:sectPr>
      </w:pPr>
    </w:p>
    <w:bookmarkStart w:id="2" w:name="page3"/>
    <w:bookmarkEnd w:id="2"/>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as amended, the Registrant has duly caused this registration statement to be signed on its behalf by the undersigned, thereunto duly authorized.</w:t>
      </w:r>
    </w:p>
    <w:p>
      <w:pPr>
        <w:spacing w:after="0" w:line="193"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SI-BONE, INC.</w:t>
      </w:r>
    </w:p>
    <w:p>
      <w:pPr>
        <w:spacing w:after="0" w:line="229" w:lineRule="exact"/>
        <w:rPr>
          <w:sz w:val="20"/>
          <w:szCs w:val="20"/>
          <w:color w:val="auto"/>
        </w:rPr>
      </w:pPr>
    </w:p>
    <w:p>
      <w:pPr>
        <w:spacing w:after="0"/>
        <w:tabs>
          <w:tab w:leader="none" w:pos="5780" w:val="left"/>
        </w:tabs>
        <w:rPr>
          <w:sz w:val="20"/>
          <w:szCs w:val="20"/>
          <w:color w:val="auto"/>
        </w:rPr>
      </w:pPr>
      <w:r>
        <w:rPr>
          <w:rFonts w:ascii="Arial" w:cs="Arial" w:eastAsia="Arial" w:hAnsi="Arial"/>
          <w:sz w:val="18"/>
          <w:szCs w:val="18"/>
          <w:color w:val="auto"/>
        </w:rPr>
        <w:t>Date: October 11, 2018</w:t>
      </w:r>
      <w:r>
        <w:rPr>
          <w:sz w:val="20"/>
          <w:szCs w:val="20"/>
          <w:color w:val="auto"/>
        </w:rPr>
        <w:tab/>
      </w:r>
      <w:r>
        <w:rPr>
          <w:rFonts w:ascii="Arial" w:cs="Arial" w:eastAsia="Arial" w:hAnsi="Arial"/>
          <w:sz w:val="16"/>
          <w:szCs w:val="16"/>
          <w:color w:val="auto"/>
        </w:rPr>
        <w:t>By:  /s/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0784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Jeffrey W. Dunn</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sectPr>
      <w:pgSz w:w="11900" w:h="16838" w:orient="portrait"/>
      <w:cols w:equalWidth="0" w:num="1">
        <w:col w:w="10340"/>
      </w:cols>
      <w:pgMar w:left="440" w:top="270"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2019-12-07T15:51:33Z</dcterms:created>
  <dcterms:modified xsi:type="dcterms:W3CDTF">2019-12-07T15:51:33Z</dcterms:modified>
</cp:coreProperties>
</file>