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August 4, 2024</w:t>
      </w:r>
    </w:p>
    <w:p>
      <w:pPr>
        <w:spacing w:after="0" w:line="2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168"/>
        </w:trPr>
        <w:tc>
          <w:tcPr>
            <w:tcW w:w="2340" w:type="dxa"/>
            <w:vAlign w:val="bottom"/>
          </w:tcPr>
          <w:p>
            <w:pPr>
              <w:jc w:val="center"/>
              <w:ind w:right="29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18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color w:val="auto"/>
              </w:rPr>
              <w:t>(Commission</w:t>
            </w:r>
          </w:p>
        </w:tc>
        <w:tc>
          <w:tcPr>
            <w:tcW w:w="17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1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File Number)</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16"/>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20" w:type="dxa"/>
            <w:vAlign w:val="bottom"/>
          </w:tcPr>
          <w:p>
            <w:pPr>
              <w:spacing w:after="0"/>
              <w:rPr>
                <w:sz w:val="16"/>
                <w:szCs w:val="16"/>
                <w:color w:val="auto"/>
              </w:rPr>
            </w:pPr>
          </w:p>
        </w:tc>
      </w:tr>
      <w:tr>
        <w:trPr>
          <w:trHeight w:val="204"/>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20" w:type="dxa"/>
            <w:vAlign w:val="bottom"/>
          </w:tcPr>
          <w:p>
            <w:pPr>
              <w:spacing w:after="0"/>
              <w:rPr>
                <w:sz w:val="17"/>
                <w:szCs w:val="17"/>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2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30"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jc w:val="cente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1303655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88"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August 5, 2024, SI-BONE, Inc. (the "Company") issued a press release (the “Press Release”) announcing results for the quarter ended June 30, 2024. A copy of the Press Release is attached as Exhibit 99.1 to this current report on Form 8-K and is incorporated by reference herein.</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August 4, 2024, the Company’s board of directors (“Board”) elected Daniel Wolf to serve as a director of the Company effective August 5, 2024, until his successor is elected and qualified, or sooner in the event of his death, resignation or removal.</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Mr. Wolf has served as Senior Vice President, Chief Strategy and M&amp;A Officer at Baxter International Inc. since August 2022. From July 2010 to August 2022, Mr. Wolf served in various leadership positions with Medtronic plc, including President of Medicrea and Vice President and General Manager of Intelligent Data Solutions, as well as other roles in strategy, business development and healthcare economics, corporate development and national and strategic accounts. Mr. Wolf has also served on the boards of directors of HospitalIQ, Inc. from October 2022 to its acquisition by LeanTaaS, Inc. in January 2023, Blue Wind Medical Ltd. from July 2017 to December 2018, and Inspire Medical Systems, Inc. from July 2017 until its May 2018 initial public offering. Mr. Wolf began his career as a healthcare investment banking analyst at Piper Jaffray. Mr. Wolf received his B.A. in economics, with a minor in mathematics, from Bowdoin College, an M.B.A. from the Harvard Business School and a M.S. in health sciences and technology from the Massachusetts Institute of Technology.</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non-employee director, Mr. Wolf will receive the following compensation under the Company’s non-employee director compensation policy:</w:t>
      </w:r>
    </w:p>
    <w:p>
      <w:pPr>
        <w:spacing w:after="0" w:line="27" w:lineRule="exact"/>
        <w:rPr>
          <w:sz w:val="20"/>
          <w:szCs w:val="20"/>
          <w:color w:val="auto"/>
        </w:rPr>
      </w:pPr>
    </w:p>
    <w:p>
      <w:pPr>
        <w:jc w:val="both"/>
        <w:ind w:firstLine="8"/>
        <w:spacing w:after="0" w:line="251" w:lineRule="auto"/>
        <w:tabs>
          <w:tab w:leader="none" w:pos="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$45,000 for serving on the Board; (2) an initial grant of 17,182 restricted stock units (“RSU”), which will vest quarterly over three years beginning on the next quarterly vesting date that follows the grant date, subject to his continuous service with the Company on each applicable vesting date; and (3) on the date of each annual meeting of stockholders, an RSU grant having an approximate value of $120,000 based on the 30-day trailing average of the Company’s closing stock price, which will vest approximately one year from the grant date, subject to his continuous service with the Company on each applicable vesting date. Each RSU will be subject to accelerated vesting in the event of a change in control of the Company. The Company will also enter into its standard form of indemnification agreement with Mr. Wolf. Mr. Wolf does not have a material interest in any transaction that is required to be disclosed under Item 404(a) of Regulation S-K, and there is no arrangement or understanding between Mr. Wolf and any other person pursuant to which he was selected as a director.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6"/>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August 5, 2024</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r>
      <w:tr>
        <w:trPr>
          <w:trHeight w:val="250"/>
        </w:trPr>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tc>
      </w:tr>
      <w:tr>
        <w:trPr>
          <w:trHeight w:val="1222"/>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92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5, 2024</w:t>
            </w:r>
          </w:p>
        </w:tc>
        <w:tc>
          <w:tcPr>
            <w:tcW w:w="21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Anshul Maheshwari</w:t>
            </w:r>
          </w:p>
        </w:tc>
      </w:tr>
      <w:tr>
        <w:trPr>
          <w:trHeight w:val="228"/>
        </w:trPr>
        <w:tc>
          <w:tcPr>
            <w:tcW w:w="6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r>
    </w:tbl>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19685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b w:val="1"/>
          <w:bCs w:val="1"/>
          <w:color w:val="auto"/>
        </w:rPr>
        <w:t>SI-BONE, Inc. Reports Financial Results for the Second Quarter 2024</w:t>
      </w:r>
    </w:p>
    <w:p>
      <w:pPr>
        <w:spacing w:after="0" w:line="1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Increases 2024 revenue guidance to $165 million - $167 million</w:t>
      </w:r>
    </w:p>
    <w:p>
      <w:pPr>
        <w:jc w:val="center"/>
        <w:spacing w:after="0"/>
        <w:rPr>
          <w:sz w:val="20"/>
          <w:szCs w:val="20"/>
          <w:color w:val="auto"/>
        </w:rPr>
      </w:pPr>
      <w:r>
        <w:rPr>
          <w:rFonts w:ascii="Times New Roman" w:cs="Times New Roman" w:eastAsia="Times New Roman" w:hAnsi="Times New Roman"/>
          <w:sz w:val="20"/>
          <w:szCs w:val="20"/>
          <w:color w:val="auto"/>
        </w:rPr>
        <w:t>Expects to achieve positive Adjusted EBITDA in Fourth Quarter 2024</w:t>
      </w:r>
    </w:p>
    <w:p>
      <w:pPr>
        <w:spacing w:after="0" w:line="244"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20"/>
          <w:szCs w:val="20"/>
          <w:b w:val="1"/>
          <w:bCs w:val="1"/>
          <w:color w:val="auto"/>
        </w:rPr>
        <w:t xml:space="preserve">SANTA CLARA, Calif. </w:t>
      </w:r>
      <w:r>
        <w:rPr>
          <w:rFonts w:ascii="Times New Roman" w:cs="Times New Roman" w:eastAsia="Times New Roman" w:hAnsi="Times New Roman"/>
          <w:sz w:val="20"/>
          <w:szCs w:val="20"/>
          <w:color w:val="auto"/>
        </w:rPr>
        <w:t>August 5, 2024 - SI-BONE, Inc. (Nasdaq:SIBN), a medical device company dedicated to solving sacropelvic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disorders, today reported financial results for the quarter ended June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Second Quarter 2024 Financial Highlights </w:t>
      </w:r>
      <w:r>
        <w:rPr>
          <w:rFonts w:ascii="Times New Roman" w:cs="Times New Roman" w:eastAsia="Times New Roman" w:hAnsi="Times New Roman"/>
          <w:sz w:val="20"/>
          <w:szCs w:val="20"/>
          <w:i w:val="1"/>
          <w:iCs w:val="1"/>
          <w:color w:val="auto"/>
        </w:rPr>
        <w:t>(comparisons are to the prior year period)</w:t>
      </w:r>
    </w:p>
    <w:p>
      <w:pPr>
        <w:spacing w:after="0" w:line="71"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Worldwide revenue of $40.0 million, representing growth of ~20%</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revenue of $37.8 million, representing growth of ~21%</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of ~79%</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Net loss of $8.9 million, representing an improvement of ~20%</w:t>
      </w:r>
    </w:p>
    <w:p>
      <w:pPr>
        <w:spacing w:after="0" w:line="53" w:lineRule="exact"/>
        <w:rPr>
          <w:rFonts w:ascii="Times New Roman" w:cs="Times New Roman" w:eastAsia="Times New Roman" w:hAnsi="Times New Roman"/>
          <w:sz w:val="20"/>
          <w:szCs w:val="20"/>
          <w:b w:val="1"/>
          <w:bCs w:val="1"/>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loss of $2.7 million, representing an improvement of ~43%</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Ended the quarter with $151.5 million in cash and equivalents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Recent Operational Highlights </w:t>
      </w:r>
      <w:r>
        <w:rPr>
          <w:rFonts w:ascii="Times New Roman" w:cs="Times New Roman" w:eastAsia="Times New Roman" w:hAnsi="Times New Roman"/>
          <w:sz w:val="20"/>
          <w:szCs w:val="20"/>
          <w:i w:val="1"/>
          <w:iCs w:val="1"/>
          <w:color w:val="auto"/>
        </w:rPr>
        <w:t>(comparisons are to the prior year period)</w:t>
      </w:r>
    </w:p>
    <w:p>
      <w:pPr>
        <w:spacing w:after="0" w:line="58"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Over 1,150 U.S. active physicians in the second quarter 2024, representing an increase of ~23%</w:t>
      </w:r>
    </w:p>
    <w:p>
      <w:pPr>
        <w:spacing w:after="0" w:line="53" w:lineRule="exact"/>
        <w:rPr>
          <w:rFonts w:ascii="Times New Roman" w:cs="Times New Roman" w:eastAsia="Times New Roman" w:hAnsi="Times New Roman"/>
          <w:sz w:val="20"/>
          <w:szCs w:val="20"/>
          <w:b w:val="1"/>
          <w:bCs w:val="1"/>
          <w:color w:val="auto"/>
        </w:rPr>
      </w:pPr>
    </w:p>
    <w:p>
      <w:pPr>
        <w:ind w:left="420" w:hanging="412"/>
        <w:spacing w:after="0" w:line="302" w:lineRule="auto"/>
        <w:tabs>
          <w:tab w:leader="none" w:pos="4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Thomas West, President and CEO at Nalu Medical, Inc., and Dan Wolf, SVP, Chief Strategy and M&amp;A Officer at Baxter International Inc., joined the Board of Directors</w:t>
      </w:r>
    </w:p>
    <w:p>
      <w:pPr>
        <w:spacing w:after="0" w:line="1" w:lineRule="exact"/>
        <w:rPr>
          <w:rFonts w:ascii="Times New Roman" w:cs="Times New Roman" w:eastAsia="Times New Roman" w:hAnsi="Times New Roman"/>
          <w:sz w:val="20"/>
          <w:szCs w:val="20"/>
          <w:color w:val="auto"/>
        </w:rPr>
      </w:pPr>
    </w:p>
    <w:p>
      <w:pPr>
        <w:ind w:left="420" w:hanging="412"/>
        <w:spacing w:after="0" w:line="295" w:lineRule="auto"/>
        <w:tabs>
          <w:tab w:leader="none" w:pos="4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5-year results from SALLY prospective clinical trial reaffirm the significant and sustained reduction in SI joint pain, persistent functional improvement, and 100% bone integration with iFuse-3D</w:t>
      </w:r>
    </w:p>
    <w:p>
      <w:pPr>
        <w:spacing w:after="0" w:line="1" w:lineRule="exact"/>
        <w:rPr>
          <w:rFonts w:ascii="Times New Roman" w:cs="Times New Roman" w:eastAsia="Times New Roman" w:hAnsi="Times New Roman"/>
          <w:sz w:val="20"/>
          <w:szCs w:val="20"/>
          <w:color w:val="auto"/>
        </w:rPr>
      </w:pPr>
    </w:p>
    <w:p>
      <w:pPr>
        <w:ind w:left="420" w:hanging="412"/>
        <w:spacing w:after="0" w:line="295" w:lineRule="auto"/>
        <w:tabs>
          <w:tab w:leader="none" w:pos="4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Early interim results from STACI study confirm the safety and efficacy of lateral transfixing SI joint fusion using TORQ when performed by interventional spine physicians</w:t>
      </w:r>
    </w:p>
    <w:p>
      <w:pPr>
        <w:spacing w:after="0" w:line="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"I am delighted with our strong operating results as we delivered record revenue in the second quarter, reflecting overall strong demand dynamics including elevated interest in our recently launched Granite 9.5. Given the momentum in the business, we expect revenue growth to accelerate in the second half of 2024,” said Laura Francis, Chief Executive Officer. "Our ability to develop new markets with large unmet clinical needs is driving our U.S. procedure volume growth and expanding physician base. We also continue to make significant progress in improving our profitability and expect to achieve positive adjusted EBITDA in the fourth quarter."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2024 Financial Results</w:t>
      </w:r>
    </w:p>
    <w:p>
      <w:pPr>
        <w:spacing w:after="0" w:line="28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Worldwide revenue was $40.0 million in the second quarter 2024, a ~20% increase from $33.3 million in the corresponding period in 2023. U.S. revenue for the second quarter 2024 was $37.8 million, a ~21% increase from $31.2 million in the corresponding period in 2023. International revenue for the second quarter 2024 was $2.2 million compared to $2.1 million in the corresponding period in 2023.</w:t>
      </w:r>
    </w:p>
    <w:p>
      <w:pPr>
        <w:sectPr>
          <w:pgSz w:w="11900" w:h="16838" w:orient="portrait"/>
          <w:cols w:equalWidth="0" w:num="1">
            <w:col w:w="11240"/>
          </w:cols>
          <w:pgMar w:left="320" w:top="887" w:right="339" w:bottom="1440" w:gutter="0" w:footer="0" w:header="0"/>
        </w:sectPr>
      </w:pPr>
    </w:p>
    <w:bookmarkStart w:id="4" w:name="page5"/>
    <w:bookmarkEnd w:id="4"/>
    <w:p>
      <w:pPr>
        <w:jc w:val="both"/>
        <w:spacing w:after="0" w:line="310" w:lineRule="auto"/>
        <w:rPr>
          <w:sz w:val="20"/>
          <w:szCs w:val="20"/>
          <w:color w:val="auto"/>
        </w:rPr>
      </w:pPr>
      <w:r>
        <w:rPr>
          <w:rFonts w:ascii="Times New Roman" w:cs="Times New Roman" w:eastAsia="Times New Roman" w:hAnsi="Times New Roman"/>
          <w:sz w:val="20"/>
          <w:szCs w:val="20"/>
          <w:color w:val="auto"/>
        </w:rPr>
        <w:t>Gross profit was $31.6 million in the second quarter 2024, a ~17% increase from $27.0 million in the corresponding period in 2023. Gross margin was ~79% for the second quarter 2024, as compared to ~81% in the corresponding period in 2023. Gross margin in the second quarter 2024 was impacted by procedure and product mix.</w:t>
      </w:r>
    </w:p>
    <w:p>
      <w:pPr>
        <w:spacing w:after="0" w:line="202"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0"/>
          <w:szCs w:val="20"/>
          <w:color w:val="auto"/>
        </w:rPr>
        <w:t>Operating expenses increased ~7% to $41.7 million in the second quarter 2024, as compared to $39.0 million in the corresponding period in 2023. The change in operating expenses was primarily driven by increases in sales commissions driven by revenue growth, increase in commercial activities to support new product launches, research and development investments, and higher stock-based compensation.</w:t>
      </w:r>
    </w:p>
    <w:p>
      <w:pPr>
        <w:spacing w:after="0" w:line="19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Operating loss improved by ~16% to $10.1 million in the second quarter 2024, as compared to an operating loss of $12.0 million in the corresponding period in 2023.</w:t>
      </w:r>
    </w:p>
    <w:p>
      <w:pPr>
        <w:spacing w:after="0" w:line="18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Net loss improved by ~20%, to $8.9 million, or $0.22 per diluted share in the second quarter 2024, as compared to a net loss of $11.2 million, or $0.30 per diluted share in the corresponding period in 2023.</w:t>
      </w:r>
    </w:p>
    <w:p>
      <w:pPr>
        <w:spacing w:after="0" w:line="1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Adjusted EBITDA loss improved by ~43% to $2.7 million in the second quarter 2024, as compared to an Adjusted EBITDA loss of $4.7 million in the corresponding period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marketable securities were $151.5 million and borrowings were $36.1 million as of June 30,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Updated Financial Guidance</w:t>
      </w:r>
    </w:p>
    <w:p>
      <w:pPr>
        <w:spacing w:after="0" w:line="328"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20"/>
          <w:szCs w:val="20"/>
          <w:color w:val="auto"/>
        </w:rPr>
        <w:t>SI-BONE is updating 2024 worldwide revenue guidance to be in the range of $165 million to $167 million, an increase from the previous guidance of $164 million to $166 million. Compared to 2023, the updated guidance translates to growth of ~19% to ~20%, versus growth of ~18% to ~20% implied in the earlier guidance. The Company expects to be Adjusted EBITDA positive in the fourth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 Information</w:t>
      </w:r>
    </w:p>
    <w:p>
      <w:pPr>
        <w:spacing w:after="0" w:line="287"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SI-BONE will host a conference call to discuss the second quarter 2024 financial results after market close on Monday, August 5, 2024 at 4:30 P.M. Eastern Time. The conference call can be accessed live over webcast at https://edge.media-server.com/mmc/p/bdg2s7zw. Live audio of the webcast will be available on the “Investors” section of the company’s website at: www.si-bone.com. The webcast will be archived and available for replay for at least 90 days after the event.</w:t>
      </w:r>
    </w:p>
    <w:p>
      <w:pPr>
        <w:sectPr>
          <w:pgSz w:w="11900" w:h="16838" w:orient="portrait"/>
          <w:cols w:equalWidth="0" w:num="1">
            <w:col w:w="11240"/>
          </w:cols>
          <w:pgMar w:left="320" w:top="9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About SI-BONE, Inc.</w:t>
      </w:r>
    </w:p>
    <w:p>
      <w:pPr>
        <w:spacing w:after="0" w:line="30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SI-BONE (NASDAQ: SIBN) is a global leader in developing unique technologies for surgical treatment of sacropelvic disorders. Since pioneering minimally invasive SI joint surgery in 2009, SI-BONE has supported over 3,900 physicians in performing a total of over 100,000 procedures. A unique body of clinical evidence supports the use of SI-BONE’s technologies, including two randomized controlled trials and over 130 peer reviewed publications. SI-BONE has leveraged its leadership in minimally invasive SI joint fusion to commercialize novel solutions for adjacent markets, including adult deformity, sacropelvic fixation and pelvic trauma.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information on the company or the products including risks and benefits, please visit www.si-bone.com.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iFuse Bedrock Granite, iFuse-TORQ and SI-BONE are registered trademarks of SI-BONE, Inc. ©2024 SI-BONE, Inc. All Rights Reserved.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30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The statements in this press release regarding expectations of future events or results, including SI-BONE’s expectations of continued revenue and procedure growth and financial outlook, contained in this press release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any future economic weakness on the ability and desire of patients to undergo elective procedures including those using SI-BONE's devices, SI-BONE's ability to manage risks to its supply chain, future capital requirements driven by new surgical systems requiring instrument tray and implant inventory investment, and the pace of the re-normalization of the healthcare operating environment including the ability and desire of patients and physicians to undergo and perform procedures using SI-BONE's devices. Actual results and the timing of events could differ materially from those anticipated in such forward-looking statements as a result of these and other risks and uncertainties, many of which are described in the company's most recent filing on Form 10-K,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3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SI-BONE uses adjusted EBITDA, a non-GAAP financial measures that excludes from net loss the effects of interest income, interest expense, depreciation and amortization and stock-based compensation. SI-BONE believes the presentation of adjusted EBITDA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adjusted EBITDA is useful to investors and other interested persons as it enables these persons to use this additional</w:t>
      </w:r>
    </w:p>
    <w:p>
      <w:pPr>
        <w:sectPr>
          <w:pgSz w:w="11900" w:h="16838" w:orient="portrait"/>
          <w:cols w:equalWidth="0" w:num="1">
            <w:col w:w="11240"/>
          </w:cols>
          <w:pgMar w:left="320" w:top="90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color w:val="auto"/>
        </w:rPr>
        <w:t>information to assess the company’s performance in using this additional metric that management uses to assess the company’s performance.</w:t>
      </w:r>
    </w:p>
    <w:p>
      <w:pPr>
        <w:spacing w:after="0" w:line="308"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9"/>
          <w:szCs w:val="19"/>
          <w:color w:val="auto"/>
        </w:rPr>
        <w:t>Adjusted EBITDA should be considered supplemental to, and not a substitute for, financial information prepared in accordance with GAAP. Because adjusted EBITDA excludes the effect of items that increase or decrease SI-BONE's reported results of operations, management strongly encourages investors to review, when they become available, the company's consolidated financial statements and publicly filed reports in their entirety. The company's definition of adjusted EBITDA may differ from similarly titled measures used by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Saqib Iqbal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Sr. Director, FP&amp;A and Investor Relations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investors@SI-BONE.com</w:t>
      </w:r>
    </w:p>
    <w:p>
      <w:pPr>
        <w:sectPr>
          <w:pgSz w:w="11900" w:h="16838" w:orient="portrait"/>
          <w:cols w:equalWidth="0" w:num="1">
            <w:col w:w="11240"/>
          </w:cols>
          <w:pgMar w:left="320" w:top="9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2460" w:type="dxa"/>
            <w:vAlign w:val="bottom"/>
            <w:gridSpan w:val="4"/>
            <w:vMerge w:val="restart"/>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66,013</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53,771</w:t>
            </w:r>
          </w:p>
        </w:tc>
        <w:tc>
          <w:tcPr>
            <w:tcW w:w="0" w:type="dxa"/>
            <w:vAlign w:val="bottom"/>
          </w:tcPr>
          <w:p>
            <w:pPr>
              <w:spacing w:after="0"/>
              <w:rPr>
                <w:sz w:val="1"/>
                <w:szCs w:val="1"/>
                <w:color w:val="auto"/>
              </w:rPr>
            </w:pPr>
          </w:p>
        </w:tc>
      </w:tr>
      <w:tr>
        <w:trPr>
          <w:trHeight w:val="209"/>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0" w:type="dxa"/>
            <w:vAlign w:val="bottom"/>
          </w:tcPr>
          <w:p>
            <w:pPr>
              <w:spacing w:after="0"/>
              <w:rPr>
                <w:sz w:val="1"/>
                <w:szCs w:val="1"/>
                <w:color w:val="auto"/>
              </w:rPr>
            </w:pPr>
          </w:p>
        </w:tc>
      </w:tr>
      <w:tr>
        <w:trPr>
          <w:trHeight w:val="230"/>
        </w:trPr>
        <w:tc>
          <w:tcPr>
            <w:tcW w:w="5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77,027</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w:t>
            </w:r>
          </w:p>
        </w:tc>
        <w:tc>
          <w:tcPr>
            <w:tcW w:w="0" w:type="dxa"/>
            <w:vAlign w:val="bottom"/>
          </w:tcPr>
          <w:p>
            <w:pPr>
              <w:spacing w:after="0"/>
              <w:rPr>
                <w:sz w:val="1"/>
                <w:szCs w:val="1"/>
                <w:color w:val="auto"/>
              </w:rPr>
            </w:pPr>
          </w:p>
        </w:tc>
      </w:tr>
      <w:tr>
        <w:trPr>
          <w:trHeight w:val="230"/>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29"/>
        </w:trPr>
        <w:tc>
          <w:tcPr>
            <w:tcW w:w="5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57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(8,939)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(11,206)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(19,843)</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(22,331)</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6"/>
                <w:szCs w:val="16"/>
                <w:color w:val="auto"/>
              </w:rPr>
              <w:t>Weighted-average number of common shares used to compute basic and</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41,317,627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37,864,185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41,126,009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36,399,309</w:t>
            </w:r>
          </w:p>
        </w:tc>
        <w:tc>
          <w:tcPr>
            <w:tcW w:w="0" w:type="dxa"/>
            <w:vAlign w:val="bottom"/>
          </w:tcPr>
          <w:p>
            <w:pPr>
              <w:spacing w:after="0"/>
              <w:rPr>
                <w:sz w:val="1"/>
                <w:szCs w:val="1"/>
                <w:color w:val="auto"/>
              </w:rPr>
            </w:pPr>
          </w:p>
        </w:tc>
      </w:tr>
      <w:tr>
        <w:trPr>
          <w:trHeight w:val="236"/>
        </w:trPr>
        <w:tc>
          <w:tcPr>
            <w:tcW w:w="5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33,271</w:t>
            </w:r>
          </w:p>
        </w:tc>
      </w:tr>
      <w:tr>
        <w:trPr>
          <w:trHeight w:val="230"/>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132,748</w:t>
            </w: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21,953</w:t>
            </w:r>
          </w:p>
        </w:tc>
      </w:tr>
      <w:tr>
        <w:trPr>
          <w:trHeight w:val="229"/>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20,249</w:t>
            </w: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211,394</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223,843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230,425</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r>
      <w:tr>
        <w:trPr>
          <w:trHeight w:val="229"/>
        </w:trPr>
        <w:tc>
          <w:tcPr>
            <w:tcW w:w="7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36,065</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61,050</w:t>
            </w:r>
          </w:p>
        </w:tc>
      </w:tr>
      <w:tr>
        <w:trPr>
          <w:trHeight w:val="250"/>
        </w:trPr>
        <w:tc>
          <w:tcPr>
            <w:tcW w:w="7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and additional paid-in capital</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569,481</w:t>
            </w: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(420,284)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(400,441)</w:t>
            </w:r>
          </w:p>
        </w:tc>
      </w:tr>
      <w:tr>
        <w:trPr>
          <w:trHeight w:val="223"/>
        </w:trPr>
        <w:tc>
          <w:tcPr>
            <w:tcW w:w="7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164,733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169,375</w:t>
            </w:r>
          </w:p>
        </w:tc>
      </w:tr>
      <w:tr>
        <w:trPr>
          <w:trHeight w:val="223"/>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223,843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230,425</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60"/>
          </w:cols>
          <w:pgMar w:left="820" w:top="887" w:right="81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00"/>
        <w:spacing w:after="0" w:line="286" w:lineRule="auto"/>
        <w:rPr>
          <w:sz w:val="20"/>
          <w:szCs w:val="20"/>
          <w:color w:val="auto"/>
        </w:rPr>
      </w:pPr>
      <w:r>
        <w:rPr>
          <w:rFonts w:ascii="Times New Roman" w:cs="Times New Roman" w:eastAsia="Times New Roman" w:hAnsi="Times New Roman"/>
          <w:sz w:val="18"/>
          <w:szCs w:val="18"/>
          <w:color w:val="auto"/>
        </w:rPr>
        <w:t>Depreciation and amortization Stock-based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br w:type="column"/>
      </w: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7"/>
          <w:szCs w:val="17"/>
          <w:b w:val="1"/>
          <w:bCs w:val="1"/>
          <w:color w:val="auto"/>
        </w:rPr>
        <w:t>RECONCILIATION OF NET LOSS TO NON-GAAP ADJUSTED EBITDA</w:t>
      </w:r>
    </w:p>
    <w:p>
      <w:pPr>
        <w:spacing w:after="0" w:line="2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194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30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00" w:type="dxa"/>
            <w:vAlign w:val="bottom"/>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(22,331)</w:t>
            </w:r>
          </w:p>
        </w:tc>
      </w:tr>
      <w:tr>
        <w:trPr>
          <w:trHeight w:val="229"/>
        </w:trPr>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30"/>
        </w:trPr>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r>
      <w:tr>
        <w:trPr>
          <w:trHeight w:val="229"/>
        </w:trPr>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r>
      <w:tr>
        <w:trPr>
          <w:trHeight w:val="234"/>
        </w:trPr>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12,192</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-925195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-625475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-334010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sectPr>
      <w:pgSz w:w="11900" w:h="16838" w:orient="portrait"/>
      <w:cols w:equalWidth="0" w:num="2">
        <w:col w:w="2400" w:space="260"/>
        <w:col w:w="8560"/>
      </w:cols>
      <w:pgMar w:left="34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2024-08-05T15:21:42Z</dcterms:created>
  <dcterms:modified xsi:type="dcterms:W3CDTF">2024-08-05T15:21:42Z</dcterms:modified>
</cp:coreProperties>
</file>