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filed with the Securities and Exchange Commission on February 24,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S-3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UNDER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SI-BONE,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379" w:type="dxa"/>
        <w:jc w:val="left"/>
        <w:tblInd w:w="0" w:type="dxa"/>
        <w:tblLayout w:type="fixed"/>
        <w:tblCellMar>
          <w:top w:w="28" w:type="dxa"/>
          <w:left w:w="28" w:type="dxa"/>
          <w:bottom w:w="28" w:type="dxa"/>
          <w:right w:w="28" w:type="dxa"/>
        </w:tblCellMar>
      </w:tblPr>
      <w:tblGrid>
        <w:gridCol w:w="883"/>
        <w:gridCol w:w="779"/>
        <w:gridCol w:w="783"/>
        <w:gridCol w:w="564"/>
        <w:gridCol w:w="564"/>
        <w:gridCol w:w="806"/>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471 El Camino Real, Suite 101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Santa Clara, California 95050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(408) 207</w:t>
        <w:noBreakHyphen/>
        <w:t>0700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Anshul Maheshwari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Operating Officer &amp;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471 El Camino Real, Suite 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California 95050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(408) 207</w:t>
        <w:noBreakHyphen/>
        <w:t>0700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Copies to:</w:t>
      </w:r>
    </w:p>
    <w:tbl>
      <w:tblPr>
        <w:tblW w:w="5175" w:type="dxa"/>
        <w:jc w:val="left"/>
        <w:tblInd w:w="0" w:type="dxa"/>
        <w:tblLayout w:type="fixed"/>
        <w:tblCellMar>
          <w:top w:w="28" w:type="dxa"/>
          <w:left w:w="28" w:type="dxa"/>
          <w:bottom w:w="28" w:type="dxa"/>
          <w:right w:w="28" w:type="dxa"/>
        </w:tblCellMar>
      </w:tblPr>
      <w:tblGrid>
        <w:gridCol w:w="1167"/>
        <w:gridCol w:w="1025"/>
        <w:gridCol w:w="1033"/>
        <w:gridCol w:w="570"/>
        <w:gridCol w:w="570"/>
        <w:gridCol w:w="810"/>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A. Pisetsky</w:t>
              <w:br/>
              <w:t>Chief Business and Legal Affairs Officer</w:t>
              <w:br/>
              <w:t>471 El Camino Real, Suite 101</w:t>
              <w:br/>
              <w:t>Santa Clara, CA 95050</w:t>
              <w:br/>
              <w:t>(408) 207</w:t>
              <w:noBreakHyphen/>
              <w:t>0700</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Matthew B. Hemington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Kate Nichols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Allison Pang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Cooley LLP</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3175 Hanover Street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Palo Alto, CA 94304</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(650) 843-5000</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color w:val="000000"/>
          <w:sz w:val="18"/>
        </w:rPr>
        <w:t>Approximate date of commencement of proposed sale to the public:</w:t>
      </w:r>
      <w:r>
        <w:rPr>
          <w:color w:val="000000"/>
        </w:rPr>
        <w:t xml:space="preserve"> </w:t>
      </w:r>
      <w:r>
        <w:rPr>
          <w:rFonts w:ascii="Times New Roman;serif" w:hAnsi="Times New Roman;serif"/>
          <w:b w:val="false"/>
          <w:color w:val="000000"/>
          <w:sz w:val="18"/>
        </w:rPr>
        <w:t>From time to time after the effective date of this Registration Statement.</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If the only securities being registered on this Form are being offered pursuant to dividend or interest reinvestment plans, please check the following box: ☐</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857500" cy="1104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57500" cy="1104900"/>
                    </a:xfrm>
                    <a:prstGeom prst="rect">
                      <a:avLst/>
                    </a:prstGeom>
                  </pic:spPr>
                </pic:pic>
              </a:graphicData>
            </a:graphic>
          </wp:inline>
        </w:drawing>
      </w:r>
    </w:p>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Debt Securities</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Warrants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or selling securityholders may offer and sell any combination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under the symbol “SIBN.” On February 23, 2026, the last reported sale price of our common stock was $15.62 per share. The applicable prospectus supplement will contain information, where applicable, as to other listings, if any, on The Nasdaq Global Market or other securities exchange of the securities covered by the applicable prospectus supplement.</w:t>
      </w:r>
    </w:p>
    <w:p>
      <w:pPr>
        <w:pStyle w:val="TextBody"/>
        <w:bidi w:val="0"/>
        <w:spacing w:lineRule="auto" w:line="288" w:before="0" w:after="180"/>
        <w:ind w:left="0" w:right="0" w:firstLine="360"/>
        <w:jc w:val="both"/>
        <w:rPr/>
      </w:pPr>
      <w:r>
        <w:rPr>
          <w:rFonts w:ascii="Times New Roman;serif" w:hAnsi="Times New Roman;serif"/>
          <w:b/>
          <w:i/>
          <w:color w:val="000000"/>
          <w:sz w:val="20"/>
        </w:rPr>
        <w:t>Investing in our securities involves a high degree of risk. Before making an investment decision, you should review carefully the risks described under the heading “</w:t>
      </w:r>
      <w:hyperlink w:anchor="ie5573c6f9b234807bab5b462d1c02aa3_16">
        <w:r>
          <w:rPr>
            <w:rStyle w:val="InternetLink"/>
            <w:rFonts w:ascii="Times New Roman;serif" w:hAnsi="Times New Roman;serif"/>
            <w:b/>
            <w:i/>
            <w:color w:val="0000FF"/>
            <w:sz w:val="20"/>
            <w:u w:val="single"/>
          </w:rPr>
          <w:t>Risk Factors</w:t>
        </w:r>
      </w:hyperlink>
      <w:r>
        <w:rPr>
          <w:color w:val="000000"/>
        </w:rPr>
        <w:t xml:space="preserve">” </w:t>
      </w:r>
      <w:r>
        <w:rPr>
          <w:rFonts w:ascii="Times New Roman;serif" w:hAnsi="Times New Roman;serif"/>
          <w:b/>
          <w:i/>
          <w:color w:val="000000"/>
          <w:sz w:val="20"/>
        </w:rPr>
        <w:t xml:space="preserve">on page </w:t>
      </w:r>
      <w:hyperlink w:anchor="ie5573c6f9b234807bab5b462d1c02aa3_16">
        <w:r>
          <w:rPr>
            <w:rStyle w:val="InternetLink"/>
            <w:rFonts w:ascii="Times New Roman;serif" w:hAnsi="Times New Roman;serif"/>
            <w:b/>
            <w:i/>
            <w:color w:val="0000FF"/>
            <w:sz w:val="20"/>
            <w:u w:val="single"/>
          </w:rPr>
          <w:t>6</w:t>
        </w:r>
      </w:hyperlink>
      <w:r>
        <w:rPr>
          <w:color w:val="000000"/>
        </w:rPr>
        <w:t xml:space="preserve"> </w:t>
      </w:r>
      <w:r>
        <w:rPr>
          <w:rFonts w:ascii="Times New Roman;serif" w:hAnsi="Times New Roman;serif"/>
          <w:b/>
          <w:i/>
          <w:color w:val="000000"/>
          <w:sz w:val="20"/>
        </w:rPr>
        <w:t>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This prospectus may not be used to consummate a sale of securities unless accompanied by a prospectus supplement.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pPr>
      <w:r>
        <w:rPr>
          <w:rFonts w:ascii="Times New Roman;serif" w:hAnsi="Times New Roman;serif"/>
          <w:b w:val="false"/>
          <w:color w:val="000000"/>
          <w:sz w:val="20"/>
        </w:rPr>
        <w:t xml:space="preserve">The date of this prospectus is </w:t>
      </w:r>
      <w:r>
        <w:rPr>
          <w:rFonts w:ascii="Times New Roman;serif" w:hAnsi="Times New Roman;serif"/>
          <w:b/>
          <w:color w:val="000000"/>
          <w:sz w:val="20"/>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361" w:type="dxa"/>
        <w:jc w:val="left"/>
        <w:tblInd w:w="0" w:type="dxa"/>
        <w:tblLayout w:type="fixed"/>
        <w:tblCellMar>
          <w:top w:w="28" w:type="dxa"/>
          <w:left w:w="28" w:type="dxa"/>
          <w:bottom w:w="28" w:type="dxa"/>
          <w:right w:w="28" w:type="dxa"/>
        </w:tblCellMar>
      </w:tblPr>
      <w:tblGrid>
        <w:gridCol w:w="2118"/>
        <w:gridCol w:w="1864"/>
        <w:gridCol w:w="1868"/>
        <w:gridCol w:w="149"/>
        <w:gridCol w:w="149"/>
        <w:gridCol w:w="213"/>
      </w:tblGrid>
      <w:tr>
        <w:trPr/>
        <w:tc>
          <w:tcPr>
            <w:tcW w:w="21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10">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e5573c6f9b234807bab5b462d1c02aa3_10">
              <w:r>
                <w:rPr>
                  <w:rStyle w:val="InternetLink"/>
                  <w:rFonts w:ascii="Times New Roman;serif" w:hAnsi="Times New Roman;serif"/>
                  <w:b w:val="false"/>
                  <w:color w:val="0000FF"/>
                  <w:sz w:val="20"/>
                  <w:u w:val="single"/>
                </w:rPr>
                <w:t>ii</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13">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13">
              <w:r>
                <w:rPr>
                  <w:rStyle w:val="InternetLink"/>
                  <w:rFonts w:ascii="Times New Roman;serif" w:hAnsi="Times New Roman;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16">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16">
              <w:r>
                <w:rPr>
                  <w:rStyle w:val="InternetLink"/>
                  <w:rFonts w:ascii="Times New Roman;serif" w:hAnsi="Times New Roman;serif"/>
                  <w:b w:val="false"/>
                  <w:color w:val="0000FF"/>
                  <w:sz w:val="20"/>
                  <w:u w:val="single"/>
                </w:rPr>
                <w:t>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19">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19">
              <w:r>
                <w:rPr>
                  <w:rStyle w:val="InternetLink"/>
                  <w:rFonts w:ascii="Times New Roman;serif" w:hAnsi="Times New Roman;serif"/>
                  <w:b w:val="false"/>
                  <w:color w:val="0000FF"/>
                  <w:sz w:val="20"/>
                  <w:u w:val="single"/>
                </w:rPr>
                <w:t>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22">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22">
              <w:r>
                <w:rPr>
                  <w:rStyle w:val="InternetLink"/>
                  <w:rFonts w:ascii="Times New Roman;serif" w:hAnsi="Times New Roman;serif"/>
                  <w:b w:val="false"/>
                  <w:color w:val="0000FF"/>
                  <w:sz w:val="20"/>
                  <w:u w:val="single"/>
                </w:rPr>
                <w:t>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25">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25">
              <w:r>
                <w:rPr>
                  <w:rStyle w:val="InternetLink"/>
                  <w:rFonts w:ascii="Times New Roman;serif" w:hAnsi="Times New Roman;serif"/>
                  <w:b w:val="false"/>
                  <w:color w:val="0000FF"/>
                  <w:sz w:val="20"/>
                  <w:u w:val="single"/>
                </w:rPr>
                <w:t>10</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28">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28">
              <w:r>
                <w:rPr>
                  <w:rStyle w:val="InternetLink"/>
                  <w:rFonts w:ascii="Times New Roman;serif" w:hAnsi="Times New Roman;serif"/>
                  <w:b w:val="false"/>
                  <w:color w:val="0000FF"/>
                  <w:sz w:val="20"/>
                  <w:u w:val="single"/>
                </w:rPr>
                <w:t>15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31">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31">
              <w:r>
                <w:rPr>
                  <w:rStyle w:val="InternetLink"/>
                  <w:rFonts w:ascii="Times New Roman;serif" w:hAnsi="Times New Roman;serif"/>
                  <w:b w:val="false"/>
                  <w:color w:val="0000FF"/>
                  <w:sz w:val="20"/>
                  <w:u w:val="single"/>
                </w:rPr>
                <w:t>22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34">
              <w:r>
                <w:rPr>
                  <w:rStyle w:val="InternetLink"/>
                  <w:rFonts w:ascii="Times New Roman;serif" w:hAnsi="Times New Roman;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34">
              <w:r>
                <w:rPr>
                  <w:rStyle w:val="InternetLink"/>
                  <w:rFonts w:ascii="Times New Roman;serif" w:hAnsi="Times New Roman;serif"/>
                  <w:b w:val="false"/>
                  <w:color w:val="0000FF"/>
                  <w:sz w:val="20"/>
                  <w:u w:val="single"/>
                </w:rPr>
                <w:t>24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37">
              <w:r>
                <w:rPr>
                  <w:rStyle w:val="InternetLink"/>
                  <w:rFonts w:ascii="Times New Roman;serif" w:hAnsi="Times New Roman;serif"/>
                  <w:b w:val="false"/>
                  <w:color w:val="0000FF"/>
                  <w:sz w:val="20"/>
                  <w:u w:val="single"/>
                </w:rPr>
                <w:t>SELLING SECURITYHOLDERS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37">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40">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40">
              <w:r>
                <w:rPr>
                  <w:rStyle w:val="InternetLink"/>
                  <w:rFonts w:ascii="Times New Roman;serif" w:hAnsi="Times New Roman;serif"/>
                  <w:b w:val="false"/>
                  <w:color w:val="0000FF"/>
                  <w:sz w:val="20"/>
                  <w:u w:val="single"/>
                </w:rPr>
                <w:t>28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43">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43">
              <w:r>
                <w:rPr>
                  <w:rStyle w:val="InternetLink"/>
                  <w:rFonts w:ascii="Times New Roman;serif" w:hAnsi="Times New Roman;serif"/>
                  <w:b w:val="false"/>
                  <w:color w:val="0000FF"/>
                  <w:sz w:val="20"/>
                  <w:u w:val="single"/>
                </w:rPr>
                <w:t>30</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46">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46">
              <w:r>
                <w:rPr>
                  <w:rStyle w:val="InternetLink"/>
                  <w:rFonts w:ascii="Times New Roman;serif" w:hAnsi="Times New Roman;serif"/>
                  <w:b w:val="false"/>
                  <w:color w:val="0000FF"/>
                  <w:sz w:val="20"/>
                  <w:u w:val="single"/>
                </w:rPr>
                <w:t>30</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49">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49">
              <w:r>
                <w:rPr>
                  <w:rStyle w:val="InternetLink"/>
                  <w:rFonts w:ascii="Times New Roman;serif" w:hAnsi="Times New Roman;serif"/>
                  <w:b w:val="false"/>
                  <w:color w:val="0000FF"/>
                  <w:sz w:val="20"/>
                  <w:u w:val="single"/>
                </w:rPr>
                <w:t>30</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52">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573c6f9b234807bab5b462d1c02aa3_52">
              <w:r>
                <w:rPr>
                  <w:rStyle w:val="InternetLink"/>
                  <w:rFonts w:ascii="Times New Roman;serif" w:hAnsi="Times New Roman;serif"/>
                  <w:b w:val="false"/>
                  <w:color w:val="0000FF"/>
                  <w:sz w:val="20"/>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or selling securityholders may, from time to time, offer and sell, either individually or in combination, in one or more offerings, any combination of the securities described in this prospectus. There is no limit on the aggregate amount of the securities that we or selling securityholders may offer pursuant to the registration statement of which this prospectus is a part.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This prospectus may not be used to consummate a sale of securities unless it is accompanied by a prospectus supplement.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ind w:left="0" w:right="0" w:firstLine="360"/>
        <w:jc w:val="both"/>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SI-BONE, Inc. </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Overview </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 leader in developing innovative procedural solutions for compromised bone, grounded in expertise in biomechanical design and anatomy-specific innovation. As pioneers of minimally invasive treatment for sacroiliac joint dysfunction and degeneration, we have developed a deep competency in addressing the challenges of low-density bone in the sacrum. With our additive manufacturing, or 3D-printing, experience developed in sacroiliac fusion, we have established a technology platform that now extends to meet critical unmet needs in thoracolumbar fixation and fusion and pelvic trauma.</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market our products primarily with a direct sales force as well as a number of third-party sales agents in the United States, and with a combination of a direct sales force, sales agents and resellers in other countries. As of December 31, 2025, over 140,000 procedures have been performed using our products since we introduced iFuse in 2009.</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products include a series of patented titanium implants and the instruments used to implant them, as well as implantable bone products. Since launching our first generation iFuse in 2009, we have launched multiple implant product lines, including iFuse 3D in 2017, iFuse TORQ in 2021, iFuse Bedrock Granite in 2022, and iFuse INTRA and iFuse TORQ TNT in 2024. In the United States, iFuse, iFuse 3D, iFuse TORQ and iFuse Bedrock Granite have clearances for applications in sacroiliac joint dysfunction, adult spinal deformity and pelvic trauma. iFuse TORQ TNT has clearances for applications in pelvic trauma and sacroiliac joint dysfunction. In the European Economic Areas, iFuse, iFuse 3D and iFuse TORQ have been CE marked for applications in sacroiliac joint dysfunction, adult spinal deformity and pelvic fracture fixation.</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82"/>
        <w:gridCol w:w="324"/>
        <w:gridCol w:w="326"/>
        <w:gridCol w:w="2083"/>
        <w:gridCol w:w="1096"/>
        <w:gridCol w:w="1099"/>
        <w:gridCol w:w="528"/>
        <w:gridCol w:w="528"/>
        <w:gridCol w:w="529"/>
        <w:gridCol w:w="517"/>
        <w:gridCol w:w="517"/>
        <w:gridCol w:w="518"/>
        <w:gridCol w:w="512"/>
        <w:gridCol w:w="512"/>
        <w:gridCol w:w="734"/>
      </w:tblGrid>
      <w:tr>
        <w:trPr/>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Product</w:t>
            </w:r>
          </w:p>
        </w:tc>
        <w:tc>
          <w:tcPr>
            <w:tcW w:w="427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Description</w:t>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Market Regulatory Authorization</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Regulatory Authorization Date</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Breakthrough Device Designation ("BDD")</w:t>
            </w:r>
          </w:p>
        </w:tc>
      </w:tr>
      <w:tr>
        <w:trPr/>
        <w:tc>
          <w:tcPr>
            <w:tcW w:w="1032" w:type="dxa"/>
            <w:gridSpan w:val="3"/>
            <w:vMerge w:val="restart"/>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iFuse</w:t>
            </w:r>
          </w:p>
        </w:tc>
        <w:tc>
          <w:tcPr>
            <w:tcW w:w="4278"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Machined triangular titanium implant with a triangular cross section and porous surface that stabilizes the joint and facilitates biologic fixation of the bone onto the implant to drive fusion.</w:t>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2008</w:t>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c>
          <w:tcPr>
            <w:tcW w:w="4278"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Union (CE-Marked)</w:t>
            </w:r>
          </w:p>
        </w:tc>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2010</w:t>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iFuse 3D</w:t>
            </w:r>
          </w:p>
        </w:tc>
        <w:tc>
          <w:tcPr>
            <w:tcW w:w="4278" w:type="dxa"/>
            <w:gridSpan w:val="3"/>
            <w:vMerge w:val="restart"/>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generation, additively-manufactured triangular titanium implant with a porous surface and fenestrated design to self-harvest bone.</w:t>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2017</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4278" w:type="dxa"/>
            <w:gridSpan w:val="3"/>
            <w:vMerge w:val="continue"/>
            <w:tcBorders>
              <w:left w:val="single" w:sz="8" w:space="0" w:color="000000"/>
            </w:tcBorders>
            <w:shd w:fill="CCEEFF" w:val="clear"/>
            <w:tcMar>
              <w:top w:w="0" w:type="dxa"/>
              <w:bottom w:w="0" w:type="dxa"/>
              <w:right w:w="0" w:type="dxa"/>
            </w:tcMar>
            <w:vAlign w:val="center"/>
          </w:tcPr>
          <w:p>
            <w:pPr>
              <w:pStyle w:val="Normal"/>
              <w:bidi w:val="0"/>
              <w:jc w:val="left"/>
              <w:rPr/>
            </w:pPr>
            <w:r>
              <w:rPr/>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Union (CE-Marked)</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2017</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iFuse Bone </w:t>
            </w:r>
            <w:r>
              <w:rPr>
                <w:rFonts w:ascii="Times New Roman;serif" w:hAnsi="Times New Roman;serif"/>
                <w:b w:val="false"/>
                <w:color w:val="000000"/>
                <w:sz w:val="13"/>
              </w:rPr>
              <w:t>(1)</w:t>
            </w:r>
          </w:p>
        </w:tc>
        <w:tc>
          <w:tcPr>
            <w:tcW w:w="427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Implant manufactured from sterilized recovered cadaveric bone tissue to support and augment the patient's own bone tissue in orthopedic procedures.</w:t>
            </w:r>
          </w:p>
        </w:tc>
        <w:tc>
          <w:tcPr>
            <w:tcW w:w="15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iFuse TORQ</w:t>
            </w:r>
          </w:p>
        </w:tc>
        <w:tc>
          <w:tcPr>
            <w:tcW w:w="4278" w:type="dxa"/>
            <w:gridSpan w:val="3"/>
            <w:vMerge w:val="restart"/>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Additively-manufactured threaded implants designed to allow for osteointegration, or incorporation of the bone in the implant's porous surface and structure.</w:t>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2021</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4278" w:type="dxa"/>
            <w:gridSpan w:val="3"/>
            <w:vMerge w:val="continue"/>
            <w:tcBorders>
              <w:left w:val="single" w:sz="8" w:space="0" w:color="000000"/>
            </w:tcBorders>
            <w:shd w:fill="CCEEFF" w:val="clear"/>
            <w:tcMar>
              <w:top w:w="0" w:type="dxa"/>
              <w:bottom w:w="0" w:type="dxa"/>
              <w:right w:w="0" w:type="dxa"/>
            </w:tcMar>
            <w:vAlign w:val="center"/>
          </w:tcPr>
          <w:p>
            <w:pPr>
              <w:pStyle w:val="Normal"/>
              <w:bidi w:val="0"/>
              <w:jc w:val="left"/>
              <w:rPr/>
            </w:pPr>
            <w:r>
              <w:rPr/>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Union (CE-Marked)</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2025</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iFuse Bedrock Granite </w:t>
            </w:r>
            <w:r>
              <w:rPr>
                <w:rFonts w:ascii="Times New Roman;serif" w:hAnsi="Times New Roman;serif"/>
                <w:b w:val="false"/>
                <w:color w:val="000000"/>
                <w:sz w:val="13"/>
              </w:rPr>
              <w:t>(2)</w:t>
            </w:r>
          </w:p>
        </w:tc>
        <w:tc>
          <w:tcPr>
            <w:tcW w:w="42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Additively-manufactured implant with a machined titanium core and a tulip that attaches to the rod and provides fusion and fixation to the sacroiliac joint as foundational element for segmental spinal fusion.</w:t>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2022</w:t>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10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iFuse TORQ TNT</w:t>
            </w:r>
            <w:r>
              <w:rPr>
                <w:rFonts w:ascii="Times New Roman;serif" w:hAnsi="Times New Roman;serif"/>
                <w:b w:val="false"/>
                <w:color w:val="000000"/>
                <w:sz w:val="13"/>
              </w:rPr>
              <w:t>(3)</w:t>
            </w:r>
          </w:p>
        </w:tc>
        <w:tc>
          <w:tcPr>
            <w:tcW w:w="427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porous threaded design with lengths capable of spanning the posterior pelvis, passing through the ipsilateral ilium, sacrum, and through the contralateral ilium.</w:t>
            </w:r>
          </w:p>
        </w:tc>
        <w:tc>
          <w:tcPr>
            <w:tcW w:w="158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1758"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 February 2024 we expanded the platform with the launch of iFuse INTRA / INTRA X, which we believe is the only percutaneous intra-articular implant available for physicians seeking solutions for stabilization and/or fusion.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Based on the implant's ability to drive fusion and fixation, iFuse Bedrock Granite is designated by the FDA as a breakthrough device. The BDD was based on the FDA's recognition of iFuse Bedrock Granite as a new technology that can provide substantial clinical improvement over already available therapies. In January 2024, we received FDA clearance for a smaller diameter (9.5mm) iFuse Bedrock Granite implant with both an expanded indication that covers pediatric patients and an expanded application that includes use in the S1 trajectory. This smaller diameter iFuse Bedrock Granite is also designated by the FDA as a breakthrough device.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iFuse TORQ TNT was designated a breakthrough device by the FDA based on its potential to provide more effective treatment of pelvic fragility fractures than traditional machined cannulated screws, which are the current standard of care. </w:t>
            </w:r>
          </w:p>
        </w:tc>
      </w:tr>
    </w:tbl>
    <w:p>
      <w:pPr>
        <w:pStyle w:val="TextBody"/>
        <w:bidi w:val="0"/>
        <w:spacing w:lineRule="auto" w:line="288" w:before="0" w:after="180"/>
        <w:ind w:left="0" w:right="0" w:firstLine="36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Corporate Information </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common stock is listed on the Nasdaq Global Market under the symbol “SIBN.” </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Securities We or the Selling Securityholders May Offer</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or selling securityholders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 registration statement of which this prospectus is a part. We or selling securityholders may also offer common stock, preferred stock and/or debt securities upon the exercise of warrants. This prospectus provides you with a general description of the securities we may offer. Each time we or selling securityholders offer a type or series of securities under this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prospectus, we will provide a prospectus supplement that will describe the specific amounts, prices and other important terms of the securities, including, to the extent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designation or classification;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aggregate principal amount or aggregate offering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maturity date, if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original issue discount,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rates and times of payment of interest or dividends,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redemption, conversion, exercise, exchange or sinking fund terms,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ranking;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restrictive covenants,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or other rights, if any;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material or special U.S. federal income tax considerations, if any.</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THIS PROSPECTUS MAY NOT BE USED TO CONSUMMATE A SALE OF SECURITIES UNLESS IT IS ACCOMPANIED BY A PROSPECTUS SUPPLEMENT.</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or selling securityholders may sell the securities directly to investors or to or through agents, underwriters or dealers. We, the selling securityholders and our or their agents or underwriters, reserve the right to accept or reject all or part of any proposed purchase of securities. If we or selling securityholders do offer securities to or through agents or underwriters, we will include in the applicable prospectus supplement: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names of those agents or underwriters;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applicable fees, discounts and commissions to be paid to them;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details regarding over-allotment options, if any;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net proceeds to us. </w:t>
      </w:r>
    </w:p>
    <w:p>
      <w:pPr>
        <w:pStyle w:val="TextBody"/>
        <w:bidi w:val="0"/>
        <w:spacing w:lineRule="auto" w:line="288" w:before="0" w:after="180"/>
        <w:ind w:left="0" w:right="0" w:firstLine="360"/>
        <w:jc w:val="both"/>
        <w:rPr>
          <w:bdr w:val="single" w:sz="8" w:space="36" w:color="000000"/>
        </w:rPr>
      </w:pPr>
      <w:r>
        <w:rPr>
          <w:rFonts w:ascii="Times New Roman;serif" w:hAnsi="Times New Roman;serif"/>
          <w:b w:val="false"/>
          <w:i/>
          <w:color w:val="000000"/>
          <w:sz w:val="20"/>
          <w:bdr w:val="single" w:sz="8" w:space="36" w:color="000000"/>
        </w:rPr>
        <w:t>Common Stock</w:t>
      </w:r>
      <w:r>
        <w:rPr>
          <w:rFonts w:ascii="Times New Roman;serif" w:hAnsi="Times New Roman;serif"/>
          <w:b w:val="false"/>
          <w:color w:val="000000"/>
          <w:sz w:val="20"/>
          <w:bdr w:val="single" w:sz="8" w:space="36" w:color="000000"/>
        </w:rPr>
        <w:t xml:space="preserve">. We may issue, and any selling securityholders may sell, shares of our common stock from time to time.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stock under “Description of Capital Stock - Common Stock.” We urge you, however, to read the applicable prospectus supplement (and any related free writing prospectus that we may authorize to be provided to you) related to any common stock being offered.</w:t>
      </w:r>
    </w:p>
    <w:p>
      <w:pPr>
        <w:pStyle w:val="TextBody"/>
        <w:bidi w:val="0"/>
        <w:spacing w:lineRule="auto" w:line="288" w:before="0" w:after="180"/>
        <w:ind w:left="0" w:right="0" w:firstLine="360"/>
        <w:jc w:val="both"/>
        <w:rPr>
          <w:bdr w:val="single" w:sz="8" w:space="36" w:color="000000"/>
        </w:rPr>
      </w:pPr>
      <w:r>
        <w:rPr>
          <w:rFonts w:ascii="Times New Roman;serif" w:hAnsi="Times New Roman;serif"/>
          <w:b w:val="false"/>
          <w:i/>
          <w:color w:val="000000"/>
          <w:sz w:val="20"/>
          <w:bdr w:val="single" w:sz="8" w:space="36" w:color="000000"/>
        </w:rPr>
        <w:t xml:space="preserve">Preferred Stock. </w:t>
      </w:r>
      <w:r>
        <w:rPr>
          <w:rFonts w:ascii="Times New Roman;serif" w:hAnsi="Times New Roman;serif"/>
          <w:b w:val="false"/>
          <w:color w:val="000000"/>
          <w:sz w:val="20"/>
          <w:bdr w:val="single" w:sz="8" w:space="36" w:color="000000"/>
        </w:rPr>
        <w:t>We may issue shares of our preferred stock from time to time, in one or more series, and any selling securityholders may sell such shares from time to time.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lineRule="auto" w:line="288" w:before="0" w:after="180"/>
        <w:ind w:left="0" w:right="0" w:firstLine="360"/>
        <w:jc w:val="both"/>
        <w:rPr>
          <w:bdr w:val="single" w:sz="8" w:space="36" w:color="000000"/>
        </w:rPr>
      </w:pPr>
      <w:r>
        <w:rPr>
          <w:rFonts w:ascii="Times New Roman;serif" w:hAnsi="Times New Roman;serif"/>
          <w:b w:val="false"/>
          <w:i/>
          <w:color w:val="000000"/>
          <w:sz w:val="20"/>
          <w:bdr w:val="single" w:sz="8" w:space="36" w:color="000000"/>
        </w:rPr>
        <w:t xml:space="preserve">Debt Securities. </w:t>
      </w:r>
      <w:r>
        <w:rPr>
          <w:rFonts w:ascii="Times New Roman;serif" w:hAnsi="Times New Roman;serif"/>
          <w:b w:val="false"/>
          <w:color w:val="000000"/>
          <w:sz w:val="20"/>
          <w:bdr w:val="single" w:sz="8" w:space="36" w:color="00000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ind w:left="0" w:right="0" w:firstLine="360"/>
        <w:jc w:val="both"/>
        <w:rPr>
          <w:bdr w:val="single" w:sz="8" w:space="36" w:color="000000"/>
        </w:rPr>
      </w:pPr>
      <w:r>
        <w:rPr>
          <w:rFonts w:ascii="Times New Roman;serif" w:hAnsi="Times New Roman;serif"/>
          <w:b w:val="false"/>
          <w:i/>
          <w:color w:val="000000"/>
          <w:sz w:val="20"/>
          <w:bdr w:val="single" w:sz="8" w:space="36" w:color="000000"/>
        </w:rPr>
        <w:t xml:space="preserve">Warrants. </w:t>
      </w:r>
      <w:r>
        <w:rPr>
          <w:rFonts w:ascii="Times New Roman;serif" w:hAnsi="Times New Roman;serif"/>
          <w:b w:val="false"/>
          <w:color w:val="000000"/>
          <w:sz w:val="20"/>
          <w:bdr w:val="single" w:sz="8" w:space="36" w:color="000000"/>
        </w:rPr>
        <w:t>We may issue warrants for the purchase of common stock, preferred stock and/or debt securities in one or more series. We may 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Any warrants issued under this prospectus may be evidenced by warrant certificates. Warrants also may be issued under an applicable warrant agreement that we enter into with a warrant agent. We will indicate the name and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address of the warrant agent, if applicable, in the prospectus supplement relating to the particular series of warrants being offered.</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Use of Proceeds</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securities by any selling securityholders. See “Use of Proceeds” in this prospectus.</w:t>
      </w:r>
    </w:p>
    <w:p>
      <w:pPr>
        <w:pStyle w:val="TextBody"/>
        <w:bidi w:val="0"/>
        <w:spacing w:lineRule="auto" w:line="288" w:before="0" w:after="180"/>
        <w:jc w:val="both"/>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Nasdaq Global Market Listing</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any subsequent Quarterly Reports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 that a significant portion of our revenues will be derived from sales of similar products addressing the sacropelvic anatomy;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develop and commercialize additional revenue opportunities, including new indications for use and new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retain and grow our sales team, including our third-party sales agents, based on the demand for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identify, train, and retain physicians to perform procedures using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obtain and maintain favorable coverage and reimbursement determinations from third-party payors;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estimates of our market opportunity;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the scope of protection from intellectual property rights covering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timing of and results from our clinical trials and other studies;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marketing clearances and authorization from the FDA and regulators in other jurisdictions and CE Certificates of Conformity from Notified Bodies;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timing of regulatory filings and feedback;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competition in the markets we serve;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of the reliability and performance of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of the benefits of our products to patients, providers, and payors;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enacted or proposed tariffs on our business, including the impact on gross margins related to our international product sales and the impact of resulting economic uncertainty on demand for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factors impacting the supply chains we rely on, including tariffs and the availability of raw materials and skilled labor serving our suppliers, and the cost of these factors of production which may in turn impact the prices we pay for our devices;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sustain or increase demand for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estimates regarding our costs and risks associated with our international operations and expansion;</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key personnel and other employees, including those with specialized skills and experience;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acquisitions and strategic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access capital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fund our working capital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compliance with, and the cost of, federal, state, and foreign regulatory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factors that may impact our financial results;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anticipated trends and challenges in our business and the markets in which we operate.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as may be updated by our subsequent Quarterly Reports on Form 10-Q and other filings we make,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applicable prospectus supplement provides otherwise, we will not receive any of the proceeds from the sale of our securities by any selling securityholder.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No Preemptive or Similar Rights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not entitled to preemptive rights and is not subject to conversion, redemption, or sinking fund provisions.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Right to Receive Liquidation Distributions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title and stated value;</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number of shares we are offering;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liquidation preference per share;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purchase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dividend rate, period and payment date and method of calculation for dividends;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dividends will be cumulative or non-cumulative and, if cumulative, the date from which dividends will accumulate;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procedures for any auction and remarketing, if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provisions for a sinking fund, if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provisions for redemption or repurchase, if applicable, and any restrictions on our ability to exercise those redemption and repurchase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listing of the preferred stock on any securities exchange or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the preferred stock will be convertible into our common stock, and, if applicable, the conversion price, or how it will be calculated, and the conversion period;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the preferred stock will be exchangeable into debt securities, and, if applicable, the exchange price, or how it will be calculated, and the exchange period;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rights of the preferred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preemptive rights,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restrictions on transfer, sale or other assignment;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interests in the preferred stock will be represented by depositary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discussion of material United States federal income tax considerations applicable to the preferred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relative ranking and preferences of the preferred stock as to dividend rights and rights if we liquidate, dissolve or wind up our affairs;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limitations on the issuance of any class or series of preferred stock ranking senior to or on a parity with the series of preferred stock as to dividend rights and rights if we liquidate, dissolve or wind up our affairs;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other specific terms, preferences, rights or limitations of, or restrictions on, the preferred stock.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Anti-takeover Effects of Provisions of our Certificate of Incorporation and Bylaws and Delaware Law</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Delaware Law</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transaction is approved by the board of directors prior to the time that the interested stockholder became an interested stockholder;</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Certificate of Incorporation and Bylaws Provisions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our amended and restated bylaws include a number of provisions that may have the effect of deterring hostile takeovers or delaying or preventing changes in control of our management team, including the following: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Board of Directors Vacancies</w:t>
      </w:r>
      <w:r>
        <w:rPr>
          <w:rFonts w:ascii="Times New Roman;serif" w:hAnsi="Times New Roman;serif"/>
          <w:b w:val="false"/>
          <w:color w:val="000000"/>
          <w:sz w:val="20"/>
        </w:rPr>
        <w:t xml:space="preserve">. Our amended and restated certificate of incorporation and amended and restated bylaws authorize our board of 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Classified Board</w:t>
      </w:r>
      <w:r>
        <w:rPr>
          <w:rFonts w:ascii="Times New Roman;serif" w:hAnsi="Times New Roman;serif"/>
          <w:b w:val="false"/>
          <w:color w:val="000000"/>
          <w:sz w:val="20"/>
        </w:rPr>
        <w:t xml:space="preserve">. Our amended and restated certificate of incorporation and amended and restated bylaws provide that our board of directors is 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Stockholder Action; Special Meeting of Stockholders</w:t>
      </w:r>
      <w:r>
        <w:rPr>
          <w:rFonts w:ascii="Times New Roman;serif" w:hAnsi="Times New Roman;serif"/>
          <w:b w:val="false"/>
          <w:color w:val="000000"/>
          <w:sz w:val="20"/>
        </w:rPr>
        <w:t xml:space="preserve">. Our amended and restated certificate of incorporation provides that stockholders are not able 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Advance Notice Requirements for Stockholder Proposals and Director Nominations</w:t>
      </w:r>
      <w:r>
        <w:rPr>
          <w:rFonts w:ascii="Times New Roman;serif" w:hAnsi="Times New Roman;serif"/>
          <w:b w:val="false"/>
          <w:color w:val="000000"/>
          <w:sz w:val="20"/>
        </w:rPr>
        <w:t xml:space="preserve">. Our amended and restated bylaws provide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Issuance of Undesignated Preferred Stock</w:t>
      </w:r>
      <w:r>
        <w:rPr>
          <w:rFonts w:ascii="Times New Roman;serif" w:hAnsi="Times New Roman;serif"/>
          <w:b w:val="false"/>
          <w:color w:val="000000"/>
          <w:sz w:val="20"/>
        </w:rPr>
        <w:t xml:space="preserve">. Our board of directors have the authority, without further action by the holders of common stock, to issue up to 5,000,000 shares of undesignated preferred stock with rights and preferences, including voting rights, designated from time to time by the board of directors. The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existence of authorized but unissued shares of preferred stock enable our board of directors to render more difficult or to discourage an attempt to obtain control of us by means of a merger, tender offer, proxy contest, or otherwise.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Choice of Forum</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Listing on the Nasdaq Global Market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pStyle w:val="TextBody"/>
        <w:bidi w:val="0"/>
        <w:spacing w:before="0" w:after="180"/>
        <w:jc w:val="both"/>
        <w:rPr/>
      </w:pPr>
      <w:r>
        <w:rPr/>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transfer agent and registrar for our common stock is Equiniti Trust Company, LLC. The transfer agent and registrar’s address is 1110 Centre Pointe Curve, Suite 101, Mendota Heights, MN 55120.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DEBT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describe in the applicable prospectus supplement the terms of the series of debt securities being offered, including: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title of the series of debt securities;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limit upon the aggregate principal amount that may be issued;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maturity date or dates;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form of the debt securities of the series;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applicability of any guarantees;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or not the debt securities will be secured or unsecured, and the terms of any secured debt;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the debt securities rank as senior debt, senior subordinated debt, subordinated debt or any combination thereof, and the terms of any subordination;</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right, if any, to defer payment of interest and the maximum length of any such deferral period;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denominations in which we will issue the series of debt securities, if other than denominations of $1,000 and any integral multiple thereof;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whether the debt securities of the series shall be issued in whole or in part in the form of a global security or securities;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terms and conditions, if any, upon which such global security or securities may be exchanged in whole or in part for other individual securities, and the depositary for such global security or securities;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other than the full principal amount thereof, the portion of the principal amount of debt securities of the series which shall be payable upon declaration of acceleration of the maturity thereof;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additions to or changes in the covenants applicable to the particular debt securities being issued, including, among others, the consolidation, merger or sale covenant;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additions to or changes in or deletions of the provisions relating to covenant defeasance and legal defeasance;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additions to or changes in the provisions relating to satisfaction and discharge of the indenture;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additions to or changes in the provisions relating to the modification of the indenture both with and without the consent of holders of debt securities issued under the indenture;</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currency of payment of debt securities if other than U.S. dollars and the manner of determining the equivalent amount in U.S. dollars;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interest will be payable in cash or additional debt securities at our or the holders’ option and the terms and conditions upon which the election may be made;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restrictions on transfer, sale or assignment of the debt securities of the series;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Conversion or Exchange Rights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Consolidation, Merger or Sale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Events of Default under the Indenture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specified events of bankruptcy, insolvency or reorganization occur.</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direction so given by the holder is not in conflict with any law or the applicable indenture;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holder of the debt securities of any series will have the right to institute a proceeding under the indenture or to appoint a receiver or trustee, or to seek other remedies only if: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holder has given written notice to the trustee of a continuing event of default with respect to that series;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holders of at least 25% in aggregate principal amount of the outstanding debt securities of that series have made written request,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such holders have offered to the trustee indemnity satisfactory to it against the costs, expenses and liabilities to be incurred by the trustee in compliance with the request;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limitations do not apply to a suit instituted by a holder of debt securities if we default in the payment of the principal, premium, if any, or interest on, the debt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periodically file statements with the trustee regarding our compliance with specified covenants in the indenture.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Modification of Indenture; Waiver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and the trustee may change an indenture without the consent of any holders with respect to specific matters: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cure any ambiguity, defect or inconsistency in the indenture or in the debt securities of any series;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comply with the provisions described above under “Description of Debt Securities—Consolidation, Merger or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provide for uncertificated debt securities in addition to or in place of certificated debt securities;</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make any change that does not adversely affect the interests of any holder of debt securities of any series in any material respect;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evidence and provide for the acceptance of appointment under any indenture by a successor trustee;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comply with any requirements of the SEC in connection with the qualification of any indenture under the Trust Indenture Act.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extending the fixed maturity of any debt securities of any series;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reducing the percentage of debt securities, the holders of which are required to consent to any amendment, supplement, modification or waiver.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Discharge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for payment;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register the transfer or exchange of debt securities of the series;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replace stolen, lost or mutilated debt securities of the series;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pay principal of and premium and interest on any debt securities of the series;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paying agencies;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hold monies for payment in trust;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recover excess money held by the trustee;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compensate and indemnify the trustee;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appoint any successor trustee.</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Form, Exchange and Transfer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elect to redeem the debt securities of any series, we will not be required 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register the transfer of or exchange any debt securities so selected for redemption, in whole or in part, except the unredeemed portion of any debt securities we are redeeming in part.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Information Concerning the Trustee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Payment and Paying Agents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and the debt securities will be governed by and construed in accordance with the internal laws of the State of New York, except to the extent that the Trust Indenture Act of 1939 is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of the series of warrants being offered,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offering price and aggregate number of warrants offered;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currency for which the warrants may be purchased;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of any merger, consolidation, sale or other disposition of our business on the warrant agreements and the warrants;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provisions for changes to or adjustments in the exercise price or number of securities issuable upon exercise of the warrants;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dates on which the right to exercise the warrants will commence and expire;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manner in which the warrant agreements and warrants may be modified;</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discussion of any material or special U.S. federal income tax considerations of holding or exercising the warrants;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terms of the securities issuable upon exercise of the warrants;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other specific terms, preferences, rights or limitations of or restrictions on the warrants.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Before exercising their warrants, holders of warrants will not have any of the rights of holders of the securities purchasable upon such exercise,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we otherwise specify in the applicable prospectus supplement, the warrants and any warrant agreements will be governed by and construed in accordance with the laws of the State of New York.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Enforceability of Rights by Holders of Warrants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OWNERSHIP OF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Book-Entry 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Street Name 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Legal 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Special Considerations For Indirect 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hold securities through a bank, broker or other financial institution, either in book-entry form or in street name, you should check with your own institution to find out: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how it handles securities payments and notices;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it imposes fees or charges;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how it would handle a request for the holders’ consent, if ever required;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whether and how you can instruct it to send you securities registered in your own name so you can be a holder, if that is permitted in the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how it would exercise rights under the securities if there were a default or other event triggering the need for holders to act to protect their interests;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securities are in book-entry form, how the depositary’s rules and procedures will affect these matters.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Special Considerations For Global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securities are issued only in the form of a global security, an investor should be aware of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investor may not be able to pledge his or her interest in a global security in circumstances where certificates representing the securities must be delivered to the lender or other beneficiary of the pledge in order for the pledge to be effective;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depositary’s policies, which may change from time to time, will govern payments, transfers, exchanges and other matters relating to an investor’s interest in a global security;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and any applicable trustee have no responsibility for any aspect of the depositary’s actions or for its records of ownership interests in a global security, nor do we or any applicable trustee supervise the depositary in any way;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depositary may, and we understand that DTC will, require that those who purchase and sell interests in a global security within its book-entry system use immediately available funds, and your broker or bank may require you to do so as well;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financial institutions that participate in the depositary’s book-entry system, and through which an investor holds its interest in a global security, may also have their own policies affecting payments, notices and other matters relating to the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may be more than one financial intermediary in the chain of ownership for an investor. We do not monitor and are not responsible for the actions of any of those intermediaries.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Special Situations When a Global Security Will Be Terminated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we provide otherwise in the applicable prospectus supplement, the global security will terminate when the following special situations occur: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notify any applicable trustee that we wish to terminate that global security;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an event of default has occurred with regard to securities represented by that global security and has not been cured or waived.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SECURITYHOLDERS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securityholders are persons or entities that, directly or indirectly, have acquired or will acquire from time to time, our securities. If the registration statement of which this prospectus forms a part is used by selling securityholders for the resale of any securities, information about such selling securityholders, their beneficial ownership of our securities and their relationship with us will be set forth in a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or the selling securityholders may sell the securities from time to time pursuant to underwritten public offerings, direct sales to the public, negotiated transactions, block trades or a combination of these methods. We or the selling securityholders may sell the securities to or through underwriters or dealers, through agents, or directly to one or more purchasers. We or the selling securityholders may distribute securities from time to time in one or more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name or names of the underwriters,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purchase price of the securities or other consideration therefor, and the proceeds, if any, we will receive from the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over-allotment options under which underwriters may purchase additional securities from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Only underwriters named in the prospectus supplement will be underwriters of the securities offered by the prospectus supplement.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securityholders may use underwriters with whom we have a material relationship. We will describe in the prospectus supplement, naming the underwriter, the nature of any such relationship.</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or the selling securityholders may sell securities directly or through agents we designate from time to time. We will name any agent involved in the offering and sale of securities and we will describe any commissions we or the selling securityholders will pay the agent in the prospectus supplement. Unless the prospectus supplement states otherwise, our or the selling securityholders’ agent will act on a best-efforts basis for the period of its appointment.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or the selling securityholders may authorize agents or underwriters to solicit offers by certain types of institutional investors to purchase securities from us or the selling securityholders at the public offering price set forth in the prospectus supplement pursuant to delayed delivery contracts providing for payment and delivery on a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specified date in the future. We will describe the conditions to these contracts and the commissions we or the selling securityholders must pay for solicitation of these contracts in the prospectus supplement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or the selling securityholders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securityholders in the ordinary course of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Securities we or the selling securityholders may offer, other than common stock, may be new issues and may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w:t>
      </w:r>
      <w:hyperlink r:id="rId3">
        <w:r>
          <w:rPr>
            <w:rStyle w:val="InternetLink"/>
            <w:rFonts w:ascii="Times New Roman;serif" w:hAnsi="Times New Roman;serif"/>
            <w:b w:val="false"/>
            <w:color w:val="0000FF"/>
            <w:sz w:val="20"/>
            <w:u w:val="single"/>
          </w:rPr>
          <w:t>Annual Report on Form 10-K, for the year ended December 31, 2025</w:t>
        </w:r>
      </w:hyperlink>
      <w:r>
        <w:rPr>
          <w:rFonts w:ascii="Times New Roman;serif" w:hAnsi="Times New Roman;serif"/>
          <w:b w:val="false"/>
          <w:color w:val="000000"/>
          <w:sz w:val="20"/>
        </w:rPr>
        <w:t xml:space="preserve">, filed with the SEC on February 24,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w:t>
      </w:r>
      <w:hyperlink r:id="rId4">
        <w:r>
          <w:rPr>
            <w:rStyle w:val="InternetLink"/>
            <w:rFonts w:ascii="Times New Roman;serif" w:hAnsi="Times New Roman;serif"/>
            <w:b w:val="false"/>
            <w:color w:val="0000FF"/>
            <w:sz w:val="20"/>
            <w:u w:val="single"/>
          </w:rPr>
          <w:t>Current Report on Form 8-K</w:t>
        </w:r>
      </w:hyperlink>
      <w:r>
        <w:rPr>
          <w:color w:val="000000"/>
        </w:rPr>
        <w:t xml:space="preserve"> </w:t>
      </w:r>
      <w:r>
        <w:rPr>
          <w:rFonts w:ascii="Times New Roman;serif" w:hAnsi="Times New Roman;serif"/>
          <w:b w:val="false"/>
          <w:color w:val="000000"/>
          <w:sz w:val="20"/>
        </w:rPr>
        <w:t>filed with the SEC on February 23, 2026 (other than Item 2.02 and related exhibits);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w:t>
      </w:r>
      <w:hyperlink r:id="rId5">
        <w:r>
          <w:rPr>
            <w:rStyle w:val="InternetLink"/>
            <w:rFonts w:ascii="Times New Roman;serif" w:hAnsi="Times New Roman;serif"/>
            <w:b w:val="false"/>
            <w:color w:val="0000FF"/>
            <w:sz w:val="20"/>
            <w:u w:val="single"/>
          </w:rPr>
          <w:t>Definitive Proxy Statement on Schedule 14A</w:t>
        </w:r>
      </w:hyperlink>
      <w:r>
        <w:rPr>
          <w:rFonts w:ascii="Times New Roman;serif" w:hAnsi="Times New Roman;serif"/>
          <w:b w:val="false"/>
          <w:color w:val="000000"/>
          <w:sz w:val="20"/>
        </w:rPr>
        <w:t>, filed with the SEC on April 25, 2025 (but only with respect to information required by Part III of our Annual Report on Form 10-K for the year ended December 31, 2024);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description of our common stock set forth in our registration statement on </w:t>
      </w:r>
      <w:hyperlink r:id="rId6">
        <w:r>
          <w:rPr>
            <w:rStyle w:val="InternetLink"/>
            <w:rFonts w:ascii="Times New Roman;serif" w:hAnsi="Times New Roman;serif"/>
            <w:b w:val="false"/>
            <w:color w:val="0000FF"/>
            <w:sz w:val="20"/>
            <w:u w:val="single"/>
          </w:rPr>
          <w:t>Form 8-A, filed with the SEC on October 11, 2018</w:t>
        </w:r>
      </w:hyperlink>
      <w:r>
        <w:rPr>
          <w:rFonts w:ascii="Times New Roman;serif" w:hAnsi="Times New Roman;serif"/>
          <w:b w:val="false"/>
          <w:color w:val="000000"/>
          <w:sz w:val="20"/>
        </w:rPr>
        <w:t xml:space="preserve">, including any amendment or report filed for the purpose of updating such description, including </w:t>
      </w:r>
      <w:hyperlink r:id="rId7">
        <w:r>
          <w:rPr>
            <w:rStyle w:val="InternetLink"/>
            <w:rFonts w:ascii="Times New Roman;serif" w:hAnsi="Times New Roman;serif"/>
            <w:b w:val="false"/>
            <w:color w:val="0000FF"/>
            <w:sz w:val="20"/>
            <w:u w:val="single"/>
          </w:rPr>
          <w:t>Exhibit 4.3</w:t>
        </w:r>
      </w:hyperlink>
      <w:r>
        <w:rPr>
          <w:color w:val="000000"/>
        </w:rPr>
        <w:t xml:space="preserve"> </w:t>
      </w:r>
      <w:r>
        <w:rPr>
          <w:rFonts w:ascii="Times New Roman;serif" w:hAnsi="Times New Roman;serif"/>
          <w:b w:val="false"/>
          <w:color w:val="000000"/>
          <w:sz w:val="20"/>
        </w:rPr>
        <w:t>to our Quarterly Report on Form 10-Q for the quarter ended March 31, 2020 filed with the SEC on May 5, 2020.</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SI-BONE,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471 El Camino Real, Suite 101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Santa Clara, California 95050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(408) 207</w:t>
        <w:noBreakHyphen/>
        <w:t>0700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NOT REQUIRED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w:t>
      </w:r>
    </w:p>
    <w:tbl>
      <w:tblPr>
        <w:tblW w:w="4564" w:type="dxa"/>
        <w:jc w:val="left"/>
        <w:tblInd w:w="0" w:type="dxa"/>
        <w:tblLayout w:type="fixed"/>
        <w:tblCellMar>
          <w:top w:w="28" w:type="dxa"/>
          <w:left w:w="28" w:type="dxa"/>
          <w:bottom w:w="28" w:type="dxa"/>
          <w:right w:w="28" w:type="dxa"/>
        </w:tblCellMar>
      </w:tblPr>
      <w:tblGrid>
        <w:gridCol w:w="1382"/>
        <w:gridCol w:w="1211"/>
        <w:gridCol w:w="1217"/>
        <w:gridCol w:w="244"/>
        <w:gridCol w:w="331"/>
        <w:gridCol w:w="179"/>
      </w:tblGrid>
      <w:tr>
        <w:trPr/>
        <w:tc>
          <w:tcPr>
            <w:tcW w:w="138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Market listing fee</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FINRA filing fee (if applicable)</w:t>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agent and registrar fees and expenses</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miscellaneous fees and expenses</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 accordance with Rules 456(b) and 457(r), the registrant is deferring payment of all applicable registration fees for the securities offered by this prospectus.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any breach of the director’s duty of loyalty to us or our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acts or omissions not in good faith or that involve intentional misconduct or a knowing violation of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respect of unlawful payments of dividends or unlawful stock repurchases or redemptions as provided in Section 174 of the Delaware General Corporation Law;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any transaction from which the director derives any improper personal benefit.</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Our amended and restated certificate of incorporation also provides that our officers will not be personally liable to us or our stockholders for monetary damages for any breach of fiduciary duty as an officer, </w:t>
      </w:r>
      <w:r>
        <w:rPr>
          <w:rFonts w:ascii="Times New Roman;serif" w:hAnsi="Times New Roman;serif"/>
          <w:b w:val="false"/>
          <w:color w:val="000000"/>
          <w:sz w:val="20"/>
        </w:rPr>
        <w:t>except to the extent such exemption from liability or limitation is not permitted under the Delaware General Corporation Law.</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amended and restated certificate of incorporation further provides that if Delaware law is amended after the approval by our stockholders of the certificate of incorporation to authorize corporate action further eliminating or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limiting the personal liability of directors or officers, then the liability of our directors and officers will be eliminated or limited to the fullest extent permitted by Delaware law.</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entered into, and intend to continue to enter into, indemnification agreements with each of our directors and executive officers and certain other key employees. The form of our indemnification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insurance policies that indemnify our directors and officers against various liabilities under the Securities Act and the Exchange Act of 1934, as amended, that might be incurred by any director or officer in his or her capacity as such.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underwriting agreement that we may enter into (Exhibit 1.1) may provide for indemnification by any underwriters of SI-BONE, its directors, its officers who sign the registration statement and SI-BONE’s controlling persons for some liabilities, including liabilities arising under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280"/>
        <w:gridCol w:w="1128"/>
        <w:gridCol w:w="1080"/>
        <w:gridCol w:w="109"/>
        <w:gridCol w:w="109"/>
        <w:gridCol w:w="109"/>
        <w:gridCol w:w="174"/>
        <w:gridCol w:w="174"/>
        <w:gridCol w:w="175"/>
        <w:gridCol w:w="109"/>
        <w:gridCol w:w="109"/>
        <w:gridCol w:w="109"/>
        <w:gridCol w:w="296"/>
        <w:gridCol w:w="261"/>
        <w:gridCol w:w="263"/>
        <w:gridCol w:w="109"/>
        <w:gridCol w:w="109"/>
        <w:gridCol w:w="109"/>
        <w:gridCol w:w="377"/>
        <w:gridCol w:w="377"/>
        <w:gridCol w:w="379"/>
        <w:gridCol w:w="109"/>
        <w:gridCol w:w="109"/>
        <w:gridCol w:w="109"/>
        <w:gridCol w:w="215"/>
        <w:gridCol w:w="215"/>
        <w:gridCol w:w="217"/>
        <w:gridCol w:w="109"/>
        <w:gridCol w:w="109"/>
        <w:gridCol w:w="109"/>
        <w:gridCol w:w="268"/>
        <w:gridCol w:w="268"/>
        <w:gridCol w:w="39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4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Appendix 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Reference is made to Exhibits </w:t>
            </w:r>
            <w:hyperlink r:id="rId11">
              <w:r>
                <w:rPr>
                  <w:rStyle w:val="InternetLink"/>
                  <w:rFonts w:ascii="Times New Roman;serif" w:hAnsi="Times New Roman;serif"/>
                  <w:b w:val="false"/>
                  <w:color w:val="0000FF"/>
                  <w:sz w:val="20"/>
                  <w:u w:val="single"/>
                </w:rPr>
                <w:t>3.1</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 xml:space="preserve">, and </w:t>
            </w:r>
            <w:hyperlink r:id="rId13">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Specimen Preferred Stock Certificate and Form of Certificate of Designation of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4-sibnxindenture20.htm">
              <w:r>
                <w:rPr>
                  <w:rStyle w:val="InternetLink"/>
                  <w:rFonts w:ascii="Times New Roman;serif" w:hAnsi="Times New Roman;serif"/>
                  <w:b w:val="false"/>
                  <w:color w:val="0000FF"/>
                  <w:sz w:val="20"/>
                  <w:u w:val="single"/>
                </w:rPr>
                <w:t>Form of Debt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6-sibnxformofcommo.htm">
              <w:r>
                <w:rPr>
                  <w:rStyle w:val="InternetLink"/>
                  <w:rFonts w:ascii="Times New Roman;serif" w:hAnsi="Times New Roman;serif"/>
                  <w:b w:val="false"/>
                  <w:color w:val="0000FF"/>
                  <w:sz w:val="20"/>
                  <w:u w:val="single"/>
                </w:rPr>
                <w:t>Form of Common Stock Warrant Agreement and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7-sibnxformofprefe.htm">
              <w:r>
                <w:rPr>
                  <w:rStyle w:val="InternetLink"/>
                  <w:rFonts w:ascii="Times New Roman;serif" w:hAnsi="Times New Roman;serif"/>
                  <w:b w:val="false"/>
                  <w:color w:val="0000FF"/>
                  <w:sz w:val="20"/>
                  <w:u w:val="single"/>
                </w:rPr>
                <w:t>Form of Preferred Stock Warrant Agreement and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8-sibnxformofdebse.htm">
              <w:r>
                <w:rPr>
                  <w:rStyle w:val="InternetLink"/>
                  <w:rFonts w:ascii="Times New Roman;serif" w:hAnsi="Times New Roman;serif"/>
                  <w:b w:val="false"/>
                  <w:color w:val="0000FF"/>
                  <w:sz w:val="20"/>
                  <w:u w:val="single"/>
                </w:rPr>
                <w:t>Form of Debt Securities Warrant Agreement and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ibnxs3asrfebrua.htm">
              <w:r>
                <w:rPr>
                  <w:rStyle w:val="InternetLink"/>
                  <w:rFonts w:ascii="Times New Roman;serif" w:hAnsi="Times New Roman;serif"/>
                  <w:b w:val="false"/>
                  <w:color w:val="0000FF"/>
                  <w:sz w:val="20"/>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pwcs3consent.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ibnxs3asrfebrua.htm">
              <w:r>
                <w:rPr>
                  <w:rStyle w:val="InternetLink"/>
                  <w:rFonts w:ascii="Times New Roman;serif" w:hAnsi="Times New Roman;serif"/>
                  <w:b w:val="false"/>
                  <w:color w:val="0000FF"/>
                  <w:sz w:val="20"/>
                  <w:u w:val="single"/>
                </w:rPr>
                <w:t>Consent of Cooley LLP (See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573c6f9b234807bab5b462d1c02aa3_70">
              <w:r>
                <w:rPr>
                  <w:rStyle w:val="InternetLink"/>
                  <w:rFonts w:ascii="Times New Roman;serif" w:hAnsi="Times New Roman;serif"/>
                  <w:b w:val="false"/>
                  <w:color w:val="0000FF"/>
                  <w:sz w:val="20"/>
                  <w:u w:val="single"/>
                </w:rPr>
                <w:t>Power of Attorney (See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Eligibility of Trustee under the Debt Indenture (to be filed separately under the electronic form type 305B2, if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*To be filed by amendment or as an exhibit to a Current Report on Form 8-K and incorporated herein by reference, if applicable.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of 1933 to any purchaser: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20"/>
        </w:rPr>
        <w:t xml:space="preserve">bona fide </w:t>
      </w:r>
      <w:r>
        <w:rPr>
          <w:rFonts w:ascii="Times New Roman;serif" w:hAnsi="Times New Roman;serif"/>
          <w:b w:val="false"/>
          <w:color w:val="000000"/>
          <w:sz w:val="20"/>
        </w:rPr>
        <w:t xml:space="preserve">offering thereof. </w:t>
      </w:r>
      <w:r>
        <w:rPr>
          <w:rFonts w:ascii="Times New Roman;serif" w:hAnsi="Times New Roman;serif"/>
          <w:b w:val="false"/>
          <w:i/>
          <w:color w:val="000000"/>
          <w:sz w:val="20"/>
        </w:rPr>
        <w:t>Provided, however</w:t>
      </w:r>
      <w:r>
        <w:rPr>
          <w:rFonts w:ascii="Times New Roman;serif" w:hAnsi="Times New Roman;serif"/>
          <w:b w:val="false"/>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both"/>
        <w:rPr/>
      </w:pPr>
      <w:r>
        <w:rPr>
          <w:rFonts w:ascii="Times New Roman;serif" w:hAnsi="Times New Roman;serif"/>
          <w:b w:val="false"/>
          <w:color w:val="000000"/>
          <w:sz w:val="20"/>
        </w:rPr>
        <w:t xml:space="preserve">(6)The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(7)That,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1"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Clara, State of California, on February 24, 2026. </w:t>
      </w:r>
    </w:p>
    <w:tbl>
      <w:tblPr>
        <w:tblW w:w="5562" w:type="dxa"/>
        <w:jc w:val="right"/>
        <w:tblInd w:w="0" w:type="dxa"/>
        <w:tblLayout w:type="fixed"/>
        <w:tblCellMar>
          <w:top w:w="28" w:type="dxa"/>
          <w:left w:w="28" w:type="dxa"/>
          <w:bottom w:w="28" w:type="dxa"/>
          <w:right w:w="28" w:type="dxa"/>
        </w:tblCellMar>
      </w:tblPr>
      <w:tblGrid>
        <w:gridCol w:w="249"/>
        <w:gridCol w:w="219"/>
        <w:gridCol w:w="219"/>
        <w:gridCol w:w="1418"/>
        <w:gridCol w:w="1418"/>
        <w:gridCol w:w="2039"/>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5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SI-BONE, INC.</w:t>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(Duly Authorized Officer and Principal Executive Officer) </w:t>
            </w:r>
          </w:p>
        </w:tc>
      </w:tr>
    </w:tbl>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360"/>
        <w:jc w:val="both"/>
        <w:rPr/>
      </w:pPr>
      <w:r>
        <w:rPr>
          <w:rFonts w:ascii="Times New Roman;serif" w:hAnsi="Times New Roman;serif"/>
          <w:b/>
          <w:color w:val="000000"/>
          <w:sz w:val="20"/>
        </w:rPr>
        <w:t>KNOW ALL PERSONS BY THESE PRESENTS</w:t>
      </w:r>
      <w:r>
        <w:rPr>
          <w:rFonts w:ascii="Times New Roman;serif" w:hAnsi="Times New Roman;serif"/>
          <w:b w:val="false"/>
          <w:color w:val="000000"/>
          <w:sz w:val="20"/>
        </w:rPr>
        <w:t>, that each person whose signature appears below constitutes and appoints Laura Francis and Michael A. Pisetsky,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file the same, with all exhibits thereto, and other documents in connection therewith, with the SEC, and generally to do all such things in her or his name and behalf in her or his capacities as officers and directors to enable the SI-BONE,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and on the dates indicated.</w:t>
      </w:r>
    </w:p>
    <w:tbl>
      <w:tblPr>
        <w:tblW w:w="9188"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598"/>
        <w:gridCol w:w="1598"/>
        <w:gridCol w:w="1618"/>
        <w:gridCol w:w="109"/>
        <w:gridCol w:w="109"/>
        <w:gridCol w:w="109"/>
        <w:gridCol w:w="477"/>
        <w:gridCol w:w="477"/>
        <w:gridCol w:w="68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(Duly Authorized Officer and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SI-BONE,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6"/>
        <w:gridCol w:w="8710"/>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There are being register hereunder such indeterminate number of shares of common stock, such indeterminate number of shares of preferred stock, such indeterminate principal amount of debt securities and such indeterminate number of warrants to purchase common stock, preferred stock or debt securities. The securities registered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(2) The registrant is relying on Rules 456(b) and 457(r) under the Securities Act, to defer payment of the entire registration fee. In connection with the securities offered hereby, the registrant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See Offering Note 1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See Offering Note 1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See Offering Note 1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4.4</w:t>
      </w:r>
    </w:p>
    <w:p>
      <w:pPr>
        <w:pStyle w:val="TextBody"/>
        <w:bidi w:val="0"/>
        <w:spacing w:before="0" w:after="0"/>
        <w:jc w:val="right"/>
        <w:rPr/>
      </w:pPr>
      <w:r>
        <w:rPr/>
      </w:r>
    </w:p>
    <w:p>
      <w:pPr>
        <w:pStyle w:val="TextBody"/>
        <w:bidi w:val="0"/>
        <w:spacing w:lineRule="auto" w:line="304" w:before="0" w:after="480"/>
        <w:jc w:val="center"/>
        <w:rPr/>
      </w:pPr>
      <w:r>
        <w:rPr>
          <w:rFonts w:ascii="Times New Roman;serif" w:hAnsi="Times New Roman;serif"/>
          <w:b/>
          <w:color w:val="000000"/>
          <w:sz w:val="22"/>
        </w:rPr>
        <w:t>SI-BONE, Inc,</w:t>
        <w:br/>
        <w:t>Iss</w:t>
      </w:r>
      <w:r>
        <w:rPr>
          <w:rFonts w:ascii="Times New Roman;serif" w:hAnsi="Times New Roman;serif"/>
          <w:b w:val="false"/>
          <w:color w:val="000000"/>
          <w:sz w:val="22"/>
        </w:rPr>
        <w:t>u</w:t>
      </w:r>
      <w:r>
        <w:rPr>
          <w:rFonts w:ascii="Times New Roman;serif" w:hAnsi="Times New Roman;serif"/>
          <w:b/>
          <w:color w:val="000000"/>
          <w:sz w:val="22"/>
        </w:rPr>
        <w:t>er</w:t>
      </w:r>
      <w:r>
        <w:rPr>
          <w:rFonts w:ascii="Times New Roman;serif" w:hAnsi="Times New Roman;serif"/>
          <w:b w:val="false"/>
          <w:color w:val="000000"/>
          <w:sz w:val="22"/>
        </w:rPr>
        <w:br/>
      </w:r>
      <w:r>
        <w:rPr>
          <w:rFonts w:ascii="Times New Roman;serif" w:hAnsi="Times New Roman;serif"/>
          <w:b/>
          <w:color w:val="000000"/>
          <w:sz w:val="22"/>
        </w:rPr>
        <w:br/>
        <w:t>And</w:t>
      </w:r>
      <w:r>
        <w:rPr>
          <w:rFonts w:ascii="Times New Roman;serif" w:hAnsi="Times New Roman;serif"/>
          <w:b w:val="false"/>
          <w:color w:val="000000"/>
          <w:sz w:val="22"/>
        </w:rPr>
        <w:br/>
      </w:r>
      <w:r>
        <w:rPr>
          <w:rFonts w:ascii="Times New Roman;serif" w:hAnsi="Times New Roman;serif"/>
          <w:b/>
          <w:color w:val="000000"/>
          <w:sz w:val="22"/>
        </w:rPr>
        <w:br/>
        <w:t>[Trustee],</w:t>
        <w:br/>
        <w:t>Trustee</w:t>
      </w:r>
    </w:p>
    <w:p>
      <w:pPr>
        <w:pStyle w:val="TextBody"/>
        <w:bidi w:val="0"/>
        <w:spacing w:lineRule="auto" w:line="304" w:before="0" w:after="480"/>
        <w:jc w:val="center"/>
        <w:rPr>
          <w:rFonts w:ascii="Times New Roman;serif" w:hAnsi="Times New Roman;serif"/>
          <w:b/>
          <w:color w:val="000000"/>
          <w:sz w:val="22"/>
        </w:rPr>
      </w:pPr>
      <w:r>
        <w:rPr>
          <w:rFonts w:ascii="Times New Roman;serif" w:hAnsi="Times New Roman;serif"/>
          <w:b/>
          <w:color w:val="000000"/>
          <w:sz w:val="22"/>
        </w:rPr>
        <w:t>_______________</w:t>
      </w:r>
    </w:p>
    <w:p>
      <w:pPr>
        <w:pStyle w:val="TextBody"/>
        <w:bidi w:val="0"/>
        <w:spacing w:lineRule="auto" w:line="304" w:before="0" w:after="480"/>
        <w:jc w:val="center"/>
        <w:rPr/>
      </w:pPr>
      <w:r>
        <w:rPr>
          <w:rFonts w:ascii="Times New Roman;serif" w:hAnsi="Times New Roman;serif"/>
          <w:b/>
          <w:color w:val="000000"/>
          <w:sz w:val="22"/>
        </w:rPr>
        <w:t>Indenture</w:t>
      </w:r>
      <w:r>
        <w:rPr>
          <w:rFonts w:ascii="Times New Roman;serif" w:hAnsi="Times New Roman;serif"/>
          <w:b w:val="false"/>
          <w:color w:val="000000"/>
          <w:sz w:val="22"/>
        </w:rPr>
        <w:br/>
      </w:r>
      <w:r>
        <w:rPr>
          <w:rFonts w:ascii="Times New Roman;serif" w:hAnsi="Times New Roman;serif"/>
          <w:b/>
          <w:color w:val="000000"/>
          <w:sz w:val="22"/>
        </w:rPr>
        <w:br/>
        <w:t>Dated As Of [•], 20__</w:t>
      </w:r>
    </w:p>
    <w:p>
      <w:pPr>
        <w:pStyle w:val="TextBody"/>
        <w:bidi w:val="0"/>
        <w:spacing w:lineRule="auto" w:line="304" w:before="0" w:after="480"/>
        <w:jc w:val="center"/>
        <w:rPr>
          <w:rFonts w:ascii="Times New Roman;serif" w:hAnsi="Times New Roman;serif"/>
          <w:b/>
          <w:color w:val="000000"/>
          <w:sz w:val="22"/>
        </w:rPr>
      </w:pPr>
      <w:r>
        <w:rPr>
          <w:rFonts w:ascii="Times New Roman;serif" w:hAnsi="Times New Roman;serif"/>
          <w:b/>
          <w:color w:val="000000"/>
          <w:sz w:val="22"/>
        </w:rPr>
        <w:t>_______________</w:t>
      </w:r>
    </w:p>
    <w:p>
      <w:pPr>
        <w:pStyle w:val="TextBody"/>
        <w:bidi w:val="0"/>
        <w:spacing w:lineRule="auto" w:line="304" w:before="0" w:after="240"/>
        <w:jc w:val="center"/>
        <w:rPr>
          <w:rFonts w:ascii="Times New Roman;serif" w:hAnsi="Times New Roman;serif"/>
          <w:b/>
          <w:color w:val="000000"/>
          <w:sz w:val="22"/>
        </w:rPr>
      </w:pPr>
      <w:r>
        <w:rPr>
          <w:rFonts w:ascii="Times New Roman;serif" w:hAnsi="Times New Roman;serif"/>
          <w:b/>
          <w:color w:val="000000"/>
          <w:sz w:val="22"/>
        </w:rPr>
        <w:t>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before="0" w:after="0"/>
        <w:jc w:val="left"/>
        <w:rPr/>
      </w:pPr>
      <w:r>
        <w:rPr/>
      </w:r>
    </w:p>
    <w:p>
      <w:pPr>
        <w:pStyle w:val="TextBody"/>
        <w:bidi w:val="0"/>
        <w:spacing w:lineRule="auto" w:line="288" w:before="0" w:after="120"/>
        <w:ind w:left="0" w:right="0" w:hanging="1800"/>
        <w:jc w:val="left"/>
        <w:rPr/>
      </w:pPr>
      <w:hyperlink w:anchor="if42b8667ad5a4fe6ae766ea28e52ca4d_7">
        <w:r>
          <w:rPr>
            <w:rStyle w:val="InternetLink"/>
          </w:rPr>
          <w:t>Section 1.01</w:t>
        </w:r>
      </w:hyperlink>
      <w:hyperlink w:anchor="if42b8667ad5a4fe6ae766ea28e52ca4d_7">
        <w:r>
          <w:rPr>
            <w:rStyle w:val="InternetLink"/>
          </w:rPr>
          <w:t>    </w:t>
        </w:r>
      </w:hyperlink>
      <w:hyperlink w:anchor="if42b8667ad5a4fe6ae766ea28e52ca4d_7">
        <w:r>
          <w:rPr>
            <w:rStyle w:val="InternetLink"/>
          </w:rPr>
          <w:t>Definitions of Terms</w:t>
        </w:r>
      </w:hyperlink>
      <w:hyperlink w:anchor="if42b8667ad5a4fe6ae766ea28e52ca4d_7">
        <w:r>
          <w:rPr>
            <w:rStyle w:val="InternetLink"/>
          </w:rPr>
          <w:t>    </w:t>
        </w:r>
      </w:hyperlink>
      <w:hyperlink w:anchor="if42b8667ad5a4fe6ae766ea28e52ca4d_7">
        <w:r>
          <w:rPr>
            <w:rStyle w:val="InternetLink"/>
          </w:rPr>
          <w:t>1</w:t>
        </w:r>
      </w:hyperlink>
    </w:p>
    <w:p>
      <w:pPr>
        <w:pStyle w:val="TextBody"/>
        <w:bidi w:val="0"/>
        <w:spacing w:lineRule="auto" w:line="288" w:before="0" w:after="120"/>
        <w:ind w:left="0" w:right="0" w:hanging="1440"/>
        <w:jc w:val="left"/>
        <w:rPr/>
      </w:pPr>
      <w:hyperlink w:anchor="if42b8667ad5a4fe6ae766ea28e52ca4d_7">
        <w:r>
          <w:rPr>
            <w:rStyle w:val="InternetLink"/>
          </w:rPr>
          <w:t>ARTICLE 2</w:t>
        </w:r>
      </w:hyperlink>
      <w:hyperlink w:anchor="if42b8667ad5a4fe6ae766ea28e52ca4d_7">
        <w:r>
          <w:rPr>
            <w:rStyle w:val="InternetLink"/>
          </w:rPr>
          <w:t>    </w:t>
        </w:r>
      </w:hyperlink>
      <w:hyperlink w:anchor="if42b8667ad5a4fe6ae766ea28e52ca4d_7">
        <w:r>
          <w:rPr>
            <w:rStyle w:val="InternetLink"/>
          </w:rPr>
          <w:t>ISSUE, DESCRIPTION, TERMS, EXECUTION, REGISTRATION AND EXCHANGE OF SECURITIES</w:t>
        </w:r>
      </w:hyperlink>
      <w:hyperlink w:anchor="if42b8667ad5a4fe6ae766ea28e52ca4d_7">
        <w:r>
          <w:rPr>
            <w:rStyle w:val="InternetLink"/>
          </w:rPr>
          <w:t>    </w:t>
        </w:r>
      </w:hyperlink>
      <w:hyperlink w:anchor="if42b8667ad5a4fe6ae766ea28e52ca4d_7">
        <w:r>
          <w:rPr>
            <w:rStyle w:val="InternetLink"/>
          </w:rPr>
          <w:t>4</w:t>
        </w:r>
      </w:hyperlink>
    </w:p>
    <w:p>
      <w:pPr>
        <w:pStyle w:val="TextBody"/>
        <w:bidi w:val="0"/>
        <w:spacing w:lineRule="auto" w:line="288" w:before="0" w:after="120"/>
        <w:ind w:left="0" w:right="0" w:hanging="1800"/>
        <w:jc w:val="left"/>
        <w:rPr/>
      </w:pPr>
      <w:hyperlink w:anchor="if42b8667ad5a4fe6ae766ea28e52ca4d_7">
        <w:r>
          <w:rPr>
            <w:rStyle w:val="InternetLink"/>
          </w:rPr>
          <w:t>Section 2.01</w:t>
        </w:r>
      </w:hyperlink>
      <w:hyperlink w:anchor="if42b8667ad5a4fe6ae766ea28e52ca4d_7">
        <w:r>
          <w:rPr>
            <w:rStyle w:val="InternetLink"/>
          </w:rPr>
          <w:t>    </w:t>
        </w:r>
      </w:hyperlink>
      <w:hyperlink w:anchor="if42b8667ad5a4fe6ae766ea28e52ca4d_7">
        <w:r>
          <w:rPr>
            <w:rStyle w:val="InternetLink"/>
          </w:rPr>
          <w:t>Designation and Terms of Securities</w:t>
        </w:r>
      </w:hyperlink>
      <w:hyperlink w:anchor="if42b8667ad5a4fe6ae766ea28e52ca4d_7">
        <w:r>
          <w:rPr>
            <w:rStyle w:val="InternetLink"/>
          </w:rPr>
          <w:t>    </w:t>
        </w:r>
      </w:hyperlink>
      <w:hyperlink w:anchor="if42b8667ad5a4fe6ae766ea28e52ca4d_7">
        <w:r>
          <w:rPr>
            <w:rStyle w:val="InternetLink"/>
          </w:rPr>
          <w:t>4</w:t>
        </w:r>
      </w:hyperlink>
    </w:p>
    <w:p>
      <w:pPr>
        <w:pStyle w:val="TextBody"/>
        <w:bidi w:val="0"/>
        <w:spacing w:lineRule="auto" w:line="288" w:before="0" w:after="120"/>
        <w:ind w:left="0" w:right="0" w:hanging="1800"/>
        <w:jc w:val="left"/>
        <w:rPr/>
      </w:pPr>
      <w:hyperlink w:anchor="if42b8667ad5a4fe6ae766ea28e52ca4d_7">
        <w:r>
          <w:rPr>
            <w:rStyle w:val="InternetLink"/>
          </w:rPr>
          <w:t>Section 2.02</w:t>
        </w:r>
      </w:hyperlink>
      <w:hyperlink w:anchor="if42b8667ad5a4fe6ae766ea28e52ca4d_7">
        <w:r>
          <w:rPr>
            <w:rStyle w:val="InternetLink"/>
          </w:rPr>
          <w:t>    </w:t>
        </w:r>
      </w:hyperlink>
      <w:hyperlink w:anchor="if42b8667ad5a4fe6ae766ea28e52ca4d_7">
        <w:r>
          <w:rPr>
            <w:rStyle w:val="InternetLink"/>
          </w:rPr>
          <w:t>Form of Securities and Trustee’s Certificate</w:t>
        </w:r>
      </w:hyperlink>
      <w:hyperlink w:anchor="if42b8667ad5a4fe6ae766ea28e52ca4d_7">
        <w:r>
          <w:rPr>
            <w:rStyle w:val="InternetLink"/>
          </w:rPr>
          <w:t>    </w:t>
        </w:r>
      </w:hyperlink>
      <w:hyperlink w:anchor="if42b8667ad5a4fe6ae766ea28e52ca4d_7">
        <w:r>
          <w:rPr>
            <w:rStyle w:val="InternetLink"/>
          </w:rPr>
          <w:t>7</w:t>
        </w:r>
      </w:hyperlink>
    </w:p>
    <w:p>
      <w:pPr>
        <w:pStyle w:val="TextBody"/>
        <w:bidi w:val="0"/>
        <w:spacing w:lineRule="auto" w:line="288" w:before="0" w:after="120"/>
        <w:ind w:left="0" w:right="0" w:hanging="1800"/>
        <w:jc w:val="left"/>
        <w:rPr/>
      </w:pPr>
      <w:hyperlink w:anchor="if42b8667ad5a4fe6ae766ea28e52ca4d_7">
        <w:r>
          <w:rPr>
            <w:rStyle w:val="InternetLink"/>
          </w:rPr>
          <w:t>Section 2.03</w:t>
        </w:r>
      </w:hyperlink>
      <w:hyperlink w:anchor="if42b8667ad5a4fe6ae766ea28e52ca4d_7">
        <w:r>
          <w:rPr>
            <w:rStyle w:val="InternetLink"/>
          </w:rPr>
          <w:t>    </w:t>
        </w:r>
      </w:hyperlink>
      <w:hyperlink w:anchor="if42b8667ad5a4fe6ae766ea28e52ca4d_7">
        <w:r>
          <w:rPr>
            <w:rStyle w:val="InternetLink"/>
          </w:rPr>
          <w:t>Denominations: Provisions for Payment</w:t>
        </w:r>
      </w:hyperlink>
      <w:hyperlink w:anchor="if42b8667ad5a4fe6ae766ea28e52ca4d_7">
        <w:r>
          <w:rPr>
            <w:rStyle w:val="InternetLink"/>
          </w:rPr>
          <w:t>    </w:t>
        </w:r>
      </w:hyperlink>
      <w:hyperlink w:anchor="if42b8667ad5a4fe6ae766ea28e52ca4d_7">
        <w:r>
          <w:rPr>
            <w:rStyle w:val="InternetLink"/>
          </w:rPr>
          <w:t>7</w:t>
        </w:r>
      </w:hyperlink>
    </w:p>
    <w:p>
      <w:pPr>
        <w:pStyle w:val="TextBody"/>
        <w:bidi w:val="0"/>
        <w:spacing w:lineRule="auto" w:line="288" w:before="0" w:after="120"/>
        <w:ind w:left="0" w:right="0" w:hanging="1800"/>
        <w:jc w:val="left"/>
        <w:rPr/>
      </w:pPr>
      <w:hyperlink w:anchor="if42b8667ad5a4fe6ae766ea28e52ca4d_7">
        <w:r>
          <w:rPr>
            <w:rStyle w:val="InternetLink"/>
          </w:rPr>
          <w:t>Section 2.04</w:t>
        </w:r>
      </w:hyperlink>
      <w:hyperlink w:anchor="if42b8667ad5a4fe6ae766ea28e52ca4d_7">
        <w:r>
          <w:rPr>
            <w:rStyle w:val="InternetLink"/>
          </w:rPr>
          <w:t>    </w:t>
        </w:r>
      </w:hyperlink>
      <w:hyperlink w:anchor="if42b8667ad5a4fe6ae766ea28e52ca4d_7">
        <w:r>
          <w:rPr>
            <w:rStyle w:val="InternetLink"/>
          </w:rPr>
          <w:t>Execution and Authentications</w:t>
        </w:r>
      </w:hyperlink>
      <w:hyperlink w:anchor="if42b8667ad5a4fe6ae766ea28e52ca4d_7">
        <w:r>
          <w:rPr>
            <w:rStyle w:val="InternetLink"/>
          </w:rPr>
          <w:t>    </w:t>
        </w:r>
      </w:hyperlink>
      <w:hyperlink w:anchor="if42b8667ad5a4fe6ae766ea28e52ca4d_7">
        <w:r>
          <w:rPr>
            <w:rStyle w:val="InternetLink"/>
          </w:rPr>
          <w:t>8</w:t>
        </w:r>
      </w:hyperlink>
    </w:p>
    <w:p>
      <w:pPr>
        <w:pStyle w:val="TextBody"/>
        <w:bidi w:val="0"/>
        <w:spacing w:lineRule="auto" w:line="288" w:before="0" w:after="120"/>
        <w:ind w:left="0" w:right="0" w:hanging="1800"/>
        <w:jc w:val="left"/>
        <w:rPr/>
      </w:pPr>
      <w:hyperlink w:anchor="if42b8667ad5a4fe6ae766ea28e52ca4d_7">
        <w:r>
          <w:rPr>
            <w:rStyle w:val="InternetLink"/>
          </w:rPr>
          <w:t>Section 2.05</w:t>
        </w:r>
      </w:hyperlink>
      <w:hyperlink w:anchor="if42b8667ad5a4fe6ae766ea28e52ca4d_7">
        <w:r>
          <w:rPr>
            <w:rStyle w:val="InternetLink"/>
          </w:rPr>
          <w:t>    </w:t>
        </w:r>
      </w:hyperlink>
      <w:hyperlink w:anchor="if42b8667ad5a4fe6ae766ea28e52ca4d_7">
        <w:r>
          <w:rPr>
            <w:rStyle w:val="InternetLink"/>
          </w:rPr>
          <w:t>Registration of Transfer and Exchange</w:t>
        </w:r>
      </w:hyperlink>
      <w:hyperlink w:anchor="if42b8667ad5a4fe6ae766ea28e52ca4d_7">
        <w:r>
          <w:rPr>
            <w:rStyle w:val="InternetLink"/>
          </w:rPr>
          <w:t>    </w:t>
        </w:r>
      </w:hyperlink>
      <w:hyperlink w:anchor="if42b8667ad5a4fe6ae766ea28e52ca4d_7">
        <w:r>
          <w:rPr>
            <w:rStyle w:val="InternetLink"/>
          </w:rPr>
          <w:t>9</w:t>
        </w:r>
      </w:hyperlink>
    </w:p>
    <w:p>
      <w:pPr>
        <w:pStyle w:val="TextBody"/>
        <w:bidi w:val="0"/>
        <w:spacing w:lineRule="auto" w:line="288" w:before="0" w:after="120"/>
        <w:ind w:left="0" w:right="0" w:hanging="1800"/>
        <w:jc w:val="left"/>
        <w:rPr/>
      </w:pPr>
      <w:hyperlink w:anchor="if42b8667ad5a4fe6ae766ea28e52ca4d_7">
        <w:r>
          <w:rPr>
            <w:rStyle w:val="InternetLink"/>
          </w:rPr>
          <w:t>Section 2.06</w:t>
        </w:r>
      </w:hyperlink>
      <w:hyperlink w:anchor="if42b8667ad5a4fe6ae766ea28e52ca4d_7">
        <w:r>
          <w:rPr>
            <w:rStyle w:val="InternetLink"/>
          </w:rPr>
          <w:t>    </w:t>
        </w:r>
      </w:hyperlink>
      <w:hyperlink w:anchor="if42b8667ad5a4fe6ae766ea28e52ca4d_7">
        <w:r>
          <w:rPr>
            <w:rStyle w:val="InternetLink"/>
          </w:rPr>
          <w:t>Temporary Securities</w:t>
        </w:r>
      </w:hyperlink>
      <w:hyperlink w:anchor="if42b8667ad5a4fe6ae766ea28e52ca4d_7">
        <w:r>
          <w:rPr>
            <w:rStyle w:val="InternetLink"/>
          </w:rPr>
          <w:t>    </w:t>
        </w:r>
      </w:hyperlink>
      <w:hyperlink w:anchor="if42b8667ad5a4fe6ae766ea28e52ca4d_7">
        <w:r>
          <w:rPr>
            <w:rStyle w:val="InternetLink"/>
          </w:rPr>
          <w:t>10</w:t>
        </w:r>
      </w:hyperlink>
    </w:p>
    <w:p>
      <w:pPr>
        <w:pStyle w:val="TextBody"/>
        <w:bidi w:val="0"/>
        <w:spacing w:lineRule="auto" w:line="288" w:before="0" w:after="120"/>
        <w:ind w:left="0" w:right="0" w:hanging="1800"/>
        <w:jc w:val="left"/>
        <w:rPr/>
      </w:pPr>
      <w:hyperlink w:anchor="if42b8667ad5a4fe6ae766ea28e52ca4d_7">
        <w:r>
          <w:rPr>
            <w:rStyle w:val="InternetLink"/>
          </w:rPr>
          <w:t>Section 2.07</w:t>
        </w:r>
      </w:hyperlink>
      <w:hyperlink w:anchor="if42b8667ad5a4fe6ae766ea28e52ca4d_7">
        <w:r>
          <w:rPr>
            <w:rStyle w:val="InternetLink"/>
          </w:rPr>
          <w:t>    </w:t>
        </w:r>
      </w:hyperlink>
      <w:hyperlink w:anchor="if42b8667ad5a4fe6ae766ea28e52ca4d_7">
        <w:r>
          <w:rPr>
            <w:rStyle w:val="InternetLink"/>
          </w:rPr>
          <w:t>Mutilated, Destroyed, Lost or Stolen Securities</w:t>
        </w:r>
      </w:hyperlink>
      <w:hyperlink w:anchor="if42b8667ad5a4fe6ae766ea28e52ca4d_7">
        <w:r>
          <w:rPr>
            <w:rStyle w:val="InternetLink"/>
          </w:rPr>
          <w:t>    </w:t>
        </w:r>
      </w:hyperlink>
      <w:hyperlink w:anchor="if42b8667ad5a4fe6ae766ea28e52ca4d_7">
        <w:r>
          <w:rPr>
            <w:rStyle w:val="InternetLink"/>
          </w:rPr>
          <w:t>10</w:t>
        </w:r>
      </w:hyperlink>
    </w:p>
    <w:p>
      <w:pPr>
        <w:pStyle w:val="TextBody"/>
        <w:bidi w:val="0"/>
        <w:spacing w:lineRule="auto" w:line="288" w:before="0" w:after="120"/>
        <w:ind w:left="0" w:right="0" w:hanging="1800"/>
        <w:jc w:val="left"/>
        <w:rPr/>
      </w:pPr>
      <w:hyperlink w:anchor="if42b8667ad5a4fe6ae766ea28e52ca4d_7">
        <w:r>
          <w:rPr>
            <w:rStyle w:val="InternetLink"/>
          </w:rPr>
          <w:t>Section 2.08</w:t>
        </w:r>
      </w:hyperlink>
      <w:hyperlink w:anchor="if42b8667ad5a4fe6ae766ea28e52ca4d_7">
        <w:r>
          <w:rPr>
            <w:rStyle w:val="InternetLink"/>
          </w:rPr>
          <w:t>    </w:t>
        </w:r>
      </w:hyperlink>
      <w:hyperlink w:anchor="if42b8667ad5a4fe6ae766ea28e52ca4d_7">
        <w:r>
          <w:rPr>
            <w:rStyle w:val="InternetLink"/>
          </w:rPr>
          <w:t>Cancellation</w:t>
        </w:r>
      </w:hyperlink>
      <w:hyperlink w:anchor="if42b8667ad5a4fe6ae766ea28e52ca4d_7">
        <w:r>
          <w:rPr>
            <w:rStyle w:val="InternetLink"/>
          </w:rPr>
          <w:t>    </w:t>
        </w:r>
      </w:hyperlink>
      <w:hyperlink w:anchor="if42b8667ad5a4fe6ae766ea28e52ca4d_7">
        <w:r>
          <w:rPr>
            <w:rStyle w:val="InternetLink"/>
          </w:rPr>
          <w:t>11</w:t>
        </w:r>
      </w:hyperlink>
    </w:p>
    <w:p>
      <w:pPr>
        <w:pStyle w:val="TextBody"/>
        <w:bidi w:val="0"/>
        <w:spacing w:lineRule="auto" w:line="288" w:before="0" w:after="120"/>
        <w:ind w:left="0" w:right="0" w:hanging="1800"/>
        <w:jc w:val="left"/>
        <w:rPr/>
      </w:pPr>
      <w:hyperlink w:anchor="if42b8667ad5a4fe6ae766ea28e52ca4d_7">
        <w:r>
          <w:rPr>
            <w:rStyle w:val="InternetLink"/>
          </w:rPr>
          <w:t>Section 2.09</w:t>
        </w:r>
      </w:hyperlink>
      <w:hyperlink w:anchor="if42b8667ad5a4fe6ae766ea28e52ca4d_7">
        <w:r>
          <w:rPr>
            <w:rStyle w:val="InternetLink"/>
          </w:rPr>
          <w:t>    </w:t>
        </w:r>
      </w:hyperlink>
      <w:hyperlink w:anchor="if42b8667ad5a4fe6ae766ea28e52ca4d_7">
        <w:r>
          <w:rPr>
            <w:rStyle w:val="InternetLink"/>
          </w:rPr>
          <w:t>Benefits of Indenture</w:t>
        </w:r>
      </w:hyperlink>
      <w:hyperlink w:anchor="if42b8667ad5a4fe6ae766ea28e52ca4d_7">
        <w:r>
          <w:rPr>
            <w:rStyle w:val="InternetLink"/>
          </w:rPr>
          <w:t>    </w:t>
        </w:r>
      </w:hyperlink>
      <w:hyperlink w:anchor="if42b8667ad5a4fe6ae766ea28e52ca4d_7">
        <w:r>
          <w:rPr>
            <w:rStyle w:val="InternetLink"/>
          </w:rPr>
          <w:t>11</w:t>
        </w:r>
      </w:hyperlink>
    </w:p>
    <w:p>
      <w:pPr>
        <w:pStyle w:val="TextBody"/>
        <w:bidi w:val="0"/>
        <w:spacing w:lineRule="auto" w:line="288" w:before="0" w:after="120"/>
        <w:ind w:left="0" w:right="0" w:hanging="1800"/>
        <w:jc w:val="left"/>
        <w:rPr/>
      </w:pPr>
      <w:hyperlink w:anchor="if42b8667ad5a4fe6ae766ea28e52ca4d_7">
        <w:r>
          <w:rPr>
            <w:rStyle w:val="InternetLink"/>
          </w:rPr>
          <w:t>Section 2.10</w:t>
        </w:r>
      </w:hyperlink>
      <w:hyperlink w:anchor="if42b8667ad5a4fe6ae766ea28e52ca4d_7">
        <w:r>
          <w:rPr>
            <w:rStyle w:val="InternetLink"/>
          </w:rPr>
          <w:t>    </w:t>
        </w:r>
      </w:hyperlink>
      <w:hyperlink w:anchor="if42b8667ad5a4fe6ae766ea28e52ca4d_7">
        <w:r>
          <w:rPr>
            <w:rStyle w:val="InternetLink"/>
          </w:rPr>
          <w:t>Authenticating Agent</w:t>
        </w:r>
      </w:hyperlink>
      <w:hyperlink w:anchor="if42b8667ad5a4fe6ae766ea28e52ca4d_7">
        <w:r>
          <w:rPr>
            <w:rStyle w:val="InternetLink"/>
          </w:rPr>
          <w:t>    </w:t>
        </w:r>
      </w:hyperlink>
      <w:hyperlink w:anchor="if42b8667ad5a4fe6ae766ea28e52ca4d_7">
        <w:r>
          <w:rPr>
            <w:rStyle w:val="InternetLink"/>
          </w:rPr>
          <w:t>11</w:t>
        </w:r>
      </w:hyperlink>
    </w:p>
    <w:p>
      <w:pPr>
        <w:pStyle w:val="TextBody"/>
        <w:bidi w:val="0"/>
        <w:spacing w:lineRule="auto" w:line="288" w:before="0" w:after="120"/>
        <w:ind w:left="0" w:right="0" w:hanging="1800"/>
        <w:jc w:val="left"/>
        <w:rPr/>
      </w:pPr>
      <w:hyperlink w:anchor="if42b8667ad5a4fe6ae766ea28e52ca4d_7">
        <w:r>
          <w:rPr>
            <w:rStyle w:val="InternetLink"/>
          </w:rPr>
          <w:t>Section 2.11</w:t>
        </w:r>
      </w:hyperlink>
      <w:hyperlink w:anchor="if42b8667ad5a4fe6ae766ea28e52ca4d_7">
        <w:r>
          <w:rPr>
            <w:rStyle w:val="InternetLink"/>
          </w:rPr>
          <w:t>    </w:t>
        </w:r>
      </w:hyperlink>
      <w:hyperlink w:anchor="if42b8667ad5a4fe6ae766ea28e52ca4d_7">
        <w:r>
          <w:rPr>
            <w:rStyle w:val="InternetLink"/>
          </w:rPr>
          <w:t>Global Securities</w:t>
        </w:r>
      </w:hyperlink>
      <w:hyperlink w:anchor="if42b8667ad5a4fe6ae766ea28e52ca4d_7">
        <w:r>
          <w:rPr>
            <w:rStyle w:val="InternetLink"/>
          </w:rPr>
          <w:t>    </w:t>
        </w:r>
      </w:hyperlink>
      <w:hyperlink w:anchor="if42b8667ad5a4fe6ae766ea28e52ca4d_7">
        <w:r>
          <w:rPr>
            <w:rStyle w:val="InternetLink"/>
          </w:rPr>
          <w:t>12</w:t>
        </w:r>
      </w:hyperlink>
    </w:p>
    <w:p>
      <w:pPr>
        <w:pStyle w:val="TextBody"/>
        <w:bidi w:val="0"/>
        <w:spacing w:lineRule="auto" w:line="288" w:before="0" w:after="120"/>
        <w:ind w:left="0" w:right="0" w:hanging="1800"/>
        <w:jc w:val="left"/>
        <w:rPr/>
      </w:pPr>
      <w:hyperlink w:anchor="if42b8667ad5a4fe6ae766ea28e52ca4d_7">
        <w:r>
          <w:rPr>
            <w:rStyle w:val="InternetLink"/>
          </w:rPr>
          <w:t>Section 2.12</w:t>
        </w:r>
      </w:hyperlink>
      <w:hyperlink w:anchor="if42b8667ad5a4fe6ae766ea28e52ca4d_7">
        <w:r>
          <w:rPr>
            <w:rStyle w:val="InternetLink"/>
          </w:rPr>
          <w:t>    </w:t>
        </w:r>
      </w:hyperlink>
      <w:hyperlink w:anchor="if42b8667ad5a4fe6ae766ea28e52ca4d_7">
        <w:r>
          <w:rPr>
            <w:rStyle w:val="InternetLink"/>
          </w:rPr>
          <w:t>CUSIP Numbers</w:t>
        </w:r>
      </w:hyperlink>
      <w:hyperlink w:anchor="if42b8667ad5a4fe6ae766ea28e52ca4d_7">
        <w:r>
          <w:rPr>
            <w:rStyle w:val="InternetLink"/>
          </w:rPr>
          <w:t>    </w:t>
        </w:r>
      </w:hyperlink>
      <w:hyperlink w:anchor="if42b8667ad5a4fe6ae766ea28e52ca4d_7">
        <w:r>
          <w:rPr>
            <w:rStyle w:val="InternetLink"/>
          </w:rPr>
          <w:t>13</w:t>
        </w:r>
      </w:hyperlink>
    </w:p>
    <w:p>
      <w:pPr>
        <w:pStyle w:val="TextBody"/>
        <w:bidi w:val="0"/>
        <w:spacing w:lineRule="auto" w:line="288" w:before="0" w:after="120"/>
        <w:ind w:left="0" w:right="0" w:hanging="1440"/>
        <w:jc w:val="left"/>
        <w:rPr/>
      </w:pPr>
      <w:hyperlink w:anchor="if42b8667ad5a4fe6ae766ea28e52ca4d_7">
        <w:r>
          <w:rPr>
            <w:rStyle w:val="InternetLink"/>
          </w:rPr>
          <w:t>ARTICLE 3</w:t>
        </w:r>
      </w:hyperlink>
      <w:hyperlink w:anchor="if42b8667ad5a4fe6ae766ea28e52ca4d_7">
        <w:r>
          <w:rPr>
            <w:rStyle w:val="InternetLink"/>
          </w:rPr>
          <w:t>    </w:t>
        </w:r>
      </w:hyperlink>
      <w:hyperlink w:anchor="if42b8667ad5a4fe6ae766ea28e52ca4d_7">
        <w:r>
          <w:rPr>
            <w:rStyle w:val="InternetLink"/>
          </w:rPr>
          <w:t>REDEMPTION OF SECURITIES AND SINKING FUND PROVISIONS</w:t>
        </w:r>
      </w:hyperlink>
      <w:hyperlink w:anchor="if42b8667ad5a4fe6ae766ea28e52ca4d_7">
        <w:r>
          <w:rPr>
            <w:rStyle w:val="InternetLink"/>
          </w:rPr>
          <w:t>    </w:t>
        </w:r>
      </w:hyperlink>
      <w:hyperlink w:anchor="if42b8667ad5a4fe6ae766ea28e52ca4d_7">
        <w:r>
          <w:rPr>
            <w:rStyle w:val="InternetLink"/>
          </w:rPr>
          <w:t>13</w:t>
        </w:r>
      </w:hyperlink>
    </w:p>
    <w:p>
      <w:pPr>
        <w:pStyle w:val="TextBody"/>
        <w:bidi w:val="0"/>
        <w:spacing w:lineRule="auto" w:line="288" w:before="0" w:after="120"/>
        <w:ind w:left="0" w:right="0" w:hanging="1800"/>
        <w:jc w:val="left"/>
        <w:rPr/>
      </w:pPr>
      <w:hyperlink w:anchor="if42b8667ad5a4fe6ae766ea28e52ca4d_7">
        <w:r>
          <w:rPr>
            <w:rStyle w:val="InternetLink"/>
          </w:rPr>
          <w:t>Section 3.01</w:t>
        </w:r>
      </w:hyperlink>
      <w:hyperlink w:anchor="if42b8667ad5a4fe6ae766ea28e52ca4d_7">
        <w:r>
          <w:rPr>
            <w:rStyle w:val="InternetLink"/>
          </w:rPr>
          <w:t>    </w:t>
        </w:r>
      </w:hyperlink>
      <w:hyperlink w:anchor="if42b8667ad5a4fe6ae766ea28e52ca4d_7">
        <w:r>
          <w:rPr>
            <w:rStyle w:val="InternetLink"/>
          </w:rPr>
          <w:t>Redemption</w:t>
        </w:r>
      </w:hyperlink>
      <w:hyperlink w:anchor="if42b8667ad5a4fe6ae766ea28e52ca4d_7">
        <w:r>
          <w:rPr>
            <w:rStyle w:val="InternetLink"/>
          </w:rPr>
          <w:t>    </w:t>
        </w:r>
      </w:hyperlink>
      <w:hyperlink w:anchor="if42b8667ad5a4fe6ae766ea28e52ca4d_7">
        <w:r>
          <w:rPr>
            <w:rStyle w:val="InternetLink"/>
          </w:rPr>
          <w:t>13</w:t>
        </w:r>
      </w:hyperlink>
    </w:p>
    <w:p>
      <w:pPr>
        <w:pStyle w:val="TextBody"/>
        <w:bidi w:val="0"/>
        <w:spacing w:lineRule="auto" w:line="288" w:before="0" w:after="120"/>
        <w:ind w:left="0" w:right="0" w:hanging="1800"/>
        <w:jc w:val="left"/>
        <w:rPr/>
      </w:pPr>
      <w:hyperlink w:anchor="if42b8667ad5a4fe6ae766ea28e52ca4d_7">
        <w:r>
          <w:rPr>
            <w:rStyle w:val="InternetLink"/>
          </w:rPr>
          <w:t>Section 3.02</w:t>
        </w:r>
      </w:hyperlink>
      <w:hyperlink w:anchor="if42b8667ad5a4fe6ae766ea28e52ca4d_7">
        <w:r>
          <w:rPr>
            <w:rStyle w:val="InternetLink"/>
          </w:rPr>
          <w:t>    </w:t>
        </w:r>
      </w:hyperlink>
      <w:hyperlink w:anchor="if42b8667ad5a4fe6ae766ea28e52ca4d_7">
        <w:r>
          <w:rPr>
            <w:rStyle w:val="InternetLink"/>
          </w:rPr>
          <w:t>Notice of Redemption</w:t>
        </w:r>
      </w:hyperlink>
      <w:hyperlink w:anchor="if42b8667ad5a4fe6ae766ea28e52ca4d_7">
        <w:r>
          <w:rPr>
            <w:rStyle w:val="InternetLink"/>
          </w:rPr>
          <w:t>    </w:t>
        </w:r>
      </w:hyperlink>
      <w:hyperlink w:anchor="if42b8667ad5a4fe6ae766ea28e52ca4d_7">
        <w:r>
          <w:rPr>
            <w:rStyle w:val="InternetLink"/>
          </w:rPr>
          <w:t>13</w:t>
        </w:r>
      </w:hyperlink>
    </w:p>
    <w:p>
      <w:pPr>
        <w:pStyle w:val="TextBody"/>
        <w:bidi w:val="0"/>
        <w:spacing w:lineRule="auto" w:line="288" w:before="0" w:after="120"/>
        <w:ind w:left="0" w:right="0" w:hanging="1800"/>
        <w:jc w:val="left"/>
        <w:rPr/>
      </w:pPr>
      <w:hyperlink w:anchor="if42b8667ad5a4fe6ae766ea28e52ca4d_7">
        <w:r>
          <w:rPr>
            <w:rStyle w:val="InternetLink"/>
          </w:rPr>
          <w:t>Section 3.03</w:t>
        </w:r>
      </w:hyperlink>
      <w:hyperlink w:anchor="if42b8667ad5a4fe6ae766ea28e52ca4d_7">
        <w:r>
          <w:rPr>
            <w:rStyle w:val="InternetLink"/>
          </w:rPr>
          <w:t>    </w:t>
        </w:r>
      </w:hyperlink>
      <w:hyperlink w:anchor="if42b8667ad5a4fe6ae766ea28e52ca4d_7">
        <w:r>
          <w:rPr>
            <w:rStyle w:val="InternetLink"/>
          </w:rPr>
          <w:t>Payment Upon Redemption</w:t>
        </w:r>
      </w:hyperlink>
      <w:hyperlink w:anchor="if42b8667ad5a4fe6ae766ea28e52ca4d_7">
        <w:r>
          <w:rPr>
            <w:rStyle w:val="InternetLink"/>
          </w:rPr>
          <w:t>    </w:t>
        </w:r>
      </w:hyperlink>
      <w:hyperlink w:anchor="if42b8667ad5a4fe6ae766ea28e52ca4d_7">
        <w:r>
          <w:rPr>
            <w:rStyle w:val="InternetLink"/>
          </w:rPr>
          <w:t>14</w:t>
        </w:r>
      </w:hyperlink>
    </w:p>
    <w:p>
      <w:pPr>
        <w:pStyle w:val="TextBody"/>
        <w:bidi w:val="0"/>
        <w:spacing w:lineRule="auto" w:line="288" w:before="0" w:after="120"/>
        <w:ind w:left="0" w:right="0" w:hanging="1800"/>
        <w:jc w:val="left"/>
        <w:rPr/>
      </w:pPr>
      <w:hyperlink w:anchor="if42b8667ad5a4fe6ae766ea28e52ca4d_7">
        <w:r>
          <w:rPr>
            <w:rStyle w:val="InternetLink"/>
          </w:rPr>
          <w:t>Section 3.04</w:t>
        </w:r>
      </w:hyperlink>
      <w:hyperlink w:anchor="if42b8667ad5a4fe6ae766ea28e52ca4d_7">
        <w:r>
          <w:rPr>
            <w:rStyle w:val="InternetLink"/>
          </w:rPr>
          <w:t>    </w:t>
        </w:r>
      </w:hyperlink>
      <w:hyperlink w:anchor="if42b8667ad5a4fe6ae766ea28e52ca4d_7">
        <w:r>
          <w:rPr>
            <w:rStyle w:val="InternetLink"/>
          </w:rPr>
          <w:t>Sinking Fund</w:t>
        </w:r>
      </w:hyperlink>
      <w:hyperlink w:anchor="if42b8667ad5a4fe6ae766ea28e52ca4d_7">
        <w:r>
          <w:rPr>
            <w:rStyle w:val="InternetLink"/>
          </w:rPr>
          <w:t>    </w:t>
        </w:r>
      </w:hyperlink>
      <w:hyperlink w:anchor="if42b8667ad5a4fe6ae766ea28e52ca4d_7">
        <w:r>
          <w:rPr>
            <w:rStyle w:val="InternetLink"/>
          </w:rPr>
          <w:t>15</w:t>
        </w:r>
      </w:hyperlink>
    </w:p>
    <w:p>
      <w:pPr>
        <w:pStyle w:val="TextBody"/>
        <w:bidi w:val="0"/>
        <w:spacing w:lineRule="auto" w:line="288" w:before="0" w:after="120"/>
        <w:ind w:left="0" w:right="0" w:hanging="1800"/>
        <w:jc w:val="left"/>
        <w:rPr/>
      </w:pPr>
      <w:hyperlink w:anchor="if42b8667ad5a4fe6ae766ea28e52ca4d_7">
        <w:r>
          <w:rPr>
            <w:rStyle w:val="InternetLink"/>
          </w:rPr>
          <w:t>Section 3.05</w:t>
        </w:r>
      </w:hyperlink>
      <w:hyperlink w:anchor="if42b8667ad5a4fe6ae766ea28e52ca4d_7">
        <w:r>
          <w:rPr>
            <w:rStyle w:val="InternetLink"/>
          </w:rPr>
          <w:t>    </w:t>
        </w:r>
      </w:hyperlink>
      <w:hyperlink w:anchor="if42b8667ad5a4fe6ae766ea28e52ca4d_7">
        <w:r>
          <w:rPr>
            <w:rStyle w:val="InternetLink"/>
          </w:rPr>
          <w:t>Satisfaction of Sinking Fund Payments with Securities</w:t>
        </w:r>
      </w:hyperlink>
      <w:hyperlink w:anchor="if42b8667ad5a4fe6ae766ea28e52ca4d_7">
        <w:r>
          <w:rPr>
            <w:rStyle w:val="InternetLink"/>
          </w:rPr>
          <w:t>    </w:t>
        </w:r>
      </w:hyperlink>
      <w:hyperlink w:anchor="if42b8667ad5a4fe6ae766ea28e52ca4d_7">
        <w:r>
          <w:rPr>
            <w:rStyle w:val="InternetLink"/>
          </w:rPr>
          <w:t>15</w:t>
        </w:r>
      </w:hyperlink>
    </w:p>
    <w:p>
      <w:pPr>
        <w:pStyle w:val="TextBody"/>
        <w:bidi w:val="0"/>
        <w:spacing w:lineRule="auto" w:line="288" w:before="0" w:after="120"/>
        <w:ind w:left="0" w:right="0" w:hanging="1800"/>
        <w:jc w:val="left"/>
        <w:rPr/>
      </w:pPr>
      <w:hyperlink w:anchor="if42b8667ad5a4fe6ae766ea28e52ca4d_7">
        <w:r>
          <w:rPr>
            <w:rStyle w:val="InternetLink"/>
          </w:rPr>
          <w:t>Section 3.06</w:t>
        </w:r>
      </w:hyperlink>
      <w:hyperlink w:anchor="if42b8667ad5a4fe6ae766ea28e52ca4d_7">
        <w:r>
          <w:rPr>
            <w:rStyle w:val="InternetLink"/>
          </w:rPr>
          <w:t>    </w:t>
        </w:r>
      </w:hyperlink>
      <w:hyperlink w:anchor="if42b8667ad5a4fe6ae766ea28e52ca4d_7">
        <w:r>
          <w:rPr>
            <w:rStyle w:val="InternetLink"/>
          </w:rPr>
          <w:t>Redemption of Securities for Sinking Fund</w:t>
        </w:r>
      </w:hyperlink>
      <w:hyperlink w:anchor="if42b8667ad5a4fe6ae766ea28e52ca4d_7">
        <w:r>
          <w:rPr>
            <w:rStyle w:val="InternetLink"/>
          </w:rPr>
          <w:t>    </w:t>
        </w:r>
      </w:hyperlink>
      <w:hyperlink w:anchor="if42b8667ad5a4fe6ae766ea28e52ca4d_7">
        <w:r>
          <w:rPr>
            <w:rStyle w:val="InternetLink"/>
          </w:rPr>
          <w:t>15</w:t>
        </w:r>
      </w:hyperlink>
    </w:p>
    <w:p>
      <w:pPr>
        <w:pStyle w:val="TextBody"/>
        <w:bidi w:val="0"/>
        <w:spacing w:lineRule="auto" w:line="288" w:before="0" w:after="120"/>
        <w:ind w:left="0" w:right="0" w:hanging="1440"/>
        <w:jc w:val="left"/>
        <w:rPr/>
      </w:pPr>
      <w:hyperlink w:anchor="if42b8667ad5a4fe6ae766ea28e52ca4d_7">
        <w:r>
          <w:rPr>
            <w:rStyle w:val="InternetLink"/>
          </w:rPr>
          <w:t>ARTICLE 4</w:t>
        </w:r>
      </w:hyperlink>
      <w:hyperlink w:anchor="if42b8667ad5a4fe6ae766ea28e52ca4d_7">
        <w:r>
          <w:rPr>
            <w:rStyle w:val="InternetLink"/>
          </w:rPr>
          <w:t>    </w:t>
        </w:r>
      </w:hyperlink>
      <w:hyperlink w:anchor="if42b8667ad5a4fe6ae766ea28e52ca4d_7">
        <w:r>
          <w:rPr>
            <w:rStyle w:val="InternetLink"/>
          </w:rPr>
          <w:t>COVENANTS</w:t>
        </w:r>
      </w:hyperlink>
      <w:hyperlink w:anchor="if42b8667ad5a4fe6ae766ea28e52ca4d_7">
        <w:r>
          <w:rPr>
            <w:rStyle w:val="InternetLink"/>
          </w:rPr>
          <w:t>    </w:t>
        </w:r>
      </w:hyperlink>
      <w:hyperlink w:anchor="if42b8667ad5a4fe6ae766ea28e52ca4d_7">
        <w:r>
          <w:rPr>
            <w:rStyle w:val="InternetLink"/>
          </w:rPr>
          <w:t>15</w:t>
        </w:r>
      </w:hyperlink>
    </w:p>
    <w:p>
      <w:pPr>
        <w:pStyle w:val="TextBody"/>
        <w:bidi w:val="0"/>
        <w:spacing w:lineRule="auto" w:line="288" w:before="0" w:after="120"/>
        <w:ind w:left="0" w:right="0" w:hanging="1800"/>
        <w:jc w:val="left"/>
        <w:rPr/>
      </w:pPr>
      <w:hyperlink w:anchor="if42b8667ad5a4fe6ae766ea28e52ca4d_7">
        <w:r>
          <w:rPr>
            <w:rStyle w:val="InternetLink"/>
          </w:rPr>
          <w:t>Section 4.01</w:t>
        </w:r>
      </w:hyperlink>
      <w:hyperlink w:anchor="if42b8667ad5a4fe6ae766ea28e52ca4d_7">
        <w:r>
          <w:rPr>
            <w:rStyle w:val="InternetLink"/>
          </w:rPr>
          <w:t>    </w:t>
        </w:r>
      </w:hyperlink>
      <w:hyperlink w:anchor="if42b8667ad5a4fe6ae766ea28e52ca4d_7">
        <w:r>
          <w:rPr>
            <w:rStyle w:val="InternetLink"/>
          </w:rPr>
          <w:t>Payment of Principal, Premium and Interest</w:t>
        </w:r>
      </w:hyperlink>
      <w:hyperlink w:anchor="if42b8667ad5a4fe6ae766ea28e52ca4d_7">
        <w:r>
          <w:rPr>
            <w:rStyle w:val="InternetLink"/>
          </w:rPr>
          <w:t>    </w:t>
        </w:r>
      </w:hyperlink>
      <w:hyperlink w:anchor="if42b8667ad5a4fe6ae766ea28e52ca4d_7">
        <w:r>
          <w:rPr>
            <w:rStyle w:val="InternetLink"/>
          </w:rPr>
          <w:t>15</w:t>
        </w:r>
      </w:hyperlink>
    </w:p>
    <w:p>
      <w:pPr>
        <w:pStyle w:val="TextBody"/>
        <w:bidi w:val="0"/>
        <w:spacing w:lineRule="auto" w:line="288" w:before="0" w:after="120"/>
        <w:ind w:left="0" w:right="0" w:hanging="1800"/>
        <w:jc w:val="left"/>
        <w:rPr/>
      </w:pPr>
      <w:hyperlink w:anchor="if42b8667ad5a4fe6ae766ea28e52ca4d_7">
        <w:r>
          <w:rPr>
            <w:rStyle w:val="InternetLink"/>
          </w:rPr>
          <w:t>Section 4.02</w:t>
        </w:r>
      </w:hyperlink>
      <w:hyperlink w:anchor="if42b8667ad5a4fe6ae766ea28e52ca4d_7">
        <w:r>
          <w:rPr>
            <w:rStyle w:val="InternetLink"/>
          </w:rPr>
          <w:t>    </w:t>
        </w:r>
      </w:hyperlink>
      <w:hyperlink w:anchor="if42b8667ad5a4fe6ae766ea28e52ca4d_7">
        <w:r>
          <w:rPr>
            <w:rStyle w:val="InternetLink"/>
          </w:rPr>
          <w:t>Maintenance of Office or Agency</w:t>
        </w:r>
      </w:hyperlink>
      <w:hyperlink w:anchor="if42b8667ad5a4fe6ae766ea28e52ca4d_7">
        <w:r>
          <w:rPr>
            <w:rStyle w:val="InternetLink"/>
          </w:rPr>
          <w:t>    </w:t>
        </w:r>
      </w:hyperlink>
      <w:hyperlink w:anchor="if42b8667ad5a4fe6ae766ea28e52ca4d_7">
        <w:r>
          <w:rPr>
            <w:rStyle w:val="InternetLink"/>
          </w:rPr>
          <w:t>16</w:t>
        </w:r>
      </w:hyperlink>
    </w:p>
    <w:p>
      <w:pPr>
        <w:pStyle w:val="TextBody"/>
        <w:bidi w:val="0"/>
        <w:spacing w:lineRule="auto" w:line="288" w:before="0" w:after="120"/>
        <w:ind w:left="0" w:right="0" w:hanging="1800"/>
        <w:jc w:val="left"/>
        <w:rPr/>
      </w:pPr>
      <w:hyperlink w:anchor="if42b8667ad5a4fe6ae766ea28e52ca4d_7">
        <w:r>
          <w:rPr>
            <w:rStyle w:val="InternetLink"/>
          </w:rPr>
          <w:t>Section 4.03</w:t>
        </w:r>
      </w:hyperlink>
      <w:hyperlink w:anchor="if42b8667ad5a4fe6ae766ea28e52ca4d_7">
        <w:r>
          <w:rPr>
            <w:rStyle w:val="InternetLink"/>
          </w:rPr>
          <w:t>    </w:t>
        </w:r>
      </w:hyperlink>
      <w:hyperlink w:anchor="if42b8667ad5a4fe6ae766ea28e52ca4d_7">
        <w:r>
          <w:rPr>
            <w:rStyle w:val="InternetLink"/>
          </w:rPr>
          <w:t>Paying Agents</w:t>
        </w:r>
      </w:hyperlink>
      <w:hyperlink w:anchor="if42b8667ad5a4fe6ae766ea28e52ca4d_7">
        <w:r>
          <w:rPr>
            <w:rStyle w:val="InternetLink"/>
          </w:rPr>
          <w:t>    </w:t>
        </w:r>
      </w:hyperlink>
      <w:hyperlink w:anchor="if42b8667ad5a4fe6ae766ea28e52ca4d_7">
        <w:r>
          <w:rPr>
            <w:rStyle w:val="InternetLink"/>
          </w:rPr>
          <w:t>16</w:t>
        </w:r>
      </w:hyperlink>
    </w:p>
    <w:p>
      <w:pPr>
        <w:pStyle w:val="TextBody"/>
        <w:bidi w:val="0"/>
        <w:spacing w:lineRule="auto" w:line="288" w:before="0" w:after="120"/>
        <w:ind w:left="0" w:right="0" w:hanging="1800"/>
        <w:jc w:val="left"/>
        <w:rPr/>
      </w:pPr>
      <w:hyperlink w:anchor="if42b8667ad5a4fe6ae766ea28e52ca4d_7">
        <w:r>
          <w:rPr>
            <w:rStyle w:val="InternetLink"/>
          </w:rPr>
          <w:t>Section 4.04</w:t>
        </w:r>
      </w:hyperlink>
      <w:hyperlink w:anchor="if42b8667ad5a4fe6ae766ea28e52ca4d_7">
        <w:r>
          <w:rPr>
            <w:rStyle w:val="InternetLink"/>
          </w:rPr>
          <w:t>    </w:t>
        </w:r>
      </w:hyperlink>
      <w:hyperlink w:anchor="if42b8667ad5a4fe6ae766ea28e52ca4d_7">
        <w:r>
          <w:rPr>
            <w:rStyle w:val="InternetLink"/>
          </w:rPr>
          <w:t>Appointment to Fill Vacancy in Office of Trustee</w:t>
        </w:r>
      </w:hyperlink>
      <w:hyperlink w:anchor="if42b8667ad5a4fe6ae766ea28e52ca4d_7">
        <w:r>
          <w:rPr>
            <w:rStyle w:val="InternetLink"/>
          </w:rPr>
          <w:t>    </w:t>
        </w:r>
      </w:hyperlink>
      <w:hyperlink w:anchor="if42b8667ad5a4fe6ae766ea28e52ca4d_7">
        <w:r>
          <w:rPr>
            <w:rStyle w:val="InternetLink"/>
          </w:rPr>
          <w:t>17</w:t>
        </w:r>
      </w:hyperlink>
    </w:p>
    <w:p>
      <w:pPr>
        <w:pStyle w:val="TextBody"/>
        <w:bidi w:val="0"/>
        <w:spacing w:lineRule="auto" w:line="288" w:before="0" w:after="120"/>
        <w:ind w:left="0" w:right="0" w:hanging="1440"/>
        <w:jc w:val="left"/>
        <w:rPr/>
      </w:pPr>
      <w:hyperlink w:anchor="if42b8667ad5a4fe6ae766ea28e52ca4d_7">
        <w:r>
          <w:rPr>
            <w:rStyle w:val="InternetLink"/>
          </w:rPr>
          <w:t>ARTICLE 5</w:t>
        </w:r>
      </w:hyperlink>
      <w:hyperlink w:anchor="if42b8667ad5a4fe6ae766ea28e52ca4d_7">
        <w:r>
          <w:rPr>
            <w:rStyle w:val="InternetLink"/>
          </w:rPr>
          <w:t>    </w:t>
        </w:r>
      </w:hyperlink>
      <w:hyperlink w:anchor="if42b8667ad5a4fe6ae766ea28e52ca4d_7">
        <w:r>
          <w:rPr>
            <w:rStyle w:val="InternetLink"/>
          </w:rPr>
          <w:t>SECURITYHOLDERS’ LISTS AND REPORTS BY THE COMPANY AND THE TRUSTEE</w:t>
        </w:r>
      </w:hyperlink>
      <w:hyperlink w:anchor="if42b8667ad5a4fe6ae766ea28e52ca4d_7">
        <w:r>
          <w:rPr>
            <w:rStyle w:val="InternetLink"/>
          </w:rPr>
          <w:t>    </w:t>
        </w:r>
      </w:hyperlink>
      <w:hyperlink w:anchor="if42b8667ad5a4fe6ae766ea28e52ca4d_7">
        <w:r>
          <w:rPr>
            <w:rStyle w:val="InternetLink"/>
          </w:rPr>
          <w:t>17</w:t>
        </w:r>
      </w:hyperlink>
    </w:p>
    <w:p>
      <w:pPr>
        <w:pStyle w:val="TextBody"/>
        <w:bidi w:val="0"/>
        <w:spacing w:lineRule="auto" w:line="288" w:before="0" w:after="120"/>
        <w:ind w:left="0" w:right="0" w:hanging="1800"/>
        <w:jc w:val="left"/>
        <w:rPr/>
      </w:pPr>
      <w:hyperlink w:anchor="if42b8667ad5a4fe6ae766ea28e52ca4d_7">
        <w:r>
          <w:rPr>
            <w:rStyle w:val="InternetLink"/>
          </w:rPr>
          <w:t>Section 5.01</w:t>
        </w:r>
      </w:hyperlink>
      <w:hyperlink w:anchor="if42b8667ad5a4fe6ae766ea28e52ca4d_7">
        <w:r>
          <w:rPr>
            <w:rStyle w:val="InternetLink"/>
          </w:rPr>
          <w:t>    </w:t>
        </w:r>
      </w:hyperlink>
      <w:hyperlink w:anchor="if42b8667ad5a4fe6ae766ea28e52ca4d_7">
        <w:r>
          <w:rPr>
            <w:rStyle w:val="InternetLink"/>
          </w:rPr>
          <w:t>Company to Furnish Trustee Names and Addresses of Securityholders</w:t>
        </w:r>
      </w:hyperlink>
      <w:hyperlink w:anchor="if42b8667ad5a4fe6ae766ea28e52ca4d_7">
        <w:r>
          <w:rPr>
            <w:rStyle w:val="InternetLink"/>
          </w:rPr>
          <w:t>    </w:t>
        </w:r>
      </w:hyperlink>
      <w:hyperlink w:anchor="if42b8667ad5a4fe6ae766ea28e52ca4d_7">
        <w:r>
          <w:rPr>
            <w:rStyle w:val="InternetLink"/>
          </w:rPr>
          <w:t>17</w:t>
        </w:r>
      </w:hyperlink>
    </w:p>
    <w:p>
      <w:pPr>
        <w:pStyle w:val="TextBody"/>
        <w:bidi w:val="0"/>
        <w:spacing w:lineRule="auto" w:line="288" w:before="0" w:after="120"/>
        <w:ind w:left="0" w:right="0" w:hanging="1800"/>
        <w:jc w:val="left"/>
        <w:rPr/>
      </w:pPr>
      <w:hyperlink w:anchor="if42b8667ad5a4fe6ae766ea28e52ca4d_7">
        <w:r>
          <w:rPr>
            <w:rStyle w:val="InternetLink"/>
          </w:rPr>
          <w:t>Section 5.02</w:t>
        </w:r>
      </w:hyperlink>
      <w:hyperlink w:anchor="if42b8667ad5a4fe6ae766ea28e52ca4d_7">
        <w:r>
          <w:rPr>
            <w:rStyle w:val="InternetLink"/>
          </w:rPr>
          <w:t>    </w:t>
        </w:r>
      </w:hyperlink>
      <w:hyperlink w:anchor="if42b8667ad5a4fe6ae766ea28e52ca4d_7">
        <w:r>
          <w:rPr>
            <w:rStyle w:val="InternetLink"/>
          </w:rPr>
          <w:t>Preservation Of Information; Communications With Securityholders</w:t>
        </w:r>
      </w:hyperlink>
      <w:hyperlink w:anchor="if42b8667ad5a4fe6ae766ea28e52ca4d_7">
        <w:r>
          <w:rPr>
            <w:rStyle w:val="InternetLink"/>
          </w:rPr>
          <w:t>    </w:t>
        </w:r>
      </w:hyperlink>
      <w:hyperlink w:anchor="if42b8667ad5a4fe6ae766ea28e52ca4d_7">
        <w:r>
          <w:rPr>
            <w:rStyle w:val="InternetLink"/>
          </w:rPr>
          <w:t>17</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12140"/>
                <wp:effectExtent l="0" t="0" r="0" b="0"/>
                <wp:wrapNone/>
                <wp:docPr id="45" name="Frame44"/>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167.5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200"/>
        <w:jc w:val="righ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before="0" w:after="0"/>
        <w:jc w:val="left"/>
        <w:rPr/>
      </w:pPr>
      <w:r>
        <w:rPr/>
      </w:r>
    </w:p>
    <w:p>
      <w:pPr>
        <w:pStyle w:val="TextBody"/>
        <w:bidi w:val="0"/>
        <w:spacing w:lineRule="auto" w:line="288" w:before="0" w:after="120"/>
        <w:ind w:left="0" w:right="0" w:hanging="1800"/>
        <w:jc w:val="left"/>
        <w:rPr/>
      </w:pPr>
      <w:hyperlink w:anchor="if42b8667ad5a4fe6ae766ea28e52ca4d_7">
        <w:r>
          <w:rPr>
            <w:rStyle w:val="InternetLink"/>
          </w:rPr>
          <w:t>Section 5.03</w:t>
        </w:r>
      </w:hyperlink>
      <w:hyperlink w:anchor="if42b8667ad5a4fe6ae766ea28e52ca4d_7">
        <w:r>
          <w:rPr>
            <w:rStyle w:val="InternetLink"/>
          </w:rPr>
          <w:t>    </w:t>
        </w:r>
      </w:hyperlink>
      <w:hyperlink w:anchor="if42b8667ad5a4fe6ae766ea28e52ca4d_7">
        <w:r>
          <w:rPr>
            <w:rStyle w:val="InternetLink"/>
          </w:rPr>
          <w:t>Reports by the Company</w:t>
        </w:r>
      </w:hyperlink>
      <w:hyperlink w:anchor="if42b8667ad5a4fe6ae766ea28e52ca4d_7">
        <w:r>
          <w:rPr>
            <w:rStyle w:val="InternetLink"/>
          </w:rPr>
          <w:t>    </w:t>
        </w:r>
      </w:hyperlink>
      <w:hyperlink w:anchor="if42b8667ad5a4fe6ae766ea28e52ca4d_7">
        <w:r>
          <w:rPr>
            <w:rStyle w:val="InternetLink"/>
          </w:rPr>
          <w:t>18</w:t>
        </w:r>
      </w:hyperlink>
    </w:p>
    <w:p>
      <w:pPr>
        <w:pStyle w:val="TextBody"/>
        <w:bidi w:val="0"/>
        <w:spacing w:lineRule="auto" w:line="288" w:before="0" w:after="120"/>
        <w:ind w:left="0" w:right="0" w:hanging="1800"/>
        <w:jc w:val="left"/>
        <w:rPr/>
      </w:pPr>
      <w:hyperlink w:anchor="if42b8667ad5a4fe6ae766ea28e52ca4d_7">
        <w:r>
          <w:rPr>
            <w:rStyle w:val="InternetLink"/>
          </w:rPr>
          <w:t>Section 5.04</w:t>
        </w:r>
      </w:hyperlink>
      <w:hyperlink w:anchor="if42b8667ad5a4fe6ae766ea28e52ca4d_7">
        <w:r>
          <w:rPr>
            <w:rStyle w:val="InternetLink"/>
          </w:rPr>
          <w:t>    </w:t>
        </w:r>
      </w:hyperlink>
      <w:hyperlink w:anchor="if42b8667ad5a4fe6ae766ea28e52ca4d_7">
        <w:r>
          <w:rPr>
            <w:rStyle w:val="InternetLink"/>
          </w:rPr>
          <w:t>Reports by the Trustee</w:t>
        </w:r>
      </w:hyperlink>
      <w:hyperlink w:anchor="if42b8667ad5a4fe6ae766ea28e52ca4d_7">
        <w:r>
          <w:rPr>
            <w:rStyle w:val="InternetLink"/>
          </w:rPr>
          <w:t>    </w:t>
        </w:r>
      </w:hyperlink>
      <w:hyperlink w:anchor="if42b8667ad5a4fe6ae766ea28e52ca4d_7">
        <w:r>
          <w:rPr>
            <w:rStyle w:val="InternetLink"/>
          </w:rPr>
          <w:t>18</w:t>
        </w:r>
      </w:hyperlink>
    </w:p>
    <w:p>
      <w:pPr>
        <w:pStyle w:val="TextBody"/>
        <w:bidi w:val="0"/>
        <w:spacing w:lineRule="auto" w:line="288" w:before="0" w:after="120"/>
        <w:ind w:left="0" w:right="0" w:hanging="1440"/>
        <w:jc w:val="left"/>
        <w:rPr/>
      </w:pPr>
      <w:hyperlink w:anchor="if42b8667ad5a4fe6ae766ea28e52ca4d_7">
        <w:r>
          <w:rPr>
            <w:rStyle w:val="InternetLink"/>
          </w:rPr>
          <w:t>ARTICLE 6</w:t>
        </w:r>
      </w:hyperlink>
      <w:hyperlink w:anchor="if42b8667ad5a4fe6ae766ea28e52ca4d_7">
        <w:r>
          <w:rPr>
            <w:rStyle w:val="InternetLink"/>
          </w:rPr>
          <w:t>    </w:t>
        </w:r>
      </w:hyperlink>
      <w:hyperlink w:anchor="if42b8667ad5a4fe6ae766ea28e52ca4d_7">
        <w:r>
          <w:rPr>
            <w:rStyle w:val="InternetLink"/>
          </w:rPr>
          <w:t>REMEDIES OF THE TRUSTEE AND SECURITYHOLDERS ON EVENT OF DEFAULT</w:t>
        </w:r>
      </w:hyperlink>
      <w:hyperlink w:anchor="if42b8667ad5a4fe6ae766ea28e52ca4d_7">
        <w:r>
          <w:rPr>
            <w:rStyle w:val="InternetLink"/>
          </w:rPr>
          <w:t>    </w:t>
        </w:r>
      </w:hyperlink>
      <w:hyperlink w:anchor="if42b8667ad5a4fe6ae766ea28e52ca4d_7">
        <w:r>
          <w:rPr>
            <w:rStyle w:val="InternetLink"/>
          </w:rPr>
          <w:t>19</w:t>
        </w:r>
      </w:hyperlink>
    </w:p>
    <w:p>
      <w:pPr>
        <w:pStyle w:val="TextBody"/>
        <w:bidi w:val="0"/>
        <w:spacing w:lineRule="auto" w:line="288" w:before="0" w:after="120"/>
        <w:ind w:left="0" w:right="0" w:hanging="1800"/>
        <w:jc w:val="left"/>
        <w:rPr/>
      </w:pPr>
      <w:hyperlink w:anchor="if42b8667ad5a4fe6ae766ea28e52ca4d_7">
        <w:r>
          <w:rPr>
            <w:rStyle w:val="InternetLink"/>
          </w:rPr>
          <w:t>Section 6.01</w:t>
        </w:r>
      </w:hyperlink>
      <w:hyperlink w:anchor="if42b8667ad5a4fe6ae766ea28e52ca4d_7">
        <w:r>
          <w:rPr>
            <w:rStyle w:val="InternetLink"/>
          </w:rPr>
          <w:t>    </w:t>
        </w:r>
      </w:hyperlink>
      <w:hyperlink w:anchor="if42b8667ad5a4fe6ae766ea28e52ca4d_7">
        <w:r>
          <w:rPr>
            <w:rStyle w:val="InternetLink"/>
          </w:rPr>
          <w:t>Events of Default</w:t>
        </w:r>
      </w:hyperlink>
      <w:hyperlink w:anchor="if42b8667ad5a4fe6ae766ea28e52ca4d_7">
        <w:r>
          <w:rPr>
            <w:rStyle w:val="InternetLink"/>
          </w:rPr>
          <w:t>    </w:t>
        </w:r>
      </w:hyperlink>
      <w:hyperlink w:anchor="if42b8667ad5a4fe6ae766ea28e52ca4d_7">
        <w:r>
          <w:rPr>
            <w:rStyle w:val="InternetLink"/>
          </w:rPr>
          <w:t>19</w:t>
        </w:r>
      </w:hyperlink>
    </w:p>
    <w:p>
      <w:pPr>
        <w:pStyle w:val="TextBody"/>
        <w:bidi w:val="0"/>
        <w:spacing w:lineRule="auto" w:line="288" w:before="0" w:after="120"/>
        <w:ind w:left="0" w:right="0" w:hanging="1800"/>
        <w:jc w:val="left"/>
        <w:rPr/>
      </w:pPr>
      <w:hyperlink w:anchor="if42b8667ad5a4fe6ae766ea28e52ca4d_7">
        <w:r>
          <w:rPr>
            <w:rStyle w:val="InternetLink"/>
          </w:rPr>
          <w:t>Section 6.02</w:t>
        </w:r>
      </w:hyperlink>
      <w:hyperlink w:anchor="if42b8667ad5a4fe6ae766ea28e52ca4d_7">
        <w:r>
          <w:rPr>
            <w:rStyle w:val="InternetLink"/>
          </w:rPr>
          <w:t>    </w:t>
        </w:r>
      </w:hyperlink>
      <w:hyperlink w:anchor="if42b8667ad5a4fe6ae766ea28e52ca4d_7">
        <w:r>
          <w:rPr>
            <w:rStyle w:val="InternetLink"/>
          </w:rPr>
          <w:t>Collection of Indebtedness and Suits for Enforcement by Trustee</w:t>
        </w:r>
      </w:hyperlink>
      <w:hyperlink w:anchor="if42b8667ad5a4fe6ae766ea28e52ca4d_7">
        <w:r>
          <w:rPr>
            <w:rStyle w:val="InternetLink"/>
          </w:rPr>
          <w:t>    </w:t>
        </w:r>
      </w:hyperlink>
      <w:hyperlink w:anchor="if42b8667ad5a4fe6ae766ea28e52ca4d_7">
        <w:r>
          <w:rPr>
            <w:rStyle w:val="InternetLink"/>
          </w:rPr>
          <w:t>20</w:t>
        </w:r>
      </w:hyperlink>
    </w:p>
    <w:p>
      <w:pPr>
        <w:pStyle w:val="TextBody"/>
        <w:bidi w:val="0"/>
        <w:spacing w:lineRule="auto" w:line="288" w:before="0" w:after="120"/>
        <w:ind w:left="0" w:right="0" w:hanging="1800"/>
        <w:jc w:val="left"/>
        <w:rPr/>
      </w:pPr>
      <w:hyperlink w:anchor="if42b8667ad5a4fe6ae766ea28e52ca4d_7">
        <w:r>
          <w:rPr>
            <w:rStyle w:val="InternetLink"/>
          </w:rPr>
          <w:t>Section 6.03</w:t>
        </w:r>
      </w:hyperlink>
      <w:hyperlink w:anchor="if42b8667ad5a4fe6ae766ea28e52ca4d_7">
        <w:r>
          <w:rPr>
            <w:rStyle w:val="InternetLink"/>
          </w:rPr>
          <w:t>    </w:t>
        </w:r>
      </w:hyperlink>
      <w:hyperlink w:anchor="if42b8667ad5a4fe6ae766ea28e52ca4d_7">
        <w:r>
          <w:rPr>
            <w:rStyle w:val="InternetLink"/>
          </w:rPr>
          <w:t>Application of Moneys Collected</w:t>
        </w:r>
      </w:hyperlink>
      <w:hyperlink w:anchor="if42b8667ad5a4fe6ae766ea28e52ca4d_7">
        <w:r>
          <w:rPr>
            <w:rStyle w:val="InternetLink"/>
          </w:rPr>
          <w:t>    </w:t>
        </w:r>
      </w:hyperlink>
      <w:hyperlink w:anchor="if42b8667ad5a4fe6ae766ea28e52ca4d_7">
        <w:r>
          <w:rPr>
            <w:rStyle w:val="InternetLink"/>
          </w:rPr>
          <w:t>21</w:t>
        </w:r>
      </w:hyperlink>
    </w:p>
    <w:p>
      <w:pPr>
        <w:pStyle w:val="TextBody"/>
        <w:bidi w:val="0"/>
        <w:spacing w:lineRule="auto" w:line="288" w:before="0" w:after="120"/>
        <w:ind w:left="0" w:right="0" w:hanging="1800"/>
        <w:jc w:val="left"/>
        <w:rPr/>
      </w:pPr>
      <w:hyperlink w:anchor="if42b8667ad5a4fe6ae766ea28e52ca4d_7">
        <w:r>
          <w:rPr>
            <w:rStyle w:val="InternetLink"/>
          </w:rPr>
          <w:t>Section 6.04</w:t>
        </w:r>
      </w:hyperlink>
      <w:hyperlink w:anchor="if42b8667ad5a4fe6ae766ea28e52ca4d_7">
        <w:r>
          <w:rPr>
            <w:rStyle w:val="InternetLink"/>
          </w:rPr>
          <w:t>    </w:t>
        </w:r>
      </w:hyperlink>
      <w:hyperlink w:anchor="if42b8667ad5a4fe6ae766ea28e52ca4d_7">
        <w:r>
          <w:rPr>
            <w:rStyle w:val="InternetLink"/>
          </w:rPr>
          <w:t>Limitation on Suits</w:t>
        </w:r>
      </w:hyperlink>
      <w:hyperlink w:anchor="if42b8667ad5a4fe6ae766ea28e52ca4d_7">
        <w:r>
          <w:rPr>
            <w:rStyle w:val="InternetLink"/>
          </w:rPr>
          <w:t>    </w:t>
        </w:r>
      </w:hyperlink>
      <w:hyperlink w:anchor="if42b8667ad5a4fe6ae766ea28e52ca4d_7">
        <w:r>
          <w:rPr>
            <w:rStyle w:val="InternetLink"/>
          </w:rPr>
          <w:t>22</w:t>
        </w:r>
      </w:hyperlink>
    </w:p>
    <w:p>
      <w:pPr>
        <w:pStyle w:val="TextBody"/>
        <w:bidi w:val="0"/>
        <w:spacing w:lineRule="auto" w:line="288" w:before="0" w:after="120"/>
        <w:ind w:left="0" w:right="0" w:hanging="1800"/>
        <w:jc w:val="left"/>
        <w:rPr/>
      </w:pPr>
      <w:hyperlink w:anchor="if42b8667ad5a4fe6ae766ea28e52ca4d_7">
        <w:r>
          <w:rPr>
            <w:rStyle w:val="InternetLink"/>
          </w:rPr>
          <w:t>Section 6.05</w:t>
        </w:r>
      </w:hyperlink>
      <w:hyperlink w:anchor="if42b8667ad5a4fe6ae766ea28e52ca4d_7">
        <w:r>
          <w:rPr>
            <w:rStyle w:val="InternetLink"/>
          </w:rPr>
          <w:t>    </w:t>
        </w:r>
      </w:hyperlink>
      <w:hyperlink w:anchor="if42b8667ad5a4fe6ae766ea28e52ca4d_7">
        <w:r>
          <w:rPr>
            <w:rStyle w:val="InternetLink"/>
          </w:rPr>
          <w:t>Rights and Remedies Cumulative; Delay or Omission Not Waiver</w:t>
        </w:r>
      </w:hyperlink>
      <w:hyperlink w:anchor="if42b8667ad5a4fe6ae766ea28e52ca4d_7">
        <w:r>
          <w:rPr>
            <w:rStyle w:val="InternetLink"/>
          </w:rPr>
          <w:t>    </w:t>
        </w:r>
      </w:hyperlink>
      <w:hyperlink w:anchor="if42b8667ad5a4fe6ae766ea28e52ca4d_7">
        <w:r>
          <w:rPr>
            <w:rStyle w:val="InternetLink"/>
          </w:rPr>
          <w:t>22</w:t>
        </w:r>
      </w:hyperlink>
    </w:p>
    <w:p>
      <w:pPr>
        <w:pStyle w:val="TextBody"/>
        <w:bidi w:val="0"/>
        <w:spacing w:lineRule="auto" w:line="288" w:before="0" w:after="120"/>
        <w:ind w:left="0" w:right="0" w:hanging="1800"/>
        <w:jc w:val="left"/>
        <w:rPr/>
      </w:pPr>
      <w:hyperlink w:anchor="if42b8667ad5a4fe6ae766ea28e52ca4d_7">
        <w:r>
          <w:rPr>
            <w:rStyle w:val="InternetLink"/>
          </w:rPr>
          <w:t>Section 6.06</w:t>
        </w:r>
      </w:hyperlink>
      <w:hyperlink w:anchor="if42b8667ad5a4fe6ae766ea28e52ca4d_7">
        <w:r>
          <w:rPr>
            <w:rStyle w:val="InternetLink"/>
          </w:rPr>
          <w:t>    </w:t>
        </w:r>
      </w:hyperlink>
      <w:hyperlink w:anchor="if42b8667ad5a4fe6ae766ea28e52ca4d_7">
        <w:r>
          <w:rPr>
            <w:rStyle w:val="InternetLink"/>
          </w:rPr>
          <w:t>Control by Securityholders</w:t>
        </w:r>
      </w:hyperlink>
      <w:hyperlink w:anchor="if42b8667ad5a4fe6ae766ea28e52ca4d_7">
        <w:r>
          <w:rPr>
            <w:rStyle w:val="InternetLink"/>
          </w:rPr>
          <w:t>    </w:t>
        </w:r>
      </w:hyperlink>
      <w:hyperlink w:anchor="if42b8667ad5a4fe6ae766ea28e52ca4d_7">
        <w:r>
          <w:rPr>
            <w:rStyle w:val="InternetLink"/>
          </w:rPr>
          <w:t>22</w:t>
        </w:r>
      </w:hyperlink>
    </w:p>
    <w:p>
      <w:pPr>
        <w:pStyle w:val="TextBody"/>
        <w:bidi w:val="0"/>
        <w:spacing w:lineRule="auto" w:line="288" w:before="0" w:after="120"/>
        <w:ind w:left="0" w:right="0" w:hanging="1800"/>
        <w:jc w:val="left"/>
        <w:rPr/>
      </w:pPr>
      <w:hyperlink w:anchor="if42b8667ad5a4fe6ae766ea28e52ca4d_7">
        <w:r>
          <w:rPr>
            <w:rStyle w:val="InternetLink"/>
          </w:rPr>
          <w:t>Section 6.07</w:t>
        </w:r>
      </w:hyperlink>
      <w:hyperlink w:anchor="if42b8667ad5a4fe6ae766ea28e52ca4d_7">
        <w:r>
          <w:rPr>
            <w:rStyle w:val="InternetLink"/>
          </w:rPr>
          <w:t>    </w:t>
        </w:r>
      </w:hyperlink>
      <w:hyperlink w:anchor="if42b8667ad5a4fe6ae766ea28e52ca4d_7">
        <w:r>
          <w:rPr>
            <w:rStyle w:val="InternetLink"/>
          </w:rPr>
          <w:t>Undertaking to Pay Costs</w:t>
        </w:r>
      </w:hyperlink>
      <w:hyperlink w:anchor="if42b8667ad5a4fe6ae766ea28e52ca4d_7">
        <w:r>
          <w:rPr>
            <w:rStyle w:val="InternetLink"/>
          </w:rPr>
          <w:t>    </w:t>
        </w:r>
      </w:hyperlink>
      <w:hyperlink w:anchor="if42b8667ad5a4fe6ae766ea28e52ca4d_7">
        <w:r>
          <w:rPr>
            <w:rStyle w:val="InternetLink"/>
          </w:rPr>
          <w:t>23</w:t>
        </w:r>
      </w:hyperlink>
    </w:p>
    <w:p>
      <w:pPr>
        <w:pStyle w:val="TextBody"/>
        <w:bidi w:val="0"/>
        <w:spacing w:lineRule="auto" w:line="288" w:before="0" w:after="120"/>
        <w:ind w:left="0" w:right="0" w:hanging="1440"/>
        <w:jc w:val="left"/>
        <w:rPr/>
      </w:pPr>
      <w:hyperlink w:anchor="if42b8667ad5a4fe6ae766ea28e52ca4d_7">
        <w:r>
          <w:rPr>
            <w:rStyle w:val="InternetLink"/>
          </w:rPr>
          <w:t>ARTICLE 7</w:t>
        </w:r>
      </w:hyperlink>
      <w:hyperlink w:anchor="if42b8667ad5a4fe6ae766ea28e52ca4d_7">
        <w:r>
          <w:rPr>
            <w:rStyle w:val="InternetLink"/>
          </w:rPr>
          <w:t>    </w:t>
        </w:r>
      </w:hyperlink>
      <w:hyperlink w:anchor="if42b8667ad5a4fe6ae766ea28e52ca4d_7">
        <w:r>
          <w:rPr>
            <w:rStyle w:val="InternetLink"/>
          </w:rPr>
          <w:t>CONCERNING THE TRUSTEE</w:t>
        </w:r>
      </w:hyperlink>
      <w:hyperlink w:anchor="if42b8667ad5a4fe6ae766ea28e52ca4d_7">
        <w:r>
          <w:rPr>
            <w:rStyle w:val="InternetLink"/>
          </w:rPr>
          <w:t>    </w:t>
        </w:r>
      </w:hyperlink>
      <w:hyperlink w:anchor="if42b8667ad5a4fe6ae766ea28e52ca4d_7">
        <w:r>
          <w:rPr>
            <w:rStyle w:val="InternetLink"/>
          </w:rPr>
          <w:t>23</w:t>
        </w:r>
      </w:hyperlink>
    </w:p>
    <w:p>
      <w:pPr>
        <w:pStyle w:val="TextBody"/>
        <w:bidi w:val="0"/>
        <w:spacing w:lineRule="auto" w:line="288" w:before="0" w:after="120"/>
        <w:ind w:left="0" w:right="0" w:hanging="1800"/>
        <w:jc w:val="left"/>
        <w:rPr/>
      </w:pPr>
      <w:hyperlink w:anchor="if42b8667ad5a4fe6ae766ea28e52ca4d_7">
        <w:r>
          <w:rPr>
            <w:rStyle w:val="InternetLink"/>
          </w:rPr>
          <w:t>Section 7.01</w:t>
        </w:r>
      </w:hyperlink>
      <w:hyperlink w:anchor="if42b8667ad5a4fe6ae766ea28e52ca4d_7">
        <w:r>
          <w:rPr>
            <w:rStyle w:val="InternetLink"/>
          </w:rPr>
          <w:t>    </w:t>
        </w:r>
      </w:hyperlink>
      <w:hyperlink w:anchor="if42b8667ad5a4fe6ae766ea28e52ca4d_7">
        <w:r>
          <w:rPr>
            <w:rStyle w:val="InternetLink"/>
          </w:rPr>
          <w:t>Certain Duties and Responsibilities of Trustee</w:t>
        </w:r>
      </w:hyperlink>
      <w:hyperlink w:anchor="if42b8667ad5a4fe6ae766ea28e52ca4d_7">
        <w:r>
          <w:rPr>
            <w:rStyle w:val="InternetLink"/>
          </w:rPr>
          <w:t>    </w:t>
        </w:r>
      </w:hyperlink>
      <w:hyperlink w:anchor="if42b8667ad5a4fe6ae766ea28e52ca4d_7">
        <w:r>
          <w:rPr>
            <w:rStyle w:val="InternetLink"/>
          </w:rPr>
          <w:t>23</w:t>
        </w:r>
      </w:hyperlink>
    </w:p>
    <w:p>
      <w:pPr>
        <w:pStyle w:val="TextBody"/>
        <w:bidi w:val="0"/>
        <w:spacing w:lineRule="auto" w:line="288" w:before="0" w:after="120"/>
        <w:ind w:left="0" w:right="0" w:hanging="1800"/>
        <w:jc w:val="left"/>
        <w:rPr/>
      </w:pPr>
      <w:hyperlink w:anchor="if42b8667ad5a4fe6ae766ea28e52ca4d_7">
        <w:r>
          <w:rPr>
            <w:rStyle w:val="InternetLink"/>
          </w:rPr>
          <w:t>Section 7.02</w:t>
        </w:r>
      </w:hyperlink>
      <w:hyperlink w:anchor="if42b8667ad5a4fe6ae766ea28e52ca4d_7">
        <w:r>
          <w:rPr>
            <w:rStyle w:val="InternetLink"/>
          </w:rPr>
          <w:t>    </w:t>
        </w:r>
      </w:hyperlink>
      <w:hyperlink w:anchor="if42b8667ad5a4fe6ae766ea28e52ca4d_7">
        <w:r>
          <w:rPr>
            <w:rStyle w:val="InternetLink"/>
          </w:rPr>
          <w:t>Certain Rights of Trustee</w:t>
        </w:r>
      </w:hyperlink>
      <w:hyperlink w:anchor="if42b8667ad5a4fe6ae766ea28e52ca4d_7">
        <w:r>
          <w:rPr>
            <w:rStyle w:val="InternetLink"/>
          </w:rPr>
          <w:t>    </w:t>
        </w:r>
      </w:hyperlink>
      <w:hyperlink w:anchor="if42b8667ad5a4fe6ae766ea28e52ca4d_7">
        <w:r>
          <w:rPr>
            <w:rStyle w:val="InternetLink"/>
          </w:rPr>
          <w:t>24</w:t>
        </w:r>
      </w:hyperlink>
    </w:p>
    <w:p>
      <w:pPr>
        <w:pStyle w:val="TextBody"/>
        <w:bidi w:val="0"/>
        <w:spacing w:lineRule="auto" w:line="288" w:before="0" w:after="120"/>
        <w:ind w:left="0" w:right="0" w:hanging="1800"/>
        <w:jc w:val="left"/>
        <w:rPr/>
      </w:pPr>
      <w:hyperlink w:anchor="if42b8667ad5a4fe6ae766ea28e52ca4d_7">
        <w:r>
          <w:rPr>
            <w:rStyle w:val="InternetLink"/>
          </w:rPr>
          <w:t>Section 7.03</w:t>
        </w:r>
      </w:hyperlink>
      <w:hyperlink w:anchor="if42b8667ad5a4fe6ae766ea28e52ca4d_7">
        <w:r>
          <w:rPr>
            <w:rStyle w:val="InternetLink"/>
          </w:rPr>
          <w:t>    </w:t>
        </w:r>
      </w:hyperlink>
      <w:hyperlink w:anchor="if42b8667ad5a4fe6ae766ea28e52ca4d_7">
        <w:r>
          <w:rPr>
            <w:rStyle w:val="InternetLink"/>
          </w:rPr>
          <w:t>Trustee Not Responsible for Recitals or Issuance or Securities</w:t>
        </w:r>
      </w:hyperlink>
      <w:hyperlink w:anchor="if42b8667ad5a4fe6ae766ea28e52ca4d_7">
        <w:r>
          <w:rPr>
            <w:rStyle w:val="InternetLink"/>
          </w:rPr>
          <w:t>    </w:t>
        </w:r>
      </w:hyperlink>
      <w:hyperlink w:anchor="if42b8667ad5a4fe6ae766ea28e52ca4d_7">
        <w:r>
          <w:rPr>
            <w:rStyle w:val="InternetLink"/>
          </w:rPr>
          <w:t>26</w:t>
        </w:r>
      </w:hyperlink>
    </w:p>
    <w:p>
      <w:pPr>
        <w:pStyle w:val="TextBody"/>
        <w:bidi w:val="0"/>
        <w:spacing w:lineRule="auto" w:line="288" w:before="0" w:after="120"/>
        <w:ind w:left="0" w:right="0" w:hanging="1800"/>
        <w:jc w:val="left"/>
        <w:rPr/>
      </w:pPr>
      <w:hyperlink w:anchor="if42b8667ad5a4fe6ae766ea28e52ca4d_7">
        <w:r>
          <w:rPr>
            <w:rStyle w:val="InternetLink"/>
          </w:rPr>
          <w:t>Section 7.04</w:t>
        </w:r>
      </w:hyperlink>
      <w:hyperlink w:anchor="if42b8667ad5a4fe6ae766ea28e52ca4d_7">
        <w:r>
          <w:rPr>
            <w:rStyle w:val="InternetLink"/>
          </w:rPr>
          <w:t>    </w:t>
        </w:r>
      </w:hyperlink>
      <w:hyperlink w:anchor="if42b8667ad5a4fe6ae766ea28e52ca4d_7">
        <w:r>
          <w:rPr>
            <w:rStyle w:val="InternetLink"/>
          </w:rPr>
          <w:t>May Hold Securities</w:t>
        </w:r>
      </w:hyperlink>
      <w:hyperlink w:anchor="if42b8667ad5a4fe6ae766ea28e52ca4d_7">
        <w:r>
          <w:rPr>
            <w:rStyle w:val="InternetLink"/>
          </w:rPr>
          <w:t>    </w:t>
        </w:r>
      </w:hyperlink>
      <w:hyperlink w:anchor="if42b8667ad5a4fe6ae766ea28e52ca4d_7">
        <w:r>
          <w:rPr>
            <w:rStyle w:val="InternetLink"/>
          </w:rPr>
          <w:t>27</w:t>
        </w:r>
      </w:hyperlink>
    </w:p>
    <w:p>
      <w:pPr>
        <w:pStyle w:val="TextBody"/>
        <w:bidi w:val="0"/>
        <w:spacing w:lineRule="auto" w:line="288" w:before="0" w:after="120"/>
        <w:ind w:left="0" w:right="0" w:hanging="1800"/>
        <w:jc w:val="left"/>
        <w:rPr/>
      </w:pPr>
      <w:hyperlink w:anchor="if42b8667ad5a4fe6ae766ea28e52ca4d_7">
        <w:r>
          <w:rPr>
            <w:rStyle w:val="InternetLink"/>
          </w:rPr>
          <w:t>Section 7.05</w:t>
        </w:r>
      </w:hyperlink>
      <w:hyperlink w:anchor="if42b8667ad5a4fe6ae766ea28e52ca4d_7">
        <w:r>
          <w:rPr>
            <w:rStyle w:val="InternetLink"/>
          </w:rPr>
          <w:t>    </w:t>
        </w:r>
      </w:hyperlink>
      <w:hyperlink w:anchor="if42b8667ad5a4fe6ae766ea28e52ca4d_7">
        <w:r>
          <w:rPr>
            <w:rStyle w:val="InternetLink"/>
          </w:rPr>
          <w:t>Moneys Held in Trust</w:t>
        </w:r>
      </w:hyperlink>
      <w:hyperlink w:anchor="if42b8667ad5a4fe6ae766ea28e52ca4d_7">
        <w:r>
          <w:rPr>
            <w:rStyle w:val="InternetLink"/>
          </w:rPr>
          <w:t>    </w:t>
        </w:r>
      </w:hyperlink>
      <w:hyperlink w:anchor="if42b8667ad5a4fe6ae766ea28e52ca4d_7">
        <w:r>
          <w:rPr>
            <w:rStyle w:val="InternetLink"/>
          </w:rPr>
          <w:t>27</w:t>
        </w:r>
      </w:hyperlink>
    </w:p>
    <w:p>
      <w:pPr>
        <w:pStyle w:val="TextBody"/>
        <w:bidi w:val="0"/>
        <w:spacing w:lineRule="auto" w:line="288" w:before="0" w:after="120"/>
        <w:ind w:left="0" w:right="0" w:hanging="1800"/>
        <w:jc w:val="left"/>
        <w:rPr/>
      </w:pPr>
      <w:hyperlink w:anchor="if42b8667ad5a4fe6ae766ea28e52ca4d_7">
        <w:r>
          <w:rPr>
            <w:rStyle w:val="InternetLink"/>
          </w:rPr>
          <w:t>Section 7.06</w:t>
        </w:r>
      </w:hyperlink>
      <w:hyperlink w:anchor="if42b8667ad5a4fe6ae766ea28e52ca4d_7">
        <w:r>
          <w:rPr>
            <w:rStyle w:val="InternetLink"/>
          </w:rPr>
          <w:t>    </w:t>
        </w:r>
      </w:hyperlink>
      <w:hyperlink w:anchor="if42b8667ad5a4fe6ae766ea28e52ca4d_7">
        <w:r>
          <w:rPr>
            <w:rStyle w:val="InternetLink"/>
          </w:rPr>
          <w:t>Compensation and Reimbursement</w:t>
        </w:r>
      </w:hyperlink>
      <w:hyperlink w:anchor="if42b8667ad5a4fe6ae766ea28e52ca4d_7">
        <w:r>
          <w:rPr>
            <w:rStyle w:val="InternetLink"/>
          </w:rPr>
          <w:t>    </w:t>
        </w:r>
      </w:hyperlink>
      <w:hyperlink w:anchor="if42b8667ad5a4fe6ae766ea28e52ca4d_7">
        <w:r>
          <w:rPr>
            <w:rStyle w:val="InternetLink"/>
          </w:rPr>
          <w:t>27</w:t>
        </w:r>
      </w:hyperlink>
    </w:p>
    <w:p>
      <w:pPr>
        <w:pStyle w:val="TextBody"/>
        <w:bidi w:val="0"/>
        <w:spacing w:lineRule="auto" w:line="288" w:before="0" w:after="120"/>
        <w:ind w:left="0" w:right="0" w:hanging="1800"/>
        <w:jc w:val="left"/>
        <w:rPr/>
      </w:pPr>
      <w:hyperlink w:anchor="if42b8667ad5a4fe6ae766ea28e52ca4d_7">
        <w:r>
          <w:rPr>
            <w:rStyle w:val="InternetLink"/>
          </w:rPr>
          <w:t>Section 7.07</w:t>
        </w:r>
      </w:hyperlink>
      <w:hyperlink w:anchor="if42b8667ad5a4fe6ae766ea28e52ca4d_7">
        <w:r>
          <w:rPr>
            <w:rStyle w:val="InternetLink"/>
          </w:rPr>
          <w:t>    </w:t>
        </w:r>
      </w:hyperlink>
      <w:hyperlink w:anchor="if42b8667ad5a4fe6ae766ea28e52ca4d_7">
        <w:r>
          <w:rPr>
            <w:rStyle w:val="InternetLink"/>
          </w:rPr>
          <w:t>Reliance on Officer’s Certificate</w:t>
        </w:r>
      </w:hyperlink>
      <w:hyperlink w:anchor="if42b8667ad5a4fe6ae766ea28e52ca4d_7">
        <w:r>
          <w:rPr>
            <w:rStyle w:val="InternetLink"/>
          </w:rPr>
          <w:t>    </w:t>
        </w:r>
      </w:hyperlink>
      <w:hyperlink w:anchor="if42b8667ad5a4fe6ae766ea28e52ca4d_7">
        <w:r>
          <w:rPr>
            <w:rStyle w:val="InternetLink"/>
          </w:rPr>
          <w:t>27</w:t>
        </w:r>
      </w:hyperlink>
    </w:p>
    <w:p>
      <w:pPr>
        <w:pStyle w:val="TextBody"/>
        <w:bidi w:val="0"/>
        <w:spacing w:lineRule="auto" w:line="288" w:before="0" w:after="120"/>
        <w:ind w:left="0" w:right="0" w:hanging="1800"/>
        <w:jc w:val="left"/>
        <w:rPr/>
      </w:pPr>
      <w:hyperlink w:anchor="if42b8667ad5a4fe6ae766ea28e52ca4d_7">
        <w:r>
          <w:rPr>
            <w:rStyle w:val="InternetLink"/>
          </w:rPr>
          <w:t>Section 7.08</w:t>
        </w:r>
      </w:hyperlink>
      <w:hyperlink w:anchor="if42b8667ad5a4fe6ae766ea28e52ca4d_7">
        <w:r>
          <w:rPr>
            <w:rStyle w:val="InternetLink"/>
          </w:rPr>
          <w:t>    </w:t>
        </w:r>
      </w:hyperlink>
      <w:hyperlink w:anchor="if42b8667ad5a4fe6ae766ea28e52ca4d_7">
        <w:r>
          <w:rPr>
            <w:rStyle w:val="InternetLink"/>
          </w:rPr>
          <w:t>Disqualification; Conflicting Interests</w:t>
        </w:r>
      </w:hyperlink>
      <w:hyperlink w:anchor="if42b8667ad5a4fe6ae766ea28e52ca4d_7">
        <w:r>
          <w:rPr>
            <w:rStyle w:val="InternetLink"/>
          </w:rPr>
          <w:t>    </w:t>
        </w:r>
      </w:hyperlink>
      <w:hyperlink w:anchor="if42b8667ad5a4fe6ae766ea28e52ca4d_7">
        <w:r>
          <w:rPr>
            <w:rStyle w:val="InternetLink"/>
          </w:rPr>
          <w:t>28</w:t>
        </w:r>
      </w:hyperlink>
    </w:p>
    <w:p>
      <w:pPr>
        <w:pStyle w:val="TextBody"/>
        <w:bidi w:val="0"/>
        <w:spacing w:lineRule="auto" w:line="288" w:before="0" w:after="120"/>
        <w:ind w:left="0" w:right="0" w:hanging="1800"/>
        <w:jc w:val="left"/>
        <w:rPr/>
      </w:pPr>
      <w:hyperlink w:anchor="if42b8667ad5a4fe6ae766ea28e52ca4d_7">
        <w:r>
          <w:rPr>
            <w:rStyle w:val="InternetLink"/>
          </w:rPr>
          <w:t>Section 7.09</w:t>
        </w:r>
      </w:hyperlink>
      <w:hyperlink w:anchor="if42b8667ad5a4fe6ae766ea28e52ca4d_7">
        <w:r>
          <w:rPr>
            <w:rStyle w:val="InternetLink"/>
          </w:rPr>
          <w:t>    </w:t>
        </w:r>
      </w:hyperlink>
      <w:hyperlink w:anchor="if42b8667ad5a4fe6ae766ea28e52ca4d_7">
        <w:r>
          <w:rPr>
            <w:rStyle w:val="InternetLink"/>
          </w:rPr>
          <w:t>Corporate Trustee Required; Eligibility</w:t>
        </w:r>
      </w:hyperlink>
      <w:hyperlink w:anchor="if42b8667ad5a4fe6ae766ea28e52ca4d_7">
        <w:r>
          <w:rPr>
            <w:rStyle w:val="InternetLink"/>
          </w:rPr>
          <w:t>    </w:t>
        </w:r>
      </w:hyperlink>
      <w:hyperlink w:anchor="if42b8667ad5a4fe6ae766ea28e52ca4d_7">
        <w:r>
          <w:rPr>
            <w:rStyle w:val="InternetLink"/>
          </w:rPr>
          <w:t>28</w:t>
        </w:r>
      </w:hyperlink>
    </w:p>
    <w:p>
      <w:pPr>
        <w:pStyle w:val="TextBody"/>
        <w:bidi w:val="0"/>
        <w:spacing w:lineRule="auto" w:line="288" w:before="0" w:after="120"/>
        <w:ind w:left="0" w:right="0" w:hanging="1800"/>
        <w:jc w:val="left"/>
        <w:rPr/>
      </w:pPr>
      <w:hyperlink w:anchor="if42b8667ad5a4fe6ae766ea28e52ca4d_7">
        <w:r>
          <w:rPr>
            <w:rStyle w:val="InternetLink"/>
          </w:rPr>
          <w:t>Section 7.10</w:t>
        </w:r>
      </w:hyperlink>
      <w:hyperlink w:anchor="if42b8667ad5a4fe6ae766ea28e52ca4d_7">
        <w:r>
          <w:rPr>
            <w:rStyle w:val="InternetLink"/>
          </w:rPr>
          <w:t>    </w:t>
        </w:r>
      </w:hyperlink>
      <w:hyperlink w:anchor="if42b8667ad5a4fe6ae766ea28e52ca4d_7">
        <w:r>
          <w:rPr>
            <w:rStyle w:val="InternetLink"/>
          </w:rPr>
          <w:t>Resignation and Removal; Appointment of Successor</w:t>
        </w:r>
      </w:hyperlink>
      <w:hyperlink w:anchor="if42b8667ad5a4fe6ae766ea28e52ca4d_7">
        <w:r>
          <w:rPr>
            <w:rStyle w:val="InternetLink"/>
          </w:rPr>
          <w:t>    </w:t>
        </w:r>
      </w:hyperlink>
      <w:hyperlink w:anchor="if42b8667ad5a4fe6ae766ea28e52ca4d_7">
        <w:r>
          <w:rPr>
            <w:rStyle w:val="InternetLink"/>
          </w:rPr>
          <w:t>28</w:t>
        </w:r>
      </w:hyperlink>
    </w:p>
    <w:p>
      <w:pPr>
        <w:pStyle w:val="TextBody"/>
        <w:bidi w:val="0"/>
        <w:spacing w:lineRule="auto" w:line="288" w:before="0" w:after="120"/>
        <w:ind w:left="0" w:right="0" w:hanging="1800"/>
        <w:jc w:val="left"/>
        <w:rPr/>
      </w:pPr>
      <w:hyperlink w:anchor="if42b8667ad5a4fe6ae766ea28e52ca4d_7">
        <w:r>
          <w:rPr>
            <w:rStyle w:val="InternetLink"/>
          </w:rPr>
          <w:t>Section 7.11</w:t>
        </w:r>
      </w:hyperlink>
      <w:hyperlink w:anchor="if42b8667ad5a4fe6ae766ea28e52ca4d_7">
        <w:r>
          <w:rPr>
            <w:rStyle w:val="InternetLink"/>
          </w:rPr>
          <w:t>    </w:t>
        </w:r>
      </w:hyperlink>
      <w:hyperlink w:anchor="if42b8667ad5a4fe6ae766ea28e52ca4d_7">
        <w:r>
          <w:rPr>
            <w:rStyle w:val="InternetLink"/>
          </w:rPr>
          <w:t>Acceptance of Appointment By Successor</w:t>
        </w:r>
      </w:hyperlink>
      <w:hyperlink w:anchor="if42b8667ad5a4fe6ae766ea28e52ca4d_7">
        <w:r>
          <w:rPr>
            <w:rStyle w:val="InternetLink"/>
          </w:rPr>
          <w:t>    </w:t>
        </w:r>
      </w:hyperlink>
      <w:hyperlink w:anchor="if42b8667ad5a4fe6ae766ea28e52ca4d_7">
        <w:r>
          <w:rPr>
            <w:rStyle w:val="InternetLink"/>
          </w:rPr>
          <w:t>29</w:t>
        </w:r>
      </w:hyperlink>
    </w:p>
    <w:p>
      <w:pPr>
        <w:pStyle w:val="TextBody"/>
        <w:bidi w:val="0"/>
        <w:spacing w:lineRule="auto" w:line="288" w:before="0" w:after="120"/>
        <w:ind w:left="0" w:right="0" w:hanging="1800"/>
        <w:jc w:val="left"/>
        <w:rPr/>
      </w:pPr>
      <w:hyperlink w:anchor="if42b8667ad5a4fe6ae766ea28e52ca4d_7">
        <w:r>
          <w:rPr>
            <w:rStyle w:val="InternetLink"/>
          </w:rPr>
          <w:t>Section 7.12</w:t>
        </w:r>
      </w:hyperlink>
      <w:hyperlink w:anchor="if42b8667ad5a4fe6ae766ea28e52ca4d_7">
        <w:r>
          <w:rPr>
            <w:rStyle w:val="InternetLink"/>
          </w:rPr>
          <w:t>    </w:t>
        </w:r>
      </w:hyperlink>
      <w:hyperlink w:anchor="if42b8667ad5a4fe6ae766ea28e52ca4d_7">
        <w:r>
          <w:rPr>
            <w:rStyle w:val="InternetLink"/>
          </w:rPr>
          <w:t>Merger, Conversion, Consolidation or Succession to Business</w:t>
        </w:r>
      </w:hyperlink>
      <w:hyperlink w:anchor="if42b8667ad5a4fe6ae766ea28e52ca4d_7">
        <w:r>
          <w:rPr>
            <w:rStyle w:val="InternetLink"/>
          </w:rPr>
          <w:t>    </w:t>
        </w:r>
      </w:hyperlink>
      <w:hyperlink w:anchor="if42b8667ad5a4fe6ae766ea28e52ca4d_7">
        <w:r>
          <w:rPr>
            <w:rStyle w:val="InternetLink"/>
          </w:rPr>
          <w:t>30</w:t>
        </w:r>
      </w:hyperlink>
    </w:p>
    <w:p>
      <w:pPr>
        <w:pStyle w:val="TextBody"/>
        <w:bidi w:val="0"/>
        <w:spacing w:lineRule="auto" w:line="288" w:before="0" w:after="120"/>
        <w:ind w:left="0" w:right="0" w:hanging="1800"/>
        <w:jc w:val="left"/>
        <w:rPr/>
      </w:pPr>
      <w:hyperlink w:anchor="if42b8667ad5a4fe6ae766ea28e52ca4d_7">
        <w:r>
          <w:rPr>
            <w:rStyle w:val="InternetLink"/>
          </w:rPr>
          <w:t>Section 7.13</w:t>
        </w:r>
      </w:hyperlink>
      <w:hyperlink w:anchor="if42b8667ad5a4fe6ae766ea28e52ca4d_7">
        <w:r>
          <w:rPr>
            <w:rStyle w:val="InternetLink"/>
          </w:rPr>
          <w:t>    </w:t>
        </w:r>
      </w:hyperlink>
      <w:hyperlink w:anchor="if42b8667ad5a4fe6ae766ea28e52ca4d_7">
        <w:r>
          <w:rPr>
            <w:rStyle w:val="InternetLink"/>
          </w:rPr>
          <w:t>Preferential Collection of Claims Against the Company</w:t>
        </w:r>
      </w:hyperlink>
      <w:hyperlink w:anchor="if42b8667ad5a4fe6ae766ea28e52ca4d_7">
        <w:r>
          <w:rPr>
            <w:rStyle w:val="InternetLink"/>
          </w:rPr>
          <w:t>    </w:t>
        </w:r>
      </w:hyperlink>
      <w:hyperlink w:anchor="if42b8667ad5a4fe6ae766ea28e52ca4d_7">
        <w:r>
          <w:rPr>
            <w:rStyle w:val="InternetLink"/>
          </w:rPr>
          <w:t>30</w:t>
        </w:r>
      </w:hyperlink>
    </w:p>
    <w:p>
      <w:pPr>
        <w:pStyle w:val="TextBody"/>
        <w:bidi w:val="0"/>
        <w:spacing w:lineRule="auto" w:line="288" w:before="0" w:after="120"/>
        <w:ind w:left="0" w:right="0" w:hanging="1800"/>
        <w:jc w:val="left"/>
        <w:rPr/>
      </w:pPr>
      <w:hyperlink w:anchor="if42b8667ad5a4fe6ae766ea28e52ca4d_7">
        <w:r>
          <w:rPr>
            <w:rStyle w:val="InternetLink"/>
          </w:rPr>
          <w:t>Section 7.14</w:t>
        </w:r>
      </w:hyperlink>
      <w:hyperlink w:anchor="if42b8667ad5a4fe6ae766ea28e52ca4d_7">
        <w:r>
          <w:rPr>
            <w:rStyle w:val="InternetLink"/>
          </w:rPr>
          <w:t>    </w:t>
        </w:r>
      </w:hyperlink>
      <w:hyperlink w:anchor="if42b8667ad5a4fe6ae766ea28e52ca4d_7">
        <w:r>
          <w:rPr>
            <w:rStyle w:val="InternetLink"/>
          </w:rPr>
          <w:t>Notice of Default</w:t>
        </w:r>
      </w:hyperlink>
      <w:hyperlink w:anchor="if42b8667ad5a4fe6ae766ea28e52ca4d_7">
        <w:r>
          <w:rPr>
            <w:rStyle w:val="InternetLink"/>
          </w:rPr>
          <w:t>    </w:t>
        </w:r>
      </w:hyperlink>
      <w:hyperlink w:anchor="if42b8667ad5a4fe6ae766ea28e52ca4d_7">
        <w:r>
          <w:rPr>
            <w:rStyle w:val="InternetLink"/>
          </w:rPr>
          <w:t>31</w:t>
        </w:r>
      </w:hyperlink>
    </w:p>
    <w:p>
      <w:pPr>
        <w:pStyle w:val="TextBody"/>
        <w:bidi w:val="0"/>
        <w:spacing w:lineRule="auto" w:line="288" w:before="0" w:after="120"/>
        <w:ind w:left="0" w:right="0" w:hanging="1440"/>
        <w:jc w:val="left"/>
        <w:rPr/>
      </w:pPr>
      <w:hyperlink w:anchor="if42b8667ad5a4fe6ae766ea28e52ca4d_7">
        <w:r>
          <w:rPr>
            <w:rStyle w:val="InternetLink"/>
          </w:rPr>
          <w:t>ARTICLE 8</w:t>
        </w:r>
      </w:hyperlink>
      <w:hyperlink w:anchor="if42b8667ad5a4fe6ae766ea28e52ca4d_7">
        <w:r>
          <w:rPr>
            <w:rStyle w:val="InternetLink"/>
          </w:rPr>
          <w:t>    </w:t>
        </w:r>
      </w:hyperlink>
      <w:hyperlink w:anchor="if42b8667ad5a4fe6ae766ea28e52ca4d_7">
        <w:r>
          <w:rPr>
            <w:rStyle w:val="InternetLink"/>
          </w:rPr>
          <w:t>CONCERNING THE SECURITYHOLDERS</w:t>
        </w:r>
      </w:hyperlink>
      <w:hyperlink w:anchor="if42b8667ad5a4fe6ae766ea28e52ca4d_7">
        <w:r>
          <w:rPr>
            <w:rStyle w:val="InternetLink"/>
          </w:rPr>
          <w:t>    </w:t>
        </w:r>
      </w:hyperlink>
      <w:hyperlink w:anchor="if42b8667ad5a4fe6ae766ea28e52ca4d_7">
        <w:r>
          <w:rPr>
            <w:rStyle w:val="InternetLink"/>
          </w:rPr>
          <w:t>31</w:t>
        </w:r>
      </w:hyperlink>
    </w:p>
    <w:p>
      <w:pPr>
        <w:pStyle w:val="TextBody"/>
        <w:bidi w:val="0"/>
        <w:spacing w:lineRule="auto" w:line="288" w:before="0" w:after="120"/>
        <w:ind w:left="0" w:right="0" w:hanging="1800"/>
        <w:jc w:val="left"/>
        <w:rPr/>
      </w:pPr>
      <w:hyperlink w:anchor="if42b8667ad5a4fe6ae766ea28e52ca4d_7">
        <w:r>
          <w:rPr>
            <w:rStyle w:val="InternetLink"/>
          </w:rPr>
          <w:t>Section 8.01</w:t>
        </w:r>
      </w:hyperlink>
      <w:hyperlink w:anchor="if42b8667ad5a4fe6ae766ea28e52ca4d_7">
        <w:r>
          <w:rPr>
            <w:rStyle w:val="InternetLink"/>
          </w:rPr>
          <w:t>    </w:t>
        </w:r>
      </w:hyperlink>
      <w:hyperlink w:anchor="if42b8667ad5a4fe6ae766ea28e52ca4d_7">
        <w:r>
          <w:rPr>
            <w:rStyle w:val="InternetLink"/>
          </w:rPr>
          <w:t>Evidence of Action by Securityholders</w:t>
        </w:r>
      </w:hyperlink>
      <w:hyperlink w:anchor="if42b8667ad5a4fe6ae766ea28e52ca4d_7">
        <w:r>
          <w:rPr>
            <w:rStyle w:val="InternetLink"/>
          </w:rPr>
          <w:t>    </w:t>
        </w:r>
      </w:hyperlink>
      <w:hyperlink w:anchor="if42b8667ad5a4fe6ae766ea28e52ca4d_7">
        <w:r>
          <w:rPr>
            <w:rStyle w:val="InternetLink"/>
          </w:rPr>
          <w:t>31</w:t>
        </w:r>
      </w:hyperlink>
    </w:p>
    <w:p>
      <w:pPr>
        <w:pStyle w:val="TextBody"/>
        <w:bidi w:val="0"/>
        <w:spacing w:lineRule="auto" w:line="288" w:before="0" w:after="120"/>
        <w:ind w:left="0" w:right="0" w:hanging="1800"/>
        <w:jc w:val="left"/>
        <w:rPr/>
      </w:pPr>
      <w:hyperlink w:anchor="if42b8667ad5a4fe6ae766ea28e52ca4d_7">
        <w:r>
          <w:rPr>
            <w:rStyle w:val="InternetLink"/>
          </w:rPr>
          <w:t>Section 8.02</w:t>
        </w:r>
      </w:hyperlink>
      <w:hyperlink w:anchor="if42b8667ad5a4fe6ae766ea28e52ca4d_7">
        <w:r>
          <w:rPr>
            <w:rStyle w:val="InternetLink"/>
          </w:rPr>
          <w:t>    </w:t>
        </w:r>
      </w:hyperlink>
      <w:hyperlink w:anchor="if42b8667ad5a4fe6ae766ea28e52ca4d_7">
        <w:r>
          <w:rPr>
            <w:rStyle w:val="InternetLink"/>
          </w:rPr>
          <w:t>Proof of Execution by Securityholders</w:t>
        </w:r>
      </w:hyperlink>
      <w:hyperlink w:anchor="if42b8667ad5a4fe6ae766ea28e52ca4d_7">
        <w:r>
          <w:rPr>
            <w:rStyle w:val="InternetLink"/>
          </w:rPr>
          <w:t>    </w:t>
        </w:r>
      </w:hyperlink>
      <w:hyperlink w:anchor="if42b8667ad5a4fe6ae766ea28e52ca4d_7">
        <w:r>
          <w:rPr>
            <w:rStyle w:val="InternetLink"/>
          </w:rPr>
          <w:t>31</w:t>
        </w:r>
      </w:hyperlink>
    </w:p>
    <w:p>
      <w:pPr>
        <w:pStyle w:val="TextBody"/>
        <w:bidi w:val="0"/>
        <w:spacing w:lineRule="auto" w:line="288" w:before="0" w:after="120"/>
        <w:ind w:left="0" w:right="0" w:hanging="1800"/>
        <w:jc w:val="left"/>
        <w:rPr/>
      </w:pPr>
      <w:hyperlink w:anchor="if42b8667ad5a4fe6ae766ea28e52ca4d_7">
        <w:r>
          <w:rPr>
            <w:rStyle w:val="InternetLink"/>
          </w:rPr>
          <w:t>Section 8.03</w:t>
        </w:r>
      </w:hyperlink>
      <w:hyperlink w:anchor="if42b8667ad5a4fe6ae766ea28e52ca4d_7">
        <w:r>
          <w:rPr>
            <w:rStyle w:val="InternetLink"/>
          </w:rPr>
          <w:t>    </w:t>
        </w:r>
      </w:hyperlink>
      <w:hyperlink w:anchor="if42b8667ad5a4fe6ae766ea28e52ca4d_7">
        <w:r>
          <w:rPr>
            <w:rStyle w:val="InternetLink"/>
          </w:rPr>
          <w:t>Who May be Deemed Owners</w:t>
        </w:r>
      </w:hyperlink>
      <w:hyperlink w:anchor="if42b8667ad5a4fe6ae766ea28e52ca4d_7">
        <w:r>
          <w:rPr>
            <w:rStyle w:val="InternetLink"/>
          </w:rPr>
          <w:t>    </w:t>
        </w:r>
      </w:hyperlink>
      <w:hyperlink w:anchor="if42b8667ad5a4fe6ae766ea28e52ca4d_7">
        <w:r>
          <w:rPr>
            <w:rStyle w:val="InternetLink"/>
          </w:rPr>
          <w:t>32</w:t>
        </w:r>
      </w:hyperlink>
    </w:p>
    <w:p>
      <w:pPr>
        <w:pStyle w:val="TextBody"/>
        <w:bidi w:val="0"/>
        <w:spacing w:lineRule="auto" w:line="288" w:before="0" w:after="120"/>
        <w:ind w:left="0" w:right="0" w:hanging="1800"/>
        <w:jc w:val="left"/>
        <w:rPr/>
      </w:pPr>
      <w:hyperlink w:anchor="if42b8667ad5a4fe6ae766ea28e52ca4d_7">
        <w:r>
          <w:rPr>
            <w:rStyle w:val="InternetLink"/>
          </w:rPr>
          <w:t>Section 8.04</w:t>
        </w:r>
      </w:hyperlink>
      <w:hyperlink w:anchor="if42b8667ad5a4fe6ae766ea28e52ca4d_7">
        <w:r>
          <w:rPr>
            <w:rStyle w:val="InternetLink"/>
          </w:rPr>
          <w:t>    </w:t>
        </w:r>
      </w:hyperlink>
      <w:hyperlink w:anchor="if42b8667ad5a4fe6ae766ea28e52ca4d_7">
        <w:r>
          <w:rPr>
            <w:rStyle w:val="InternetLink"/>
          </w:rPr>
          <w:t>Certain Securities Owned by Company Disregarded</w:t>
        </w:r>
      </w:hyperlink>
      <w:hyperlink w:anchor="if42b8667ad5a4fe6ae766ea28e52ca4d_7">
        <w:r>
          <w:rPr>
            <w:rStyle w:val="InternetLink"/>
          </w:rPr>
          <w:t>    </w:t>
        </w:r>
      </w:hyperlink>
      <w:hyperlink w:anchor="if42b8667ad5a4fe6ae766ea28e52ca4d_7">
        <w:r>
          <w:rPr>
            <w:rStyle w:val="InternetLink"/>
          </w:rPr>
          <w:t>32</w:t>
        </w:r>
      </w:hyperlink>
    </w:p>
    <w:p>
      <w:pPr>
        <w:pStyle w:val="TextBody"/>
        <w:bidi w:val="0"/>
        <w:spacing w:lineRule="auto" w:line="288" w:before="0" w:after="120"/>
        <w:ind w:left="0" w:right="0" w:hanging="1800"/>
        <w:jc w:val="left"/>
        <w:rPr/>
      </w:pPr>
      <w:hyperlink w:anchor="if42b8667ad5a4fe6ae766ea28e52ca4d_7">
        <w:r>
          <w:rPr>
            <w:rStyle w:val="InternetLink"/>
          </w:rPr>
          <w:t>Section 8.05</w:t>
        </w:r>
      </w:hyperlink>
      <w:hyperlink w:anchor="if42b8667ad5a4fe6ae766ea28e52ca4d_7">
        <w:r>
          <w:rPr>
            <w:rStyle w:val="InternetLink"/>
          </w:rPr>
          <w:t>    </w:t>
        </w:r>
      </w:hyperlink>
      <w:hyperlink w:anchor="if42b8667ad5a4fe6ae766ea28e52ca4d_7">
        <w:r>
          <w:rPr>
            <w:rStyle w:val="InternetLink"/>
          </w:rPr>
          <w:t>Actions Binding on Future Securityholders</w:t>
        </w:r>
      </w:hyperlink>
      <w:hyperlink w:anchor="if42b8667ad5a4fe6ae766ea28e52ca4d_7">
        <w:r>
          <w:rPr>
            <w:rStyle w:val="InternetLink"/>
          </w:rPr>
          <w:t>    </w:t>
        </w:r>
      </w:hyperlink>
      <w:hyperlink w:anchor="if42b8667ad5a4fe6ae766ea28e52ca4d_7">
        <w:r>
          <w:rPr>
            <w:rStyle w:val="InternetLink"/>
          </w:rPr>
          <w:t>32</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12140"/>
                <wp:effectExtent l="0" t="0" r="0" b="0"/>
                <wp:wrapNone/>
                <wp:docPr id="46" name="Frame45"/>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167.5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200"/>
        <w:jc w:val="righ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before="0" w:after="0"/>
        <w:jc w:val="left"/>
        <w:rPr/>
      </w:pPr>
      <w:r>
        <w:rPr/>
      </w:r>
    </w:p>
    <w:p>
      <w:pPr>
        <w:pStyle w:val="TextBody"/>
        <w:bidi w:val="0"/>
        <w:spacing w:lineRule="auto" w:line="288" w:before="0" w:after="120"/>
        <w:ind w:left="0" w:right="0" w:hanging="1440"/>
        <w:jc w:val="left"/>
        <w:rPr/>
      </w:pPr>
      <w:hyperlink w:anchor="if42b8667ad5a4fe6ae766ea28e52ca4d_7">
        <w:r>
          <w:rPr>
            <w:rStyle w:val="InternetLink"/>
          </w:rPr>
          <w:t>ARTICLE 9</w:t>
        </w:r>
      </w:hyperlink>
      <w:hyperlink w:anchor="if42b8667ad5a4fe6ae766ea28e52ca4d_7">
        <w:r>
          <w:rPr>
            <w:rStyle w:val="InternetLink"/>
          </w:rPr>
          <w:t>    </w:t>
        </w:r>
      </w:hyperlink>
      <w:hyperlink w:anchor="if42b8667ad5a4fe6ae766ea28e52ca4d_7">
        <w:r>
          <w:rPr>
            <w:rStyle w:val="InternetLink"/>
          </w:rPr>
          <w:t>SUPPLEMENTAL INDENTURES</w:t>
        </w:r>
      </w:hyperlink>
      <w:hyperlink w:anchor="if42b8667ad5a4fe6ae766ea28e52ca4d_7">
        <w:r>
          <w:rPr>
            <w:rStyle w:val="InternetLink"/>
          </w:rPr>
          <w:t>    </w:t>
        </w:r>
      </w:hyperlink>
      <w:hyperlink w:anchor="if42b8667ad5a4fe6ae766ea28e52ca4d_7">
        <w:r>
          <w:rPr>
            <w:rStyle w:val="InternetLink"/>
          </w:rPr>
          <w:t>33</w:t>
        </w:r>
      </w:hyperlink>
    </w:p>
    <w:p>
      <w:pPr>
        <w:pStyle w:val="TextBody"/>
        <w:bidi w:val="0"/>
        <w:spacing w:lineRule="auto" w:line="288" w:before="0" w:after="120"/>
        <w:ind w:left="0" w:right="0" w:hanging="1800"/>
        <w:jc w:val="left"/>
        <w:rPr/>
      </w:pPr>
      <w:hyperlink w:anchor="if42b8667ad5a4fe6ae766ea28e52ca4d_7">
        <w:r>
          <w:rPr>
            <w:rStyle w:val="InternetLink"/>
          </w:rPr>
          <w:t>Section 9.01</w:t>
        </w:r>
      </w:hyperlink>
      <w:hyperlink w:anchor="if42b8667ad5a4fe6ae766ea28e52ca4d_7">
        <w:r>
          <w:rPr>
            <w:rStyle w:val="InternetLink"/>
          </w:rPr>
          <w:t>    </w:t>
        </w:r>
      </w:hyperlink>
      <w:hyperlink w:anchor="if42b8667ad5a4fe6ae766ea28e52ca4d_7">
        <w:r>
          <w:rPr>
            <w:rStyle w:val="InternetLink"/>
          </w:rPr>
          <w:t>Supplemental Indentures Without the Consent of Securityholders</w:t>
        </w:r>
      </w:hyperlink>
      <w:hyperlink w:anchor="if42b8667ad5a4fe6ae766ea28e52ca4d_7">
        <w:r>
          <w:rPr>
            <w:rStyle w:val="InternetLink"/>
          </w:rPr>
          <w:t>    </w:t>
        </w:r>
      </w:hyperlink>
      <w:hyperlink w:anchor="if42b8667ad5a4fe6ae766ea28e52ca4d_7">
        <w:r>
          <w:rPr>
            <w:rStyle w:val="InternetLink"/>
          </w:rPr>
          <w:t>33</w:t>
        </w:r>
      </w:hyperlink>
    </w:p>
    <w:p>
      <w:pPr>
        <w:pStyle w:val="TextBody"/>
        <w:bidi w:val="0"/>
        <w:spacing w:lineRule="auto" w:line="288" w:before="0" w:after="120"/>
        <w:ind w:left="0" w:right="0" w:hanging="1800"/>
        <w:jc w:val="left"/>
        <w:rPr/>
      </w:pPr>
      <w:hyperlink w:anchor="if42b8667ad5a4fe6ae766ea28e52ca4d_7">
        <w:r>
          <w:rPr>
            <w:rStyle w:val="InternetLink"/>
          </w:rPr>
          <w:t>Section 9.02</w:t>
        </w:r>
      </w:hyperlink>
      <w:hyperlink w:anchor="if42b8667ad5a4fe6ae766ea28e52ca4d_7">
        <w:r>
          <w:rPr>
            <w:rStyle w:val="InternetLink"/>
          </w:rPr>
          <w:t>    </w:t>
        </w:r>
      </w:hyperlink>
      <w:hyperlink w:anchor="if42b8667ad5a4fe6ae766ea28e52ca4d_7">
        <w:r>
          <w:rPr>
            <w:rStyle w:val="InternetLink"/>
          </w:rPr>
          <w:t>Supplemental Indentures With Consent of Securityholders</w:t>
        </w:r>
      </w:hyperlink>
      <w:hyperlink w:anchor="if42b8667ad5a4fe6ae766ea28e52ca4d_7">
        <w:r>
          <w:rPr>
            <w:rStyle w:val="InternetLink"/>
          </w:rPr>
          <w:t>    </w:t>
        </w:r>
      </w:hyperlink>
      <w:hyperlink w:anchor="if42b8667ad5a4fe6ae766ea28e52ca4d_7">
        <w:r>
          <w:rPr>
            <w:rStyle w:val="InternetLink"/>
          </w:rPr>
          <w:t>34</w:t>
        </w:r>
      </w:hyperlink>
    </w:p>
    <w:p>
      <w:pPr>
        <w:pStyle w:val="TextBody"/>
        <w:bidi w:val="0"/>
        <w:spacing w:lineRule="auto" w:line="288" w:before="0" w:after="120"/>
        <w:ind w:left="0" w:right="0" w:hanging="1800"/>
        <w:jc w:val="left"/>
        <w:rPr/>
      </w:pPr>
      <w:hyperlink w:anchor="if42b8667ad5a4fe6ae766ea28e52ca4d_7">
        <w:r>
          <w:rPr>
            <w:rStyle w:val="InternetLink"/>
          </w:rPr>
          <w:t>Section 9.03</w:t>
        </w:r>
      </w:hyperlink>
      <w:hyperlink w:anchor="if42b8667ad5a4fe6ae766ea28e52ca4d_7">
        <w:r>
          <w:rPr>
            <w:rStyle w:val="InternetLink"/>
          </w:rPr>
          <w:t>    </w:t>
        </w:r>
      </w:hyperlink>
      <w:hyperlink w:anchor="if42b8667ad5a4fe6ae766ea28e52ca4d_7">
        <w:r>
          <w:rPr>
            <w:rStyle w:val="InternetLink"/>
          </w:rPr>
          <w:t>Effect of Supplemental Indentures</w:t>
        </w:r>
      </w:hyperlink>
      <w:hyperlink w:anchor="if42b8667ad5a4fe6ae766ea28e52ca4d_7">
        <w:r>
          <w:rPr>
            <w:rStyle w:val="InternetLink"/>
          </w:rPr>
          <w:t>    </w:t>
        </w:r>
      </w:hyperlink>
      <w:hyperlink w:anchor="if42b8667ad5a4fe6ae766ea28e52ca4d_7">
        <w:r>
          <w:rPr>
            <w:rStyle w:val="InternetLink"/>
          </w:rPr>
          <w:t>34</w:t>
        </w:r>
      </w:hyperlink>
    </w:p>
    <w:p>
      <w:pPr>
        <w:pStyle w:val="TextBody"/>
        <w:bidi w:val="0"/>
        <w:spacing w:lineRule="auto" w:line="288" w:before="0" w:after="120"/>
        <w:ind w:left="0" w:right="0" w:hanging="1800"/>
        <w:jc w:val="left"/>
        <w:rPr/>
      </w:pPr>
      <w:hyperlink w:anchor="if42b8667ad5a4fe6ae766ea28e52ca4d_7">
        <w:r>
          <w:rPr>
            <w:rStyle w:val="InternetLink"/>
          </w:rPr>
          <w:t>Section 9.04</w:t>
        </w:r>
      </w:hyperlink>
      <w:hyperlink w:anchor="if42b8667ad5a4fe6ae766ea28e52ca4d_7">
        <w:r>
          <w:rPr>
            <w:rStyle w:val="InternetLink"/>
          </w:rPr>
          <w:t>    </w:t>
        </w:r>
      </w:hyperlink>
      <w:hyperlink w:anchor="if42b8667ad5a4fe6ae766ea28e52ca4d_7">
        <w:r>
          <w:rPr>
            <w:rStyle w:val="InternetLink"/>
          </w:rPr>
          <w:t>Securities Affected by Supplemental Indentures</w:t>
        </w:r>
      </w:hyperlink>
      <w:hyperlink w:anchor="if42b8667ad5a4fe6ae766ea28e52ca4d_7">
        <w:r>
          <w:rPr>
            <w:rStyle w:val="InternetLink"/>
          </w:rPr>
          <w:t>    </w:t>
        </w:r>
      </w:hyperlink>
      <w:hyperlink w:anchor="if42b8667ad5a4fe6ae766ea28e52ca4d_7">
        <w:r>
          <w:rPr>
            <w:rStyle w:val="InternetLink"/>
          </w:rPr>
          <w:t>34</w:t>
        </w:r>
      </w:hyperlink>
    </w:p>
    <w:p>
      <w:pPr>
        <w:pStyle w:val="TextBody"/>
        <w:bidi w:val="0"/>
        <w:spacing w:lineRule="auto" w:line="288" w:before="0" w:after="120"/>
        <w:ind w:left="0" w:right="0" w:hanging="1800"/>
        <w:jc w:val="left"/>
        <w:rPr/>
      </w:pPr>
      <w:hyperlink w:anchor="if42b8667ad5a4fe6ae766ea28e52ca4d_7">
        <w:r>
          <w:rPr>
            <w:rStyle w:val="InternetLink"/>
          </w:rPr>
          <w:t>Section 9.05</w:t>
        </w:r>
      </w:hyperlink>
      <w:hyperlink w:anchor="if42b8667ad5a4fe6ae766ea28e52ca4d_7">
        <w:r>
          <w:rPr>
            <w:rStyle w:val="InternetLink"/>
          </w:rPr>
          <w:t>    </w:t>
        </w:r>
      </w:hyperlink>
      <w:hyperlink w:anchor="if42b8667ad5a4fe6ae766ea28e52ca4d_7">
        <w:r>
          <w:rPr>
            <w:rStyle w:val="InternetLink"/>
          </w:rPr>
          <w:t>Execution of Supplemental Indentures</w:t>
        </w:r>
      </w:hyperlink>
      <w:hyperlink w:anchor="if42b8667ad5a4fe6ae766ea28e52ca4d_7">
        <w:r>
          <w:rPr>
            <w:rStyle w:val="InternetLink"/>
          </w:rPr>
          <w:t>    </w:t>
        </w:r>
      </w:hyperlink>
      <w:hyperlink w:anchor="if42b8667ad5a4fe6ae766ea28e52ca4d_7">
        <w:r>
          <w:rPr>
            <w:rStyle w:val="InternetLink"/>
          </w:rPr>
          <w:t>34</w:t>
        </w:r>
      </w:hyperlink>
    </w:p>
    <w:p>
      <w:pPr>
        <w:pStyle w:val="TextBody"/>
        <w:bidi w:val="0"/>
        <w:spacing w:lineRule="auto" w:line="288" w:before="0" w:after="120"/>
        <w:ind w:left="0" w:right="0" w:hanging="1440"/>
        <w:jc w:val="left"/>
        <w:rPr/>
      </w:pPr>
      <w:hyperlink w:anchor="if42b8667ad5a4fe6ae766ea28e52ca4d_7">
        <w:r>
          <w:rPr>
            <w:rStyle w:val="InternetLink"/>
          </w:rPr>
          <w:t>ARTICLE 10</w:t>
        </w:r>
      </w:hyperlink>
      <w:hyperlink w:anchor="if42b8667ad5a4fe6ae766ea28e52ca4d_7">
        <w:r>
          <w:rPr>
            <w:rStyle w:val="InternetLink"/>
          </w:rPr>
          <w:t>    </w:t>
        </w:r>
      </w:hyperlink>
      <w:hyperlink w:anchor="if42b8667ad5a4fe6ae766ea28e52ca4d_7">
        <w:r>
          <w:rPr>
            <w:rStyle w:val="InternetLink"/>
          </w:rPr>
          <w:t>SUCCESSOR ENTITY</w:t>
        </w:r>
      </w:hyperlink>
      <w:hyperlink w:anchor="if42b8667ad5a4fe6ae766ea28e52ca4d_7">
        <w:r>
          <w:rPr>
            <w:rStyle w:val="InternetLink"/>
          </w:rPr>
          <w:t>    </w:t>
        </w:r>
      </w:hyperlink>
      <w:hyperlink w:anchor="if42b8667ad5a4fe6ae766ea28e52ca4d_7">
        <w:r>
          <w:rPr>
            <w:rStyle w:val="InternetLink"/>
          </w:rPr>
          <w:t>35</w:t>
        </w:r>
      </w:hyperlink>
    </w:p>
    <w:p>
      <w:pPr>
        <w:pStyle w:val="TextBody"/>
        <w:bidi w:val="0"/>
        <w:spacing w:lineRule="auto" w:line="288" w:before="0" w:after="120"/>
        <w:ind w:left="0" w:right="0" w:hanging="1800"/>
        <w:jc w:val="left"/>
        <w:rPr/>
      </w:pPr>
      <w:hyperlink w:anchor="if42b8667ad5a4fe6ae766ea28e52ca4d_7">
        <w:r>
          <w:rPr>
            <w:rStyle w:val="InternetLink"/>
          </w:rPr>
          <w:t>Section 10.01</w:t>
        </w:r>
      </w:hyperlink>
      <w:hyperlink w:anchor="if42b8667ad5a4fe6ae766ea28e52ca4d_7">
        <w:r>
          <w:rPr>
            <w:rStyle w:val="InternetLink"/>
          </w:rPr>
          <w:t>    </w:t>
        </w:r>
      </w:hyperlink>
      <w:hyperlink w:anchor="if42b8667ad5a4fe6ae766ea28e52ca4d_7">
        <w:r>
          <w:rPr>
            <w:rStyle w:val="InternetLink"/>
          </w:rPr>
          <w:t>Company May Consolidate, Etc</w:t>
        </w:r>
      </w:hyperlink>
      <w:hyperlink w:anchor="if42b8667ad5a4fe6ae766ea28e52ca4d_7">
        <w:r>
          <w:rPr>
            <w:rStyle w:val="InternetLink"/>
          </w:rPr>
          <w:t>    </w:t>
        </w:r>
      </w:hyperlink>
      <w:hyperlink w:anchor="if42b8667ad5a4fe6ae766ea28e52ca4d_7">
        <w:r>
          <w:rPr>
            <w:rStyle w:val="InternetLink"/>
          </w:rPr>
          <w:t>35</w:t>
        </w:r>
      </w:hyperlink>
    </w:p>
    <w:p>
      <w:pPr>
        <w:pStyle w:val="TextBody"/>
        <w:bidi w:val="0"/>
        <w:spacing w:lineRule="auto" w:line="288" w:before="0" w:after="120"/>
        <w:ind w:left="0" w:right="0" w:hanging="1800"/>
        <w:jc w:val="left"/>
        <w:rPr/>
      </w:pPr>
      <w:hyperlink w:anchor="if42b8667ad5a4fe6ae766ea28e52ca4d_7">
        <w:r>
          <w:rPr>
            <w:rStyle w:val="InternetLink"/>
          </w:rPr>
          <w:t>Section 10.02</w:t>
        </w:r>
      </w:hyperlink>
      <w:hyperlink w:anchor="if42b8667ad5a4fe6ae766ea28e52ca4d_7">
        <w:r>
          <w:rPr>
            <w:rStyle w:val="InternetLink"/>
          </w:rPr>
          <w:t>    </w:t>
        </w:r>
      </w:hyperlink>
      <w:hyperlink w:anchor="if42b8667ad5a4fe6ae766ea28e52ca4d_7">
        <w:r>
          <w:rPr>
            <w:rStyle w:val="InternetLink"/>
          </w:rPr>
          <w:t>Successor Entity Substituted</w:t>
        </w:r>
      </w:hyperlink>
      <w:hyperlink w:anchor="if42b8667ad5a4fe6ae766ea28e52ca4d_7">
        <w:r>
          <w:rPr>
            <w:rStyle w:val="InternetLink"/>
          </w:rPr>
          <w:t>    </w:t>
        </w:r>
      </w:hyperlink>
      <w:hyperlink w:anchor="if42b8667ad5a4fe6ae766ea28e52ca4d_7">
        <w:r>
          <w:rPr>
            <w:rStyle w:val="InternetLink"/>
          </w:rPr>
          <w:t>35</w:t>
        </w:r>
      </w:hyperlink>
    </w:p>
    <w:p>
      <w:pPr>
        <w:pStyle w:val="TextBody"/>
        <w:bidi w:val="0"/>
        <w:spacing w:lineRule="auto" w:line="288" w:before="0" w:after="120"/>
        <w:ind w:left="0" w:right="0" w:hanging="1440"/>
        <w:jc w:val="left"/>
        <w:rPr/>
      </w:pPr>
      <w:hyperlink w:anchor="if42b8667ad5a4fe6ae766ea28e52ca4d_7">
        <w:r>
          <w:rPr>
            <w:rStyle w:val="InternetLink"/>
          </w:rPr>
          <w:t>ARTICLE 11</w:t>
        </w:r>
      </w:hyperlink>
      <w:hyperlink w:anchor="if42b8667ad5a4fe6ae766ea28e52ca4d_7">
        <w:r>
          <w:rPr>
            <w:rStyle w:val="InternetLink"/>
          </w:rPr>
          <w:t>    </w:t>
        </w:r>
      </w:hyperlink>
      <w:hyperlink w:anchor="if42b8667ad5a4fe6ae766ea28e52ca4d_7">
        <w:r>
          <w:rPr>
            <w:rStyle w:val="InternetLink"/>
          </w:rPr>
          <w:t>SATISFACTION AND DISCHARGE</w:t>
        </w:r>
      </w:hyperlink>
      <w:hyperlink w:anchor="if42b8667ad5a4fe6ae766ea28e52ca4d_7">
        <w:r>
          <w:rPr>
            <w:rStyle w:val="InternetLink"/>
          </w:rPr>
          <w:t>    </w:t>
        </w:r>
      </w:hyperlink>
      <w:hyperlink w:anchor="if42b8667ad5a4fe6ae766ea28e52ca4d_7">
        <w:r>
          <w:rPr>
            <w:rStyle w:val="InternetLink"/>
          </w:rPr>
          <w:t>36</w:t>
        </w:r>
      </w:hyperlink>
    </w:p>
    <w:p>
      <w:pPr>
        <w:pStyle w:val="TextBody"/>
        <w:bidi w:val="0"/>
        <w:spacing w:lineRule="auto" w:line="288" w:before="0" w:after="120"/>
        <w:ind w:left="0" w:right="0" w:hanging="1800"/>
        <w:jc w:val="left"/>
        <w:rPr/>
      </w:pPr>
      <w:hyperlink w:anchor="if42b8667ad5a4fe6ae766ea28e52ca4d_7">
        <w:r>
          <w:rPr>
            <w:rStyle w:val="InternetLink"/>
          </w:rPr>
          <w:t>Section 11.01</w:t>
        </w:r>
      </w:hyperlink>
      <w:hyperlink w:anchor="if42b8667ad5a4fe6ae766ea28e52ca4d_7">
        <w:r>
          <w:rPr>
            <w:rStyle w:val="InternetLink"/>
          </w:rPr>
          <w:t>    </w:t>
        </w:r>
      </w:hyperlink>
      <w:hyperlink w:anchor="if42b8667ad5a4fe6ae766ea28e52ca4d_7">
        <w:r>
          <w:rPr>
            <w:rStyle w:val="InternetLink"/>
          </w:rPr>
          <w:t>Satisfaction and Discharge of Indenture</w:t>
        </w:r>
      </w:hyperlink>
      <w:hyperlink w:anchor="if42b8667ad5a4fe6ae766ea28e52ca4d_7">
        <w:r>
          <w:rPr>
            <w:rStyle w:val="InternetLink"/>
          </w:rPr>
          <w:t>    </w:t>
        </w:r>
      </w:hyperlink>
      <w:hyperlink w:anchor="if42b8667ad5a4fe6ae766ea28e52ca4d_7">
        <w:r>
          <w:rPr>
            <w:rStyle w:val="InternetLink"/>
          </w:rPr>
          <w:t>36</w:t>
        </w:r>
      </w:hyperlink>
    </w:p>
    <w:p>
      <w:pPr>
        <w:pStyle w:val="TextBody"/>
        <w:bidi w:val="0"/>
        <w:spacing w:lineRule="auto" w:line="288" w:before="0" w:after="120"/>
        <w:ind w:left="0" w:right="0" w:hanging="1800"/>
        <w:jc w:val="left"/>
        <w:rPr/>
      </w:pPr>
      <w:hyperlink w:anchor="if42b8667ad5a4fe6ae766ea28e52ca4d_7">
        <w:r>
          <w:rPr>
            <w:rStyle w:val="InternetLink"/>
          </w:rPr>
          <w:t>Section 11.02</w:t>
        </w:r>
      </w:hyperlink>
      <w:hyperlink w:anchor="if42b8667ad5a4fe6ae766ea28e52ca4d_7">
        <w:r>
          <w:rPr>
            <w:rStyle w:val="InternetLink"/>
          </w:rPr>
          <w:t>    </w:t>
        </w:r>
      </w:hyperlink>
      <w:hyperlink w:anchor="if42b8667ad5a4fe6ae766ea28e52ca4d_7">
        <w:r>
          <w:rPr>
            <w:rStyle w:val="InternetLink"/>
          </w:rPr>
          <w:t>Discharge of Obligations</w:t>
        </w:r>
      </w:hyperlink>
      <w:hyperlink w:anchor="if42b8667ad5a4fe6ae766ea28e52ca4d_7">
        <w:r>
          <w:rPr>
            <w:rStyle w:val="InternetLink"/>
          </w:rPr>
          <w:t>    </w:t>
        </w:r>
      </w:hyperlink>
      <w:hyperlink w:anchor="if42b8667ad5a4fe6ae766ea28e52ca4d_7">
        <w:r>
          <w:rPr>
            <w:rStyle w:val="InternetLink"/>
          </w:rPr>
          <w:t>36</w:t>
        </w:r>
      </w:hyperlink>
    </w:p>
    <w:p>
      <w:pPr>
        <w:pStyle w:val="TextBody"/>
        <w:bidi w:val="0"/>
        <w:spacing w:lineRule="auto" w:line="288" w:before="0" w:after="120"/>
        <w:ind w:left="0" w:right="0" w:hanging="1800"/>
        <w:jc w:val="left"/>
        <w:rPr/>
      </w:pPr>
      <w:hyperlink w:anchor="if42b8667ad5a4fe6ae766ea28e52ca4d_7">
        <w:r>
          <w:rPr>
            <w:rStyle w:val="InternetLink"/>
          </w:rPr>
          <w:t>Section 11.03</w:t>
        </w:r>
      </w:hyperlink>
      <w:hyperlink w:anchor="if42b8667ad5a4fe6ae766ea28e52ca4d_7">
        <w:r>
          <w:rPr>
            <w:rStyle w:val="InternetLink"/>
          </w:rPr>
          <w:t>    </w:t>
        </w:r>
      </w:hyperlink>
      <w:hyperlink w:anchor="if42b8667ad5a4fe6ae766ea28e52ca4d_7">
        <w:r>
          <w:rPr>
            <w:rStyle w:val="InternetLink"/>
          </w:rPr>
          <w:t>Deposited Moneys to be Held in Trust</w:t>
        </w:r>
      </w:hyperlink>
      <w:hyperlink w:anchor="if42b8667ad5a4fe6ae766ea28e52ca4d_7">
        <w:r>
          <w:rPr>
            <w:rStyle w:val="InternetLink"/>
          </w:rPr>
          <w:t>    </w:t>
        </w:r>
      </w:hyperlink>
      <w:hyperlink w:anchor="if42b8667ad5a4fe6ae766ea28e52ca4d_7">
        <w:r>
          <w:rPr>
            <w:rStyle w:val="InternetLink"/>
          </w:rPr>
          <w:t>37</w:t>
        </w:r>
      </w:hyperlink>
    </w:p>
    <w:p>
      <w:pPr>
        <w:pStyle w:val="TextBody"/>
        <w:bidi w:val="0"/>
        <w:spacing w:lineRule="auto" w:line="288" w:before="0" w:after="120"/>
        <w:ind w:left="0" w:right="0" w:hanging="1800"/>
        <w:jc w:val="left"/>
        <w:rPr/>
      </w:pPr>
      <w:hyperlink w:anchor="if42b8667ad5a4fe6ae766ea28e52ca4d_7">
        <w:r>
          <w:rPr>
            <w:rStyle w:val="InternetLink"/>
          </w:rPr>
          <w:t>Section 11.04</w:t>
        </w:r>
      </w:hyperlink>
      <w:hyperlink w:anchor="if42b8667ad5a4fe6ae766ea28e52ca4d_7">
        <w:r>
          <w:rPr>
            <w:rStyle w:val="InternetLink"/>
          </w:rPr>
          <w:t>    </w:t>
        </w:r>
      </w:hyperlink>
      <w:hyperlink w:anchor="if42b8667ad5a4fe6ae766ea28e52ca4d_7">
        <w:r>
          <w:rPr>
            <w:rStyle w:val="InternetLink"/>
          </w:rPr>
          <w:t>Payment of Moneys Held by Paying Agents</w:t>
        </w:r>
      </w:hyperlink>
      <w:hyperlink w:anchor="if42b8667ad5a4fe6ae766ea28e52ca4d_7">
        <w:r>
          <w:rPr>
            <w:rStyle w:val="InternetLink"/>
          </w:rPr>
          <w:t>    </w:t>
        </w:r>
      </w:hyperlink>
      <w:hyperlink w:anchor="if42b8667ad5a4fe6ae766ea28e52ca4d_7">
        <w:r>
          <w:rPr>
            <w:rStyle w:val="InternetLink"/>
          </w:rPr>
          <w:t>37</w:t>
        </w:r>
      </w:hyperlink>
    </w:p>
    <w:p>
      <w:pPr>
        <w:pStyle w:val="TextBody"/>
        <w:bidi w:val="0"/>
        <w:spacing w:lineRule="auto" w:line="288" w:before="0" w:after="120"/>
        <w:ind w:left="0" w:right="0" w:hanging="1800"/>
        <w:jc w:val="left"/>
        <w:rPr/>
      </w:pPr>
      <w:hyperlink w:anchor="if42b8667ad5a4fe6ae766ea28e52ca4d_7">
        <w:r>
          <w:rPr>
            <w:rStyle w:val="InternetLink"/>
          </w:rPr>
          <w:t>Section 11.05</w:t>
        </w:r>
      </w:hyperlink>
      <w:hyperlink w:anchor="if42b8667ad5a4fe6ae766ea28e52ca4d_7">
        <w:r>
          <w:rPr>
            <w:rStyle w:val="InternetLink"/>
          </w:rPr>
          <w:t>    </w:t>
        </w:r>
      </w:hyperlink>
      <w:hyperlink w:anchor="if42b8667ad5a4fe6ae766ea28e52ca4d_7">
        <w:r>
          <w:rPr>
            <w:rStyle w:val="InternetLink"/>
          </w:rPr>
          <w:t>Repayment to Company</w:t>
        </w:r>
      </w:hyperlink>
      <w:hyperlink w:anchor="if42b8667ad5a4fe6ae766ea28e52ca4d_7">
        <w:r>
          <w:rPr>
            <w:rStyle w:val="InternetLink"/>
          </w:rPr>
          <w:t>    </w:t>
        </w:r>
      </w:hyperlink>
      <w:hyperlink w:anchor="if42b8667ad5a4fe6ae766ea28e52ca4d_7">
        <w:r>
          <w:rPr>
            <w:rStyle w:val="InternetLink"/>
          </w:rPr>
          <w:t>37</w:t>
        </w:r>
      </w:hyperlink>
    </w:p>
    <w:p>
      <w:pPr>
        <w:pStyle w:val="TextBody"/>
        <w:bidi w:val="0"/>
        <w:spacing w:lineRule="auto" w:line="288" w:before="0" w:after="120"/>
        <w:ind w:left="0" w:right="0" w:hanging="1440"/>
        <w:jc w:val="left"/>
        <w:rPr/>
      </w:pPr>
      <w:hyperlink w:anchor="if42b8667ad5a4fe6ae766ea28e52ca4d_7">
        <w:r>
          <w:rPr>
            <w:rStyle w:val="InternetLink"/>
          </w:rPr>
          <w:t>ARTICLE 12</w:t>
        </w:r>
      </w:hyperlink>
      <w:hyperlink w:anchor="if42b8667ad5a4fe6ae766ea28e52ca4d_7">
        <w:r>
          <w:rPr>
            <w:rStyle w:val="InternetLink"/>
          </w:rPr>
          <w:t>    </w:t>
        </w:r>
      </w:hyperlink>
      <w:hyperlink w:anchor="if42b8667ad5a4fe6ae766ea28e52ca4d_7">
        <w:r>
          <w:rPr>
            <w:rStyle w:val="InternetLink"/>
          </w:rPr>
          <w:t>IMMUNITY OF INCORPORATORS, STOCKHOLDERS, OFFICERS AND DIRECTORS</w:t>
        </w:r>
      </w:hyperlink>
      <w:hyperlink w:anchor="if42b8667ad5a4fe6ae766ea28e52ca4d_7">
        <w:r>
          <w:rPr>
            <w:rStyle w:val="InternetLink"/>
          </w:rPr>
          <w:t>    </w:t>
        </w:r>
      </w:hyperlink>
      <w:hyperlink w:anchor="if42b8667ad5a4fe6ae766ea28e52ca4d_7">
        <w:r>
          <w:rPr>
            <w:rStyle w:val="InternetLink"/>
          </w:rPr>
          <w:t>37</w:t>
        </w:r>
      </w:hyperlink>
    </w:p>
    <w:p>
      <w:pPr>
        <w:pStyle w:val="TextBody"/>
        <w:bidi w:val="0"/>
        <w:spacing w:lineRule="auto" w:line="288" w:before="0" w:after="120"/>
        <w:ind w:left="0" w:right="0" w:hanging="1800"/>
        <w:jc w:val="left"/>
        <w:rPr/>
      </w:pPr>
      <w:hyperlink w:anchor="if42b8667ad5a4fe6ae766ea28e52ca4d_7">
        <w:r>
          <w:rPr>
            <w:rStyle w:val="InternetLink"/>
          </w:rPr>
          <w:t>Section 12.01</w:t>
        </w:r>
      </w:hyperlink>
      <w:hyperlink w:anchor="if42b8667ad5a4fe6ae766ea28e52ca4d_7">
        <w:r>
          <w:rPr>
            <w:rStyle w:val="InternetLink"/>
          </w:rPr>
          <w:t>    </w:t>
        </w:r>
      </w:hyperlink>
      <w:hyperlink w:anchor="if42b8667ad5a4fe6ae766ea28e52ca4d_7">
        <w:r>
          <w:rPr>
            <w:rStyle w:val="InternetLink"/>
          </w:rPr>
          <w:t>No Recourse</w:t>
        </w:r>
      </w:hyperlink>
      <w:hyperlink w:anchor="if42b8667ad5a4fe6ae766ea28e52ca4d_7">
        <w:r>
          <w:rPr>
            <w:rStyle w:val="InternetLink"/>
          </w:rPr>
          <w:t>    </w:t>
        </w:r>
      </w:hyperlink>
      <w:hyperlink w:anchor="if42b8667ad5a4fe6ae766ea28e52ca4d_7">
        <w:r>
          <w:rPr>
            <w:rStyle w:val="InternetLink"/>
          </w:rPr>
          <w:t>37</w:t>
        </w:r>
      </w:hyperlink>
    </w:p>
    <w:p>
      <w:pPr>
        <w:pStyle w:val="TextBody"/>
        <w:bidi w:val="0"/>
        <w:spacing w:lineRule="auto" w:line="288" w:before="0" w:after="120"/>
        <w:ind w:left="0" w:right="0" w:hanging="1440"/>
        <w:jc w:val="left"/>
        <w:rPr/>
      </w:pPr>
      <w:hyperlink w:anchor="if42b8667ad5a4fe6ae766ea28e52ca4d_7">
        <w:r>
          <w:rPr>
            <w:rStyle w:val="InternetLink"/>
          </w:rPr>
          <w:t>ARTICLE 13</w:t>
        </w:r>
      </w:hyperlink>
      <w:hyperlink w:anchor="if42b8667ad5a4fe6ae766ea28e52ca4d_7">
        <w:r>
          <w:rPr>
            <w:rStyle w:val="InternetLink"/>
          </w:rPr>
          <w:t>    </w:t>
        </w:r>
      </w:hyperlink>
      <w:hyperlink w:anchor="if42b8667ad5a4fe6ae766ea28e52ca4d_7">
        <w:r>
          <w:rPr>
            <w:rStyle w:val="InternetLink"/>
          </w:rPr>
          <w:t>MISCELLANEOUS PROVISIONS</w:t>
        </w:r>
      </w:hyperlink>
      <w:hyperlink w:anchor="if42b8667ad5a4fe6ae766ea28e52ca4d_7">
        <w:r>
          <w:rPr>
            <w:rStyle w:val="InternetLink"/>
          </w:rPr>
          <w:t>    </w:t>
        </w:r>
      </w:hyperlink>
      <w:hyperlink w:anchor="if42b8667ad5a4fe6ae766ea28e52ca4d_7">
        <w:r>
          <w:rPr>
            <w:rStyle w:val="InternetLink"/>
          </w:rPr>
          <w:t>38</w:t>
        </w:r>
      </w:hyperlink>
    </w:p>
    <w:p>
      <w:pPr>
        <w:pStyle w:val="TextBody"/>
        <w:bidi w:val="0"/>
        <w:spacing w:lineRule="auto" w:line="288" w:before="0" w:after="120"/>
        <w:ind w:left="0" w:right="0" w:hanging="1800"/>
        <w:jc w:val="left"/>
        <w:rPr/>
      </w:pPr>
      <w:hyperlink w:anchor="if42b8667ad5a4fe6ae766ea28e52ca4d_7">
        <w:r>
          <w:rPr>
            <w:rStyle w:val="InternetLink"/>
          </w:rPr>
          <w:t>Section 13.01</w:t>
        </w:r>
      </w:hyperlink>
      <w:hyperlink w:anchor="if42b8667ad5a4fe6ae766ea28e52ca4d_7">
        <w:r>
          <w:rPr>
            <w:rStyle w:val="InternetLink"/>
          </w:rPr>
          <w:t>    </w:t>
        </w:r>
      </w:hyperlink>
      <w:hyperlink w:anchor="if42b8667ad5a4fe6ae766ea28e52ca4d_7">
        <w:r>
          <w:rPr>
            <w:rStyle w:val="InternetLink"/>
          </w:rPr>
          <w:t>Effect on Successors and Assigns</w:t>
        </w:r>
      </w:hyperlink>
      <w:hyperlink w:anchor="if42b8667ad5a4fe6ae766ea28e52ca4d_7">
        <w:r>
          <w:rPr>
            <w:rStyle w:val="InternetLink"/>
          </w:rPr>
          <w:t>    </w:t>
        </w:r>
      </w:hyperlink>
      <w:hyperlink w:anchor="if42b8667ad5a4fe6ae766ea28e52ca4d_7">
        <w:r>
          <w:rPr>
            <w:rStyle w:val="InternetLink"/>
          </w:rPr>
          <w:t>38</w:t>
        </w:r>
      </w:hyperlink>
    </w:p>
    <w:p>
      <w:pPr>
        <w:pStyle w:val="TextBody"/>
        <w:bidi w:val="0"/>
        <w:spacing w:lineRule="auto" w:line="288" w:before="0" w:after="120"/>
        <w:ind w:left="0" w:right="0" w:hanging="1800"/>
        <w:jc w:val="left"/>
        <w:rPr/>
      </w:pPr>
      <w:hyperlink w:anchor="if42b8667ad5a4fe6ae766ea28e52ca4d_7">
        <w:r>
          <w:rPr>
            <w:rStyle w:val="InternetLink"/>
          </w:rPr>
          <w:t>Section 13.02</w:t>
        </w:r>
      </w:hyperlink>
      <w:hyperlink w:anchor="if42b8667ad5a4fe6ae766ea28e52ca4d_7">
        <w:r>
          <w:rPr>
            <w:rStyle w:val="InternetLink"/>
          </w:rPr>
          <w:t>    </w:t>
        </w:r>
      </w:hyperlink>
      <w:hyperlink w:anchor="if42b8667ad5a4fe6ae766ea28e52ca4d_7">
        <w:r>
          <w:rPr>
            <w:rStyle w:val="InternetLink"/>
          </w:rPr>
          <w:t>Actions by Successor</w:t>
        </w:r>
      </w:hyperlink>
      <w:hyperlink w:anchor="if42b8667ad5a4fe6ae766ea28e52ca4d_7">
        <w:r>
          <w:rPr>
            <w:rStyle w:val="InternetLink"/>
          </w:rPr>
          <w:t>    </w:t>
        </w:r>
      </w:hyperlink>
      <w:hyperlink w:anchor="if42b8667ad5a4fe6ae766ea28e52ca4d_7">
        <w:r>
          <w:rPr>
            <w:rStyle w:val="InternetLink"/>
          </w:rPr>
          <w:t>38</w:t>
        </w:r>
      </w:hyperlink>
    </w:p>
    <w:p>
      <w:pPr>
        <w:pStyle w:val="TextBody"/>
        <w:bidi w:val="0"/>
        <w:spacing w:lineRule="auto" w:line="288" w:before="0" w:after="120"/>
        <w:ind w:left="0" w:right="0" w:hanging="1800"/>
        <w:jc w:val="left"/>
        <w:rPr/>
      </w:pPr>
      <w:hyperlink w:anchor="if42b8667ad5a4fe6ae766ea28e52ca4d_7">
        <w:r>
          <w:rPr>
            <w:rStyle w:val="InternetLink"/>
          </w:rPr>
          <w:t>Section 13.03</w:t>
        </w:r>
      </w:hyperlink>
      <w:hyperlink w:anchor="if42b8667ad5a4fe6ae766ea28e52ca4d_7">
        <w:r>
          <w:rPr>
            <w:rStyle w:val="InternetLink"/>
          </w:rPr>
          <w:t>    </w:t>
        </w:r>
      </w:hyperlink>
      <w:hyperlink w:anchor="if42b8667ad5a4fe6ae766ea28e52ca4d_7">
        <w:r>
          <w:rPr>
            <w:rStyle w:val="InternetLink"/>
          </w:rPr>
          <w:t>Surrender of Company Powers</w:t>
        </w:r>
      </w:hyperlink>
      <w:hyperlink w:anchor="if42b8667ad5a4fe6ae766ea28e52ca4d_7">
        <w:r>
          <w:rPr>
            <w:rStyle w:val="InternetLink"/>
          </w:rPr>
          <w:t>    </w:t>
        </w:r>
      </w:hyperlink>
      <w:hyperlink w:anchor="if42b8667ad5a4fe6ae766ea28e52ca4d_7">
        <w:r>
          <w:rPr>
            <w:rStyle w:val="InternetLink"/>
          </w:rPr>
          <w:t>38</w:t>
        </w:r>
      </w:hyperlink>
    </w:p>
    <w:p>
      <w:pPr>
        <w:pStyle w:val="TextBody"/>
        <w:bidi w:val="0"/>
        <w:spacing w:lineRule="auto" w:line="288" w:before="0" w:after="120"/>
        <w:ind w:left="0" w:right="0" w:hanging="1800"/>
        <w:jc w:val="left"/>
        <w:rPr/>
      </w:pPr>
      <w:hyperlink w:anchor="if42b8667ad5a4fe6ae766ea28e52ca4d_7">
        <w:r>
          <w:rPr>
            <w:rStyle w:val="InternetLink"/>
          </w:rPr>
          <w:t>Section 13.04</w:t>
        </w:r>
      </w:hyperlink>
      <w:hyperlink w:anchor="if42b8667ad5a4fe6ae766ea28e52ca4d_7">
        <w:r>
          <w:rPr>
            <w:rStyle w:val="InternetLink"/>
          </w:rPr>
          <w:t>    </w:t>
        </w:r>
      </w:hyperlink>
      <w:hyperlink w:anchor="if42b8667ad5a4fe6ae766ea28e52ca4d_7">
        <w:r>
          <w:rPr>
            <w:rStyle w:val="InternetLink"/>
          </w:rPr>
          <w:t>Notices</w:t>
        </w:r>
      </w:hyperlink>
      <w:hyperlink w:anchor="if42b8667ad5a4fe6ae766ea28e52ca4d_7">
        <w:r>
          <w:rPr>
            <w:rStyle w:val="InternetLink"/>
          </w:rPr>
          <w:t>    </w:t>
        </w:r>
      </w:hyperlink>
      <w:hyperlink w:anchor="if42b8667ad5a4fe6ae766ea28e52ca4d_7">
        <w:r>
          <w:rPr>
            <w:rStyle w:val="InternetLink"/>
          </w:rPr>
          <w:t>38</w:t>
        </w:r>
      </w:hyperlink>
    </w:p>
    <w:p>
      <w:pPr>
        <w:pStyle w:val="TextBody"/>
        <w:bidi w:val="0"/>
        <w:spacing w:lineRule="auto" w:line="288" w:before="0" w:after="120"/>
        <w:ind w:left="0" w:right="0" w:hanging="1800"/>
        <w:jc w:val="left"/>
        <w:rPr/>
      </w:pPr>
      <w:hyperlink w:anchor="if42b8667ad5a4fe6ae766ea28e52ca4d_7">
        <w:r>
          <w:rPr>
            <w:rStyle w:val="InternetLink"/>
          </w:rPr>
          <w:t>Section 13.05</w:t>
        </w:r>
      </w:hyperlink>
      <w:hyperlink w:anchor="if42b8667ad5a4fe6ae766ea28e52ca4d_7">
        <w:r>
          <w:rPr>
            <w:rStyle w:val="InternetLink"/>
          </w:rPr>
          <w:t>    </w:t>
        </w:r>
      </w:hyperlink>
      <w:hyperlink w:anchor="if42b8667ad5a4fe6ae766ea28e52ca4d_7">
        <w:r>
          <w:rPr>
            <w:rStyle w:val="InternetLink"/>
          </w:rPr>
          <w:t>Governing Law; Jury Trial Waiver</w:t>
        </w:r>
      </w:hyperlink>
      <w:hyperlink w:anchor="if42b8667ad5a4fe6ae766ea28e52ca4d_7">
        <w:r>
          <w:rPr>
            <w:rStyle w:val="InternetLink"/>
          </w:rPr>
          <w:t>    </w:t>
        </w:r>
      </w:hyperlink>
      <w:hyperlink w:anchor="if42b8667ad5a4fe6ae766ea28e52ca4d_7">
        <w:r>
          <w:rPr>
            <w:rStyle w:val="InternetLink"/>
          </w:rPr>
          <w:t>38</w:t>
        </w:r>
      </w:hyperlink>
    </w:p>
    <w:p>
      <w:pPr>
        <w:pStyle w:val="TextBody"/>
        <w:bidi w:val="0"/>
        <w:spacing w:lineRule="auto" w:line="288" w:before="0" w:after="120"/>
        <w:ind w:left="0" w:right="0" w:hanging="1800"/>
        <w:jc w:val="left"/>
        <w:rPr/>
      </w:pPr>
      <w:hyperlink w:anchor="if42b8667ad5a4fe6ae766ea28e52ca4d_7">
        <w:r>
          <w:rPr>
            <w:rStyle w:val="InternetLink"/>
          </w:rPr>
          <w:t>Section 13.06</w:t>
        </w:r>
      </w:hyperlink>
      <w:hyperlink w:anchor="if42b8667ad5a4fe6ae766ea28e52ca4d_7">
        <w:r>
          <w:rPr>
            <w:rStyle w:val="InternetLink"/>
          </w:rPr>
          <w:t>    </w:t>
        </w:r>
      </w:hyperlink>
      <w:hyperlink w:anchor="if42b8667ad5a4fe6ae766ea28e52ca4d_7">
        <w:r>
          <w:rPr>
            <w:rStyle w:val="InternetLink"/>
          </w:rPr>
          <w:t>Treatment of Securities as Debt</w:t>
        </w:r>
      </w:hyperlink>
      <w:hyperlink w:anchor="if42b8667ad5a4fe6ae766ea28e52ca4d_7">
        <w:r>
          <w:rPr>
            <w:rStyle w:val="InternetLink"/>
          </w:rPr>
          <w:t>    </w:t>
        </w:r>
      </w:hyperlink>
      <w:hyperlink w:anchor="if42b8667ad5a4fe6ae766ea28e52ca4d_7">
        <w:r>
          <w:rPr>
            <w:rStyle w:val="InternetLink"/>
          </w:rPr>
          <w:t>38</w:t>
        </w:r>
      </w:hyperlink>
    </w:p>
    <w:p>
      <w:pPr>
        <w:pStyle w:val="TextBody"/>
        <w:bidi w:val="0"/>
        <w:spacing w:lineRule="auto" w:line="288" w:before="0" w:after="120"/>
        <w:ind w:left="0" w:right="0" w:hanging="1800"/>
        <w:jc w:val="left"/>
        <w:rPr/>
      </w:pPr>
      <w:hyperlink w:anchor="if42b8667ad5a4fe6ae766ea28e52ca4d_7">
        <w:r>
          <w:rPr>
            <w:rStyle w:val="InternetLink"/>
          </w:rPr>
          <w:t>Section 13.07</w:t>
        </w:r>
      </w:hyperlink>
      <w:hyperlink w:anchor="if42b8667ad5a4fe6ae766ea28e52ca4d_7">
        <w:r>
          <w:rPr>
            <w:rStyle w:val="InternetLink"/>
          </w:rPr>
          <w:t>    </w:t>
        </w:r>
      </w:hyperlink>
      <w:hyperlink w:anchor="if42b8667ad5a4fe6ae766ea28e52ca4d_7">
        <w:r>
          <w:rPr>
            <w:rStyle w:val="InternetLink"/>
          </w:rPr>
          <w:t>Certificates and Opinions as to Conditions Precedent</w:t>
        </w:r>
      </w:hyperlink>
      <w:hyperlink w:anchor="if42b8667ad5a4fe6ae766ea28e52ca4d_7">
        <w:r>
          <w:rPr>
            <w:rStyle w:val="InternetLink"/>
          </w:rPr>
          <w:t>    </w:t>
        </w:r>
      </w:hyperlink>
      <w:hyperlink w:anchor="if42b8667ad5a4fe6ae766ea28e52ca4d_7">
        <w:r>
          <w:rPr>
            <w:rStyle w:val="InternetLink"/>
          </w:rPr>
          <w:t>39</w:t>
        </w:r>
      </w:hyperlink>
    </w:p>
    <w:p>
      <w:pPr>
        <w:pStyle w:val="TextBody"/>
        <w:bidi w:val="0"/>
        <w:spacing w:lineRule="auto" w:line="288" w:before="0" w:after="120"/>
        <w:ind w:left="0" w:right="0" w:hanging="1800"/>
        <w:jc w:val="left"/>
        <w:rPr/>
      </w:pPr>
      <w:hyperlink w:anchor="if42b8667ad5a4fe6ae766ea28e52ca4d_7">
        <w:r>
          <w:rPr>
            <w:rStyle w:val="InternetLink"/>
          </w:rPr>
          <w:t>Section 13.08</w:t>
        </w:r>
      </w:hyperlink>
      <w:hyperlink w:anchor="if42b8667ad5a4fe6ae766ea28e52ca4d_7">
        <w:r>
          <w:rPr>
            <w:rStyle w:val="InternetLink"/>
          </w:rPr>
          <w:t>    </w:t>
        </w:r>
      </w:hyperlink>
      <w:hyperlink w:anchor="if42b8667ad5a4fe6ae766ea28e52ca4d_7">
        <w:r>
          <w:rPr>
            <w:rStyle w:val="InternetLink"/>
          </w:rPr>
          <w:t>Payments on Business Days</w:t>
        </w:r>
      </w:hyperlink>
      <w:hyperlink w:anchor="if42b8667ad5a4fe6ae766ea28e52ca4d_7">
        <w:r>
          <w:rPr>
            <w:rStyle w:val="InternetLink"/>
          </w:rPr>
          <w:t>    </w:t>
        </w:r>
      </w:hyperlink>
      <w:hyperlink w:anchor="if42b8667ad5a4fe6ae766ea28e52ca4d_7">
        <w:r>
          <w:rPr>
            <w:rStyle w:val="InternetLink"/>
          </w:rPr>
          <w:t>39</w:t>
        </w:r>
      </w:hyperlink>
    </w:p>
    <w:p>
      <w:pPr>
        <w:pStyle w:val="TextBody"/>
        <w:bidi w:val="0"/>
        <w:spacing w:lineRule="auto" w:line="288" w:before="0" w:after="120"/>
        <w:ind w:left="0" w:right="0" w:hanging="1800"/>
        <w:jc w:val="left"/>
        <w:rPr/>
      </w:pPr>
      <w:hyperlink w:anchor="if42b8667ad5a4fe6ae766ea28e52ca4d_7">
        <w:r>
          <w:rPr>
            <w:rStyle w:val="InternetLink"/>
          </w:rPr>
          <w:t>Section 13.09</w:t>
        </w:r>
      </w:hyperlink>
      <w:hyperlink w:anchor="if42b8667ad5a4fe6ae766ea28e52ca4d_7">
        <w:r>
          <w:rPr>
            <w:rStyle w:val="InternetLink"/>
          </w:rPr>
          <w:t>    </w:t>
        </w:r>
      </w:hyperlink>
      <w:hyperlink w:anchor="if42b8667ad5a4fe6ae766ea28e52ca4d_7">
        <w:r>
          <w:rPr>
            <w:rStyle w:val="InternetLink"/>
          </w:rPr>
          <w:t>Conflict with Trust Indenture Act</w:t>
        </w:r>
      </w:hyperlink>
      <w:hyperlink w:anchor="if42b8667ad5a4fe6ae766ea28e52ca4d_7">
        <w:r>
          <w:rPr>
            <w:rStyle w:val="InternetLink"/>
          </w:rPr>
          <w:t>    </w:t>
        </w:r>
      </w:hyperlink>
      <w:hyperlink w:anchor="if42b8667ad5a4fe6ae766ea28e52ca4d_7">
        <w:r>
          <w:rPr>
            <w:rStyle w:val="InternetLink"/>
          </w:rPr>
          <w:t>39</w:t>
        </w:r>
      </w:hyperlink>
    </w:p>
    <w:p>
      <w:pPr>
        <w:pStyle w:val="TextBody"/>
        <w:bidi w:val="0"/>
        <w:spacing w:lineRule="auto" w:line="288" w:before="0" w:after="120"/>
        <w:ind w:left="0" w:right="0" w:hanging="1800"/>
        <w:jc w:val="left"/>
        <w:rPr/>
      </w:pPr>
      <w:hyperlink w:anchor="if42b8667ad5a4fe6ae766ea28e52ca4d_7">
        <w:r>
          <w:rPr>
            <w:rStyle w:val="InternetLink"/>
          </w:rPr>
          <w:t>Section 13.10</w:t>
        </w:r>
      </w:hyperlink>
      <w:hyperlink w:anchor="if42b8667ad5a4fe6ae766ea28e52ca4d_7">
        <w:r>
          <w:rPr>
            <w:rStyle w:val="InternetLink"/>
          </w:rPr>
          <w:t>    </w:t>
        </w:r>
      </w:hyperlink>
      <w:hyperlink w:anchor="if42b8667ad5a4fe6ae766ea28e52ca4d_7">
        <w:r>
          <w:rPr>
            <w:rStyle w:val="InternetLink"/>
          </w:rPr>
          <w:t>Counterparts</w:t>
        </w:r>
      </w:hyperlink>
      <w:hyperlink w:anchor="if42b8667ad5a4fe6ae766ea28e52ca4d_7">
        <w:r>
          <w:rPr>
            <w:rStyle w:val="InternetLink"/>
          </w:rPr>
          <w:t>    </w:t>
        </w:r>
      </w:hyperlink>
      <w:hyperlink w:anchor="if42b8667ad5a4fe6ae766ea28e52ca4d_7">
        <w:r>
          <w:rPr>
            <w:rStyle w:val="InternetLink"/>
          </w:rPr>
          <w:t>39</w:t>
        </w:r>
      </w:hyperlink>
    </w:p>
    <w:p>
      <w:pPr>
        <w:pStyle w:val="TextBody"/>
        <w:bidi w:val="0"/>
        <w:spacing w:lineRule="auto" w:line="288" w:before="0" w:after="120"/>
        <w:ind w:left="0" w:right="0" w:hanging="1800"/>
        <w:jc w:val="left"/>
        <w:rPr/>
      </w:pPr>
      <w:hyperlink w:anchor="if42b8667ad5a4fe6ae766ea28e52ca4d_7">
        <w:r>
          <w:rPr>
            <w:rStyle w:val="InternetLink"/>
          </w:rPr>
          <w:t>Section 13.11</w:t>
        </w:r>
      </w:hyperlink>
      <w:hyperlink w:anchor="if42b8667ad5a4fe6ae766ea28e52ca4d_7">
        <w:r>
          <w:rPr>
            <w:rStyle w:val="InternetLink"/>
          </w:rPr>
          <w:t>    </w:t>
        </w:r>
      </w:hyperlink>
      <w:hyperlink w:anchor="if42b8667ad5a4fe6ae766ea28e52ca4d_7">
        <w:r>
          <w:rPr>
            <w:rStyle w:val="InternetLink"/>
          </w:rPr>
          <w:t>Separability</w:t>
        </w:r>
      </w:hyperlink>
      <w:hyperlink w:anchor="if42b8667ad5a4fe6ae766ea28e52ca4d_7">
        <w:r>
          <w:rPr>
            <w:rStyle w:val="InternetLink"/>
          </w:rPr>
          <w:t>    </w:t>
        </w:r>
      </w:hyperlink>
      <w:hyperlink w:anchor="if42b8667ad5a4fe6ae766ea28e52ca4d_7">
        <w:r>
          <w:rPr>
            <w:rStyle w:val="InternetLink"/>
          </w:rPr>
          <w:t>39</w:t>
        </w:r>
      </w:hyperlink>
    </w:p>
    <w:p>
      <w:pPr>
        <w:pStyle w:val="TextBody"/>
        <w:bidi w:val="0"/>
        <w:spacing w:lineRule="auto" w:line="288" w:before="0" w:after="120"/>
        <w:ind w:left="0" w:right="0" w:hanging="1800"/>
        <w:jc w:val="left"/>
        <w:rPr/>
      </w:pPr>
      <w:hyperlink w:anchor="if42b8667ad5a4fe6ae766ea28e52ca4d_7">
        <w:r>
          <w:rPr>
            <w:rStyle w:val="InternetLink"/>
          </w:rPr>
          <w:t>Section 13.12</w:t>
        </w:r>
      </w:hyperlink>
      <w:hyperlink w:anchor="if42b8667ad5a4fe6ae766ea28e52ca4d_7">
        <w:r>
          <w:rPr>
            <w:rStyle w:val="InternetLink"/>
          </w:rPr>
          <w:t>    </w:t>
        </w:r>
      </w:hyperlink>
      <w:hyperlink w:anchor="if42b8667ad5a4fe6ae766ea28e52ca4d_7">
        <w:r>
          <w:rPr>
            <w:rStyle w:val="InternetLink"/>
          </w:rPr>
          <w:t>Compliance Certificates</w:t>
        </w:r>
      </w:hyperlink>
      <w:hyperlink w:anchor="if42b8667ad5a4fe6ae766ea28e52ca4d_7">
        <w:r>
          <w:rPr>
            <w:rStyle w:val="InternetLink"/>
          </w:rPr>
          <w:t>    </w:t>
        </w:r>
      </w:hyperlink>
      <w:hyperlink w:anchor="if42b8667ad5a4fe6ae766ea28e52ca4d_7">
        <w:r>
          <w:rPr>
            <w:rStyle w:val="InternetLink"/>
          </w:rPr>
          <w:t>40</w:t>
        </w:r>
      </w:hyperlink>
    </w:p>
    <w:p>
      <w:pPr>
        <w:pStyle w:val="TextBody"/>
        <w:bidi w:val="0"/>
        <w:spacing w:lineRule="auto" w:line="288" w:before="0" w:after="120"/>
        <w:ind w:left="0" w:right="0" w:hanging="1800"/>
        <w:jc w:val="left"/>
        <w:rPr/>
      </w:pPr>
      <w:hyperlink w:anchor="if42b8667ad5a4fe6ae766ea28e52ca4d_7">
        <w:r>
          <w:rPr>
            <w:rStyle w:val="InternetLink"/>
          </w:rPr>
          <w:t>Section 13.13</w:t>
        </w:r>
      </w:hyperlink>
      <w:hyperlink w:anchor="if42b8667ad5a4fe6ae766ea28e52ca4d_7">
        <w:r>
          <w:rPr>
            <w:rStyle w:val="InternetLink"/>
          </w:rPr>
          <w:t>    </w:t>
        </w:r>
      </w:hyperlink>
      <w:hyperlink w:anchor="if42b8667ad5a4fe6ae766ea28e52ca4d_7">
        <w:r>
          <w:rPr>
            <w:rStyle w:val="InternetLink"/>
          </w:rPr>
          <w:t>U.S.A Patriot Act</w:t>
        </w:r>
      </w:hyperlink>
      <w:hyperlink w:anchor="if42b8667ad5a4fe6ae766ea28e52ca4d_7">
        <w:r>
          <w:rPr>
            <w:rStyle w:val="InternetLink"/>
          </w:rPr>
          <w:t>    </w:t>
        </w:r>
      </w:hyperlink>
      <w:hyperlink w:anchor="if42b8667ad5a4fe6ae766ea28e52ca4d_7">
        <w:r>
          <w:rPr>
            <w:rStyle w:val="InternetLink"/>
          </w:rPr>
          <w:t>40</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12140"/>
                <wp:effectExtent l="0" t="0" r="0" b="0"/>
                <wp:wrapNone/>
                <wp:docPr id="47" name="Frame46"/>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167.5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200"/>
        <w:jc w:val="righ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before="0" w:after="0"/>
        <w:jc w:val="left"/>
        <w:rPr/>
      </w:pPr>
      <w:r>
        <w:rPr/>
      </w:r>
    </w:p>
    <w:p>
      <w:pPr>
        <w:pStyle w:val="TextBody"/>
        <w:bidi w:val="0"/>
        <w:spacing w:lineRule="auto" w:line="288" w:before="0" w:after="120"/>
        <w:ind w:left="0" w:right="0" w:hanging="1800"/>
        <w:jc w:val="left"/>
        <w:rPr/>
      </w:pPr>
      <w:hyperlink w:anchor="if42b8667ad5a4fe6ae766ea28e52ca4d_7">
        <w:r>
          <w:rPr>
            <w:rStyle w:val="InternetLink"/>
          </w:rPr>
          <w:t>Section 13.14</w:t>
        </w:r>
      </w:hyperlink>
      <w:hyperlink w:anchor="if42b8667ad5a4fe6ae766ea28e52ca4d_7">
        <w:r>
          <w:rPr>
            <w:rStyle w:val="InternetLink"/>
          </w:rPr>
          <w:t>    </w:t>
        </w:r>
      </w:hyperlink>
      <w:hyperlink w:anchor="if42b8667ad5a4fe6ae766ea28e52ca4d_7">
        <w:r>
          <w:rPr>
            <w:rStyle w:val="InternetLink"/>
          </w:rPr>
          <w:t>Force Majeure</w:t>
        </w:r>
      </w:hyperlink>
      <w:hyperlink w:anchor="if42b8667ad5a4fe6ae766ea28e52ca4d_7">
        <w:r>
          <w:rPr>
            <w:rStyle w:val="InternetLink"/>
          </w:rPr>
          <w:t>    </w:t>
        </w:r>
      </w:hyperlink>
      <w:hyperlink w:anchor="if42b8667ad5a4fe6ae766ea28e52ca4d_7">
        <w:r>
          <w:rPr>
            <w:rStyle w:val="InternetLink"/>
          </w:rPr>
          <w:t>40</w:t>
        </w:r>
      </w:hyperlink>
    </w:p>
    <w:p>
      <w:pPr>
        <w:pStyle w:val="TextBody"/>
        <w:bidi w:val="0"/>
        <w:spacing w:lineRule="auto" w:line="288" w:before="0" w:after="240"/>
        <w:jc w:val="center"/>
        <w:rPr/>
      </w:pPr>
      <w:hyperlink w:anchor="if42b8667ad5a4fe6ae766ea28e52ca4d_7">
        <w:r>
          <w:rPr>
            <w:rStyle w:val="InternetLink"/>
          </w:rPr>
          <w:t>Section 13.15</w:t>
        </w:r>
      </w:hyperlink>
      <w:hyperlink w:anchor="if42b8667ad5a4fe6ae766ea28e52ca4d_7">
        <w:r>
          <w:rPr>
            <w:rStyle w:val="InternetLink"/>
          </w:rPr>
          <w:t>    </w:t>
        </w:r>
      </w:hyperlink>
      <w:hyperlink w:anchor="if42b8667ad5a4fe6ae766ea28e52ca4d_7">
        <w:r>
          <w:rPr>
            <w:rStyle w:val="InternetLink"/>
          </w:rPr>
          <w:t>Table of Contents; Headings</w:t>
        </w:r>
      </w:hyperlink>
      <w:hyperlink w:anchor="if42b8667ad5a4fe6ae766ea28e52ca4d_7">
        <w:r>
          <w:rPr>
            <w:rStyle w:val="InternetLink"/>
          </w:rPr>
          <w:t>    </w:t>
        </w:r>
      </w:hyperlink>
      <w:hyperlink w:anchor="if42b8667ad5a4fe6ae766ea28e52ca4d_7">
        <w:r>
          <w:rPr>
            <w:rStyle w:val="InternetLink"/>
          </w:rPr>
          <w:t>40</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12140"/>
                <wp:effectExtent l="0" t="0" r="0" b="0"/>
                <wp:wrapNone/>
                <wp:docPr id="48" name="Frame47"/>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INDENTURE</w:t>
      </w:r>
    </w:p>
    <w:p>
      <w:pPr>
        <w:pStyle w:val="TextBody"/>
        <w:bidi w:val="0"/>
        <w:spacing w:lineRule="auto" w:line="288" w:before="0" w:after="240"/>
        <w:ind w:left="0" w:right="0" w:firstLine="720"/>
        <w:jc w:val="both"/>
        <w:rPr/>
      </w:pPr>
      <w:r>
        <w:rPr>
          <w:rFonts w:ascii="Times New Roman;serif" w:hAnsi="Times New Roman;serif"/>
          <w:b/>
          <w:color w:val="000000"/>
          <w:sz w:val="22"/>
        </w:rPr>
        <w:t>Indenture</w:t>
      </w:r>
      <w:r>
        <w:rPr>
          <w:rFonts w:ascii="Times New Roman;serif" w:hAnsi="Times New Roman;serif"/>
          <w:b w:val="false"/>
          <w:color w:val="000000"/>
          <w:sz w:val="22"/>
        </w:rPr>
        <w:t xml:space="preserve">, dated as of [•], 20__, among </w:t>
      </w:r>
      <w:r>
        <w:rPr>
          <w:rFonts w:ascii="Times New Roman;serif" w:hAnsi="Times New Roman;serif"/>
          <w:b/>
          <w:color w:val="000000"/>
          <w:sz w:val="22"/>
        </w:rPr>
        <w:t>SI-BONE, Inc.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w:t>
      </w:r>
      <w:r>
        <w:rPr>
          <w:rFonts w:ascii="Times New Roman;serif" w:hAnsi="Times New Roman;serif"/>
          <w:b/>
          <w:color w:val="000000"/>
          <w:sz w:val="22"/>
        </w:rPr>
        <w:t>TRUSTEE</w:t>
      </w:r>
      <w:r>
        <w:rPr>
          <w:rFonts w:ascii="Times New Roman;serif" w:hAnsi="Times New Roman;serif"/>
          <w:b w:val="false"/>
          <w:color w:val="000000"/>
          <w:sz w:val="22"/>
        </w:rPr>
        <w:t>], as trustee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for its lawful corporate purposes, the Company has duly authorized the execution and delivery of this Indenture to provide for the issuance of debt securities (hereinafter referred to as the “</w:t>
      </w:r>
      <w:r>
        <w:rPr>
          <w:rFonts w:ascii="Times New Roman;serif" w:hAnsi="Times New Roman;serif"/>
          <w:b/>
          <w:i/>
          <w:color w:val="000000"/>
          <w:sz w:val="22"/>
        </w:rPr>
        <w:t>Securities</w:t>
      </w:r>
      <w:r>
        <w:rPr>
          <w:color w:val="000000"/>
        </w:rPr>
        <w:t>”</w:t>
      </w:r>
      <w:r>
        <w:rPr>
          <w:rFonts w:ascii="Times New Roman;serif" w:hAnsi="Times New Roman;serif"/>
          <w:b w:val="false"/>
          <w:color w:val="000000"/>
          <w:sz w:val="22"/>
        </w:rPr>
        <w:t>),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to provide the terms and conditions upon which the Securities are to be authenticated, issued and delivered, the Company has duly authorized the execution of this Indenture;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all things necessary to make this Indenture a valid agreement of the Company, in accordance with its terms, have been done.</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the purchase of the Securities by the holders thereof, it is mutually covenanted and agreed as follows for the equal and ratable benefit of the holders of Securities:</w:t>
      </w:r>
    </w:p>
    <w:p>
      <w:pPr>
        <w:pStyle w:val="TextBody"/>
        <w:bidi w:val="0"/>
        <w:spacing w:lineRule="auto" w:line="240" w:before="0" w:after="240"/>
        <w:jc w:val="center"/>
        <w:rPr/>
      </w:pPr>
      <w:r>
        <w:rPr>
          <w:rFonts w:ascii="Times New Roman;serif" w:hAnsi="Times New Roman;serif"/>
          <w:b/>
          <w:color w:val="000000"/>
          <w:sz w:val="22"/>
        </w:rPr>
        <w:t>Article 1</w:t>
      </w:r>
      <w:r>
        <w:rPr>
          <w:rFonts w:ascii="Times New Roman;serif" w:hAnsi="Times New Roman;serif"/>
          <w:b/>
          <w:color w:val="000000"/>
          <w:sz w:val="22"/>
        </w:rPr>
        <w:br/>
        <w:br/>
        <w:t>DEFINITIONS</w:t>
      </w:r>
    </w:p>
    <w:p>
      <w:pPr>
        <w:pStyle w:val="TextBody"/>
        <w:bidi w:val="0"/>
        <w:spacing w:lineRule="auto" w:line="240" w:before="0" w:after="240"/>
        <w:ind w:left="0" w:right="0" w:firstLine="720"/>
        <w:jc w:val="both"/>
        <w:rPr/>
      </w:pPr>
      <w:r>
        <w:rPr>
          <w:rFonts w:ascii="Times New Roman;serif" w:hAnsi="Times New Roman;serif"/>
          <w:b/>
          <w:color w:val="000000"/>
          <w:sz w:val="22"/>
        </w:rPr>
        <w:t>Section 1.01</w:t>
      </w:r>
      <w:r>
        <w:rPr>
          <w:rFonts w:ascii="Times New Roman;serif" w:hAnsi="Times New Roman;serif"/>
          <w:b/>
          <w:color w:val="000000"/>
          <w:sz w:val="22"/>
        </w:rPr>
        <w:t>Definitions of Terms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Authenticating Agent</w:t>
      </w:r>
      <w:r>
        <w:rPr>
          <w:color w:val="000000"/>
        </w:rPr>
        <w:t xml:space="preserve">” </w:t>
      </w:r>
      <w:r>
        <w:rPr>
          <w:rFonts w:ascii="Times New Roman;serif" w:hAnsi="Times New Roman;serif"/>
          <w:b w:val="false"/>
          <w:color w:val="000000"/>
          <w:sz w:val="22"/>
        </w:rPr>
        <w:t>means the Trustee or an authenticating agent with respect to all or any of the series of Securities appointed by the Trustee pursuant to Section 2.10.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Bankruptcy Law</w:t>
      </w:r>
      <w:r>
        <w:rPr>
          <w:color w:val="000000"/>
        </w:rPr>
        <w:t xml:space="preserve">” </w:t>
      </w:r>
      <w:r>
        <w:rPr>
          <w:rFonts w:ascii="Times New Roman;serif" w:hAnsi="Times New Roman;serif"/>
          <w:b w:val="false"/>
          <w:color w:val="000000"/>
          <w:sz w:val="22"/>
        </w:rPr>
        <w:t>means Title 11, U.S. Code, or any similar federal or state law for the relief of debtors.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Board of Directors</w:t>
      </w:r>
      <w:r>
        <w:rPr>
          <w:color w:val="000000"/>
        </w:rPr>
        <w:t xml:space="preserve">” </w:t>
      </w:r>
      <w:r>
        <w:rPr>
          <w:rFonts w:ascii="Times New Roman;serif" w:hAnsi="Times New Roman;serif"/>
          <w:b w:val="false"/>
          <w:color w:val="000000"/>
          <w:sz w:val="22"/>
        </w:rPr>
        <w:t>means the Board of Directors (or the functional equivalent thereof) of the Company or any duly authorized committee of such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Board Resolution</w:t>
      </w:r>
      <w:r>
        <w:rPr>
          <w:color w:val="000000"/>
        </w:rPr>
        <w:t xml:space="preserve">” </w:t>
      </w:r>
      <w:r>
        <w:rPr>
          <w:rFonts w:ascii="Times New Roman;serif" w:hAnsi="Times New Roman;serif"/>
          <w:b w:val="false"/>
          <w:color w:val="000000"/>
          <w:sz w:val="22"/>
        </w:rPr>
        <w:t>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Commission</w:t>
      </w:r>
      <w:r>
        <w:rPr>
          <w:color w:val="000000"/>
        </w:rPr>
        <w:t xml:space="preserve">” </w:t>
      </w:r>
      <w:r>
        <w:rPr>
          <w:rFonts w:ascii="Times New Roman;serif" w:hAnsi="Times New Roman;serif"/>
          <w:b w:val="false"/>
          <w:color w:val="000000"/>
          <w:sz w:val="22"/>
        </w:rPr>
        <w:t>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means SI-BONE, Inc., a corporation duly organized and existing under the laws of the State of Delaware, and, subject to the provisions of Article Ten, shall also include its successors and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Corporate Trust Office</w:t>
      </w:r>
      <w:r>
        <w:rPr>
          <w:color w:val="000000"/>
        </w:rPr>
        <w:t xml:space="preserve">” </w:t>
      </w:r>
      <w:r>
        <w:rPr>
          <w:rFonts w:ascii="Times New Roman;serif" w:hAnsi="Times New Roman;serif"/>
          <w:b w:val="false"/>
          <w:color w:val="000000"/>
          <w:sz w:val="22"/>
        </w:rPr>
        <w:t xml:space="preserve">means the office of the Trustee at which, at any particular time, its corporate trust business shall be principally administered, which office at the date hereof is located </w:t>
        <w:br/>
        <w:t xml:space="preserve">at </w:t>
      </w:r>
      <w:r>
        <w:rPr>
          <w:color w:val="000000"/>
          <w:u w:val="single"/>
        </w:rPr>
        <w:t>                                        </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Custodian</w:t>
      </w:r>
      <w:r>
        <w:rPr>
          <w:color w:val="000000"/>
        </w:rPr>
        <w:t xml:space="preserve">” </w:t>
      </w:r>
      <w:r>
        <w:rPr>
          <w:rFonts w:ascii="Times New Roman;serif" w:hAnsi="Times New Roman;serif"/>
          <w:b w:val="false"/>
          <w:color w:val="000000"/>
          <w:sz w:val="22"/>
        </w:rPr>
        <w:t>means any receiver, trustee, assignee, liquidator or similar official under any Bankruptcy Law.</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Defaulted Interest</w:t>
      </w:r>
      <w:r>
        <w:rPr>
          <w:color w:val="000000"/>
        </w:rPr>
        <w:t xml:space="preserve">” </w:t>
      </w:r>
      <w:r>
        <w:rPr>
          <w:rFonts w:ascii="Times New Roman;serif" w:hAnsi="Times New Roman;serif"/>
          <w:b w:val="false"/>
          <w:color w:val="000000"/>
          <w:sz w:val="22"/>
        </w:rPr>
        <w:t>has the meaning set forth in Section 2.03.</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Depositary</w:t>
      </w:r>
      <w:r>
        <w:rPr>
          <w:color w:val="000000"/>
        </w:rPr>
        <w:t xml:space="preserve">” </w:t>
      </w:r>
      <w:r>
        <w:rPr>
          <w:rFonts w:ascii="Times New Roman;serif" w:hAnsi="Times New Roman;serif"/>
          <w:b w:val="false"/>
          <w:color w:val="000000"/>
          <w:sz w:val="22"/>
        </w:rPr>
        <w:t>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Event of Default</w:t>
      </w:r>
      <w:r>
        <w:rPr>
          <w:color w:val="000000"/>
        </w:rPr>
        <w:t xml:space="preserve">” </w:t>
      </w:r>
      <w:r>
        <w:rPr>
          <w:rFonts w:ascii="Times New Roman;serif" w:hAnsi="Times New Roman;serif"/>
          <w:b w:val="false"/>
          <w:color w:val="000000"/>
          <w:sz w:val="22"/>
        </w:rPr>
        <w:t>means, with respect to Securities of a particular series, any event specified in Section 6.01, continued for the period of time, if any, therein designated.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United States Securities and Exchange Act of 1934, as amended, and the rules and regulations promulgated by the Commission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given</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mailed</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notify</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sent</w:t>
      </w:r>
      <w:r>
        <w:rPr>
          <w:color w:val="000000"/>
        </w:rPr>
        <w:t xml:space="preserve">” </w:t>
      </w:r>
      <w:r>
        <w:rPr>
          <w:rFonts w:ascii="Times New Roman;serif" w:hAnsi="Times New Roman;serif"/>
          <w:b w:val="false"/>
          <w:color w:val="000000"/>
          <w:sz w:val="22"/>
        </w:rPr>
        <w:t>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Global Security</w:t>
      </w:r>
      <w:r>
        <w:rPr>
          <w:color w:val="000000"/>
        </w:rPr>
        <w:t xml:space="preserve">” </w:t>
      </w:r>
      <w:r>
        <w:rPr>
          <w:rFonts w:ascii="Times New Roman;serif" w:hAnsi="Times New Roman;serif"/>
          <w:b w:val="false"/>
          <w:color w:val="000000"/>
          <w:sz w:val="22"/>
        </w:rPr>
        <w:t>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Governmental Obligations</w:t>
      </w:r>
      <w:r>
        <w:rPr>
          <w:color w:val="000000"/>
        </w:rPr>
        <w:t xml:space="preserve">” </w:t>
      </w:r>
      <w:r>
        <w:rPr>
          <w:rFonts w:ascii="Times New Roman;serif" w:hAnsi="Times New Roman;serif"/>
          <w:b w:val="false"/>
          <w:color w:val="000000"/>
          <w:sz w:val="22"/>
        </w:rPr>
        <w:t xml:space="preserve">means securities that are (a) direct obligations of the United States of America for the payment of which its full faith and credit is pledged or (b) obligations of a Person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herein</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hereof</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hereunder</w:t>
      </w:r>
      <w:r>
        <w:rPr>
          <w:color w:val="000000"/>
        </w:rPr>
        <w:t>”</w:t>
      </w:r>
      <w:r>
        <w:rPr>
          <w:rFonts w:ascii="Times New Roman;serif" w:hAnsi="Times New Roman;serif"/>
          <w:b w:val="false"/>
          <w:color w:val="000000"/>
          <w:sz w:val="22"/>
        </w:rPr>
        <w:t>, and other words of similar import, refer to this Indenture as a whole and not to any particular Article, Section or other subdivision.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Indenture</w:t>
      </w:r>
      <w:r>
        <w:rPr>
          <w:color w:val="000000"/>
        </w:rPr>
        <w:t xml:space="preserve">” </w:t>
      </w:r>
      <w:r>
        <w:rPr>
          <w:rFonts w:ascii="Times New Roman;serif" w:hAnsi="Times New Roman;serif"/>
          <w:b w:val="false"/>
          <w:color w:val="000000"/>
          <w:sz w:val="22"/>
        </w:rPr>
        <w:t>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Interest Payment Date</w:t>
      </w:r>
      <w:r>
        <w:rPr>
          <w:color w:val="000000"/>
        </w:rPr>
        <w:t>”</w:t>
      </w:r>
      <w:r>
        <w:rPr>
          <w:rFonts w:ascii="Times New Roman;serif" w:hAnsi="Times New Roman;serif"/>
          <w:b w:val="false"/>
          <w:color w:val="000000"/>
          <w:sz w:val="22"/>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Officer</w:t>
      </w:r>
      <w:r>
        <w:rPr>
          <w:color w:val="000000"/>
        </w:rPr>
        <w:t xml:space="preserve">” </w:t>
      </w:r>
      <w:r>
        <w:rPr>
          <w:rFonts w:ascii="Times New Roman;serif" w:hAnsi="Times New Roman;serif"/>
          <w:b w:val="false"/>
          <w:color w:val="000000"/>
          <w:sz w:val="22"/>
        </w:rPr>
        <w:t>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Officer’s Certificate</w:t>
      </w:r>
      <w:r>
        <w:rPr>
          <w:color w:val="000000"/>
        </w:rPr>
        <w:t xml:space="preserve">” </w:t>
      </w:r>
      <w:r>
        <w:rPr>
          <w:rFonts w:ascii="Times New Roman;serif" w:hAnsi="Times New Roman;serif"/>
          <w:b w:val="false"/>
          <w:color w:val="000000"/>
          <w:sz w:val="22"/>
        </w:rPr>
        <w:t>means a certificate signed by any Officer. Each such certificate shall include the statements provided for in Section 13.07, if and to the extent required by the provisions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Opinion of Counsel</w:t>
      </w:r>
      <w:r>
        <w:rPr>
          <w:color w:val="000000"/>
        </w:rPr>
        <w:t xml:space="preserve">” </w:t>
      </w:r>
      <w:r>
        <w:rPr>
          <w:rFonts w:ascii="Times New Roman;serif" w:hAnsi="Times New Roman;serif"/>
          <w:b w:val="false"/>
          <w:color w:val="000000"/>
          <w:sz w:val="22"/>
        </w:rPr>
        <w:t>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Outstanding</w:t>
      </w:r>
      <w:r>
        <w:rPr>
          <w:color w:val="000000"/>
        </w:rPr>
        <w:t>”</w:t>
      </w:r>
      <w:r>
        <w:rPr>
          <w:rFonts w:ascii="Times New Roman;serif" w:hAnsi="Times New Roman;serif"/>
          <w:b w:val="false"/>
          <w:color w:val="000000"/>
          <w:sz w:val="22"/>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have been made for giving such notice; and (c) Securities in lieu of or in substitution for which other Securities shall have been authenticated and delivered pursuant to the terms of Section 2.07.</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Predecessor Security</w:t>
      </w:r>
      <w:r>
        <w:rPr>
          <w:color w:val="000000"/>
        </w:rPr>
        <w:t xml:space="preserve">” </w:t>
      </w:r>
      <w:r>
        <w:rPr>
          <w:rFonts w:ascii="Times New Roman;serif" w:hAnsi="Times New Roman;serif"/>
          <w:b w:val="false"/>
          <w:color w:val="000000"/>
          <w:sz w:val="22"/>
        </w:rPr>
        <w:t>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Responsible Officer</w:t>
      </w:r>
      <w:r>
        <w:rPr>
          <w:color w:val="000000"/>
        </w:rPr>
        <w:t xml:space="preserve">” </w:t>
      </w:r>
      <w:r>
        <w:rPr>
          <w:rFonts w:ascii="Times New Roman;serif" w:hAnsi="Times New Roman;serif"/>
          <w:b w:val="false"/>
          <w:color w:val="000000"/>
          <w:sz w:val="22"/>
        </w:rPr>
        <w:t>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Securities</w:t>
      </w:r>
      <w:r>
        <w:rPr>
          <w:color w:val="000000"/>
        </w:rPr>
        <w:t xml:space="preserve">” </w:t>
      </w:r>
      <w:r>
        <w:rPr>
          <w:rFonts w:ascii="Times New Roman;serif" w:hAnsi="Times New Roman;serif"/>
          <w:b w:val="false"/>
          <w:color w:val="000000"/>
          <w:sz w:val="22"/>
        </w:rPr>
        <w:t>has the meaning stated in the first recital of this Indenture and more particularly means any Securities authenticated and delivered under this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i/>
          <w:color w:val="000000"/>
          <w:sz w:val="22"/>
        </w:rPr>
        <w:t>Securityholder</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holder of Securities</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registered holder</w:t>
      </w:r>
      <w:r>
        <w:rPr>
          <w:color w:val="000000"/>
        </w:rPr>
        <w:t>”</w:t>
      </w:r>
      <w:r>
        <w:rPr>
          <w:rFonts w:ascii="Times New Roman;serif" w:hAnsi="Times New Roman;serif"/>
          <w:b w:val="false"/>
          <w:color w:val="000000"/>
          <w:sz w:val="22"/>
        </w:rPr>
        <w:t>, or other similar term, means the Person or Persons in whose name or names a particular Security is registered on the Security Register kept for that purpose in accordance with the terms of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Security Register</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Security Registrar</w:t>
      </w:r>
      <w:r>
        <w:rPr>
          <w:color w:val="000000"/>
        </w:rPr>
        <w:t xml:space="preserve">” </w:t>
      </w:r>
      <w:r>
        <w:rPr>
          <w:rFonts w:ascii="Times New Roman;serif" w:hAnsi="Times New Roman;serif"/>
          <w:b w:val="false"/>
          <w:color w:val="000000"/>
          <w:sz w:val="22"/>
        </w:rPr>
        <w:t>shall have the meanings as set forth in Section 2.05.</w:t>
      </w:r>
    </w:p>
    <w:p>
      <w:pPr>
        <w:pStyle w:val="TextBody"/>
        <w:bidi w:val="0"/>
        <w:spacing w:lineRule="auto" w:line="288" w:before="0" w:after="240"/>
        <w:ind w:left="0" w:right="0" w:firstLine="720"/>
        <w:jc w:val="left"/>
        <w:rPr/>
      </w:pP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Trustee</w:t>
      </w:r>
      <w:r>
        <w:rPr>
          <w:color w:val="000000"/>
        </w:rPr>
        <w:t xml:space="preserve">” </w:t>
      </w:r>
      <w:r>
        <w:rPr>
          <w:rFonts w:ascii="Times New Roman;serif" w:hAnsi="Times New Roman;serif"/>
          <w:b w:val="false"/>
          <w:color w:val="000000"/>
          <w:sz w:val="22"/>
        </w:rPr>
        <w:t>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Trust Indenture Act</w:t>
      </w:r>
      <w:r>
        <w:rPr>
          <w:color w:val="000000"/>
        </w:rPr>
        <w:t xml:space="preserve">” </w:t>
      </w:r>
      <w:r>
        <w:rPr>
          <w:rFonts w:ascii="Times New Roman;serif" w:hAnsi="Times New Roman;serif"/>
          <w:b w:val="false"/>
          <w:color w:val="000000"/>
          <w:sz w:val="22"/>
        </w:rPr>
        <w:t>means the Trust Indenture Act of 1939,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U.S.A. Patriot Act”</w:t>
      </w:r>
      <w:r>
        <w:rPr>
          <w:color w:val="000000"/>
        </w:rPr>
        <w:t xml:space="preserve"> </w:t>
      </w:r>
      <w:r>
        <w:rPr>
          <w:rFonts w:ascii="Times New Roman;serif" w:hAnsi="Times New Roman;serif"/>
          <w:b w:val="false"/>
          <w:color w:val="000000"/>
          <w:sz w:val="22"/>
        </w:rPr>
        <w:t>means the Uniting and Strengthening America by Providing Appropriate Tools Required to Intercept and Obstruct Terrorism Act of 2001, Pub. L. 107-56, as amended and signed into law October 26, 2001.</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2"/>
        </w:rPr>
        <w:br/>
      </w:r>
      <w:r>
        <w:rPr>
          <w:rFonts w:ascii="Times New Roman;serif" w:hAnsi="Times New Roman;serif"/>
          <w:b/>
          <w:color w:val="000000"/>
          <w:sz w:val="22"/>
        </w:rPr>
        <w:t>ISSUE, DESCRIPTION, TERMS, EXECUTION, REGISTRATION AND EXCHANGE OF SECURITIES</w:t>
      </w:r>
    </w:p>
    <w:p>
      <w:pPr>
        <w:pStyle w:val="TextBody"/>
        <w:bidi w:val="0"/>
        <w:spacing w:lineRule="auto" w:line="240" w:before="0" w:after="240"/>
        <w:ind w:left="0" w:right="0" w:firstLine="720"/>
        <w:jc w:val="both"/>
        <w:rPr/>
      </w:pPr>
      <w:r>
        <w:rPr>
          <w:rFonts w:ascii="Times New Roman;serif" w:hAnsi="Times New Roman;serif"/>
          <w:b/>
          <w:color w:val="000000"/>
          <w:sz w:val="22"/>
        </w:rPr>
        <w:t>Section 2.01</w:t>
      </w:r>
      <w:r>
        <w:rPr>
          <w:rFonts w:ascii="Times New Roman;serif" w:hAnsi="Times New Roman;serif"/>
          <w:b/>
          <w:color w:val="000000"/>
          <w:sz w:val="22"/>
        </w:rPr>
        <w:t>Designation and Terms of Securities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lineRule="auto" w:line="240" w:before="0" w:after="240"/>
        <w:ind w:left="0" w:right="0" w:firstLine="2160"/>
        <w:jc w:val="both"/>
        <w:rPr/>
      </w:pPr>
      <w:r>
        <w:rPr>
          <w:rFonts w:ascii="Times New Roman;serif" w:hAnsi="Times New Roman;serif"/>
          <w:b/>
          <w:color w:val="000000"/>
          <w:sz w:val="22"/>
        </w:rPr>
        <w:t>(1)</w:t>
      </w:r>
      <w:r>
        <w:rPr>
          <w:rFonts w:ascii="Times New Roman;serif" w:hAnsi="Times New Roman;serif"/>
          <w:b w:val="false"/>
          <w:color w:val="000000"/>
          <w:sz w:val="22"/>
        </w:rPr>
        <w:t>the title of the Securities of the series (which shall distinguish the Securities of that series from all other Securities);</w:t>
      </w:r>
    </w:p>
    <w:p>
      <w:pPr>
        <w:pStyle w:val="TextBody"/>
        <w:bidi w:val="0"/>
        <w:spacing w:lineRule="auto" w:line="240" w:before="0" w:after="240"/>
        <w:ind w:left="0" w:right="0" w:firstLine="2160"/>
        <w:jc w:val="both"/>
        <w:rPr/>
      </w:pPr>
      <w:r>
        <w:rPr>
          <w:rFonts w:ascii="Times New Roman;serif" w:hAnsi="Times New Roman;serif"/>
          <w:b/>
          <w:color w:val="000000"/>
          <w:sz w:val="22"/>
        </w:rPr>
        <w:t>(2)</w:t>
      </w:r>
      <w:r>
        <w:rPr>
          <w:rFonts w:ascii="Times New Roman;serif" w:hAnsi="Times New Roman;serif"/>
          <w:b w:val="false"/>
          <w:color w:val="000000"/>
          <w:sz w:val="22"/>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lineRule="auto" w:line="240" w:before="0" w:after="240"/>
        <w:ind w:left="0" w:right="0" w:firstLine="2160"/>
        <w:jc w:val="both"/>
        <w:rPr/>
      </w:pPr>
      <w:r>
        <w:rPr>
          <w:rFonts w:ascii="Times New Roman;serif" w:hAnsi="Times New Roman;serif"/>
          <w:b/>
          <w:color w:val="000000"/>
          <w:sz w:val="22"/>
        </w:rPr>
        <w:t>(3)</w:t>
      </w:r>
      <w:r>
        <w:rPr>
          <w:rFonts w:ascii="Times New Roman;serif" w:hAnsi="Times New Roman;serif"/>
          <w:b w:val="false"/>
          <w:color w:val="000000"/>
          <w:sz w:val="22"/>
        </w:rPr>
        <w:t>the maturity date or dates on which the principal of the Securities of the series is payable;</w:t>
      </w:r>
    </w:p>
    <w:p>
      <w:pPr>
        <w:pStyle w:val="TextBody"/>
        <w:bidi w:val="0"/>
        <w:spacing w:lineRule="auto" w:line="240" w:before="0" w:after="240"/>
        <w:ind w:left="0" w:right="0" w:firstLine="2160"/>
        <w:jc w:val="both"/>
        <w:rPr/>
      </w:pPr>
      <w:r>
        <w:rPr>
          <w:rFonts w:ascii="Times New Roman;serif" w:hAnsi="Times New Roman;serif"/>
          <w:b/>
          <w:color w:val="000000"/>
          <w:sz w:val="22"/>
        </w:rPr>
        <w:t>(4)</w:t>
      </w:r>
      <w:r>
        <w:rPr>
          <w:rFonts w:ascii="Times New Roman;serif" w:hAnsi="Times New Roman;serif"/>
          <w:b w:val="false"/>
          <w:color w:val="000000"/>
          <w:sz w:val="22"/>
        </w:rPr>
        <w:t>the form of the Securities of the series including the form of the certificate of authentication for such series;</w:t>
      </w:r>
    </w:p>
    <w:p>
      <w:pPr>
        <w:pStyle w:val="TextBody"/>
        <w:bidi w:val="0"/>
        <w:spacing w:lineRule="auto" w:line="240" w:before="0" w:after="240"/>
        <w:ind w:left="0" w:right="0" w:firstLine="2160"/>
        <w:jc w:val="both"/>
        <w:rPr/>
      </w:pPr>
      <w:r>
        <w:rPr>
          <w:rFonts w:ascii="Times New Roman;serif" w:hAnsi="Times New Roman;serif"/>
          <w:b/>
          <w:color w:val="000000"/>
          <w:sz w:val="22"/>
        </w:rPr>
        <w:t>(5)</w:t>
      </w:r>
      <w:r>
        <w:rPr>
          <w:rFonts w:ascii="Times New Roman;serif" w:hAnsi="Times New Roman;serif"/>
          <w:b w:val="false"/>
          <w:color w:val="000000"/>
          <w:sz w:val="22"/>
        </w:rPr>
        <w:t>the applicability of any guarantees;</w:t>
      </w:r>
    </w:p>
    <w:p>
      <w:pPr>
        <w:pStyle w:val="TextBody"/>
        <w:bidi w:val="0"/>
        <w:spacing w:lineRule="auto" w:line="240" w:before="0" w:after="240"/>
        <w:ind w:left="0" w:right="0" w:firstLine="2160"/>
        <w:jc w:val="both"/>
        <w:rPr/>
      </w:pPr>
      <w:r>
        <w:rPr>
          <w:rFonts w:ascii="Times New Roman;serif" w:hAnsi="Times New Roman;serif"/>
          <w:b/>
          <w:color w:val="000000"/>
          <w:sz w:val="22"/>
        </w:rPr>
        <w:t>(6)</w:t>
      </w:r>
      <w:r>
        <w:rPr>
          <w:rFonts w:ascii="Times New Roman;serif" w:hAnsi="Times New Roman;serif"/>
          <w:b w:val="false"/>
          <w:color w:val="000000"/>
          <w:sz w:val="22"/>
        </w:rPr>
        <w:t>whether or not the Securities will be secured or unsecured, and the terms of any secured debt;</w:t>
      </w:r>
    </w:p>
    <w:p>
      <w:pPr>
        <w:pStyle w:val="TextBody"/>
        <w:bidi w:val="0"/>
        <w:spacing w:lineRule="auto" w:line="240" w:before="0" w:after="240"/>
        <w:ind w:left="0" w:right="0" w:firstLine="2160"/>
        <w:jc w:val="both"/>
        <w:rPr/>
      </w:pPr>
      <w:r>
        <w:rPr>
          <w:rFonts w:ascii="Times New Roman;serif" w:hAnsi="Times New Roman;serif"/>
          <w:b/>
          <w:color w:val="000000"/>
          <w:sz w:val="22"/>
        </w:rPr>
        <w:t>(7)</w:t>
      </w:r>
      <w:r>
        <w:rPr>
          <w:rFonts w:ascii="Times New Roman;serif" w:hAnsi="Times New Roman;serif"/>
          <w:b w:val="false"/>
          <w:color w:val="000000"/>
          <w:sz w:val="22"/>
        </w:rPr>
        <w:t>whether the Securities rank as senior debt, senior subordinated debt, subordinated debt or any combination thereof, and the terms of any subordination;</w:t>
      </w:r>
    </w:p>
    <w:p>
      <w:pPr>
        <w:pStyle w:val="TextBody"/>
        <w:bidi w:val="0"/>
        <w:spacing w:lineRule="auto" w:line="240" w:before="0" w:after="240"/>
        <w:ind w:left="0" w:right="0" w:firstLine="2160"/>
        <w:jc w:val="both"/>
        <w:rPr/>
      </w:pPr>
      <w:r>
        <w:rPr>
          <w:rFonts w:ascii="Times New Roman;serif" w:hAnsi="Times New Roman;serif"/>
          <w:b/>
          <w:color w:val="000000"/>
          <w:sz w:val="22"/>
        </w:rPr>
        <w:t>(8)</w:t>
      </w:r>
      <w:r>
        <w:rPr>
          <w:rFonts w:ascii="Times New Roman;serif" w:hAnsi="Times New Roman;serif"/>
          <w:b w:val="false"/>
          <w:color w:val="000000"/>
          <w:sz w:val="22"/>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lineRule="auto" w:line="240" w:before="0" w:after="240"/>
        <w:ind w:left="0" w:right="0" w:firstLine="2160"/>
        <w:jc w:val="both"/>
        <w:rPr/>
      </w:pPr>
      <w:r>
        <w:rPr>
          <w:rFonts w:ascii="Times New Roman;serif" w:hAnsi="Times New Roman;serif"/>
          <w:b/>
          <w:color w:val="000000"/>
          <w:sz w:val="22"/>
        </w:rPr>
        <w:t>(9)</w:t>
      </w:r>
      <w:r>
        <w:rPr>
          <w:rFonts w:ascii="Times New Roman;serif" w:hAnsi="Times New Roman;serif"/>
          <w:b w:val="false"/>
          <w:color w:val="000000"/>
          <w:sz w:val="22"/>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40" w:before="0" w:after="240"/>
        <w:ind w:left="0" w:right="0" w:firstLine="2160"/>
        <w:jc w:val="both"/>
        <w:rPr/>
      </w:pPr>
      <w:r>
        <w:rPr>
          <w:rFonts w:ascii="Times New Roman;serif" w:hAnsi="Times New Roman;serif"/>
          <w:b/>
          <w:color w:val="000000"/>
          <w:sz w:val="22"/>
        </w:rPr>
        <w:t>(10)</w:t>
      </w:r>
      <w:r>
        <w:rPr>
          <w:rFonts w:ascii="Times New Roman;serif" w:hAnsi="Times New Roman;serif"/>
          <w:b w:val="false"/>
          <w:color w:val="000000"/>
          <w:sz w:val="22"/>
        </w:rPr>
        <w:t>the Company’s right, if any, to defer the payment of interest and the maximum length of any such deferral period;</w:t>
      </w:r>
    </w:p>
    <w:p>
      <w:pPr>
        <w:pStyle w:val="TextBody"/>
        <w:bidi w:val="0"/>
        <w:spacing w:lineRule="auto" w:line="240" w:before="0" w:after="240"/>
        <w:ind w:left="0" w:right="0" w:firstLine="2160"/>
        <w:jc w:val="both"/>
        <w:rPr/>
      </w:pPr>
      <w:r>
        <w:rPr>
          <w:rFonts w:ascii="Times New Roman;serif" w:hAnsi="Times New Roman;serif"/>
          <w:b/>
          <w:color w:val="000000"/>
          <w:sz w:val="22"/>
        </w:rPr>
        <w:t>(11)</w:t>
      </w:r>
      <w:r>
        <w:rPr>
          <w:rFonts w:ascii="Times New Roman;serif" w:hAnsi="Times New Roman;serif"/>
          <w:b w:val="false"/>
          <w:color w:val="000000"/>
          <w:sz w:val="22"/>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pStyle w:val="TextBody"/>
        <w:bidi w:val="0"/>
        <w:spacing w:lineRule="auto" w:line="240" w:before="0" w:after="240"/>
        <w:ind w:left="0" w:right="0" w:firstLine="2160"/>
        <w:jc w:val="both"/>
        <w:rPr/>
      </w:pPr>
      <w:r>
        <w:rPr>
          <w:rFonts w:ascii="Times New Roman;serif" w:hAnsi="Times New Roman;serif"/>
          <w:b/>
          <w:color w:val="000000"/>
          <w:sz w:val="22"/>
        </w:rPr>
        <w:t>(12)</w:t>
      </w:r>
      <w:r>
        <w:rPr>
          <w:rFonts w:ascii="Times New Roman;serif" w:hAnsi="Times New Roman;serif"/>
          <w:b w:val="false"/>
          <w:color w:val="000000"/>
          <w:sz w:val="22"/>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color w:val="000000"/>
          <w:sz w:val="22"/>
        </w:rPr>
        <w:t>(13)</w:t>
      </w:r>
      <w:r>
        <w:rPr>
          <w:rFonts w:ascii="Times New Roman;serif" w:hAnsi="Times New Roman;serif"/>
          <w:b w:val="false"/>
          <w:color w:val="000000"/>
          <w:sz w:val="22"/>
        </w:rPr>
        <w:t>the denominations in which the Securities of the series shall be issuable, if other than denominations of one thousand U.S. dollars ($1,000) or any integral multiple thereof;</w:t>
      </w:r>
    </w:p>
    <w:p>
      <w:pPr>
        <w:pStyle w:val="TextBody"/>
        <w:bidi w:val="0"/>
        <w:spacing w:lineRule="auto" w:line="240" w:before="0" w:after="240"/>
        <w:ind w:left="0" w:right="0" w:firstLine="2160"/>
        <w:jc w:val="both"/>
        <w:rPr/>
      </w:pPr>
      <w:r>
        <w:rPr>
          <w:rFonts w:ascii="Times New Roman;serif" w:hAnsi="Times New Roman;serif"/>
          <w:b/>
          <w:color w:val="000000"/>
          <w:sz w:val="22"/>
        </w:rPr>
        <w:t>(14)</w:t>
      </w:r>
      <w:r>
        <w:rPr>
          <w:rFonts w:ascii="Times New Roman;serif" w:hAnsi="Times New Roman;serif"/>
          <w:b w:val="false"/>
          <w:color w:val="000000"/>
          <w:sz w:val="22"/>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pStyle w:val="TextBody"/>
        <w:bidi w:val="0"/>
        <w:spacing w:lineRule="auto" w:line="240" w:before="0" w:after="240"/>
        <w:ind w:left="0" w:right="0" w:firstLine="2160"/>
        <w:jc w:val="both"/>
        <w:rPr/>
      </w:pPr>
      <w:r>
        <w:rPr>
          <w:rFonts w:ascii="Times New Roman;serif" w:hAnsi="Times New Roman;serif"/>
          <w:b/>
          <w:color w:val="000000"/>
          <w:sz w:val="22"/>
        </w:rPr>
        <w:t>(15)</w:t>
      </w:r>
      <w:r>
        <w:rPr>
          <w:rFonts w:ascii="Times New Roman;serif" w:hAnsi="Times New Roman;serif"/>
          <w:b w:val="false"/>
          <w:color w:val="000000"/>
          <w:sz w:val="22"/>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lineRule="auto" w:line="240" w:before="0" w:after="240"/>
        <w:ind w:left="0" w:right="0" w:firstLine="2160"/>
        <w:jc w:val="both"/>
        <w:rPr/>
      </w:pPr>
      <w:r>
        <w:rPr>
          <w:rFonts w:ascii="Times New Roman;serif" w:hAnsi="Times New Roman;serif"/>
          <w:b/>
          <w:color w:val="000000"/>
          <w:sz w:val="22"/>
        </w:rPr>
        <w:t>(16)</w:t>
      </w:r>
      <w:r>
        <w:rPr>
          <w:rFonts w:ascii="Times New Roman;serif" w:hAnsi="Times New Roman;serif"/>
          <w:b w:val="false"/>
          <w:color w:val="000000"/>
          <w:sz w:val="22"/>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pStyle w:val="TextBody"/>
        <w:bidi w:val="0"/>
        <w:spacing w:lineRule="auto" w:line="240" w:before="0" w:after="240"/>
        <w:ind w:left="0" w:right="0" w:firstLine="2160"/>
        <w:jc w:val="both"/>
        <w:rPr/>
      </w:pPr>
      <w:r>
        <w:rPr>
          <w:rFonts w:ascii="Times New Roman;serif" w:hAnsi="Times New Roman;serif"/>
          <w:b/>
          <w:color w:val="000000"/>
          <w:sz w:val="22"/>
        </w:rPr>
        <w:t>(17)</w:t>
      </w:r>
      <w:r>
        <w:rPr>
          <w:rFonts w:ascii="Times New Roman;serif" w:hAnsi="Times New Roman;serif"/>
          <w:b w:val="false"/>
          <w:color w:val="000000"/>
          <w:sz w:val="22"/>
        </w:rPr>
        <w:t>if other than the full principal amount thereof, the portion of the principal amount of Securities of the series which shall be payable upon declaration of acceleration of the maturity thereof pursuant to Section 6.01;</w:t>
      </w:r>
    </w:p>
    <w:p>
      <w:pPr>
        <w:pStyle w:val="TextBody"/>
        <w:bidi w:val="0"/>
        <w:spacing w:lineRule="auto" w:line="240" w:before="0" w:after="240"/>
        <w:ind w:left="0" w:right="0" w:firstLine="2160"/>
        <w:jc w:val="both"/>
        <w:rPr/>
      </w:pPr>
      <w:r>
        <w:rPr>
          <w:rFonts w:ascii="Times New Roman;serif" w:hAnsi="Times New Roman;serif"/>
          <w:b/>
          <w:color w:val="000000"/>
          <w:sz w:val="22"/>
        </w:rPr>
        <w:t>(18)</w:t>
      </w:r>
      <w:r>
        <w:rPr>
          <w:rFonts w:ascii="Times New Roman;serif" w:hAnsi="Times New Roman;serif"/>
          <w:b w:val="false"/>
          <w:color w:val="000000"/>
          <w:sz w:val="22"/>
        </w:rPr>
        <w:t>additions to or changes in the covenants applicable to the series of Securities being issued, including, among others, the consolidation, merger or sale covenant;</w:t>
      </w:r>
    </w:p>
    <w:p>
      <w:pPr>
        <w:pStyle w:val="TextBody"/>
        <w:bidi w:val="0"/>
        <w:spacing w:lineRule="auto" w:line="240" w:before="0" w:after="240"/>
        <w:ind w:left="0" w:right="0" w:firstLine="2160"/>
        <w:jc w:val="both"/>
        <w:rPr/>
      </w:pPr>
      <w:r>
        <w:rPr>
          <w:rFonts w:ascii="Times New Roman;serif" w:hAnsi="Times New Roman;serif"/>
          <w:b/>
          <w:color w:val="000000"/>
          <w:sz w:val="22"/>
        </w:rPr>
        <w:t>(19)</w:t>
      </w:r>
      <w:r>
        <w:rPr>
          <w:rFonts w:ascii="Times New Roman;serif" w:hAnsi="Times New Roman;serif"/>
          <w:b w:val="false"/>
          <w:color w:val="000000"/>
          <w:sz w:val="22"/>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pStyle w:val="TextBody"/>
        <w:bidi w:val="0"/>
        <w:spacing w:lineRule="auto" w:line="240" w:before="0" w:after="240"/>
        <w:ind w:left="0" w:right="0" w:firstLine="2160"/>
        <w:jc w:val="both"/>
        <w:rPr/>
      </w:pPr>
      <w:r>
        <w:rPr>
          <w:rFonts w:ascii="Times New Roman;serif" w:hAnsi="Times New Roman;serif"/>
          <w:b/>
          <w:color w:val="000000"/>
          <w:sz w:val="22"/>
        </w:rPr>
        <w:t>(20)</w:t>
      </w:r>
      <w:r>
        <w:rPr>
          <w:rFonts w:ascii="Times New Roman;serif" w:hAnsi="Times New Roman;serif"/>
          <w:b w:val="false"/>
          <w:color w:val="000000"/>
          <w:sz w:val="22"/>
        </w:rPr>
        <w:t>additions to or changes in or deletions of the provisions relating to covenant defeasance and legal defeasance;</w:t>
      </w:r>
    </w:p>
    <w:p>
      <w:pPr>
        <w:pStyle w:val="TextBody"/>
        <w:bidi w:val="0"/>
        <w:spacing w:lineRule="auto" w:line="240" w:before="0" w:after="240"/>
        <w:ind w:left="0" w:right="0" w:firstLine="2160"/>
        <w:jc w:val="both"/>
        <w:rPr/>
      </w:pPr>
      <w:r>
        <w:rPr>
          <w:rFonts w:ascii="Times New Roman;serif" w:hAnsi="Times New Roman;serif"/>
          <w:b/>
          <w:color w:val="000000"/>
          <w:sz w:val="22"/>
        </w:rPr>
        <w:t>(21)</w:t>
      </w:r>
      <w:r>
        <w:rPr>
          <w:rFonts w:ascii="Times New Roman;serif" w:hAnsi="Times New Roman;serif"/>
          <w:b w:val="false"/>
          <w:color w:val="000000"/>
          <w:sz w:val="22"/>
        </w:rPr>
        <w:t>additions to or changes in the provisions relating to satisfaction and discharge of this Indenture;</w:t>
      </w:r>
    </w:p>
    <w:p>
      <w:pPr>
        <w:pStyle w:val="TextBody"/>
        <w:bidi w:val="0"/>
        <w:spacing w:lineRule="auto" w:line="240" w:before="0" w:after="240"/>
        <w:ind w:left="0" w:right="0" w:firstLine="2160"/>
        <w:jc w:val="both"/>
        <w:rPr/>
      </w:pPr>
      <w:r>
        <w:rPr>
          <w:rFonts w:ascii="Times New Roman;serif" w:hAnsi="Times New Roman;serif"/>
          <w:b/>
          <w:color w:val="000000"/>
          <w:sz w:val="22"/>
        </w:rPr>
        <w:t>(22)</w:t>
      </w:r>
      <w:r>
        <w:rPr>
          <w:rFonts w:ascii="Times New Roman;serif" w:hAnsi="Times New Roman;serif"/>
          <w:b w:val="false"/>
          <w:color w:val="000000"/>
          <w:sz w:val="22"/>
        </w:rPr>
        <w:t>additions to or changes in the provisions relating to the modification of this Indenture both with and without the consent of Securityholders of Securities issued under this Indenture;</w:t>
      </w:r>
    </w:p>
    <w:p>
      <w:pPr>
        <w:pStyle w:val="TextBody"/>
        <w:bidi w:val="0"/>
        <w:spacing w:lineRule="auto" w:line="240" w:before="0" w:after="240"/>
        <w:ind w:left="0" w:right="0" w:firstLine="2160"/>
        <w:jc w:val="both"/>
        <w:rPr/>
      </w:pPr>
      <w:r>
        <w:rPr>
          <w:rFonts w:ascii="Times New Roman;serif" w:hAnsi="Times New Roman;serif"/>
          <w:b/>
          <w:color w:val="000000"/>
          <w:sz w:val="22"/>
        </w:rPr>
        <w:t>(23)</w:t>
      </w:r>
      <w:r>
        <w:rPr>
          <w:rFonts w:ascii="Times New Roman;serif" w:hAnsi="Times New Roman;serif"/>
          <w:b w:val="false"/>
          <w:color w:val="000000"/>
          <w:sz w:val="22"/>
        </w:rPr>
        <w:t>the currency of payment of Securities if other than U.S. dollars and the manner of determining the equivalent amount in U.S. dollars;</w:t>
      </w:r>
    </w:p>
    <w:p>
      <w:pPr>
        <w:pStyle w:val="TextBody"/>
        <w:bidi w:val="0"/>
        <w:spacing w:lineRule="auto" w:line="240" w:before="0" w:after="240"/>
        <w:ind w:left="0" w:right="0" w:firstLine="2160"/>
        <w:jc w:val="both"/>
        <w:rPr/>
      </w:pPr>
      <w:r>
        <w:rPr>
          <w:rFonts w:ascii="Times New Roman;serif" w:hAnsi="Times New Roman;serif"/>
          <w:b/>
          <w:color w:val="000000"/>
          <w:sz w:val="22"/>
        </w:rPr>
        <w:t>(24)</w:t>
      </w:r>
      <w:r>
        <w:rPr>
          <w:rFonts w:ascii="Times New Roman;serif" w:hAnsi="Times New Roman;serif"/>
          <w:b w:val="false"/>
          <w:color w:val="000000"/>
          <w:sz w:val="22"/>
        </w:rPr>
        <w:t>whether interest will be payable in cash or additional Securities at the Company’s or the Securityholders’ option and the terms and conditions upon which the election may be made;</w:t>
      </w:r>
    </w:p>
    <w:p>
      <w:pPr>
        <w:pStyle w:val="TextBody"/>
        <w:bidi w:val="0"/>
        <w:spacing w:lineRule="auto" w:line="240" w:before="0" w:after="240"/>
        <w:ind w:left="0" w:right="0" w:firstLine="2160"/>
        <w:jc w:val="both"/>
        <w:rPr/>
      </w:pPr>
      <w:r>
        <w:rPr>
          <w:rFonts w:ascii="Times New Roman;serif" w:hAnsi="Times New Roman;serif"/>
          <w:b/>
          <w:color w:val="000000"/>
          <w:sz w:val="22"/>
        </w:rPr>
        <w:t>(25)</w:t>
      </w:r>
      <w:r>
        <w:rPr>
          <w:rFonts w:ascii="Times New Roman;serif" w:hAnsi="Times New Roman;serif"/>
          <w:b w:val="false"/>
          <w:color w:val="000000"/>
          <w:sz w:val="22"/>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lineRule="auto" w:line="240" w:before="0" w:after="240"/>
        <w:ind w:left="0" w:right="0" w:firstLine="2160"/>
        <w:jc w:val="both"/>
        <w:rPr/>
      </w:pPr>
      <w:r>
        <w:rPr>
          <w:rFonts w:ascii="Times New Roman;serif" w:hAnsi="Times New Roman;serif"/>
          <w:b/>
          <w:color w:val="000000"/>
          <w:sz w:val="22"/>
        </w:rPr>
        <w:t>(26)</w:t>
      </w:r>
      <w:r>
        <w:rPr>
          <w:rFonts w:ascii="Times New Roman;serif" w:hAnsi="Times New Roman;serif"/>
          <w:b w:val="false"/>
          <w:color w:val="000000"/>
          <w:sz w:val="22"/>
        </w:rPr>
        <w:t>any restrictions on transfer, sale or assignment of the Securities of the series;</w:t>
      </w:r>
      <w:r>
        <w:rPr>
          <w:color w:val="000000"/>
        </w:rPr>
        <w:t xml:space="preserve"> </w:t>
      </w:r>
      <w:r>
        <w:rPr>
          <w:rFonts w:ascii="Times New Roman;serif" w:hAnsi="Times New Roman;serif"/>
          <w:b w:val="false"/>
          <w:color w:val="000000"/>
          <w:sz w:val="22"/>
        </w:rPr>
        <w:t>and</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color w:val="000000"/>
          <w:sz w:val="22"/>
        </w:rPr>
        <w:t>(27)</w:t>
      </w:r>
      <w:r>
        <w:rPr>
          <w:rFonts w:ascii="Times New Roman;serif" w:hAnsi="Times New Roman;serif"/>
          <w:b w:val="false"/>
          <w:color w:val="000000"/>
          <w:sz w:val="22"/>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Securities of any one series shall be substantially identical except as may otherwise be provided in or pursuant to any such Board Resolution or in any indentures supplemental 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lineRule="auto" w:line="240" w:before="0" w:after="240"/>
        <w:ind w:left="0" w:right="0" w:firstLine="720"/>
        <w:jc w:val="both"/>
        <w:rPr/>
      </w:pPr>
      <w:r>
        <w:rPr>
          <w:rFonts w:ascii="Times New Roman;serif" w:hAnsi="Times New Roman;serif"/>
          <w:b/>
          <w:color w:val="000000"/>
          <w:sz w:val="22"/>
        </w:rPr>
        <w:t>Section 2.02</w:t>
      </w:r>
      <w:r>
        <w:rPr>
          <w:rFonts w:ascii="Times New Roman;serif" w:hAnsi="Times New Roman;serif"/>
          <w:b/>
          <w:color w:val="000000"/>
          <w:sz w:val="22"/>
        </w:rPr>
        <w:t>Form of Securities and Trustee’s Certificate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lineRule="auto" w:line="240" w:before="0" w:after="240"/>
        <w:ind w:left="0" w:right="0" w:firstLine="720"/>
        <w:jc w:val="both"/>
        <w:rPr/>
      </w:pPr>
      <w:r>
        <w:rPr>
          <w:rFonts w:ascii="Times New Roman;serif" w:hAnsi="Times New Roman;serif"/>
          <w:b/>
          <w:color w:val="000000"/>
          <w:sz w:val="22"/>
        </w:rPr>
        <w:t>Section 2.03</w:t>
      </w:r>
      <w:r>
        <w:rPr>
          <w:rFonts w:ascii="Times New Roman;serif" w:hAnsi="Times New Roman;serif"/>
          <w:b/>
          <w:color w:val="000000"/>
          <w:sz w:val="22"/>
        </w:rPr>
        <w:t>Denominations: Provisions for Payment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 interest on any Security that is payable, but is not punctually paid or duly provided for, on any Interest Payment Date for Securities of the same series (herein called “</w:t>
      </w:r>
      <w:r>
        <w:rPr>
          <w:rFonts w:ascii="Times New Roman;serif" w:hAnsi="Times New Roman;serif"/>
          <w:b/>
          <w:i/>
          <w:color w:val="000000"/>
          <w:sz w:val="22"/>
        </w:rPr>
        <w:t>Defaulted Interest</w:t>
      </w:r>
      <w:r>
        <w:rPr>
          <w:color w:val="000000"/>
        </w:rPr>
        <w:t>”</w:t>
      </w:r>
      <w:r>
        <w:rPr>
          <w:rFonts w:ascii="Times New Roman;serif" w:hAnsi="Times New Roman;serif"/>
          <w:b w:val="false"/>
          <w:color w:val="000000"/>
          <w:sz w:val="22"/>
        </w:rPr>
        <w:t xml:space="preserve">) shall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lineRule="auto" w:line="240" w:before="0" w:after="240"/>
        <w:ind w:left="0" w:right="0" w:firstLine="2160"/>
        <w:jc w:val="both"/>
        <w:rPr/>
      </w:pPr>
      <w:r>
        <w:rPr>
          <w:rFonts w:ascii="Times New Roman;serif" w:hAnsi="Times New Roman;serif"/>
          <w:b/>
          <w:color w:val="000000"/>
          <w:sz w:val="22"/>
        </w:rPr>
        <w:t>(1)</w:t>
      </w:r>
      <w:r>
        <w:rPr>
          <w:rFonts w:ascii="Times New Roman;serif" w:hAnsi="Times New Roman;serif"/>
          <w:b w:val="false"/>
          <w:color w:val="000000"/>
          <w:sz w:val="22"/>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lineRule="auto" w:line="240" w:before="0" w:after="240"/>
        <w:ind w:left="0" w:right="0" w:firstLine="2160"/>
        <w:jc w:val="both"/>
        <w:rPr/>
      </w:pPr>
      <w:r>
        <w:rPr>
          <w:rFonts w:ascii="Times New Roman;serif" w:hAnsi="Times New Roman;serif"/>
          <w:b/>
          <w:color w:val="000000"/>
          <w:sz w:val="22"/>
        </w:rPr>
        <w:t>(2)</w:t>
      </w:r>
      <w:r>
        <w:rPr>
          <w:rFonts w:ascii="Times New Roman;serif" w:hAnsi="Times New Roman;serif"/>
          <w:b w:val="false"/>
          <w:color w:val="000000"/>
          <w:sz w:val="22"/>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lineRule="auto" w:line="240" w:before="0" w:after="240"/>
        <w:ind w:left="0" w:right="0" w:firstLine="720"/>
        <w:jc w:val="both"/>
        <w:rPr/>
      </w:pPr>
      <w:r>
        <w:rPr>
          <w:rFonts w:ascii="Times New Roman;serif" w:hAnsi="Times New Roman;serif"/>
          <w:b/>
          <w:color w:val="000000"/>
          <w:sz w:val="22"/>
        </w:rPr>
        <w:t>Section 2.04</w:t>
      </w:r>
      <w:r>
        <w:rPr>
          <w:rFonts w:ascii="Times New Roman;serif" w:hAnsi="Times New Roman;serif"/>
          <w:b/>
          <w:color w:val="000000"/>
          <w:sz w:val="22"/>
        </w:rPr>
        <w:t>Execution and Authentications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Securities shall be signed on behalf of the Company by one of its Officers. Signatures may be in the form of a manual or facsimile signature.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2.05</w:t>
      </w:r>
      <w:r>
        <w:rPr>
          <w:rFonts w:ascii="Times New Roman;serif" w:hAnsi="Times New Roman;serif"/>
          <w:b/>
          <w:color w:val="000000"/>
          <w:sz w:val="22"/>
        </w:rPr>
        <w:t>Registration of Transfer and Exchange</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Company shall keep, or cause to be kept, at its office or agency designated for such purpose a register or registers (herein referred to as the “</w:t>
      </w:r>
      <w:r>
        <w:rPr>
          <w:rFonts w:ascii="Times New Roman;serif" w:hAnsi="Times New Roman;serif"/>
          <w:b/>
          <w:i/>
          <w:color w:val="000000"/>
          <w:sz w:val="22"/>
        </w:rPr>
        <w:t>Security Register</w:t>
      </w:r>
      <w:r>
        <w:rPr>
          <w:color w:val="000000"/>
        </w:rPr>
        <w:t>”</w:t>
      </w:r>
      <w:r>
        <w:rPr>
          <w:rFonts w:ascii="Times New Roman;serif" w:hAnsi="Times New Roman;serif"/>
          <w:b w:val="false"/>
          <w:color w:val="000000"/>
          <w:sz w:val="22"/>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Times New Roman;serif" w:hAnsi="Times New Roman;serif"/>
          <w:b/>
          <w:i/>
          <w:color w:val="000000"/>
          <w:sz w:val="22"/>
        </w:rPr>
        <w:t>Security Registrar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initially appoints the Trustee as initial Security Registrar for each series of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lineRule="auto" w:line="240" w:before="0" w:after="240"/>
        <w:ind w:left="0" w:right="0" w:firstLine="720"/>
        <w:jc w:val="both"/>
        <w:rPr/>
      </w:pPr>
      <w:r>
        <w:rPr>
          <w:rFonts w:ascii="Times New Roman;serif" w:hAnsi="Times New Roman;serif"/>
          <w:b/>
          <w:color w:val="000000"/>
          <w:sz w:val="22"/>
        </w:rPr>
        <w:t>Section 2.06</w:t>
      </w:r>
      <w:r>
        <w:rPr>
          <w:rFonts w:ascii="Times New Roman;serif" w:hAnsi="Times New Roman;serif"/>
          <w:b/>
          <w:color w:val="000000"/>
          <w:sz w:val="22"/>
        </w:rPr>
        <w:t>Temporary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lineRule="auto" w:line="240" w:before="0" w:after="240"/>
        <w:ind w:left="0" w:right="0" w:firstLine="720"/>
        <w:jc w:val="both"/>
        <w:rPr/>
      </w:pPr>
      <w:r>
        <w:rPr>
          <w:rFonts w:ascii="Times New Roman;serif" w:hAnsi="Times New Roman;serif"/>
          <w:b/>
          <w:color w:val="000000"/>
          <w:sz w:val="22"/>
        </w:rPr>
        <w:t>Section 2.07</w:t>
      </w:r>
      <w:r>
        <w:rPr>
          <w:rFonts w:ascii="Times New Roman;serif" w:hAnsi="Times New Roman;serif"/>
          <w:b/>
          <w:color w:val="000000"/>
          <w:sz w:val="22"/>
        </w:rPr>
        <w:t>Mutilated, Destroyed, Lost or Stolen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lineRule="auto" w:line="240" w:before="0" w:after="240"/>
        <w:ind w:left="0" w:right="0" w:firstLine="720"/>
        <w:jc w:val="both"/>
        <w:rPr/>
      </w:pPr>
      <w:r>
        <w:rPr>
          <w:rFonts w:ascii="Times New Roman;serif" w:hAnsi="Times New Roman;serif"/>
          <w:b/>
          <w:color w:val="000000"/>
          <w:sz w:val="22"/>
        </w:rPr>
        <w:t>Section 2.08</w:t>
      </w:r>
      <w:r>
        <w:rPr>
          <w:rFonts w:ascii="Times New Roman;serif" w:hAnsi="Times New Roman;serif"/>
          <w:b/>
          <w:color w:val="000000"/>
          <w:sz w:val="22"/>
        </w:rPr>
        <w:t>Cancellation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lineRule="auto" w:line="240" w:before="0" w:after="240"/>
        <w:ind w:left="0" w:right="0" w:firstLine="720"/>
        <w:jc w:val="both"/>
        <w:rPr/>
      </w:pPr>
      <w:r>
        <w:rPr>
          <w:rFonts w:ascii="Times New Roman;serif" w:hAnsi="Times New Roman;serif"/>
          <w:b/>
          <w:color w:val="000000"/>
          <w:sz w:val="22"/>
        </w:rPr>
        <w:t>Section 2.09</w:t>
      </w:r>
      <w:r>
        <w:rPr>
          <w:rFonts w:ascii="Times New Roman;serif" w:hAnsi="Times New Roman;serif"/>
          <w:b/>
          <w:color w:val="000000"/>
          <w:sz w:val="22"/>
        </w:rPr>
        <w:t>Benefits of Indenture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lineRule="auto" w:line="240" w:before="0" w:after="240"/>
        <w:ind w:left="0" w:right="0" w:firstLine="720"/>
        <w:jc w:val="both"/>
        <w:rPr/>
      </w:pPr>
      <w:r>
        <w:rPr>
          <w:rFonts w:ascii="Times New Roman;serif" w:hAnsi="Times New Roman;serif"/>
          <w:b/>
          <w:color w:val="000000"/>
          <w:sz w:val="22"/>
        </w:rPr>
        <w:t>Section 2.10</w:t>
      </w:r>
      <w:r>
        <w:rPr>
          <w:rFonts w:ascii="Times New Roman;serif" w:hAnsi="Times New Roman;serif"/>
          <w:b/>
          <w:color w:val="000000"/>
          <w:sz w:val="22"/>
        </w:rPr>
        <w:t>Authenticating Agent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lineRule="auto" w:line="240" w:before="0" w:after="240"/>
        <w:ind w:left="0" w:right="0" w:firstLine="720"/>
        <w:jc w:val="both"/>
        <w:rPr/>
      </w:pPr>
      <w:r>
        <w:rPr>
          <w:rFonts w:ascii="Times New Roman;serif" w:hAnsi="Times New Roman;serif"/>
          <w:b/>
          <w:color w:val="000000"/>
          <w:sz w:val="22"/>
        </w:rPr>
        <w:t>Section 2.11</w:t>
      </w:r>
      <w:r>
        <w:rPr>
          <w:rFonts w:ascii="Times New Roman;serif" w:hAnsi="Times New Roman;serif"/>
          <w:b/>
          <w:color w:val="000000"/>
          <w:sz w:val="22"/>
        </w:rPr>
        <w:t>Global Securities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lineRule="auto" w:line="240" w:before="0" w:after="240"/>
        <w:ind w:left="0" w:right="0" w:firstLine="720"/>
        <w:jc w:val="both"/>
        <w:rPr/>
      </w:pPr>
      <w:r>
        <w:rPr>
          <w:rFonts w:ascii="Times New Roman;serif" w:hAnsi="Times New Roman;serif"/>
          <w:b/>
          <w:color w:val="000000"/>
          <w:sz w:val="22"/>
        </w:rPr>
        <w:t>Section 2.12</w:t>
      </w:r>
      <w:r>
        <w:rPr>
          <w:rFonts w:ascii="Times New Roman;serif" w:hAnsi="Times New Roman;serif"/>
          <w:b/>
          <w:color w:val="000000"/>
          <w:sz w:val="22"/>
        </w:rPr>
        <w:t>CUSIP Numbers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lineRule="auto" w:line="240" w:before="0" w:after="240"/>
        <w:jc w:val="center"/>
        <w:rPr/>
      </w:pPr>
      <w:r>
        <w:rPr>
          <w:rFonts w:ascii="Times New Roman;serif" w:hAnsi="Times New Roman;serif"/>
          <w:b/>
          <w:color w:val="000000"/>
          <w:sz w:val="22"/>
        </w:rPr>
        <w:t>Article 3</w:t>
      </w:r>
      <w:r>
        <w:rPr>
          <w:rFonts w:ascii="Times New Roman;serif" w:hAnsi="Times New Roman;serif"/>
          <w:b/>
          <w:color w:val="000000"/>
          <w:sz w:val="22"/>
        </w:rPr>
        <w:br/>
        <w:br/>
        <w:t>REDEMPTION OF SECURITIES AND SINKING FUND PROVISIONS</w:t>
      </w:r>
    </w:p>
    <w:p>
      <w:pPr>
        <w:pStyle w:val="TextBody"/>
        <w:bidi w:val="0"/>
        <w:spacing w:lineRule="auto" w:line="240" w:before="0" w:after="240"/>
        <w:ind w:left="0" w:right="0" w:firstLine="720"/>
        <w:jc w:val="both"/>
        <w:rPr/>
      </w:pPr>
      <w:r>
        <w:rPr>
          <w:rFonts w:ascii="Times New Roman;serif" w:hAnsi="Times New Roman;serif"/>
          <w:b/>
          <w:color w:val="000000"/>
          <w:sz w:val="22"/>
        </w:rPr>
        <w:t>Section 3.01</w:t>
      </w:r>
      <w:r>
        <w:rPr>
          <w:rFonts w:ascii="Times New Roman;serif" w:hAnsi="Times New Roman;serif"/>
          <w:b/>
          <w:color w:val="000000"/>
          <w:sz w:val="22"/>
        </w:rPr>
        <w:t>Redemption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the Securities of any series issued hereunder on and after the dates and in accordance with the terms established for such series pursuant to Section 2.01 hereof.</w:t>
      </w:r>
    </w:p>
    <w:p>
      <w:pPr>
        <w:pStyle w:val="TextBody"/>
        <w:bidi w:val="0"/>
        <w:spacing w:lineRule="auto" w:line="240" w:before="0" w:after="240"/>
        <w:ind w:left="0" w:right="0" w:firstLine="720"/>
        <w:jc w:val="both"/>
        <w:rPr/>
      </w:pPr>
      <w:r>
        <w:rPr>
          <w:rFonts w:ascii="Times New Roman;serif" w:hAnsi="Times New Roman;serif"/>
          <w:b/>
          <w:color w:val="000000"/>
          <w:sz w:val="22"/>
        </w:rPr>
        <w:t>Section 3.02</w:t>
      </w:r>
      <w:r>
        <w:rPr>
          <w:rFonts w:ascii="Times New Roman;serif" w:hAnsi="Times New Roman;serif"/>
          <w:b/>
          <w:color w:val="000000"/>
          <w:sz w:val="22"/>
        </w:rPr>
        <w:t>Notice of Redemption</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lineRule="auto" w:line="240" w:before="0" w:after="240"/>
        <w:ind w:left="0" w:right="0" w:firstLine="720"/>
        <w:jc w:val="both"/>
        <w:rPr/>
      </w:pPr>
      <w:r>
        <w:rPr>
          <w:rFonts w:ascii="Times New Roman;serif" w:hAnsi="Times New Roman;serif"/>
          <w:b/>
          <w:color w:val="000000"/>
          <w:sz w:val="22"/>
        </w:rPr>
        <w:t>Section 3.03</w:t>
      </w:r>
      <w:r>
        <w:rPr>
          <w:rFonts w:ascii="Times New Roman;serif" w:hAnsi="Times New Roman;serif"/>
          <w:b/>
          <w:color w:val="000000"/>
          <w:sz w:val="22"/>
        </w:rPr>
        <w:t>Payment Upon Redemption</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lineRule="auto" w:line="240" w:before="0" w:after="240"/>
        <w:ind w:left="0" w:right="0" w:firstLine="720"/>
        <w:jc w:val="both"/>
        <w:rPr/>
      </w:pPr>
      <w:r>
        <w:rPr>
          <w:rFonts w:ascii="Times New Roman;serif" w:hAnsi="Times New Roman;serif"/>
          <w:b/>
          <w:color w:val="000000"/>
          <w:sz w:val="22"/>
        </w:rPr>
        <w:t>Section 3.04</w:t>
      </w:r>
      <w:r>
        <w:rPr>
          <w:rFonts w:ascii="Times New Roman;serif" w:hAnsi="Times New Roman;serif"/>
          <w:b/>
          <w:color w:val="000000"/>
          <w:sz w:val="22"/>
        </w:rPr>
        <w:t>Sinking Fund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minimum amount of any sinking fund payment provided for by the terms of Securities of any series is herein referred to as a “mandatory sinking fund payment,” and any payment in excess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lineRule="auto" w:line="240" w:before="0" w:after="240"/>
        <w:ind w:left="0" w:right="0" w:firstLine="720"/>
        <w:jc w:val="both"/>
        <w:rPr/>
      </w:pPr>
      <w:r>
        <w:rPr>
          <w:rFonts w:ascii="Times New Roman;serif" w:hAnsi="Times New Roman;serif"/>
          <w:b/>
          <w:color w:val="000000"/>
          <w:sz w:val="22"/>
        </w:rPr>
        <w:t>Section 3.05</w:t>
      </w:r>
      <w:r>
        <w:rPr>
          <w:rFonts w:ascii="Times New Roman;serif" w:hAnsi="Times New Roman;serif"/>
          <w:b/>
          <w:color w:val="000000"/>
          <w:sz w:val="22"/>
        </w:rPr>
        <w:t>Satisfaction of Sinking Fund Payments with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lineRule="auto" w:line="240" w:before="0" w:after="240"/>
        <w:ind w:left="0" w:right="0" w:firstLine="720"/>
        <w:jc w:val="both"/>
        <w:rPr/>
      </w:pPr>
      <w:r>
        <w:rPr>
          <w:rFonts w:ascii="Times New Roman;serif" w:hAnsi="Times New Roman;serif"/>
          <w:b/>
          <w:color w:val="000000"/>
          <w:sz w:val="22"/>
        </w:rPr>
        <w:t>Section 3.06</w:t>
      </w:r>
      <w:r>
        <w:rPr>
          <w:rFonts w:ascii="Times New Roman;serif" w:hAnsi="Times New Roman;serif"/>
          <w:b/>
          <w:color w:val="000000"/>
          <w:sz w:val="22"/>
        </w:rPr>
        <w:t>Redemption of Securities for Sinking Fund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lineRule="auto" w:line="240" w:before="0" w:after="240"/>
        <w:jc w:val="center"/>
        <w:rPr/>
      </w:pPr>
      <w:r>
        <w:rPr>
          <w:rFonts w:ascii="Times New Roman;serif" w:hAnsi="Times New Roman;serif"/>
          <w:b/>
          <w:color w:val="000000"/>
          <w:sz w:val="22"/>
        </w:rPr>
        <w:t>Article 4</w:t>
      </w:r>
      <w:r>
        <w:rPr>
          <w:rFonts w:ascii="Times New Roman;serif" w:hAnsi="Times New Roman;serif"/>
          <w:b/>
          <w:color w:val="000000"/>
          <w:sz w:val="22"/>
        </w:rPr>
        <w:br/>
        <w:br/>
        <w:t>COVENANTS</w:t>
      </w:r>
    </w:p>
    <w:p>
      <w:pPr>
        <w:pStyle w:val="TextBody"/>
        <w:bidi w:val="0"/>
        <w:spacing w:lineRule="auto" w:line="240" w:before="0" w:after="240"/>
        <w:ind w:left="0" w:right="0" w:firstLine="720"/>
        <w:jc w:val="both"/>
        <w:rPr/>
      </w:pPr>
      <w:r>
        <w:rPr>
          <w:rFonts w:ascii="Times New Roman;serif" w:hAnsi="Times New Roman;serif"/>
          <w:b/>
          <w:color w:val="000000"/>
          <w:sz w:val="22"/>
        </w:rPr>
        <w:t>Section 4.01</w:t>
      </w:r>
      <w:r>
        <w:rPr>
          <w:rFonts w:ascii="Times New Roman;serif" w:hAnsi="Times New Roman;serif"/>
          <w:b/>
          <w:color w:val="000000"/>
          <w:sz w:val="22"/>
        </w:rPr>
        <w:t>Payment of Principal, Premium and Interest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Section 4.02</w:t>
      </w:r>
      <w:r>
        <w:rPr>
          <w:rFonts w:ascii="Times New Roman;serif" w:hAnsi="Times New Roman;serif"/>
          <w:b/>
          <w:color w:val="000000"/>
          <w:sz w:val="22"/>
        </w:rPr>
        <w:t>Maintenance of Office or Agency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lineRule="auto" w:line="240" w:before="0" w:after="240"/>
        <w:ind w:left="0" w:right="0" w:firstLine="720"/>
        <w:jc w:val="both"/>
        <w:rPr/>
      </w:pPr>
      <w:r>
        <w:rPr>
          <w:rFonts w:ascii="Times New Roman;serif" w:hAnsi="Times New Roman;serif"/>
          <w:b/>
          <w:color w:val="000000"/>
          <w:sz w:val="22"/>
        </w:rPr>
        <w:t>Section 4.03</w:t>
      </w:r>
      <w:r>
        <w:rPr>
          <w:rFonts w:ascii="Times New Roman;serif" w:hAnsi="Times New Roman;serif"/>
          <w:b/>
          <w:color w:val="000000"/>
          <w:sz w:val="22"/>
        </w:rPr>
        <w:t>Paying Agents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lineRule="auto" w:line="240" w:before="0" w:after="240"/>
        <w:ind w:left="0" w:right="0" w:firstLine="2160"/>
        <w:jc w:val="both"/>
        <w:rPr/>
      </w:pPr>
      <w:r>
        <w:rPr>
          <w:rFonts w:ascii="Times New Roman;serif" w:hAnsi="Times New Roman;serif"/>
          <w:b/>
          <w:color w:val="000000"/>
          <w:sz w:val="22"/>
        </w:rPr>
        <w:t>(1)</w:t>
      </w:r>
      <w:r>
        <w:rPr>
          <w:rFonts w:ascii="Times New Roman;serif" w:hAnsi="Times New Roman;serif"/>
          <w:b w:val="false"/>
          <w:color w:val="000000"/>
          <w:sz w:val="22"/>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lineRule="auto" w:line="240" w:before="0" w:after="240"/>
        <w:ind w:left="0" w:right="0" w:firstLine="2160"/>
        <w:jc w:val="both"/>
        <w:rPr/>
      </w:pPr>
      <w:r>
        <w:rPr>
          <w:rFonts w:ascii="Times New Roman;serif" w:hAnsi="Times New Roman;serif"/>
          <w:b/>
          <w:color w:val="000000"/>
          <w:sz w:val="22"/>
        </w:rPr>
        <w:t>(2)</w:t>
      </w:r>
      <w:r>
        <w:rPr>
          <w:rFonts w:ascii="Times New Roman;serif" w:hAnsi="Times New Roman;serif"/>
          <w:b w:val="false"/>
          <w:color w:val="000000"/>
          <w:sz w:val="22"/>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lineRule="auto" w:line="240" w:before="0" w:after="240"/>
        <w:ind w:left="0" w:right="0" w:firstLine="2160"/>
        <w:jc w:val="both"/>
        <w:rPr/>
      </w:pPr>
      <w:r>
        <w:rPr>
          <w:rFonts w:ascii="Times New Roman;serif" w:hAnsi="Times New Roman;serif"/>
          <w:b/>
          <w:color w:val="000000"/>
          <w:sz w:val="22"/>
        </w:rPr>
        <w:t>(3)</w:t>
      </w:r>
      <w:r>
        <w:rPr>
          <w:rFonts w:ascii="Times New Roman;serif" w:hAnsi="Times New Roman;serif"/>
          <w:b w:val="false"/>
          <w:color w:val="000000"/>
          <w:sz w:val="22"/>
        </w:rPr>
        <w:t>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lineRule="auto" w:line="240" w:before="0" w:after="240"/>
        <w:ind w:left="0" w:right="0" w:firstLine="2160"/>
        <w:jc w:val="both"/>
        <w:rPr/>
      </w:pPr>
      <w:r>
        <w:rPr>
          <w:rFonts w:ascii="Times New Roman;serif" w:hAnsi="Times New Roman;serif"/>
          <w:b/>
          <w:color w:val="000000"/>
          <w:sz w:val="22"/>
        </w:rPr>
        <w:t>(4)</w:t>
      </w:r>
      <w:r>
        <w:rPr>
          <w:rFonts w:ascii="Times New Roman;serif" w:hAnsi="Times New Roman;serif"/>
          <w:b w:val="false"/>
          <w:color w:val="000000"/>
          <w:sz w:val="22"/>
        </w:rPr>
        <w:t>that it will perform all other duties of paying agent as set forth in this Indenture.</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 xml:space="preserve">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lineRule="auto" w:line="240" w:before="0" w:after="240"/>
        <w:ind w:left="0" w:right="0" w:firstLine="720"/>
        <w:jc w:val="both"/>
        <w:rPr/>
      </w:pPr>
      <w:r>
        <w:rPr>
          <w:rFonts w:ascii="Times New Roman;serif" w:hAnsi="Times New Roman;serif"/>
          <w:b/>
          <w:color w:val="000000"/>
          <w:sz w:val="22"/>
        </w:rPr>
        <w:t>Section 4.04</w:t>
      </w:r>
      <w:r>
        <w:rPr>
          <w:rFonts w:ascii="Times New Roman;serif" w:hAnsi="Times New Roman;serif"/>
          <w:b/>
          <w:color w:val="000000"/>
          <w:sz w:val="22"/>
        </w:rPr>
        <w:t>Appointment to Fill Vacancy in Office of Trustee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whenever necessary to avoid or fill a vacancy in the office of Trustee, will appoint, in the manner provided in Section 7.10, a Trustee, so that there shall at all times be a Trustee hereunder.</w:t>
      </w:r>
    </w:p>
    <w:p>
      <w:pPr>
        <w:pStyle w:val="TextBody"/>
        <w:bidi w:val="0"/>
        <w:spacing w:lineRule="auto" w:line="240" w:before="0" w:after="240"/>
        <w:jc w:val="center"/>
        <w:rPr/>
      </w:pPr>
      <w:r>
        <w:rPr>
          <w:rFonts w:ascii="Times New Roman;serif" w:hAnsi="Times New Roman;serif"/>
          <w:b/>
          <w:color w:val="000000"/>
          <w:sz w:val="22"/>
        </w:rPr>
        <w:t>Article 5</w:t>
      </w:r>
      <w:r>
        <w:rPr>
          <w:rFonts w:ascii="Times New Roman;serif" w:hAnsi="Times New Roman;serif"/>
          <w:b/>
          <w:color w:val="000000"/>
          <w:sz w:val="22"/>
        </w:rPr>
        <w:br/>
        <w:br/>
        <w:t>SECURITYHOLDERS’ LISTS AND REPORTS BY THE COMPANY AND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5.01</w:t>
      </w:r>
      <w:r>
        <w:rPr>
          <w:rFonts w:ascii="Times New Roman;serif" w:hAnsi="Times New Roman;serif"/>
          <w:b/>
          <w:color w:val="000000"/>
          <w:sz w:val="22"/>
        </w:rPr>
        <w:t>Company to Furnish Trustee Names and Addresses of Securityholders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lineRule="auto" w:line="240" w:before="0" w:after="240"/>
        <w:ind w:left="0" w:right="0" w:firstLine="720"/>
        <w:jc w:val="both"/>
        <w:rPr/>
      </w:pPr>
      <w:r>
        <w:rPr>
          <w:rFonts w:ascii="Times New Roman;serif" w:hAnsi="Times New Roman;serif"/>
          <w:b/>
          <w:color w:val="000000"/>
          <w:sz w:val="22"/>
        </w:rPr>
        <w:t>Section 5.02</w:t>
      </w:r>
      <w:r>
        <w:rPr>
          <w:rFonts w:ascii="Times New Roman;serif" w:hAnsi="Times New Roman;serif"/>
          <w:b/>
          <w:color w:val="000000"/>
          <w:sz w:val="22"/>
        </w:rPr>
        <w:t>Preservation Of Information; Communications With Securityholders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Trustee may destroy any list furnished to it as provided in Section 5.01 upon receipt of a new list so furnished.</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lineRule="auto" w:line="240" w:before="0" w:after="240"/>
        <w:ind w:left="0" w:right="0" w:firstLine="720"/>
        <w:jc w:val="both"/>
        <w:rPr/>
      </w:pPr>
      <w:r>
        <w:rPr>
          <w:rFonts w:ascii="Times New Roman;serif" w:hAnsi="Times New Roman;serif"/>
          <w:b/>
          <w:color w:val="000000"/>
          <w:sz w:val="22"/>
        </w:rPr>
        <w:t>Section 5.03</w:t>
      </w:r>
      <w:r>
        <w:rPr>
          <w:rFonts w:ascii="Times New Roman;serif" w:hAnsi="Times New Roman;serif"/>
          <w:b/>
          <w:color w:val="000000"/>
          <w:sz w:val="22"/>
        </w:rPr>
        <w:t>Reports by the Company</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lineRule="auto" w:line="240" w:before="0" w:after="240"/>
        <w:ind w:left="0" w:right="0" w:firstLine="720"/>
        <w:jc w:val="both"/>
        <w:rPr/>
      </w:pPr>
      <w:r>
        <w:rPr>
          <w:rFonts w:ascii="Times New Roman;serif" w:hAnsi="Times New Roman;serif"/>
          <w:b/>
          <w:color w:val="000000"/>
          <w:sz w:val="22"/>
        </w:rPr>
        <w:t>Section 5.04</w:t>
      </w:r>
      <w:r>
        <w:rPr>
          <w:rFonts w:ascii="Times New Roman;serif" w:hAnsi="Times New Roman;serif"/>
          <w:b/>
          <w:color w:val="000000"/>
          <w:sz w:val="22"/>
        </w:rPr>
        <w:t>Reports by the Trustee</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Trustee shall comply with Section 313(b) and 313(c) of the Trust Indenture Act.</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lineRule="auto" w:line="240" w:before="0" w:after="240"/>
        <w:jc w:val="center"/>
        <w:rPr/>
      </w:pPr>
      <w:r>
        <w:rPr>
          <w:rFonts w:ascii="Times New Roman;serif" w:hAnsi="Times New Roman;serif"/>
          <w:b/>
          <w:color w:val="000000"/>
          <w:sz w:val="22"/>
        </w:rPr>
        <w:t>Article 6</w:t>
      </w:r>
      <w:r>
        <w:rPr>
          <w:rFonts w:ascii="Times New Roman;serif" w:hAnsi="Times New Roman;serif"/>
          <w:b/>
          <w:color w:val="000000"/>
          <w:sz w:val="22"/>
        </w:rPr>
        <w:br/>
        <w:br/>
        <w:t>REMEDIES OF THE TRUSTEE AND SECURITYHOLDERS ON EVENT OF DEFAULT</w:t>
      </w:r>
    </w:p>
    <w:p>
      <w:pPr>
        <w:pStyle w:val="TextBody"/>
        <w:bidi w:val="0"/>
        <w:spacing w:lineRule="auto" w:line="240" w:before="0" w:after="240"/>
        <w:ind w:left="0" w:right="0" w:firstLine="720"/>
        <w:jc w:val="both"/>
        <w:rPr/>
      </w:pPr>
      <w:r>
        <w:rPr>
          <w:rFonts w:ascii="Times New Roman;serif" w:hAnsi="Times New Roman;serif"/>
          <w:b/>
          <w:color w:val="000000"/>
          <w:sz w:val="22"/>
        </w:rPr>
        <w:t>Section 6.01</w:t>
      </w:r>
      <w:r>
        <w:rPr>
          <w:rFonts w:ascii="Times New Roman;serif" w:hAnsi="Times New Roman;serif"/>
          <w:b/>
          <w:color w:val="000000"/>
          <w:sz w:val="22"/>
        </w:rPr>
        <w:t>Events of Default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Whenever used herein with respect to Securities of a particular series, “Event of Default” means any one or more of the following events that has occurred and is continuing:</w:t>
      </w:r>
    </w:p>
    <w:p>
      <w:pPr>
        <w:pStyle w:val="TextBody"/>
        <w:bidi w:val="0"/>
        <w:spacing w:lineRule="auto" w:line="240" w:before="0" w:after="240"/>
        <w:ind w:left="0" w:right="0" w:firstLine="2160"/>
        <w:jc w:val="both"/>
        <w:rPr/>
      </w:pPr>
      <w:r>
        <w:rPr>
          <w:rFonts w:ascii="Times New Roman;serif" w:hAnsi="Times New Roman;serif"/>
          <w:b/>
          <w:color w:val="000000"/>
          <w:sz w:val="22"/>
        </w:rPr>
        <w:t>(1)</w:t>
      </w:r>
      <w:r>
        <w:rPr>
          <w:rFonts w:ascii="Times New Roman;serif" w:hAnsi="Times New Roman;serif"/>
          <w:b w:val="false"/>
          <w:color w:val="000000"/>
          <w:sz w:val="22"/>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lineRule="auto" w:line="240" w:before="0" w:after="240"/>
        <w:ind w:left="0" w:right="0" w:firstLine="2160"/>
        <w:jc w:val="both"/>
        <w:rPr/>
      </w:pPr>
      <w:r>
        <w:rPr>
          <w:rFonts w:ascii="Times New Roman;serif" w:hAnsi="Times New Roman;serif"/>
          <w:b/>
          <w:color w:val="000000"/>
          <w:sz w:val="22"/>
        </w:rPr>
        <w:t>(2)</w:t>
      </w:r>
      <w:r>
        <w:rPr>
          <w:rFonts w:ascii="Times New Roman;serif" w:hAnsi="Times New Roman;serif"/>
          <w:b w:val="false"/>
          <w:color w:val="000000"/>
          <w:sz w:val="22"/>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lineRule="auto" w:line="240" w:before="0" w:after="240"/>
        <w:ind w:left="0" w:right="0" w:firstLine="2160"/>
        <w:jc w:val="both"/>
        <w:rPr/>
      </w:pPr>
      <w:r>
        <w:rPr>
          <w:rFonts w:ascii="Times New Roman;serif" w:hAnsi="Times New Roman;serif"/>
          <w:b/>
          <w:color w:val="000000"/>
          <w:sz w:val="22"/>
        </w:rPr>
        <w:t>(3)</w:t>
      </w:r>
      <w:r>
        <w:rPr>
          <w:rFonts w:ascii="Times New Roman;serif" w:hAnsi="Times New Roman;serif"/>
          <w:b w:val="false"/>
          <w:color w:val="000000"/>
          <w:sz w:val="22"/>
        </w:rPr>
        <w:t xml:space="preserve">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lineRule="auto" w:line="240" w:before="0" w:after="240"/>
        <w:ind w:left="0" w:right="0" w:firstLine="2160"/>
        <w:jc w:val="both"/>
        <w:rPr/>
      </w:pPr>
      <w:r>
        <w:rPr>
          <w:rFonts w:ascii="Times New Roman;serif" w:hAnsi="Times New Roman;serif"/>
          <w:b/>
          <w:color w:val="000000"/>
          <w:sz w:val="22"/>
        </w:rPr>
        <w:t>(4)</w:t>
      </w:r>
      <w:r>
        <w:rPr>
          <w:rFonts w:ascii="Times New Roman;serif" w:hAnsi="Times New Roman;serif"/>
          <w:b w:val="false"/>
          <w:color w:val="000000"/>
          <w:sz w:val="22"/>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lineRule="auto" w:line="240" w:before="0" w:after="240"/>
        <w:ind w:left="0" w:right="0" w:firstLine="2160"/>
        <w:jc w:val="both"/>
        <w:rPr/>
      </w:pPr>
      <w:r>
        <w:rPr>
          <w:rFonts w:ascii="Times New Roman;serif" w:hAnsi="Times New Roman;serif"/>
          <w:b/>
          <w:color w:val="000000"/>
          <w:sz w:val="22"/>
        </w:rPr>
        <w:t>(5)</w:t>
      </w:r>
      <w:r>
        <w:rPr>
          <w:rFonts w:ascii="Times New Roman;serif" w:hAnsi="Times New Roman;serif"/>
          <w:b w:val="false"/>
          <w:color w:val="000000"/>
          <w:sz w:val="22"/>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such rescission and annulment shall extend to or shall affect any subsequent default or impair any right consequent thereon.</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lineRule="auto" w:line="240" w:before="0" w:after="240"/>
        <w:ind w:left="0" w:right="0" w:firstLine="720"/>
        <w:jc w:val="both"/>
        <w:rPr/>
      </w:pPr>
      <w:r>
        <w:rPr>
          <w:rFonts w:ascii="Times New Roman;serif" w:hAnsi="Times New Roman;serif"/>
          <w:b/>
          <w:color w:val="000000"/>
          <w:sz w:val="22"/>
        </w:rPr>
        <w:t>Section 6.02</w:t>
      </w:r>
      <w:r>
        <w:rPr>
          <w:rFonts w:ascii="Times New Roman;serif" w:hAnsi="Times New Roman;serif"/>
          <w:b/>
          <w:color w:val="000000"/>
          <w:sz w:val="22"/>
        </w:rPr>
        <w:t>Collection of Indebtedness and Suits for Enforcement by Trustee</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 xml:space="preserve">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lineRule="auto" w:line="240" w:before="0" w:after="240"/>
        <w:ind w:left="0" w:right="0" w:firstLine="720"/>
        <w:jc w:val="both"/>
        <w:rPr/>
      </w:pPr>
      <w:r>
        <w:rPr>
          <w:rFonts w:ascii="Times New Roman;serif" w:hAnsi="Times New Roman;serif"/>
          <w:b/>
          <w:color w:val="000000"/>
          <w:sz w:val="22"/>
        </w:rPr>
        <w:t>Section 6.03</w:t>
      </w:r>
      <w:r>
        <w:rPr>
          <w:rFonts w:ascii="Times New Roman;serif" w:hAnsi="Times New Roman;serif"/>
          <w:b/>
          <w:color w:val="000000"/>
          <w:sz w:val="22"/>
        </w:rPr>
        <w:t>Application of Moneys Collected</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FIRST: To the payment of costs and expenses of collection and of all amounts payable to the Trustee under Section 7.06;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THIRD: To the payment of the remainder, if any, to the Company or any other Person lawfully entitled thereto.</w:t>
      </w:r>
    </w:p>
    <w:p>
      <w:pPr>
        <w:pStyle w:val="TextBody"/>
        <w:bidi w:val="0"/>
        <w:spacing w:lineRule="auto" w:line="240" w:before="0" w:after="240"/>
        <w:ind w:left="0" w:right="0" w:firstLine="720"/>
        <w:jc w:val="both"/>
        <w:rPr/>
      </w:pPr>
      <w:r>
        <w:rPr>
          <w:rFonts w:ascii="Times New Roman;serif" w:hAnsi="Times New Roman;serif"/>
          <w:b/>
          <w:color w:val="000000"/>
          <w:sz w:val="22"/>
        </w:rPr>
        <w:t>Section 6.04</w:t>
      </w:r>
      <w:r>
        <w:rPr>
          <w:rFonts w:ascii="Times New Roman;serif" w:hAnsi="Times New Roman;serif"/>
          <w:b/>
          <w:color w:val="000000"/>
          <w:sz w:val="22"/>
        </w:rPr>
        <w:t>Limitation on Suits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lineRule="auto" w:line="240" w:before="0" w:after="240"/>
        <w:ind w:left="0" w:right="0" w:firstLine="720"/>
        <w:jc w:val="both"/>
        <w:rPr/>
      </w:pPr>
      <w:r>
        <w:rPr>
          <w:rFonts w:ascii="Times New Roman;serif" w:hAnsi="Times New Roman;serif"/>
          <w:b/>
          <w:color w:val="000000"/>
          <w:sz w:val="22"/>
        </w:rPr>
        <w:t>Section 6.05</w:t>
      </w:r>
      <w:r>
        <w:rPr>
          <w:rFonts w:ascii="Times New Roman;serif" w:hAnsi="Times New Roman;serif"/>
          <w:b/>
          <w:color w:val="000000"/>
          <w:sz w:val="22"/>
        </w:rPr>
        <w:t>Rights and Remedies Cumulative; Delay or Omission Not Waiver</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lineRule="auto" w:line="240" w:before="0" w:after="240"/>
        <w:ind w:left="0" w:right="0" w:firstLine="720"/>
        <w:jc w:val="both"/>
        <w:rPr/>
      </w:pPr>
      <w:r>
        <w:rPr>
          <w:rFonts w:ascii="Times New Roman;serif" w:hAnsi="Times New Roman;serif"/>
          <w:b/>
          <w:color w:val="000000"/>
          <w:sz w:val="22"/>
        </w:rPr>
        <w:t>Section 6.06</w:t>
      </w:r>
      <w:r>
        <w:rPr>
          <w:rFonts w:ascii="Times New Roman;serif" w:hAnsi="Times New Roman;serif"/>
          <w:b/>
          <w:color w:val="000000"/>
          <w:sz w:val="22"/>
        </w:rPr>
        <w:t>Control by Securityholders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lineRule="auto" w:line="240" w:before="0" w:after="240"/>
        <w:ind w:left="0" w:right="0" w:firstLine="720"/>
        <w:jc w:val="both"/>
        <w:rPr/>
      </w:pPr>
      <w:r>
        <w:rPr>
          <w:rFonts w:ascii="Times New Roman;serif" w:hAnsi="Times New Roman;serif"/>
          <w:b/>
          <w:color w:val="000000"/>
          <w:sz w:val="22"/>
        </w:rPr>
        <w:t>Section 6.07</w:t>
      </w:r>
      <w:r>
        <w:rPr>
          <w:rFonts w:ascii="Times New Roman;serif" w:hAnsi="Times New Roman;serif"/>
          <w:b/>
          <w:color w:val="000000"/>
          <w:sz w:val="22"/>
        </w:rPr>
        <w:t>Undertaking to Pay Costs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principal of (or premium, if any) or interest on any Security of such series, on or after the respective due dates expressed in such Security or established pursuant to this Indenture.</w:t>
      </w:r>
    </w:p>
    <w:p>
      <w:pPr>
        <w:pStyle w:val="TextBody"/>
        <w:bidi w:val="0"/>
        <w:spacing w:lineRule="auto" w:line="240" w:before="0" w:after="240"/>
        <w:jc w:val="center"/>
        <w:rPr/>
      </w:pPr>
      <w:r>
        <w:rPr>
          <w:rFonts w:ascii="Times New Roman;serif" w:hAnsi="Times New Roman;serif"/>
          <w:b/>
          <w:color w:val="000000"/>
          <w:sz w:val="22"/>
        </w:rPr>
        <w:t>Article 7</w:t>
      </w:r>
      <w:r>
        <w:rPr>
          <w:rFonts w:ascii="Times New Roman;serif" w:hAnsi="Times New Roman;serif"/>
          <w:b/>
          <w:color w:val="000000"/>
          <w:sz w:val="22"/>
        </w:rPr>
        <w:br/>
        <w:br/>
        <w:t>CONCERNING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7.01</w:t>
      </w:r>
      <w:r>
        <w:rPr>
          <w:rFonts w:ascii="Times New Roman;serif" w:hAnsi="Times New Roman;serif"/>
          <w:b/>
          <w:color w:val="000000"/>
          <w:sz w:val="22"/>
        </w:rPr>
        <w:t>Certain Duties and Responsibilities of Trustee</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No provision of this Indenture shall be construed to relieve the Trustee from liability for its own negligent action, its own negligent failure to act, or its own willful misconduct, except that:</w:t>
      </w:r>
    </w:p>
    <w:p>
      <w:pPr>
        <w:pStyle w:val="TextBody"/>
        <w:bidi w:val="0"/>
        <w:spacing w:lineRule="auto" w:line="240" w:before="0" w:after="240"/>
        <w:ind w:left="0" w:right="0" w:firstLine="2160"/>
        <w:jc w:val="both"/>
        <w:rPr/>
      </w:pPr>
      <w:r>
        <w:rPr>
          <w:rFonts w:ascii="Times New Roman;serif" w:hAnsi="Times New Roman;serif"/>
          <w:b/>
          <w:color w:val="000000"/>
          <w:sz w:val="22"/>
        </w:rPr>
        <w:t>(i)</w:t>
      </w:r>
      <w:r>
        <w:rPr>
          <w:rFonts w:ascii="Times New Roman;serif" w:hAnsi="Times New Roman;serif"/>
          <w:b w:val="false"/>
          <w:color w:val="000000"/>
          <w:sz w:val="22"/>
        </w:rPr>
        <w:t>prior to the occurrence of an Event of Default with respect to the Securities of a series and after the curing or waiving of all such Events of Default with respect to that series that may have occurred:</w:t>
      </w:r>
    </w:p>
    <w:p>
      <w:pPr>
        <w:pStyle w:val="TextBody"/>
        <w:bidi w:val="0"/>
        <w:spacing w:lineRule="auto" w:line="240" w:before="0" w:after="240"/>
        <w:ind w:left="0" w:right="0" w:firstLine="2880"/>
        <w:jc w:val="both"/>
        <w:rPr/>
      </w:pPr>
      <w:r>
        <w:rPr>
          <w:rFonts w:ascii="Times New Roman;serif" w:hAnsi="Times New Roman;serif"/>
          <w:b/>
          <w:color w:val="000000"/>
          <w:sz w:val="22"/>
        </w:rPr>
        <w:t>(A)</w:t>
      </w:r>
      <w:r>
        <w:rPr>
          <w:rFonts w:ascii="Times New Roman;serif" w:hAnsi="Times New Roman;serif"/>
          <w:b w:val="false"/>
          <w:color w:val="000000"/>
          <w:sz w:val="22"/>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lineRule="auto" w:line="240" w:before="0" w:after="240"/>
        <w:ind w:left="0" w:right="0" w:firstLine="2880"/>
        <w:jc w:val="both"/>
        <w:rPr/>
      </w:pPr>
      <w:r>
        <w:rPr>
          <w:rFonts w:ascii="Times New Roman;serif" w:hAnsi="Times New Roman;serif"/>
          <w:b/>
          <w:color w:val="000000"/>
          <w:sz w:val="22"/>
        </w:rPr>
        <w:t>(B)</w:t>
      </w:r>
      <w:r>
        <w:rPr>
          <w:rFonts w:ascii="Times New Roman;serif" w:hAnsi="Times New Roman;serif"/>
          <w:b w:val="false"/>
          <w:color w:val="000000"/>
          <w:sz w:val="22"/>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pStyle w:val="TextBody"/>
        <w:bidi w:val="0"/>
        <w:spacing w:lineRule="auto" w:line="240" w:before="0" w:after="240"/>
        <w:ind w:left="0" w:right="0" w:firstLine="2160"/>
        <w:jc w:val="both"/>
        <w:rPr/>
      </w:pPr>
      <w:r>
        <w:rPr>
          <w:rFonts w:ascii="Times New Roman;serif" w:hAnsi="Times New Roman;serif"/>
          <w:b/>
          <w:color w:val="000000"/>
          <w:sz w:val="22"/>
        </w:rPr>
        <w:t>(ii)</w:t>
      </w:r>
      <w:r>
        <w:rPr>
          <w:rFonts w:ascii="Times New Roman;serif" w:hAnsi="Times New Roman;serif"/>
          <w:b w:val="false"/>
          <w:color w:val="000000"/>
          <w:sz w:val="22"/>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pStyle w:val="TextBody"/>
        <w:bidi w:val="0"/>
        <w:spacing w:lineRule="auto" w:line="240" w:before="0" w:after="240"/>
        <w:ind w:left="0" w:right="0" w:firstLine="2160"/>
        <w:jc w:val="both"/>
        <w:rPr/>
      </w:pPr>
      <w:r>
        <w:rPr>
          <w:rFonts w:ascii="Times New Roman;serif" w:hAnsi="Times New Roman;serif"/>
          <w:b/>
          <w:color w:val="000000"/>
          <w:sz w:val="22"/>
        </w:rPr>
        <w:t>(iii)</w:t>
      </w:r>
      <w:r>
        <w:rPr>
          <w:rFonts w:ascii="Times New Roman;serif" w:hAnsi="Times New Roman;serif"/>
          <w:b w:val="false"/>
          <w:color w:val="000000"/>
          <w:sz w:val="22"/>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pStyle w:val="TextBody"/>
        <w:bidi w:val="0"/>
        <w:spacing w:lineRule="auto" w:line="240" w:before="0" w:after="240"/>
        <w:ind w:left="0" w:right="0" w:firstLine="2160"/>
        <w:jc w:val="both"/>
        <w:rPr/>
      </w:pPr>
      <w:r>
        <w:rPr>
          <w:rFonts w:ascii="Times New Roman;serif" w:hAnsi="Times New Roman;serif"/>
          <w:b/>
          <w:color w:val="000000"/>
          <w:sz w:val="22"/>
        </w:rPr>
        <w:t>(iv)</w:t>
      </w:r>
      <w:r>
        <w:rPr>
          <w:rFonts w:ascii="Times New Roman;serif" w:hAnsi="Times New Roman;serif"/>
          <w:b w:val="false"/>
          <w:color w:val="000000"/>
          <w:sz w:val="22"/>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color w:val="000000"/>
          <w:sz w:val="22"/>
        </w:rPr>
        <w:t>(v)</w:t>
      </w:r>
      <w:r>
        <w:rPr>
          <w:rFonts w:ascii="Times New Roman;serif" w:hAnsi="Times New Roman;serif"/>
          <w:b w:val="false"/>
          <w:color w:val="000000"/>
          <w:sz w:val="22"/>
        </w:rPr>
        <w:t>The Trustee shall not be required to give any bond or surety in respect of the performance of its powers or duties hereunder;</w:t>
      </w:r>
    </w:p>
    <w:p>
      <w:pPr>
        <w:pStyle w:val="TextBody"/>
        <w:bidi w:val="0"/>
        <w:spacing w:lineRule="auto" w:line="240" w:before="0" w:after="240"/>
        <w:ind w:left="0" w:right="0" w:firstLine="2160"/>
        <w:jc w:val="both"/>
        <w:rPr/>
      </w:pPr>
      <w:r>
        <w:rPr>
          <w:rFonts w:ascii="Times New Roman;serif" w:hAnsi="Times New Roman;serif"/>
          <w:b/>
          <w:color w:val="000000"/>
          <w:sz w:val="22"/>
        </w:rPr>
        <w:t>(vi)</w:t>
      </w:r>
      <w:r>
        <w:rPr>
          <w:rFonts w:ascii="Times New Roman;serif" w:hAnsi="Times New Roman;serif"/>
          <w:b w:val="false"/>
          <w:color w:val="000000"/>
          <w:sz w:val="22"/>
        </w:rPr>
        <w:t>The permissive right of the Trustee to do things enumerated in this Indenture shall not be construed as a duty of the Trustee; and</w:t>
      </w:r>
    </w:p>
    <w:p>
      <w:pPr>
        <w:pStyle w:val="TextBody"/>
        <w:bidi w:val="0"/>
        <w:spacing w:lineRule="auto" w:line="240" w:before="0" w:after="240"/>
        <w:ind w:left="0" w:right="0" w:firstLine="2160"/>
        <w:jc w:val="both"/>
        <w:rPr/>
      </w:pPr>
      <w:r>
        <w:rPr>
          <w:rFonts w:ascii="Times New Roman;serif" w:hAnsi="Times New Roman;serif"/>
          <w:b/>
          <w:color w:val="000000"/>
          <w:sz w:val="22"/>
        </w:rPr>
        <w:t>(vii)</w:t>
      </w:r>
      <w:r>
        <w:rPr>
          <w:rFonts w:ascii="Times New Roman;serif" w:hAnsi="Times New Roman;serif"/>
          <w:b w:val="false"/>
          <w:color w:val="000000"/>
          <w:sz w:val="22"/>
        </w:rPr>
        <w:t>No Trustee shall have any duty or responsibility for any act or omission of any other Trustee appointed with respect to a series of Securities hereunder.</w:t>
      </w:r>
    </w:p>
    <w:p>
      <w:pPr>
        <w:pStyle w:val="TextBody"/>
        <w:bidi w:val="0"/>
        <w:spacing w:lineRule="auto" w:line="240" w:before="0" w:after="240"/>
        <w:ind w:left="0" w:right="0" w:firstLine="720"/>
        <w:jc w:val="both"/>
        <w:rPr/>
      </w:pPr>
      <w:r>
        <w:rPr>
          <w:rFonts w:ascii="Times New Roman;serif" w:hAnsi="Times New Roman;serif"/>
          <w:b/>
          <w:color w:val="000000"/>
          <w:sz w:val="22"/>
        </w:rPr>
        <w:t>Section 7.02</w:t>
      </w:r>
      <w:r>
        <w:rPr>
          <w:rFonts w:ascii="Times New Roman;serif" w:hAnsi="Times New Roman;serif"/>
          <w:b/>
          <w:color w:val="000000"/>
          <w:sz w:val="22"/>
        </w:rPr>
        <w:t>Certain Rights of Trustee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in Section 7.01:</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The Trustee shall not be liable for any action taken or omitted to be taken by it in good faith and believed by it to be authorized or within the discretion or rights or powers conferred upon it by this Indenture;</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val="false"/>
          <w:color w:val="000000"/>
          <w:sz w:val="22"/>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pStyle w:val="TextBody"/>
        <w:bidi w:val="0"/>
        <w:spacing w:lineRule="auto" w:line="240" w:before="0" w:after="240"/>
        <w:ind w:left="0" w:right="0" w:firstLine="1440"/>
        <w:jc w:val="both"/>
        <w:rPr/>
      </w:pPr>
      <w:r>
        <w:rPr>
          <w:rFonts w:ascii="Times New Roman;serif" w:hAnsi="Times New Roman;serif"/>
          <w:b/>
          <w:color w:val="000000"/>
          <w:sz w:val="22"/>
        </w:rPr>
        <w:t>(g)</w:t>
      </w:r>
      <w:r>
        <w:rPr>
          <w:rFonts w:ascii="Times New Roman;serif" w:hAnsi="Times New Roman;serif"/>
          <w:b w:val="false"/>
          <w:color w:val="000000"/>
          <w:sz w:val="22"/>
        </w:rPr>
        <w:t xml:space="preserve">The Trustee may execute any of the trusts or powers hereunder or perform any duties hereunder either directly or by or through agents or attorneys and the Trustee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responsible for any misconduct or negligence on the part of any agent or attorney appointed with due care by it hereunder;</w:t>
      </w:r>
    </w:p>
    <w:p>
      <w:pPr>
        <w:pStyle w:val="TextBody"/>
        <w:bidi w:val="0"/>
        <w:spacing w:lineRule="auto" w:line="240" w:before="0" w:after="240"/>
        <w:ind w:left="0" w:right="0" w:firstLine="1440"/>
        <w:jc w:val="both"/>
        <w:rPr/>
      </w:pPr>
      <w:r>
        <w:rPr>
          <w:rFonts w:ascii="Times New Roman;serif" w:hAnsi="Times New Roman;serif"/>
          <w:b/>
          <w:color w:val="000000"/>
          <w:sz w:val="22"/>
        </w:rPr>
        <w:t>(h)</w:t>
      </w:r>
      <w:r>
        <w:rPr>
          <w:rFonts w:ascii="Times New Roman;serif" w:hAnsi="Times New Roman;serif"/>
          <w:b w:val="false"/>
          <w:color w:val="000000"/>
          <w:sz w:val="22"/>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lineRule="auto" w:line="240" w:before="0" w:after="240"/>
        <w:ind w:left="0" w:right="0" w:firstLine="1440"/>
        <w:jc w:val="both"/>
        <w:rPr/>
      </w:pPr>
      <w:r>
        <w:rPr>
          <w:rFonts w:ascii="Times New Roman;serif" w:hAnsi="Times New Roman;serif"/>
          <w:b/>
          <w:color w:val="000000"/>
          <w:sz w:val="22"/>
        </w:rPr>
        <w:t>(i)</w:t>
      </w:r>
      <w:r>
        <w:rPr>
          <w:rFonts w:ascii="Times New Roman;serif" w:hAnsi="Times New Roman;serif"/>
          <w:b w:val="false"/>
          <w:color w:val="000000"/>
          <w:sz w:val="22"/>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lineRule="auto" w:line="240" w:before="0" w:after="240"/>
        <w:ind w:left="0" w:right="0" w:firstLine="1440"/>
        <w:jc w:val="both"/>
        <w:rPr/>
      </w:pPr>
      <w:r>
        <w:rPr>
          <w:rFonts w:ascii="Times New Roman;serif" w:hAnsi="Times New Roman;serif"/>
          <w:b/>
          <w:color w:val="000000"/>
          <w:sz w:val="22"/>
        </w:rPr>
        <w:t>(j)</w:t>
      </w:r>
      <w:r>
        <w:rPr>
          <w:rFonts w:ascii="Times New Roman;serif" w:hAnsi="Times New Roman;serif"/>
          <w:b w:val="false"/>
          <w:color w:val="000000"/>
          <w:sz w:val="22"/>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lineRule="auto" w:line="240" w:before="0" w:after="240"/>
        <w:ind w:left="0" w:right="0" w:firstLine="1440"/>
        <w:jc w:val="both"/>
        <w:rPr/>
      </w:pPr>
      <w:r>
        <w:rPr>
          <w:rFonts w:ascii="Times New Roman;serif" w:hAnsi="Times New Roman;serif"/>
          <w:b/>
          <w:color w:val="000000"/>
          <w:sz w:val="22"/>
        </w:rPr>
        <w:t>(k)</w:t>
      </w:r>
      <w:r>
        <w:rPr>
          <w:rFonts w:ascii="Times New Roman;serif" w:hAnsi="Times New Roman;serif"/>
          <w:b w:val="false"/>
          <w:color w:val="000000"/>
          <w:sz w:val="22"/>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w:t>
      </w:r>
    </w:p>
    <w:p>
      <w:pPr>
        <w:pStyle w:val="TextBody"/>
        <w:bidi w:val="0"/>
        <w:spacing w:lineRule="auto" w:line="240" w:before="0" w:after="240"/>
        <w:ind w:left="0" w:right="0" w:firstLine="1440"/>
        <w:jc w:val="both"/>
        <w:rPr/>
      </w:pPr>
      <w:r>
        <w:rPr>
          <w:rFonts w:ascii="Times New Roman;serif" w:hAnsi="Times New Roman;serif"/>
          <w:b/>
          <w:color w:val="000000"/>
          <w:sz w:val="22"/>
        </w:rPr>
        <w:t>(l)</w:t>
      </w:r>
      <w:r>
        <w:rPr>
          <w:rFonts w:ascii="Times New Roman;serif" w:hAnsi="Times New Roman;serif"/>
          <w:b w:val="false"/>
          <w:color w:val="000000"/>
          <w:sz w:val="22"/>
        </w:rPr>
        <w:t>The Trustee shall not be deemed to have knowledge of any Default or Event of Default (other than an Event of Default constituting the failure to pay the interest on, or the principal of, the Securities if the Trustee also serves the paying agent for such Securities) until the Trustee shall have received written notification in the manner set forth in this Indenture or a Responsible Officer of the Trustee shall have obtained actual knowledge.</w:t>
      </w:r>
    </w:p>
    <w:p>
      <w:pPr>
        <w:pStyle w:val="TextBody"/>
        <w:bidi w:val="0"/>
        <w:spacing w:lineRule="auto" w:line="240" w:before="0" w:after="240"/>
        <w:ind w:left="0" w:right="0" w:firstLine="720"/>
        <w:jc w:val="both"/>
        <w:rPr/>
      </w:pPr>
      <w:r>
        <w:rPr>
          <w:rFonts w:ascii="Times New Roman;serif" w:hAnsi="Times New Roman;serif"/>
          <w:b/>
          <w:color w:val="000000"/>
          <w:sz w:val="22"/>
        </w:rPr>
        <w:t>Section 7.03</w:t>
      </w:r>
      <w:r>
        <w:rPr>
          <w:rFonts w:ascii="Times New Roman;serif" w:hAnsi="Times New Roman;serif"/>
          <w:b/>
          <w:color w:val="000000"/>
          <w:sz w:val="22"/>
        </w:rPr>
        <w:t>Trustee Not Responsible for Recitals or Issuance or Securities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Trustee makes no representations as to the validity or sufficiency of this Indenture or of the Securities.</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Section 2.01, or for the use or application of any moneys received by any paying agent other than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7.04</w:t>
      </w:r>
      <w:r>
        <w:rPr>
          <w:rFonts w:ascii="Times New Roman;serif" w:hAnsi="Times New Roman;serif"/>
          <w:b/>
          <w:color w:val="000000"/>
          <w:sz w:val="22"/>
        </w:rPr>
        <w:t>May Hold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lineRule="auto" w:line="240" w:before="0" w:after="240"/>
        <w:ind w:left="0" w:right="0" w:firstLine="720"/>
        <w:jc w:val="both"/>
        <w:rPr/>
      </w:pPr>
      <w:r>
        <w:rPr>
          <w:rFonts w:ascii="Times New Roman;serif" w:hAnsi="Times New Roman;serif"/>
          <w:b/>
          <w:color w:val="000000"/>
          <w:sz w:val="22"/>
        </w:rPr>
        <w:t>Section 7.05</w:t>
      </w:r>
      <w:r>
        <w:rPr>
          <w:rFonts w:ascii="Times New Roman;serif" w:hAnsi="Times New Roman;serif"/>
          <w:b/>
          <w:color w:val="000000"/>
          <w:sz w:val="22"/>
        </w:rPr>
        <w:t>Moneys Held in Trust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lineRule="auto" w:line="240" w:before="0" w:after="240"/>
        <w:ind w:left="0" w:right="0" w:firstLine="720"/>
        <w:jc w:val="both"/>
        <w:rPr/>
      </w:pPr>
      <w:r>
        <w:rPr>
          <w:rFonts w:ascii="Times New Roman;serif" w:hAnsi="Times New Roman;serif"/>
          <w:b/>
          <w:color w:val="000000"/>
          <w:sz w:val="22"/>
        </w:rPr>
        <w:t>Section 7.06</w:t>
      </w:r>
      <w:r>
        <w:rPr>
          <w:rFonts w:ascii="Times New Roman;serif" w:hAnsi="Times New Roman;serif"/>
          <w:b/>
          <w:color w:val="000000"/>
          <w:sz w:val="22"/>
        </w:rPr>
        <w:t>Compensation and Reimbursement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color w:val="000000"/>
        </w:rPr>
        <w:t xml:space="preserve"> </w:t>
      </w:r>
      <w:r>
        <w:rPr>
          <w:rFonts w:ascii="Times New Roman;serif" w:hAnsi="Times New Roman;serif"/>
          <w:b w:val="false"/>
          <w:color w:val="000000"/>
          <w:sz w:val="22"/>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7.07</w:t>
      </w:r>
      <w:r>
        <w:rPr>
          <w:rFonts w:ascii="Times New Roman;serif" w:hAnsi="Times New Roman;serif"/>
          <w:b/>
          <w:color w:val="000000"/>
          <w:sz w:val="22"/>
        </w:rPr>
        <w:t>Reliance on Officer’s Certificate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lineRule="auto" w:line="240" w:before="0" w:after="240"/>
        <w:ind w:left="0" w:right="0" w:firstLine="720"/>
        <w:jc w:val="both"/>
        <w:rPr/>
      </w:pPr>
      <w:r>
        <w:rPr>
          <w:rFonts w:ascii="Times New Roman;serif" w:hAnsi="Times New Roman;serif"/>
          <w:b/>
          <w:color w:val="000000"/>
          <w:sz w:val="22"/>
        </w:rPr>
        <w:t>Section 7.08</w:t>
      </w:r>
      <w:r>
        <w:rPr>
          <w:rFonts w:ascii="Times New Roman;serif" w:hAnsi="Times New Roman;serif"/>
          <w:b/>
          <w:color w:val="000000"/>
          <w:sz w:val="22"/>
        </w:rPr>
        <w:t>Disqualification; Conflicting Interests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lineRule="auto" w:line="240" w:before="0" w:after="240"/>
        <w:ind w:left="0" w:right="0" w:firstLine="720"/>
        <w:jc w:val="both"/>
        <w:rPr/>
      </w:pPr>
      <w:r>
        <w:rPr>
          <w:rFonts w:ascii="Times New Roman;serif" w:hAnsi="Times New Roman;serif"/>
          <w:b/>
          <w:color w:val="000000"/>
          <w:sz w:val="22"/>
        </w:rPr>
        <w:t>Section 7.09</w:t>
      </w:r>
      <w:r>
        <w:rPr>
          <w:rFonts w:ascii="Times New Roman;serif" w:hAnsi="Times New Roman;serif"/>
          <w:b/>
          <w:color w:val="000000"/>
          <w:sz w:val="22"/>
        </w:rPr>
        <w:t>Corporate Trustee Required; Eligibility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lineRule="auto" w:line="240" w:before="0" w:after="240"/>
        <w:ind w:left="0" w:right="0" w:firstLine="720"/>
        <w:jc w:val="both"/>
        <w:rPr/>
      </w:pPr>
      <w:r>
        <w:rPr>
          <w:rFonts w:ascii="Times New Roman;serif" w:hAnsi="Times New Roman;serif"/>
          <w:b/>
          <w:color w:val="000000"/>
          <w:sz w:val="22"/>
        </w:rPr>
        <w:t>Section 7.10</w:t>
      </w:r>
      <w:r>
        <w:rPr>
          <w:rFonts w:ascii="Times New Roman;serif" w:hAnsi="Times New Roman;serif"/>
          <w:b/>
          <w:color w:val="000000"/>
          <w:sz w:val="22"/>
        </w:rPr>
        <w:t>Resignation and Removal; Appointment of Successor</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In case at any time any one of the following shall occur:</w:t>
      </w:r>
    </w:p>
    <w:p>
      <w:pPr>
        <w:pStyle w:val="TextBody"/>
        <w:bidi w:val="0"/>
        <w:spacing w:lineRule="auto" w:line="240" w:before="0" w:after="240"/>
        <w:ind w:left="0" w:right="0" w:firstLine="2160"/>
        <w:jc w:val="both"/>
        <w:rPr/>
      </w:pPr>
      <w:r>
        <w:rPr>
          <w:rFonts w:ascii="Times New Roman;serif" w:hAnsi="Times New Roman;serif"/>
          <w:b/>
          <w:color w:val="000000"/>
          <w:sz w:val="22"/>
        </w:rPr>
        <w:t>(i)</w:t>
      </w:r>
      <w:r>
        <w:rPr>
          <w:rFonts w:ascii="Times New Roman;serif" w:hAnsi="Times New Roman;serif"/>
          <w:b w:val="false"/>
          <w:color w:val="000000"/>
          <w:sz w:val="22"/>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color w:val="000000"/>
          <w:sz w:val="22"/>
        </w:rPr>
        <w:t>(ii)</w:t>
      </w:r>
      <w:r>
        <w:rPr>
          <w:rFonts w:ascii="Times New Roman;serif" w:hAnsi="Times New Roman;serif"/>
          <w:b w:val="false"/>
          <w:color w:val="000000"/>
          <w:sz w:val="22"/>
        </w:rPr>
        <w:t>the Trustee shall cease to be eligible in accordance with the provisions of Section 7.09 and shall fail to resign after written request therefor by the Company or by any such Securityholder; or</w:t>
      </w:r>
    </w:p>
    <w:p>
      <w:pPr>
        <w:pStyle w:val="TextBody"/>
        <w:bidi w:val="0"/>
        <w:spacing w:lineRule="auto" w:line="240" w:before="0" w:after="240"/>
        <w:ind w:left="0" w:right="0" w:firstLine="2160"/>
        <w:jc w:val="both"/>
        <w:rPr/>
      </w:pPr>
      <w:r>
        <w:rPr>
          <w:rFonts w:ascii="Times New Roman;serif" w:hAnsi="Times New Roman;serif"/>
          <w:b/>
          <w:color w:val="000000"/>
          <w:sz w:val="22"/>
        </w:rPr>
        <w:t>(iii)</w:t>
      </w:r>
      <w:r>
        <w:rPr>
          <w:rFonts w:ascii="Times New Roman;serif" w:hAnsi="Times New Roman;serif"/>
          <w:b w:val="false"/>
          <w:color w:val="000000"/>
          <w:sz w:val="22"/>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lineRule="auto" w:line="240" w:before="0" w:after="240"/>
        <w:ind w:left="0" w:right="0" w:firstLine="720"/>
        <w:jc w:val="both"/>
        <w:rPr/>
      </w:pPr>
      <w:r>
        <w:rPr>
          <w:rFonts w:ascii="Times New Roman;serif" w:hAnsi="Times New Roman;serif"/>
          <w:b/>
          <w:color w:val="000000"/>
          <w:sz w:val="22"/>
        </w:rPr>
        <w:t>Section 7.11</w:t>
      </w:r>
      <w:r>
        <w:rPr>
          <w:rFonts w:ascii="Times New Roman;serif" w:hAnsi="Times New Roman;serif"/>
          <w:b/>
          <w:color w:val="000000"/>
          <w:sz w:val="22"/>
        </w:rPr>
        <w:t>Acceptance of Appointment By Successor</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No successor trustee shall accept its appointment unless at the time of such acceptance such successor trustee shall be qualified and eligible under this Article.</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Upon acceptance of appointment by a successor trustee as provided in this Section, the Company shall send notice of the succession of such trustee hereunder to the Securityholders. If the Company fails to transmit such notice within ten days after acceptance of appointment by the successor trustee, the successor trustee shall cause such notice to be transmitted at the expense of the Company.</w:t>
      </w:r>
    </w:p>
    <w:p>
      <w:pPr>
        <w:pStyle w:val="TextBody"/>
        <w:bidi w:val="0"/>
        <w:spacing w:lineRule="auto" w:line="240" w:before="0" w:after="240"/>
        <w:ind w:left="0" w:right="0" w:firstLine="720"/>
        <w:jc w:val="both"/>
        <w:rPr/>
      </w:pPr>
      <w:r>
        <w:rPr>
          <w:rFonts w:ascii="Times New Roman;serif" w:hAnsi="Times New Roman;serif"/>
          <w:b/>
          <w:color w:val="000000"/>
          <w:sz w:val="22"/>
        </w:rPr>
        <w:t>Section 7.12</w:t>
      </w:r>
      <w:r>
        <w:rPr>
          <w:rFonts w:ascii="Times New Roman;serif" w:hAnsi="Times New Roman;serif"/>
          <w:b/>
          <w:color w:val="000000"/>
          <w:sz w:val="22"/>
        </w:rPr>
        <w:t>Merger, Conversion, Consolidation or Succession to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lineRule="auto" w:line="240" w:before="0" w:after="240"/>
        <w:ind w:left="0" w:right="0" w:firstLine="720"/>
        <w:jc w:val="both"/>
        <w:rPr/>
      </w:pPr>
      <w:r>
        <w:rPr>
          <w:rFonts w:ascii="Times New Roman;serif" w:hAnsi="Times New Roman;serif"/>
          <w:b/>
          <w:color w:val="000000"/>
          <w:sz w:val="22"/>
        </w:rPr>
        <w:t>Section 7.13</w:t>
      </w:r>
      <w:r>
        <w:rPr>
          <w:rFonts w:ascii="Times New Roman;serif" w:hAnsi="Times New Roman;serif"/>
          <w:b/>
          <w:color w:val="000000"/>
          <w:sz w:val="22"/>
        </w:rPr>
        <w:t>Preferential Collection of Claims Against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lineRule="auto" w:line="240" w:before="0" w:after="240"/>
        <w:ind w:left="0" w:right="0" w:firstLine="720"/>
        <w:jc w:val="both"/>
        <w:rPr/>
      </w:pPr>
      <w:r>
        <w:rPr>
          <w:rFonts w:ascii="Times New Roman;serif" w:hAnsi="Times New Roman;serif"/>
          <w:b/>
          <w:color w:val="000000"/>
          <w:sz w:val="22"/>
        </w:rPr>
        <w:t>Section 7.14</w:t>
      </w:r>
      <w:r>
        <w:rPr>
          <w:rFonts w:ascii="Times New Roman;serif" w:hAnsi="Times New Roman;serif"/>
          <w:b/>
          <w:color w:val="000000"/>
          <w:sz w:val="22"/>
        </w:rPr>
        <w:t>Notice of Default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earlier of 90 days after it occurs and 30 days after it is known to a Responsible Officer of the Trustee or written notice of it is received by the Trustee, unless such Event of Default has been cured; </w:t>
      </w:r>
      <w:r>
        <w:rPr>
          <w:rFonts w:ascii="Times New Roman;serif" w:hAnsi="Times New Roman;serif"/>
          <w:b w:val="false"/>
          <w:i/>
          <w:color w:val="000000"/>
          <w:sz w:val="22"/>
        </w:rPr>
        <w:t>provided, however</w:t>
      </w:r>
      <w:r>
        <w:rPr>
          <w:rFonts w:ascii="Times New Roman;serif" w:hAnsi="Times New Roman;serif"/>
          <w:b w:val="false"/>
          <w:color w:val="000000"/>
          <w:sz w:val="22"/>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lineRule="auto" w:line="240" w:before="0" w:after="240"/>
        <w:jc w:val="center"/>
        <w:rPr/>
      </w:pPr>
      <w:r>
        <w:rPr>
          <w:rFonts w:ascii="Times New Roman;serif" w:hAnsi="Times New Roman;serif"/>
          <w:b/>
          <w:color w:val="000000"/>
          <w:sz w:val="22"/>
        </w:rPr>
        <w:t>Article 8</w:t>
      </w:r>
      <w:r>
        <w:rPr>
          <w:rFonts w:ascii="Times New Roman;serif" w:hAnsi="Times New Roman;serif"/>
          <w:b/>
          <w:color w:val="000000"/>
          <w:sz w:val="22"/>
        </w:rPr>
        <w:br/>
        <w:br/>
        <w:t>CONCERNING THE SECURITYHOLDERS</w:t>
      </w:r>
    </w:p>
    <w:p>
      <w:pPr>
        <w:pStyle w:val="TextBody"/>
        <w:bidi w:val="0"/>
        <w:spacing w:lineRule="auto" w:line="240" w:before="0" w:after="240"/>
        <w:ind w:left="0" w:right="0" w:firstLine="720"/>
        <w:jc w:val="both"/>
        <w:rPr/>
      </w:pPr>
      <w:r>
        <w:rPr>
          <w:rFonts w:ascii="Times New Roman;serif" w:hAnsi="Times New Roman;serif"/>
          <w:b/>
          <w:color w:val="000000"/>
          <w:sz w:val="22"/>
        </w:rPr>
        <w:t>Section 8.01</w:t>
      </w:r>
      <w:r>
        <w:rPr>
          <w:rFonts w:ascii="Times New Roman;serif" w:hAnsi="Times New Roman;serif"/>
          <w:b/>
          <w:color w:val="000000"/>
          <w:sz w:val="22"/>
        </w:rPr>
        <w:t>Evidence of Action by Securityholders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lineRule="auto" w:line="240" w:before="0" w:after="240"/>
        <w:ind w:left="0" w:right="0" w:firstLine="720"/>
        <w:jc w:val="both"/>
        <w:rPr/>
      </w:pPr>
      <w:r>
        <w:rPr>
          <w:rFonts w:ascii="Times New Roman;serif" w:hAnsi="Times New Roman;serif"/>
          <w:b/>
          <w:color w:val="000000"/>
          <w:sz w:val="22"/>
        </w:rPr>
        <w:t>Section 8.02</w:t>
      </w:r>
      <w:r>
        <w:rPr>
          <w:rFonts w:ascii="Times New Roman;serif" w:hAnsi="Times New Roman;serif"/>
          <w:b/>
          <w:color w:val="000000"/>
          <w:sz w:val="22"/>
        </w:rPr>
        <w:t>Proof of Execution by Securityholders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fact and date of the execution by any such Person of any instrument may be proved in any reasonable manner acceptable to the Trustee.</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ownership of Securities shall be proved by the Security Register of such Securities or by a certificate of the Security Registrar thereof.</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Trustee may require such additional proof of any matter referred to in this Section as it shall deem necessary.</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Section 8.03</w:t>
      </w:r>
      <w:r>
        <w:rPr>
          <w:rFonts w:ascii="Times New Roman;serif" w:hAnsi="Times New Roman;serif"/>
          <w:b/>
          <w:color w:val="000000"/>
          <w:sz w:val="22"/>
        </w:rPr>
        <w:t>Who May be Deemed Owners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lineRule="auto" w:line="240" w:before="0" w:after="240"/>
        <w:ind w:left="0" w:right="0" w:firstLine="720"/>
        <w:jc w:val="both"/>
        <w:rPr/>
      </w:pPr>
      <w:r>
        <w:rPr>
          <w:rFonts w:ascii="Times New Roman;serif" w:hAnsi="Times New Roman;serif"/>
          <w:b/>
          <w:color w:val="000000"/>
          <w:sz w:val="22"/>
        </w:rPr>
        <w:t>Section 8.04</w:t>
      </w:r>
      <w:r>
        <w:rPr>
          <w:rFonts w:ascii="Times New Roman;serif" w:hAnsi="Times New Roman;serif"/>
          <w:b/>
          <w:color w:val="000000"/>
          <w:sz w:val="22"/>
        </w:rPr>
        <w:t>Certain Securities Owned by Company Disregarded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8.05</w:t>
      </w:r>
      <w:r>
        <w:rPr>
          <w:rFonts w:ascii="Times New Roman;serif" w:hAnsi="Times New Roman;serif"/>
          <w:b/>
          <w:color w:val="000000"/>
          <w:sz w:val="22"/>
        </w:rPr>
        <w:t>Actions Binding on Future Securityholders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lineRule="auto" w:line="240" w:before="0" w:after="240"/>
        <w:jc w:val="center"/>
        <w:rPr/>
      </w:pPr>
      <w:r>
        <w:rPr>
          <w:rFonts w:ascii="Times New Roman;serif" w:hAnsi="Times New Roman;serif"/>
          <w:b/>
          <w:color w:val="000000"/>
          <w:sz w:val="22"/>
        </w:rPr>
        <w:t>Article 9</w:t>
      </w:r>
      <w:r>
        <w:rPr>
          <w:rFonts w:ascii="Times New Roman;serif" w:hAnsi="Times New Roman;serif"/>
          <w:b w:val="false"/>
          <w:color w:val="000000"/>
          <w:sz w:val="22"/>
        </w:rPr>
        <w:br/>
        <w:br/>
        <w:t>S</w:t>
      </w:r>
      <w:r>
        <w:rPr>
          <w:rFonts w:ascii="Times New Roman;serif" w:hAnsi="Times New Roman;serif"/>
          <w:b/>
          <w:color w:val="000000"/>
          <w:sz w:val="22"/>
        </w:rPr>
        <w:t>UPPLEMENTAL INDENTURES</w:t>
      </w:r>
    </w:p>
    <w:p>
      <w:pPr>
        <w:pStyle w:val="TextBody"/>
        <w:bidi w:val="0"/>
        <w:spacing w:lineRule="auto" w:line="240" w:before="0" w:after="240"/>
        <w:ind w:left="0" w:right="0" w:firstLine="720"/>
        <w:jc w:val="both"/>
        <w:rPr/>
      </w:pPr>
      <w:r>
        <w:rPr>
          <w:rFonts w:ascii="Times New Roman;serif" w:hAnsi="Times New Roman;serif"/>
          <w:b/>
          <w:color w:val="000000"/>
          <w:sz w:val="22"/>
        </w:rPr>
        <w:t>Section 9.01</w:t>
      </w:r>
      <w:r>
        <w:rPr>
          <w:rFonts w:ascii="Times New Roman;serif" w:hAnsi="Times New Roman;serif"/>
          <w:b/>
          <w:color w:val="000000"/>
          <w:sz w:val="22"/>
        </w:rPr>
        <w:t>Supplemental Indentures Without the Consent of Securityholders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any supplemental indenture otherwise authorized by this Indenture, the Company and the Trustee may from time to time and at any time enter into an indenture or indentures supplemental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hereto (which shall conform to the provisions of the Trust Indenture Act as then in effect), without the consent of the Securityholders, for one or more of the following purposes: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to cure any ambiguity, defect, or inconsistency herein or in the Securities of any series;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to comply with Article Ten;</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to provide for uncertificated Securities in addition to or in place of certificated Securities;</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to add to, delete from, or revise the conditions, limitations, and restrictions on the authorized amount, terms, or purposes of issue, authentication, and delivery of Securities, as herein set forth;</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val="false"/>
          <w:color w:val="000000"/>
          <w:sz w:val="22"/>
        </w:rPr>
        <w:t>to make any change that does not adversely affect the rights of any Securityholder in any material respect;</w:t>
      </w:r>
    </w:p>
    <w:p>
      <w:pPr>
        <w:pStyle w:val="TextBody"/>
        <w:bidi w:val="0"/>
        <w:spacing w:lineRule="auto" w:line="240" w:before="0" w:after="240"/>
        <w:ind w:left="0" w:right="0" w:firstLine="1440"/>
        <w:jc w:val="both"/>
        <w:rPr/>
      </w:pPr>
      <w:r>
        <w:rPr>
          <w:rFonts w:ascii="Times New Roman;serif" w:hAnsi="Times New Roman;serif"/>
          <w:b/>
          <w:color w:val="000000"/>
          <w:sz w:val="22"/>
        </w:rPr>
        <w:t>(g)</w:t>
      </w:r>
      <w:r>
        <w:rPr>
          <w:rFonts w:ascii="Times New Roman;serif" w:hAnsi="Times New Roman;serif"/>
          <w:b w:val="false"/>
          <w:color w:val="000000"/>
          <w:sz w:val="22"/>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lineRule="auto" w:line="240" w:before="0" w:after="240"/>
        <w:ind w:left="0" w:right="0" w:firstLine="1440"/>
        <w:jc w:val="both"/>
        <w:rPr/>
      </w:pPr>
      <w:r>
        <w:rPr>
          <w:rFonts w:ascii="Times New Roman;serif" w:hAnsi="Times New Roman;serif"/>
          <w:b/>
          <w:color w:val="000000"/>
          <w:sz w:val="22"/>
        </w:rPr>
        <w:t>(h)</w:t>
      </w:r>
      <w:r>
        <w:rPr>
          <w:rFonts w:ascii="Times New Roman;serif" w:hAnsi="Times New Roman;serif"/>
          <w:b w:val="false"/>
          <w:color w:val="000000"/>
          <w:sz w:val="22"/>
        </w:rPr>
        <w:t>to evidence and provide for the acceptance of appointment hereunder by a successor trustee; or</w:t>
      </w:r>
    </w:p>
    <w:p>
      <w:pPr>
        <w:pStyle w:val="TextBody"/>
        <w:bidi w:val="0"/>
        <w:spacing w:lineRule="auto" w:line="240" w:before="0" w:after="240"/>
        <w:ind w:left="0" w:right="0" w:firstLine="1440"/>
        <w:jc w:val="both"/>
        <w:rPr/>
      </w:pPr>
      <w:r>
        <w:rPr>
          <w:rFonts w:ascii="Times New Roman;serif" w:hAnsi="Times New Roman;serif"/>
          <w:b/>
          <w:color w:val="000000"/>
          <w:sz w:val="22"/>
        </w:rPr>
        <w:t>(i)</w:t>
      </w:r>
      <w:r>
        <w:rPr>
          <w:rFonts w:ascii="Times New Roman;serif" w:hAnsi="Times New Roman;serif"/>
          <w:b w:val="false"/>
          <w:color w:val="000000"/>
          <w:sz w:val="22"/>
        </w:rPr>
        <w:t>to comply with any requirements of the Commission or any successor in connection with the qualification of this Indenture under the Trust Indenture 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lineRule="auto" w:line="240" w:before="0" w:after="240"/>
        <w:ind w:left="0" w:right="0" w:firstLine="720"/>
        <w:jc w:val="both"/>
        <w:rPr/>
      </w:pPr>
      <w:r>
        <w:rPr>
          <w:rFonts w:ascii="Times New Roman;serif" w:hAnsi="Times New Roman;serif"/>
          <w:b/>
          <w:color w:val="000000"/>
          <w:sz w:val="22"/>
        </w:rPr>
        <w:t>Section 9.02</w:t>
      </w:r>
      <w:r>
        <w:rPr>
          <w:rFonts w:ascii="Times New Roman;serif" w:hAnsi="Times New Roman;serif"/>
          <w:b/>
          <w:color w:val="000000"/>
          <w:sz w:val="22"/>
        </w:rPr>
        <w:t>Supplemental Indentures With Consent of Securityholders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lineRule="auto" w:line="240" w:before="0" w:after="240"/>
        <w:ind w:left="0" w:right="0" w:firstLine="720"/>
        <w:jc w:val="both"/>
        <w:rPr/>
      </w:pPr>
      <w:r>
        <w:rPr>
          <w:rFonts w:ascii="Times New Roman;serif" w:hAnsi="Times New Roman;serif"/>
          <w:b/>
          <w:color w:val="000000"/>
          <w:sz w:val="22"/>
        </w:rPr>
        <w:t>Section 9.03</w:t>
      </w:r>
      <w:r>
        <w:rPr>
          <w:rFonts w:ascii="Times New Roman;serif" w:hAnsi="Times New Roman;serif"/>
          <w:b/>
          <w:color w:val="000000"/>
          <w:sz w:val="22"/>
        </w:rPr>
        <w:t>Effect of Supplemental Indentures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lineRule="auto" w:line="240" w:before="0" w:after="240"/>
        <w:ind w:left="0" w:right="0" w:firstLine="720"/>
        <w:jc w:val="both"/>
        <w:rPr/>
      </w:pPr>
      <w:r>
        <w:rPr>
          <w:rFonts w:ascii="Times New Roman;serif" w:hAnsi="Times New Roman;serif"/>
          <w:b/>
          <w:color w:val="000000"/>
          <w:sz w:val="22"/>
        </w:rPr>
        <w:t>Section 9.04</w:t>
      </w:r>
      <w:r>
        <w:rPr>
          <w:rFonts w:ascii="Times New Roman;serif" w:hAnsi="Times New Roman;serif"/>
          <w:b/>
          <w:color w:val="000000"/>
          <w:sz w:val="22"/>
        </w:rPr>
        <w:t>Securities Affected by Supplemental Indentures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lineRule="auto" w:line="240" w:before="0" w:after="240"/>
        <w:ind w:left="0" w:right="0" w:firstLine="720"/>
        <w:jc w:val="both"/>
        <w:rPr/>
      </w:pPr>
      <w:r>
        <w:rPr>
          <w:rFonts w:ascii="Times New Roman;serif" w:hAnsi="Times New Roman;serif"/>
          <w:b/>
          <w:color w:val="000000"/>
          <w:sz w:val="22"/>
        </w:rPr>
        <w:t>Section 9.05</w:t>
      </w:r>
      <w:r>
        <w:rPr>
          <w:rFonts w:ascii="Times New Roman;serif" w:hAnsi="Times New Roman;serif"/>
          <w:b/>
          <w:color w:val="000000"/>
          <w:sz w:val="22"/>
        </w:rPr>
        <w:t>Execution of Supplemental Indentures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Promptly after the execution by the Company and the Trustee of any supplemental indenture pursuant to the provisions of this Section, the Company shall (or shall direct the Trustee to) send a notice,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lineRule="auto" w:line="240" w:before="0" w:after="240"/>
        <w:jc w:val="center"/>
        <w:rPr/>
      </w:pPr>
      <w:r>
        <w:rPr>
          <w:rFonts w:ascii="Times New Roman;serif" w:hAnsi="Times New Roman;serif"/>
          <w:b/>
          <w:color w:val="000000"/>
          <w:sz w:val="22"/>
        </w:rPr>
        <w:t>Article 10</w:t>
      </w:r>
      <w:r>
        <w:rPr>
          <w:rFonts w:ascii="Times New Roman;serif" w:hAnsi="Times New Roman;serif"/>
          <w:b/>
          <w:color w:val="000000"/>
          <w:sz w:val="22"/>
        </w:rPr>
        <w:br/>
        <w:br/>
        <w:t>SUCCESSOR ENTITY</w:t>
      </w:r>
    </w:p>
    <w:p>
      <w:pPr>
        <w:pStyle w:val="TextBody"/>
        <w:bidi w:val="0"/>
        <w:spacing w:lineRule="auto" w:line="240" w:before="0" w:after="240"/>
        <w:ind w:left="0" w:right="0" w:firstLine="720"/>
        <w:jc w:val="both"/>
        <w:rPr/>
      </w:pPr>
      <w:r>
        <w:rPr>
          <w:rFonts w:ascii="Times New Roman;serif" w:hAnsi="Times New Roman;serif"/>
          <w:b/>
          <w:color w:val="000000"/>
          <w:sz w:val="22"/>
        </w:rPr>
        <w:t>Section 10.01</w:t>
      </w:r>
      <w:r>
        <w:rPr>
          <w:rFonts w:ascii="Times New Roman;serif" w:hAnsi="Times New Roman;serif"/>
          <w:b/>
          <w:color w:val="000000"/>
          <w:sz w:val="22"/>
        </w:rPr>
        <w:t>Company May Consolidate, Etc</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lineRule="auto" w:line="240" w:before="0" w:after="240"/>
        <w:ind w:left="0" w:right="0" w:firstLine="720"/>
        <w:jc w:val="both"/>
        <w:rPr/>
      </w:pPr>
      <w:r>
        <w:rPr>
          <w:rFonts w:ascii="Times New Roman;serif" w:hAnsi="Times New Roman;serif"/>
          <w:b/>
          <w:color w:val="000000"/>
          <w:sz w:val="22"/>
        </w:rPr>
        <w:t>Section 10.02</w:t>
      </w:r>
      <w:r>
        <w:rPr>
          <w:rFonts w:ascii="Times New Roman;serif" w:hAnsi="Times New Roman;serif"/>
          <w:b/>
          <w:color w:val="000000"/>
          <w:sz w:val="22"/>
        </w:rPr>
        <w:t>Successor Entity Substituted</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lineRule="auto" w:line="240" w:before="0" w:after="240"/>
        <w:jc w:val="center"/>
        <w:rPr/>
      </w:pPr>
      <w:r>
        <w:rPr>
          <w:rFonts w:ascii="Times New Roman;serif" w:hAnsi="Times New Roman;serif"/>
          <w:b/>
          <w:color w:val="000000"/>
          <w:sz w:val="22"/>
        </w:rPr>
        <w:t>Article 11</w:t>
      </w:r>
      <w:r>
        <w:rPr>
          <w:rFonts w:ascii="Times New Roman;serif" w:hAnsi="Times New Roman;serif"/>
          <w:b/>
          <w:color w:val="000000"/>
          <w:sz w:val="22"/>
        </w:rPr>
        <w:br/>
        <w:br/>
        <w:t>SATISFACTION AND DISCHARGE</w:t>
      </w:r>
    </w:p>
    <w:p>
      <w:pPr>
        <w:pStyle w:val="TextBody"/>
        <w:bidi w:val="0"/>
        <w:spacing w:lineRule="auto" w:line="240" w:before="0" w:after="240"/>
        <w:ind w:left="0" w:right="0" w:firstLine="720"/>
        <w:jc w:val="both"/>
        <w:rPr/>
      </w:pPr>
      <w:r>
        <w:rPr>
          <w:rFonts w:ascii="Times New Roman;serif" w:hAnsi="Times New Roman;serif"/>
          <w:b/>
          <w:color w:val="000000"/>
          <w:sz w:val="22"/>
        </w:rPr>
        <w:t>Section 11.01</w:t>
      </w:r>
      <w:r>
        <w:rPr>
          <w:rFonts w:ascii="Times New Roman;serif" w:hAnsi="Times New Roman;serif"/>
          <w:b/>
          <w:color w:val="000000"/>
          <w:sz w:val="22"/>
        </w:rPr>
        <w:t>Satisfaction and Discharge of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lineRule="auto" w:line="240" w:before="0" w:after="240"/>
        <w:ind w:left="0" w:right="0" w:firstLine="720"/>
        <w:jc w:val="both"/>
        <w:rPr/>
      </w:pPr>
      <w:r>
        <w:rPr>
          <w:rFonts w:ascii="Times New Roman;serif" w:hAnsi="Times New Roman;serif"/>
          <w:b/>
          <w:color w:val="000000"/>
          <w:sz w:val="22"/>
        </w:rPr>
        <w:t>Section 11.02</w:t>
      </w:r>
      <w:r>
        <w:rPr>
          <w:rFonts w:ascii="Times New Roman;serif" w:hAnsi="Times New Roman;serif"/>
          <w:b/>
          <w:color w:val="000000"/>
          <w:sz w:val="22"/>
        </w:rPr>
        <w:t>Discharge of Obligations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Thereafter, Sections 7.06 and 11.05 shall survive.</w:t>
      </w:r>
    </w:p>
    <w:p>
      <w:pPr>
        <w:pStyle w:val="TextBody"/>
        <w:bidi w:val="0"/>
        <w:spacing w:lineRule="auto" w:line="240" w:before="0" w:after="240"/>
        <w:ind w:left="0" w:right="0" w:firstLine="720"/>
        <w:jc w:val="both"/>
        <w:rPr/>
      </w:pPr>
      <w:r>
        <w:rPr>
          <w:rFonts w:ascii="Times New Roman;serif" w:hAnsi="Times New Roman;serif"/>
          <w:b/>
          <w:color w:val="000000"/>
          <w:sz w:val="22"/>
        </w:rPr>
        <w:t>Section 11.03</w:t>
      </w:r>
      <w:r>
        <w:rPr>
          <w:rFonts w:ascii="Times New Roman;serif" w:hAnsi="Times New Roman;serif"/>
          <w:b/>
          <w:color w:val="000000"/>
          <w:sz w:val="22"/>
        </w:rPr>
        <w:t>Deposited Moneys to be Held in Trust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11.04</w:t>
      </w:r>
      <w:r>
        <w:rPr>
          <w:rFonts w:ascii="Times New Roman;serif" w:hAnsi="Times New Roman;serif"/>
          <w:b/>
          <w:color w:val="000000"/>
          <w:sz w:val="22"/>
        </w:rPr>
        <w:t>Payment of Moneys Held by Paying Agents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lineRule="auto" w:line="240" w:before="0" w:after="240"/>
        <w:ind w:left="0" w:right="0" w:firstLine="720"/>
        <w:jc w:val="both"/>
        <w:rPr/>
      </w:pPr>
      <w:r>
        <w:rPr>
          <w:rFonts w:ascii="Times New Roman;serif" w:hAnsi="Times New Roman;serif"/>
          <w:b/>
          <w:color w:val="000000"/>
          <w:sz w:val="22"/>
        </w:rPr>
        <w:t>Section 11.05</w:t>
      </w:r>
      <w:r>
        <w:rPr>
          <w:rFonts w:ascii="Times New Roman;serif" w:hAnsi="Times New Roman;serif"/>
          <w:b/>
          <w:color w:val="000000"/>
          <w:sz w:val="22"/>
        </w:rPr>
        <w:t>Repayment to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lineRule="auto" w:line="240" w:before="0" w:after="240"/>
        <w:jc w:val="center"/>
        <w:rPr/>
      </w:pPr>
      <w:r>
        <w:rPr>
          <w:rFonts w:ascii="Times New Roman;serif" w:hAnsi="Times New Roman;serif"/>
          <w:b/>
          <w:color w:val="000000"/>
          <w:sz w:val="22"/>
        </w:rPr>
        <w:t>Article 12</w:t>
      </w:r>
      <w:r>
        <w:rPr>
          <w:rFonts w:ascii="Times New Roman;serif" w:hAnsi="Times New Roman;serif"/>
          <w:b/>
          <w:color w:val="000000"/>
          <w:sz w:val="22"/>
        </w:rPr>
        <w:br/>
        <w:br/>
        <w:t>IMMUNITY OF INCORPORATORS, STOCKHOLDERS, OFFICERS AND DIRECTORS</w:t>
      </w:r>
    </w:p>
    <w:p>
      <w:pPr>
        <w:pStyle w:val="TextBody"/>
        <w:bidi w:val="0"/>
        <w:spacing w:lineRule="auto" w:line="240" w:before="0" w:after="240"/>
        <w:ind w:left="0" w:right="0" w:firstLine="720"/>
        <w:jc w:val="both"/>
        <w:rPr/>
      </w:pPr>
      <w:r>
        <w:rPr>
          <w:rFonts w:ascii="Times New Roman;serif" w:hAnsi="Times New Roman;serif"/>
          <w:b/>
          <w:color w:val="000000"/>
          <w:sz w:val="22"/>
        </w:rPr>
        <w:t>Section 12.01</w:t>
      </w:r>
      <w:r>
        <w:rPr>
          <w:rFonts w:ascii="Times New Roman;serif" w:hAnsi="Times New Roman;serif"/>
          <w:b/>
          <w:color w:val="000000"/>
          <w:sz w:val="22"/>
        </w:rPr>
        <w:t>No Recourse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lineRule="auto" w:line="240" w:before="0" w:after="240"/>
        <w:jc w:val="center"/>
        <w:rPr/>
      </w:pPr>
      <w:r>
        <w:rPr>
          <w:rFonts w:ascii="Times New Roman;serif" w:hAnsi="Times New Roman;serif"/>
          <w:b/>
          <w:color w:val="000000"/>
          <w:sz w:val="22"/>
        </w:rPr>
        <w:t>Article 13</w:t>
      </w:r>
      <w:r>
        <w:rPr>
          <w:rFonts w:ascii="Times New Roman;serif" w:hAnsi="Times New Roman;serif"/>
          <w:b/>
          <w:color w:val="000000"/>
          <w:sz w:val="22"/>
        </w:rPr>
        <w:br/>
        <w:br/>
        <w:t>MISCELLANEOUS PROVISIONS</w:t>
      </w:r>
    </w:p>
    <w:p>
      <w:pPr>
        <w:pStyle w:val="TextBody"/>
        <w:bidi w:val="0"/>
        <w:spacing w:lineRule="auto" w:line="240" w:before="0" w:after="240"/>
        <w:ind w:left="0" w:right="0" w:firstLine="720"/>
        <w:jc w:val="both"/>
        <w:rPr/>
      </w:pPr>
      <w:r>
        <w:rPr>
          <w:rFonts w:ascii="Times New Roman;serif" w:hAnsi="Times New Roman;serif"/>
          <w:b/>
          <w:color w:val="000000"/>
          <w:sz w:val="22"/>
        </w:rPr>
        <w:t>Section 13.01</w:t>
      </w:r>
      <w:r>
        <w:rPr>
          <w:rFonts w:ascii="Times New Roman;serif" w:hAnsi="Times New Roman;serif"/>
          <w:b/>
          <w:color w:val="000000"/>
          <w:sz w:val="22"/>
        </w:rPr>
        <w:t>Effect on Successors and Assigns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the covenants, stipulations, promises and agreements in this Indenture made by or on behalf of the Company shall bind its successors and assigns, whether so expressed or not.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Section 13.02</w:t>
      </w:r>
      <w:r>
        <w:rPr>
          <w:rFonts w:ascii="Times New Roman;serif" w:hAnsi="Times New Roman;serif"/>
          <w:b/>
          <w:color w:val="000000"/>
          <w:sz w:val="22"/>
        </w:rPr>
        <w:t>Actions by Successor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lineRule="auto" w:line="240" w:before="0" w:after="240"/>
        <w:ind w:left="0" w:right="0" w:firstLine="720"/>
        <w:jc w:val="both"/>
        <w:rPr/>
      </w:pPr>
      <w:r>
        <w:rPr>
          <w:rFonts w:ascii="Times New Roman;serif" w:hAnsi="Times New Roman;serif"/>
          <w:b/>
          <w:color w:val="000000"/>
          <w:sz w:val="22"/>
        </w:rPr>
        <w:t>Section 13.03</w:t>
      </w:r>
      <w:r>
        <w:rPr>
          <w:rFonts w:ascii="Times New Roman;serif" w:hAnsi="Times New Roman;serif"/>
          <w:b/>
          <w:color w:val="000000"/>
          <w:sz w:val="22"/>
        </w:rPr>
        <w:t>Surrender of Company Powers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lineRule="auto" w:line="240" w:before="0" w:after="240"/>
        <w:ind w:left="0" w:right="0" w:firstLine="720"/>
        <w:jc w:val="both"/>
        <w:rPr/>
      </w:pPr>
      <w:r>
        <w:rPr>
          <w:rFonts w:ascii="Times New Roman;serif" w:hAnsi="Times New Roman;serif"/>
          <w:b/>
          <w:color w:val="000000"/>
          <w:sz w:val="22"/>
        </w:rPr>
        <w:t>Section 13.04</w:t>
      </w:r>
      <w:r>
        <w:rPr>
          <w:rFonts w:ascii="Times New Roman;serif" w:hAnsi="Times New Roman;serif"/>
          <w:b/>
          <w:color w:val="000000"/>
          <w:sz w:val="22"/>
        </w:rPr>
        <w:t>Notices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br/>
      </w:r>
      <w:r>
        <w:rPr>
          <w:color w:val="000000"/>
          <w:u w:val="single"/>
        </w:rPr>
        <w:t>                                    </w:t>
      </w:r>
      <w:r>
        <w:rPr>
          <w:rFonts w:ascii="Times New Roman;serif" w:hAnsi="Times New Roman;serif"/>
          <w:b w:val="false"/>
          <w:color w:val="000000"/>
          <w:sz w:val="22"/>
        </w:rPr>
        <w:t>.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lineRule="auto" w:line="240" w:before="0" w:after="240"/>
        <w:ind w:left="0" w:right="0" w:firstLine="720"/>
        <w:jc w:val="both"/>
        <w:rPr/>
      </w:pPr>
      <w:r>
        <w:rPr>
          <w:rFonts w:ascii="Times New Roman;serif" w:hAnsi="Times New Roman;serif"/>
          <w:b/>
          <w:color w:val="000000"/>
          <w:sz w:val="22"/>
        </w:rPr>
        <w:t>Section 13.05</w:t>
      </w:r>
      <w:r>
        <w:rPr>
          <w:rFonts w:ascii="Times New Roman;serif" w:hAnsi="Times New Roman;serif"/>
          <w:b/>
          <w:color w:val="000000"/>
          <w:sz w:val="22"/>
        </w:rPr>
        <w:t>Governing Law; Jury Trial Waiver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Indenture and each Security shall be governed by, and construed in accordance with, the internal laws of the State of New York, except to the extent that the Trust Indenture Act is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lineRule="auto" w:line="240" w:before="0" w:after="240"/>
        <w:ind w:left="0" w:right="0" w:firstLine="720"/>
        <w:jc w:val="both"/>
        <w:rPr/>
      </w:pPr>
      <w:r>
        <w:rPr>
          <w:rFonts w:ascii="Times New Roman;serif" w:hAnsi="Times New Roman;serif"/>
          <w:b/>
          <w:color w:val="000000"/>
          <w:sz w:val="22"/>
        </w:rPr>
        <w:t>Section 13.06</w:t>
      </w:r>
      <w:r>
        <w:rPr>
          <w:rFonts w:ascii="Times New Roman;serif" w:hAnsi="Times New Roman;serif"/>
          <w:b/>
          <w:color w:val="000000"/>
          <w:sz w:val="22"/>
        </w:rPr>
        <w:t>Treatment of Securities as Debt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intended that the Securities will be treated as indebtedness and not as equity for federal income tax purposes. The provisions of this Indenture shall be interpreted to further this intention.</w:t>
      </w:r>
    </w:p>
    <w:p>
      <w:pPr>
        <w:pStyle w:val="TextBody"/>
        <w:bidi w:val="0"/>
        <w:spacing w:lineRule="auto" w:line="240" w:before="0" w:after="240"/>
        <w:ind w:left="0" w:right="0" w:firstLine="720"/>
        <w:jc w:val="both"/>
        <w:rPr/>
      </w:pPr>
      <w:r>
        <w:rPr>
          <w:rFonts w:ascii="Times New Roman;serif" w:hAnsi="Times New Roman;serif"/>
          <w:b/>
          <w:color w:val="000000"/>
          <w:sz w:val="22"/>
        </w:rPr>
        <w:t>Section 13.07</w:t>
      </w:r>
      <w:r>
        <w:rPr>
          <w:rFonts w:ascii="Times New Roman;serif" w:hAnsi="Times New Roman;serif"/>
          <w:b/>
          <w:color w:val="000000"/>
          <w:sz w:val="22"/>
        </w:rPr>
        <w:t>Certificates and Opinions as to Conditions Precedent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lineRule="auto" w:line="240" w:before="0" w:after="240"/>
        <w:ind w:left="0" w:right="0" w:firstLine="720"/>
        <w:jc w:val="both"/>
        <w:rPr/>
      </w:pPr>
      <w:r>
        <w:rPr>
          <w:rFonts w:ascii="Times New Roman;serif" w:hAnsi="Times New Roman;serif"/>
          <w:b/>
          <w:color w:val="000000"/>
          <w:sz w:val="22"/>
        </w:rPr>
        <w:t>Section 13.08</w:t>
      </w:r>
      <w:r>
        <w:rPr>
          <w:rFonts w:ascii="Times New Roman;serif" w:hAnsi="Times New Roman;serif"/>
          <w:b/>
          <w:color w:val="000000"/>
          <w:sz w:val="22"/>
        </w:rPr>
        <w:t>Payments on Business Days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lineRule="auto" w:line="240" w:before="0" w:after="240"/>
        <w:ind w:left="0" w:right="0" w:firstLine="720"/>
        <w:jc w:val="both"/>
        <w:rPr/>
      </w:pPr>
      <w:r>
        <w:rPr>
          <w:rFonts w:ascii="Times New Roman;serif" w:hAnsi="Times New Roman;serif"/>
          <w:b/>
          <w:color w:val="000000"/>
          <w:sz w:val="22"/>
        </w:rPr>
        <w:t>Section 13.09</w:t>
      </w:r>
      <w:r>
        <w:rPr>
          <w:rFonts w:ascii="Times New Roman;serif" w:hAnsi="Times New Roman;serif"/>
          <w:b/>
          <w:color w:val="000000"/>
          <w:sz w:val="22"/>
        </w:rPr>
        <w:t>Conflict with Trust Indenture 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and to the extent that any provision of this Indenture limits, qualifies or conflicts with the duties imposed by Section 318(c) of the Trust Indenture Act, such imposed duties shall control.</w:t>
      </w:r>
    </w:p>
    <w:p>
      <w:pPr>
        <w:pStyle w:val="TextBody"/>
        <w:bidi w:val="0"/>
        <w:spacing w:lineRule="auto" w:line="240" w:before="0" w:after="240"/>
        <w:ind w:left="0" w:right="0" w:firstLine="720"/>
        <w:jc w:val="both"/>
        <w:rPr/>
      </w:pPr>
      <w:r>
        <w:rPr>
          <w:rFonts w:ascii="Times New Roman;serif" w:hAnsi="Times New Roman;serif"/>
          <w:b/>
          <w:color w:val="000000"/>
          <w:sz w:val="22"/>
        </w:rPr>
        <w:t>Section 13.10</w:t>
      </w:r>
      <w:r>
        <w:rPr>
          <w:rFonts w:ascii="Times New Roman;serif" w:hAnsi="Times New Roman;serif"/>
          <w:b/>
          <w:color w:val="000000"/>
          <w:sz w:val="22"/>
        </w:rPr>
        <w:t>Counterparts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lineRule="auto" w:line="240" w:before="0" w:after="240"/>
        <w:ind w:left="0" w:right="0" w:firstLine="720"/>
        <w:jc w:val="both"/>
        <w:rPr/>
      </w:pPr>
      <w:r>
        <w:rPr>
          <w:rFonts w:ascii="Times New Roman;serif" w:hAnsi="Times New Roman;serif"/>
          <w:b/>
          <w:color w:val="000000"/>
          <w:sz w:val="22"/>
        </w:rPr>
        <w:t>Section 13.11</w:t>
      </w:r>
      <w:r>
        <w:rPr>
          <w:rFonts w:ascii="Times New Roman;serif" w:hAnsi="Times New Roman;serif"/>
          <w:b/>
          <w:color w:val="000000"/>
          <w:sz w:val="22"/>
        </w:rPr>
        <w:t>Separability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lineRule="auto" w:line="240" w:before="0" w:after="240"/>
        <w:ind w:left="0" w:right="0" w:firstLine="720"/>
        <w:jc w:val="both"/>
        <w:rPr/>
      </w:pPr>
      <w:r>
        <w:rPr>
          <w:rFonts w:ascii="Times New Roman;serif" w:hAnsi="Times New Roman;serif"/>
          <w:b/>
          <w:color w:val="000000"/>
          <w:sz w:val="22"/>
        </w:rPr>
        <w:t>Section 13.12</w:t>
      </w:r>
      <w:r>
        <w:rPr>
          <w:rFonts w:ascii="Times New Roman;serif" w:hAnsi="Times New Roman;serif"/>
          <w:b/>
          <w:color w:val="000000"/>
          <w:sz w:val="22"/>
        </w:rPr>
        <w:t>Compliance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the Company signing such certificate has knowledge of such an Event of Default, the certificate shall describe any such Event of Default and its status.</w:t>
      </w:r>
    </w:p>
    <w:p>
      <w:pPr>
        <w:pStyle w:val="TextBody"/>
        <w:bidi w:val="0"/>
        <w:spacing w:lineRule="auto" w:line="240" w:before="0" w:after="240"/>
        <w:ind w:left="0" w:right="0" w:firstLine="720"/>
        <w:jc w:val="both"/>
        <w:rPr/>
      </w:pPr>
      <w:r>
        <w:rPr>
          <w:rFonts w:ascii="Times New Roman;serif" w:hAnsi="Times New Roman;serif"/>
          <w:b/>
          <w:color w:val="000000"/>
          <w:sz w:val="22"/>
        </w:rPr>
        <w:t>Section 13.13</w:t>
      </w:r>
      <w:r>
        <w:rPr>
          <w:rFonts w:ascii="Times New Roman;serif" w:hAnsi="Times New Roman;serif"/>
          <w:b/>
          <w:color w:val="000000"/>
          <w:sz w:val="22"/>
        </w:rPr>
        <w:t>U.S.A Patriot 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lineRule="auto" w:line="240" w:before="0" w:after="240"/>
        <w:ind w:left="0" w:right="0" w:firstLine="720"/>
        <w:jc w:val="both"/>
        <w:rPr/>
      </w:pPr>
      <w:r>
        <w:rPr>
          <w:rFonts w:ascii="Times New Roman;serif" w:hAnsi="Times New Roman;serif"/>
          <w:b/>
          <w:color w:val="000000"/>
          <w:sz w:val="22"/>
        </w:rPr>
        <w:t>Section 13.14</w:t>
      </w:r>
      <w:r>
        <w:rPr>
          <w:rFonts w:ascii="Times New Roman;serif" w:hAnsi="Times New Roman;serif"/>
          <w:b/>
          <w:color w:val="000000"/>
          <w:sz w:val="22"/>
        </w:rPr>
        <w:t>Force Majeure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lineRule="auto" w:line="240" w:before="0" w:after="240"/>
        <w:ind w:left="0" w:right="0" w:firstLine="720"/>
        <w:jc w:val="both"/>
        <w:rPr/>
      </w:pPr>
      <w:r>
        <w:rPr>
          <w:rFonts w:ascii="Times New Roman;serif" w:hAnsi="Times New Roman;serif"/>
          <w:b/>
          <w:color w:val="000000"/>
          <w:sz w:val="22"/>
        </w:rPr>
        <w:t>Section 13.15</w:t>
      </w:r>
      <w:r>
        <w:rPr>
          <w:rFonts w:ascii="Times New Roman;serif" w:hAnsi="Times New Roman;serif"/>
          <w:b/>
          <w:color w:val="000000"/>
          <w:sz w:val="22"/>
        </w:rPr>
        <w:t>Table of Contents; Headings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table of contents and headings of the articles and sections of this Indenture have been inserted for convenience of reference only, are not intended to be considered a part hereof, and will not modify or restrict any of the terms or provisions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Indenture to be duly executed all as of the day and year first above written.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24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 xml:space="preserve">Name: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 xml:space="preserve">Title: </w:t>
      </w:r>
      <w:r>
        <w:rPr>
          <w:color w:val="000000"/>
          <w:u w:val="single"/>
        </w:rPr>
        <w:t>    </w:t>
      </w:r>
    </w:p>
    <w:p>
      <w:pPr>
        <w:pStyle w:val="TextBody"/>
        <w:bidi w:val="0"/>
        <w:spacing w:lineRule="auto" w:line="288" w:before="600" w:after="240"/>
        <w:jc w:val="left"/>
        <w:rPr/>
      </w:pPr>
      <w:r>
        <w:rPr>
          <w:rFonts w:ascii="Times New Roman;serif" w:hAnsi="Times New Roman;serif"/>
          <w:b/>
          <w:color w:val="000000"/>
          <w:sz w:val="22"/>
        </w:rPr>
        <w:t>[Trustee]</w:t>
      </w:r>
      <w:r>
        <w:rPr>
          <w:rFonts w:ascii="Times New Roman;serif" w:hAnsi="Times New Roman;serif"/>
          <w:b w:val="false"/>
          <w:color w:val="000000"/>
          <w:sz w:val="22"/>
        </w:rPr>
        <w:t>, as Trustee</w:t>
      </w:r>
    </w:p>
    <w:p>
      <w:pPr>
        <w:pStyle w:val="TextBody"/>
        <w:bidi w:val="0"/>
        <w:spacing w:lineRule="auto" w:line="288" w:before="0" w:after="24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 xml:space="preserve">Name: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2"/>
        </w:rPr>
        <w:t xml:space="preserve">Title: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CROSS-REFERENCE TABLE (1)</w:t>
      </w:r>
    </w:p>
    <w:p>
      <w:pPr>
        <w:pStyle w:val="TextBody"/>
        <w:bidi w:val="0"/>
        <w:spacing w:before="0" w:after="240"/>
        <w:jc w:val="both"/>
        <w:rPr/>
      </w:pPr>
      <w:r>
        <w:rPr/>
      </w:r>
    </w:p>
    <w:tbl>
      <w:tblPr>
        <w:tblW w:w="7335" w:type="dxa"/>
        <w:jc w:val="left"/>
        <w:tblInd w:w="0" w:type="dxa"/>
        <w:tblLayout w:type="fixed"/>
        <w:tblCellMar>
          <w:top w:w="28" w:type="dxa"/>
          <w:left w:w="28" w:type="dxa"/>
          <w:bottom w:w="28" w:type="dxa"/>
          <w:right w:w="28" w:type="dxa"/>
        </w:tblCellMar>
      </w:tblPr>
      <w:tblGrid>
        <w:gridCol w:w="1883"/>
        <w:gridCol w:w="1656"/>
        <w:gridCol w:w="1666"/>
        <w:gridCol w:w="623"/>
        <w:gridCol w:w="623"/>
        <w:gridCol w:w="884"/>
      </w:tblGrid>
      <w:tr>
        <w:trPr/>
        <w:tc>
          <w:tcPr>
            <w:tcW w:w="188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Section of Trust Indenture Act of 1939, as Amended</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Section of Indenture</w:t>
            </w:r>
          </w:p>
        </w:tc>
      </w:tr>
      <w:tr>
        <w:trPr/>
        <w:tc>
          <w:tcPr>
            <w:tcW w:w="5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310(a)</w:t>
            </w:r>
          </w:p>
        </w:tc>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7.09</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310(b)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7.08</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7.10</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310(c)</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311(a)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7.13</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311(b)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7.13</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311(c)</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312(a)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5.01</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5.02(a)</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312(b)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5.02(c)</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312(c)</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5.02(c)</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5.04(a)</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313(c)</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5.04(a)</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313(d)</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5.04(c)</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5.03</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13.12</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314(c)</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13.07(a)</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314(d)</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314(e)</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13.07(b)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314(f)</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7.01(a)</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315(c)</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315(d)</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315(e)</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6.07</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316(a)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6.06</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8.04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316(b)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316(c)</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8.01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317(a)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6.02</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317(b)</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4.03</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318(a)</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13.09</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_________________</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    This Cross-Reference Table does not constitute part of the Indenture and shall not have any bearing on the interpretation of any of its terms or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120"/>
        <w:jc w:val="right"/>
        <w:rPr>
          <w:rFonts w:ascii="Times New Roman;serif" w:hAnsi="Times New Roman;serif"/>
          <w:b/>
          <w:color w:val="000000"/>
          <w:sz w:val="22"/>
        </w:rPr>
      </w:pPr>
      <w:r>
        <w:rPr>
          <w:rFonts w:ascii="Times New Roman;serif" w:hAnsi="Times New Roman;serif"/>
          <w:b/>
          <w:color w:val="000000"/>
          <w:sz w:val="22"/>
        </w:rPr>
        <w:t>Exhibit 4.6</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0" w:after="240"/>
        <w:jc w:val="center"/>
        <w:rPr/>
      </w:pPr>
      <w:r>
        <w:rPr/>
      </w:r>
    </w:p>
    <w:p>
      <w:pPr>
        <w:pStyle w:val="TextBody"/>
        <w:bidi w:val="0"/>
        <w:spacing w:before="600" w:after="240"/>
        <w:jc w:val="center"/>
        <w:rPr/>
      </w:pPr>
      <w:r>
        <w:rPr/>
      </w:r>
    </w:p>
    <w:p>
      <w:pPr>
        <w:pStyle w:val="TextBody"/>
        <w:bidi w:val="0"/>
        <w:spacing w:lineRule="auto" w:line="288" w:before="600" w:after="240"/>
        <w:jc w:val="center"/>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_____________, As Warrant Agent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Common Stock</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__________</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02920"/>
                <wp:effectExtent l="0" t="0" r="0" b="0"/>
                <wp:wrapNone/>
                <wp:docPr id="91" name="Frame90"/>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COMMON STOCK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Common Stock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dated as of [●], between</w:t>
      </w:r>
      <w:r>
        <w:rPr>
          <w:rFonts w:ascii="Times New Roman;serif" w:hAnsi="Times New Roman;serif"/>
          <w:b/>
          <w:color w:val="000000"/>
          <w:sz w:val="22"/>
        </w:rPr>
        <w:t>, SI-BONE,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a [corporation] [national banking association] organized and existing under the laws of [●] and having a corporate trust office in [●],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proposes to sell [</w:t>
      </w:r>
      <w:r>
        <w:rPr>
          <w:rFonts w:ascii="Times New Roman;serif" w:hAnsi="Times New Roman;serif"/>
          <w:b/>
          <w:i/>
          <w:color w:val="000000"/>
          <w:sz w:val="22"/>
        </w:rPr>
        <w:t xml:space="preserve">If Warrants are sold with other securities — </w:t>
      </w:r>
      <w:r>
        <w:rPr>
          <w:rFonts w:ascii="Times New Roman;serif" w:hAnsi="Times New Roman;serif"/>
          <w:b w:val="false"/>
          <w:color w:val="000000"/>
          <w:sz w:val="22"/>
        </w:rPr>
        <w:t>[title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Common Stock [of the Company,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of the mutual agreements herein contained, the parties hereto agree as follows:</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ISSUANCE OF WARRANTS AND EXECUTION AND</w:t>
        <w:br/>
        <w:t>DELIVERY OF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 xml:space="preserve">Issuance Of Warrants. </w:t>
      </w:r>
      <w:r>
        <w:rPr>
          <w:rFonts w:ascii="Times New Roman;serif" w:hAnsi="Times New Roman;serif"/>
          <w:b w:val="false"/>
          <w:color w:val="000000"/>
          <w:sz w:val="22"/>
        </w:rPr>
        <w:t>[</w:t>
      </w:r>
      <w:r>
        <w:rPr>
          <w:rFonts w:ascii="Times New Roman;serif" w:hAnsi="Times New Roman;serif"/>
          <w:b/>
          <w:i/>
          <w:color w:val="000000"/>
          <w:sz w:val="22"/>
        </w:rPr>
        <w:t>If Warrants alone</w:t>
      </w:r>
      <w:r>
        <w:rPr>
          <w:color w:val="000000"/>
        </w:rPr>
        <w:t xml:space="preserve">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w:t>
      </w:r>
      <w:r>
        <w:rPr>
          <w:color w:val="000000"/>
        </w:rPr>
        <w:t xml:space="preserve"> </w:t>
      </w:r>
      <w:r>
        <w:rPr>
          <w:rFonts w:ascii="Times New Roman;serif" w:hAnsi="Times New Roman;serif"/>
          <w:b w:val="false"/>
          <w:color w:val="000000"/>
          <w:sz w:val="22"/>
        </w:rPr>
        <w:t>[</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 xml:space="preserve">Execution And Delivery Of Warrant Certificates.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w:t>
      </w: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rPr>
        <w:t xml:space="preserve">Issuance Of Warrant Certificates. </w:t>
      </w:r>
      <w:r>
        <w:rPr>
          <w:rFonts w:ascii="Times New Roman;serif" w:hAnsi="Times New Roman;serif"/>
          <w:b w:val="false"/>
          <w:color w:val="000000"/>
          <w:sz w:val="22"/>
        </w:rPr>
        <w:t>Warrant Certificates evidencing the right to purchase Warrant Securities may be executed by the Company and delivered 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40" w:before="0" w:after="240"/>
        <w:jc w:val="center"/>
        <w:rPr/>
      </w:pPr>
      <w:r>
        <w:rPr>
          <w:rFonts w:ascii="Times New Roman;serif" w:hAnsi="Times New Roman;serif"/>
          <w:b/>
          <w:color w:val="000000"/>
          <w:sz w:val="22"/>
        </w:rPr>
        <w:t>Article 2</w:t>
      </w:r>
      <w:r>
        <w:rPr>
          <w:rFonts w:ascii="Times New Roman;serif" w:hAnsi="Times New Roman;serif"/>
          <w:b/>
          <w:color w:val="000000"/>
          <w:sz w:val="22"/>
        </w:rPr>
        <w:br/>
        <w:br/>
        <w:t>WARRANT PRICE, DURATION AND EXERCISE OF WARRANTS</w:t>
      </w:r>
    </w:p>
    <w:p>
      <w:pPr>
        <w:pStyle w:val="TextBody"/>
        <w:bidi w:val="0"/>
        <w:spacing w:lineRule="auto" w:line="240" w:before="0" w:after="240"/>
        <w:ind w:left="0" w:right="0" w:firstLine="720"/>
        <w:jc w:val="both"/>
        <w:rPr/>
      </w:pPr>
      <w:r>
        <w:rPr>
          <w:rFonts w:ascii="Times New Roman;serif" w:hAnsi="Times New Roman;serif"/>
          <w:b/>
          <w:color w:val="000000"/>
          <w:sz w:val="22"/>
        </w:rPr>
        <w:t>2.1</w:t>
      </w:r>
      <w:r>
        <w:rPr>
          <w:rFonts w:ascii="Times New Roman;serif" w:hAnsi="Times New Roman;serif"/>
          <w:b/>
          <w:color w:val="000000"/>
          <w:sz w:val="22"/>
        </w:rPr>
        <w:t xml:space="preserve">Warrant Price. </w:t>
      </w:r>
      <w:r>
        <w:rPr>
          <w:rFonts w:ascii="Times New Roman;serif" w:hAnsi="Times New Roman;serif"/>
          <w:b w:val="false"/>
          <w:color w:val="000000"/>
          <w:sz w:val="22"/>
        </w:rPr>
        <w:t>During the period specified in Section 2.2, each Warrant shall, subject to the terms of this Warrant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erif" w:hAnsi="Times New Roman;serif"/>
          <w:b/>
          <w:i/>
          <w:color w:val="000000"/>
          <w:sz w:val="22"/>
        </w:rPr>
        <w:t>Warrant Price.</w:t>
      </w:r>
      <w:r>
        <w:rPr>
          <w:color w:val="000000"/>
        </w:rPr>
        <w:t>”</w:t>
      </w:r>
    </w:p>
    <w:p>
      <w:pPr>
        <w:pStyle w:val="TextBody"/>
        <w:bidi w:val="0"/>
        <w:spacing w:lineRule="auto" w:line="240" w:before="0" w:after="240"/>
        <w:ind w:left="0" w:right="0" w:firstLine="720"/>
        <w:jc w:val="both"/>
        <w:rPr/>
      </w:pPr>
      <w:r>
        <w:rPr>
          <w:rFonts w:ascii="Times New Roman;serif" w:hAnsi="Times New Roman;serif"/>
          <w:b/>
          <w:color w:val="000000"/>
          <w:sz w:val="22"/>
        </w:rPr>
        <w:t>2.2</w:t>
      </w:r>
      <w:r>
        <w:rPr>
          <w:rFonts w:ascii="Times New Roman;serif" w:hAnsi="Times New Roman;serif"/>
          <w:b/>
          <w:color w:val="000000"/>
          <w:sz w:val="22"/>
        </w:rPr>
        <w:t xml:space="preserve">Duration Of Warrants. </w:t>
      </w:r>
      <w:r>
        <w:rPr>
          <w:rFonts w:ascii="Times New Roman;serif" w:hAnsi="Times New Roman;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lineRule="auto" w:line="240" w:before="0" w:after="240"/>
        <w:ind w:left="0" w:right="0" w:firstLine="720"/>
        <w:jc w:val="both"/>
        <w:rPr/>
      </w:pPr>
      <w:r>
        <w:rPr>
          <w:rFonts w:ascii="Times New Roman;serif" w:hAnsi="Times New Roman;serif"/>
          <w:b/>
          <w:color w:val="000000"/>
          <w:sz w:val="22"/>
        </w:rPr>
        <w:t>2.3</w:t>
      </w:r>
      <w:r>
        <w:rPr>
          <w:rFonts w:ascii="Times New Roman;serif" w:hAnsi="Times New Roman;serif"/>
          <w:b/>
          <w:color w:val="000000"/>
          <w:sz w:val="22"/>
        </w:rPr>
        <w:t>Exercise Of Warrants.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 xml:space="preserve">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w:t>
      </w:r>
    </w:p>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40" w:before="0" w:after="240"/>
        <w:jc w:val="center"/>
        <w:rPr/>
      </w:pPr>
      <w:r>
        <w:rPr>
          <w:rFonts w:ascii="Times New Roman;serif" w:hAnsi="Times New Roman;serif"/>
          <w:b/>
          <w:color w:val="000000"/>
          <w:sz w:val="22"/>
        </w:rPr>
        <w:t>Article 3</w:t>
      </w:r>
      <w:r>
        <w:rPr>
          <w:rFonts w:ascii="Times New Roman;serif" w:hAnsi="Times New Roman;serif"/>
          <w:b/>
          <w:color w:val="000000"/>
          <w:sz w:val="22"/>
        </w:rPr>
        <w:br/>
        <w:br/>
        <w:t>OTHER PROVISIONS RELATING TO RIGHTS OF HOLDERS OF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3.1</w:t>
      </w:r>
      <w:r>
        <w:rPr>
          <w:rFonts w:ascii="Times New Roman;serif" w:hAnsi="Times New Roman;serif"/>
          <w:b/>
          <w:color w:val="000000"/>
          <w:sz w:val="22"/>
        </w:rPr>
        <w:t>No Rights As Warrant Securityholder Conferred By Warrants Or Warrant Certificates</w:t>
      </w:r>
      <w:r>
        <w:rPr>
          <w:rFonts w:ascii="Times New Roman;serif" w:hAnsi="Times New Roman;serif"/>
          <w:b w:val="false"/>
          <w:color w:val="000000"/>
          <w:sz w:val="22"/>
        </w:rPr>
        <w:t>. 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40" w:before="0" w:after="240"/>
        <w:ind w:left="0" w:right="0" w:firstLine="720"/>
        <w:jc w:val="both"/>
        <w:rPr/>
      </w:pPr>
      <w:r>
        <w:rPr>
          <w:rFonts w:ascii="Times New Roman;serif" w:hAnsi="Times New Roman;serif"/>
          <w:b/>
          <w:color w:val="000000"/>
          <w:sz w:val="22"/>
        </w:rPr>
        <w:t>3.2</w:t>
      </w:r>
      <w:r>
        <w:rPr>
          <w:rFonts w:ascii="Times New Roman;serif" w:hAnsi="Times New Roman;serif"/>
          <w:b/>
          <w:color w:val="000000"/>
          <w:sz w:val="22"/>
        </w:rPr>
        <w:t>Lost, Stolen, Mutilated Or Destroyed Warrant Certificates</w:t>
      </w:r>
      <w:r>
        <w:rPr>
          <w:rFonts w:ascii="Times New Roman;serif" w:hAnsi="Times New Roman;serif"/>
          <w:b w:val="false"/>
          <w:color w:val="000000"/>
          <w:sz w:val="22"/>
        </w:rPr>
        <w:t xml:space="preserve">. Upon receipt by the Warrant Agent of evidence reasonably satisfactory to it and the Company of the ownership of and the loss, theft, destruction or mutilation of any Warrant Certificate and/or indemnity reasonably satisfactory </w:t>
      </w: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3.3</w:t>
      </w:r>
      <w:r>
        <w:rPr>
          <w:rFonts w:ascii="Times New Roman;serif" w:hAnsi="Times New Roman;serif"/>
          <w:b/>
          <w:color w:val="000000"/>
          <w:sz w:val="22"/>
        </w:rPr>
        <w:t>Holder Of Warrant Certificate May Enforce Rights</w:t>
      </w:r>
      <w:r>
        <w:rPr>
          <w:rFonts w:ascii="Times New Roman;serif" w:hAnsi="Times New Roman;serif"/>
          <w:b w:val="false"/>
          <w:color w:val="000000"/>
          <w:sz w:val="22"/>
        </w:rPr>
        <w:t>. 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3.4</w:t>
      </w:r>
      <w:r>
        <w:rPr>
          <w:rFonts w:ascii="Times New Roman;serif" w:hAnsi="Times New Roman;serif"/>
          <w:b/>
          <w:color w:val="000000"/>
          <w:sz w:val="22"/>
        </w:rPr>
        <w:t>Adjustments.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If at any time or from time to time the holders of Common Stock (or any shares of stock or other securities at the time receivable upon the exercise of the Warrants) shall have received or become entitled to receive, without payment therefor,</w:t>
      </w:r>
    </w:p>
    <w:p>
      <w:pPr>
        <w:pStyle w:val="TextBody"/>
        <w:bidi w:val="0"/>
        <w:spacing w:lineRule="auto" w:line="240" w:before="0" w:after="240"/>
        <w:ind w:left="0" w:right="0" w:firstLine="2160"/>
        <w:jc w:val="both"/>
        <w:rPr/>
      </w:pPr>
      <w:r>
        <w:rPr>
          <w:rFonts w:ascii="Times New Roman;serif" w:hAnsi="Times New Roman;serif"/>
          <w:b/>
          <w:color w:val="000000"/>
          <w:sz w:val="22"/>
        </w:rPr>
        <w:t>(i)</w:t>
      </w:r>
      <w:r>
        <w:rPr>
          <w:rFonts w:ascii="Times New Roman;serif" w:hAnsi="Times New Roman;serif"/>
          <w:b w:val="false"/>
          <w:color w:val="000000"/>
          <w:sz w:val="22"/>
        </w:rPr>
        <w:t xml:space="preserve">Common Stock or any shares of stock or other securities which are at any time directly or indirectly convertible into or exchangeable for Common Stock, or any rights or options to subscribe for, purchase or otherwise acquire any of the foregoing by way of dividend or other </w:t>
      </w:r>
      <w:r>
        <w:rPr>
          <w:rFonts w:ascii="Times New Roman;serif" w:hAnsi="Times New Roman;serif"/>
          <w:b/>
          <w:color w:val="000000"/>
          <w:sz w:val="22"/>
        </w:rPr>
        <w:t>distribution</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color w:val="000000"/>
          <w:sz w:val="22"/>
        </w:rPr>
        <w:t>(ii)</w:t>
      </w:r>
      <w:r>
        <w:rPr>
          <w:rFonts w:ascii="Times New Roman;serif" w:hAnsi="Times New Roman;serif"/>
          <w:b w:val="false"/>
          <w:color w:val="000000"/>
          <w:sz w:val="22"/>
        </w:rPr>
        <w:t>any cash paid or payable otherwise than as a cash dividend paid or payable out of the Company’s current or retained earnings;</w:t>
      </w:r>
    </w:p>
    <w:p>
      <w:pPr>
        <w:pStyle w:val="TextBody"/>
        <w:bidi w:val="0"/>
        <w:spacing w:lineRule="auto" w:line="240" w:before="0" w:after="240"/>
        <w:ind w:left="0" w:right="0" w:firstLine="2160"/>
        <w:jc w:val="both"/>
        <w:rPr/>
      </w:pPr>
      <w:r>
        <w:rPr>
          <w:rFonts w:ascii="Times New Roman;serif" w:hAnsi="Times New Roman;serif"/>
          <w:b/>
          <w:color w:val="000000"/>
          <w:sz w:val="22"/>
        </w:rPr>
        <w:t>(iii)</w:t>
      </w:r>
      <w:r>
        <w:rPr>
          <w:rFonts w:ascii="Times New Roman;serif" w:hAnsi="Times New Roman;serif"/>
          <w:b w:val="false"/>
          <w:color w:val="000000"/>
          <w:sz w:val="22"/>
        </w:rPr>
        <w:t>any evidence of the Company’s indebtedness or rights to subscribe for or purchase the Company’s indebtedness; or</w:t>
      </w:r>
    </w:p>
    <w:p>
      <w:pPr>
        <w:pStyle w:val="TextBody"/>
        <w:bidi w:val="0"/>
        <w:spacing w:lineRule="auto" w:line="240" w:before="0" w:after="240"/>
        <w:ind w:left="0" w:right="0" w:firstLine="2160"/>
        <w:jc w:val="both"/>
        <w:rPr/>
      </w:pPr>
      <w:r>
        <w:rPr>
          <w:rFonts w:ascii="Times New Roman;serif" w:hAnsi="Times New Roman;serif"/>
          <w:b/>
          <w:color w:val="000000"/>
          <w:sz w:val="22"/>
        </w:rPr>
        <w:t>(iv)</w:t>
      </w:r>
      <w:r>
        <w:rPr>
          <w:rFonts w:ascii="Times New Roman;serif" w:hAnsi="Times New Roman;serif"/>
          <w:b w:val="false"/>
          <w:color w:val="000000"/>
          <w:sz w:val="22"/>
        </w:rPr>
        <w:t xml:space="preserve">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he </w:t>
      </w: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been the holder of record of such Warrant Securities as of the date on which holders of Common Stock received or became entitled to receive such shares or all other additional stock and other securities and property.</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val="false"/>
          <w:color w:val="000000"/>
          <w:sz w:val="22"/>
        </w:rPr>
        <w:t xml:space="preserve">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closing high bid and low asked prices as reported on any U.S. quotation medium or inter-dealer quotation system on such date, or if on any such date the Warrant Securities are not listed or admitted to trading on a registered national securities exchange and are not quoted on any other U.S. quotation medium or inter-dealer quotation system, an amount equal to the same fraction of the average of the closing bid and asked prices as furnished by any Financial Industry Regulatory Authority, Inc. (“FINRA”) member firm selected from time to time by the Company for that purpose at the close of business on the business day that next precedes the day of exercise.</w:t>
      </w:r>
    </w:p>
    <w:p>
      <w:pPr>
        <w:pStyle w:val="TextBody"/>
        <w:bidi w:val="0"/>
        <w:spacing w:lineRule="auto" w:line="240" w:before="0" w:after="240"/>
        <w:ind w:left="0" w:right="0" w:firstLine="1440"/>
        <w:jc w:val="both"/>
        <w:rPr/>
      </w:pPr>
      <w:r>
        <w:rPr>
          <w:rFonts w:ascii="Times New Roman;serif" w:hAnsi="Times New Roman;serif"/>
          <w:b/>
          <w:color w:val="000000"/>
          <w:sz w:val="22"/>
        </w:rPr>
        <w:t>(g)</w:t>
      </w:r>
      <w:r>
        <w:rPr>
          <w:rFonts w:ascii="Times New Roman;serif" w:hAnsi="Times New Roman;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lineRule="auto" w:line="240" w:before="0" w:after="240"/>
        <w:ind w:left="0" w:right="0" w:firstLine="720"/>
        <w:jc w:val="both"/>
        <w:rPr/>
      </w:pPr>
      <w:r>
        <w:rPr>
          <w:rFonts w:ascii="Times New Roman;serif" w:hAnsi="Times New Roman;serif"/>
          <w:b/>
          <w:color w:val="000000"/>
          <w:sz w:val="22"/>
        </w:rPr>
        <w:t>3.5</w:t>
      </w:r>
      <w:r>
        <w:rPr>
          <w:rFonts w:ascii="Times New Roman;serif" w:hAnsi="Times New Roman;serif"/>
          <w:b/>
          <w:color w:val="000000"/>
          <w:sz w:val="22"/>
        </w:rPr>
        <w:t xml:space="preserve">Notice To Warrantholders. </w:t>
      </w:r>
      <w:r>
        <w:rPr>
          <w:rFonts w:ascii="Times New Roman;serif" w:hAnsi="Times New Roman;serif"/>
          <w:b w:val="false"/>
          <w:color w:val="000000"/>
          <w:sz w:val="22"/>
        </w:rPr>
        <w:t>In case the Company shall (a) effect any dividend or distribution described in Section 3.4(b), (b) effect any 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40" w:before="0" w:after="240"/>
        <w:ind w:left="0" w:right="0" w:firstLine="720"/>
        <w:jc w:val="both"/>
        <w:rPr/>
      </w:pPr>
      <w:r>
        <w:rPr>
          <w:rFonts w:ascii="Times New Roman;serif" w:hAnsi="Times New Roman;serif"/>
          <w:b/>
          <w:color w:val="000000"/>
          <w:sz w:val="22"/>
        </w:rPr>
        <w:t>3.6</w:t>
      </w:r>
      <w:r>
        <w:rPr>
          <w:rFonts w:ascii="Times New Roman;serif" w:hAnsi="Times New Roman;serif"/>
          <w:b w:val="false"/>
          <w:color w:val="000000"/>
          <w:sz w:val="22"/>
        </w:rPr>
        <w:t xml:space="preserve">[If The Warrants Are Subject To Acceleration By The Company, Insert — </w:t>
      </w:r>
      <w:r>
        <w:rPr>
          <w:rFonts w:ascii="Times New Roman;serif" w:hAnsi="Times New Roman;serif"/>
          <w:b/>
          <w:color w:val="000000"/>
          <w:sz w:val="22"/>
        </w:rPr>
        <w:t>Acceleration Of Warrants By The Company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erif" w:hAnsi="Times New Roman;serif"/>
          <w:b/>
          <w:i/>
          <w:color w:val="000000"/>
          <w:sz w:val="22"/>
        </w:rPr>
        <w:t>Acceleration Date</w:t>
      </w:r>
      <w:r>
        <w:rPr>
          <w:color w:val="000000"/>
        </w:rPr>
        <w:t>”</w:t>
      </w:r>
      <w:r>
        <w:rPr>
          <w:rFonts w:ascii="Times New Roman;serif" w:hAnsi="Times New Roman;serif"/>
          <w:b w:val="false"/>
          <w:color w:val="000000"/>
          <w:sz w:val="22"/>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color w:val="000000"/>
        </w:rPr>
        <w:t>“</w:t>
      </w:r>
      <w:r>
        <w:rPr>
          <w:rFonts w:ascii="Times New Roman;serif" w:hAnsi="Times New Roman;serif"/>
          <w:b/>
          <w:i/>
          <w:color w:val="000000"/>
          <w:sz w:val="22"/>
        </w:rPr>
        <w:t>Market Price</w:t>
      </w:r>
      <w:r>
        <w:rPr>
          <w:color w:val="000000"/>
        </w:rPr>
        <w:t xml:space="preserve">” </w:t>
      </w:r>
      <w:r>
        <w:rPr>
          <w:rFonts w:ascii="Times New Roman;serif" w:hAnsi="Times New Roman;serif"/>
          <w:b w:val="false"/>
          <w:color w:val="000000"/>
          <w:sz w:val="22"/>
        </w:rPr>
        <w:t>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any U.S. quotation medium or inter-dealer quotation system, or if on any such date the shares of Common Stock are not listed or admitted to trading on a registered national securities exchange and are not quoted on any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Any Warrant accelerated may be exercised until [●] p.m., [City] time, on the business day next preceding the Acceleration Date. The Warrant Price shall be payable as provided in Section 2.]</w:t>
      </w:r>
    </w:p>
    <w:p>
      <w:pPr>
        <w:pStyle w:val="TextBody"/>
        <w:bidi w:val="0"/>
        <w:spacing w:lineRule="auto" w:line="240" w:before="0" w:after="240"/>
        <w:jc w:val="center"/>
        <w:rPr/>
      </w:pPr>
      <w:r>
        <w:rPr>
          <w:rFonts w:ascii="Times New Roman;serif" w:hAnsi="Times New Roman;serif"/>
          <w:b/>
          <w:color w:val="000000"/>
          <w:sz w:val="22"/>
        </w:rPr>
        <w:t>Article 4</w:t>
      </w:r>
      <w:r>
        <w:rPr>
          <w:rFonts w:ascii="Times New Roman;serif" w:hAnsi="Times New Roman;serif"/>
          <w:b/>
          <w:color w:val="000000"/>
          <w:sz w:val="22"/>
        </w:rPr>
        <w:br/>
        <w:br/>
        <w:t>EXCHANGE AND TRANSFER OF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4.1</w:t>
      </w:r>
      <w:r>
        <w:rPr>
          <w:rFonts w:ascii="Times New Roman;serif" w:hAnsi="Times New Roman;serif"/>
          <w:b/>
          <w:color w:val="000000"/>
          <w:sz w:val="22"/>
        </w:rPr>
        <w:t>Exchange And Transfer Of Warrant Certificates</w:t>
      </w:r>
      <w:r>
        <w:rPr>
          <w:rFonts w:ascii="Times New Roman;serif" w:hAnsi="Times New Roman;serif"/>
          <w:b w:val="false"/>
          <w:color w:val="000000"/>
          <w:sz w:val="22"/>
        </w:rPr>
        <w:t>.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40" w:before="0" w:after="240"/>
        <w:ind w:left="0" w:right="0" w:firstLine="720"/>
        <w:jc w:val="both"/>
        <w:rPr/>
      </w:pPr>
      <w:r>
        <w:rPr>
          <w:rFonts w:ascii="Times New Roman;serif" w:hAnsi="Times New Roman;serif"/>
          <w:b/>
          <w:color w:val="000000"/>
          <w:sz w:val="22"/>
        </w:rPr>
        <w:t>4.2</w:t>
      </w:r>
      <w:r>
        <w:rPr>
          <w:rFonts w:ascii="Times New Roman;serif" w:hAnsi="Times New Roman;serif"/>
          <w:b/>
          <w:color w:val="000000"/>
          <w:sz w:val="22"/>
        </w:rPr>
        <w:t>Treatment Of Holders Of Warrant Certificates</w:t>
      </w:r>
      <w:r>
        <w:rPr>
          <w:rFonts w:ascii="Times New Roman;serif" w:hAnsi="Times New Roman;serif"/>
          <w:b w:val="false"/>
          <w:color w:val="000000"/>
          <w:sz w:val="22"/>
        </w:rPr>
        <w:t>. 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40" w:before="0" w:after="240"/>
        <w:ind w:left="0" w:right="0" w:firstLine="720"/>
        <w:jc w:val="both"/>
        <w:rPr/>
      </w:pPr>
      <w:r>
        <w:rPr>
          <w:rFonts w:ascii="Times New Roman;serif" w:hAnsi="Times New Roman;serif"/>
          <w:b/>
          <w:color w:val="000000"/>
          <w:sz w:val="22"/>
        </w:rPr>
        <w:t>4.3</w:t>
      </w:r>
      <w:r>
        <w:rPr>
          <w:rFonts w:ascii="Times New Roman;serif" w:hAnsi="Times New Roman;serif"/>
          <w:b/>
          <w:color w:val="000000"/>
          <w:sz w:val="22"/>
        </w:rPr>
        <w:t>Cancellation Of Warrant Certificates</w:t>
      </w:r>
      <w:r>
        <w:rPr>
          <w:rFonts w:ascii="Times New Roman;serif" w:hAnsi="Times New Roman;serif"/>
          <w:b w:val="false"/>
          <w:color w:val="000000"/>
          <w:sz w:val="22"/>
        </w:rPr>
        <w:t>. 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5</w:t>
      </w:r>
      <w:r>
        <w:rPr>
          <w:rFonts w:ascii="Times New Roman;serif" w:hAnsi="Times New Roman;serif"/>
          <w:b/>
          <w:color w:val="000000"/>
          <w:sz w:val="22"/>
        </w:rPr>
        <w:br/>
        <w:br/>
        <w:t>CONCERNING THE WARRANT AGENT</w:t>
      </w:r>
    </w:p>
    <w:p>
      <w:pPr>
        <w:pStyle w:val="TextBody"/>
        <w:bidi w:val="0"/>
        <w:spacing w:lineRule="auto" w:line="240" w:before="0" w:after="240"/>
        <w:ind w:left="0" w:right="0" w:firstLine="720"/>
        <w:jc w:val="both"/>
        <w:rPr/>
      </w:pPr>
      <w:r>
        <w:rPr>
          <w:rFonts w:ascii="Times New Roman;serif" w:hAnsi="Times New Roman;serif"/>
          <w:b/>
          <w:color w:val="000000"/>
          <w:sz w:val="22"/>
        </w:rPr>
        <w:t>5.1</w:t>
      </w:r>
      <w:r>
        <w:rPr>
          <w:rFonts w:ascii="Times New Roman;serif" w:hAnsi="Times New Roman;serif"/>
          <w:b/>
          <w:color w:val="000000"/>
          <w:sz w:val="22"/>
        </w:rPr>
        <w:t xml:space="preserve">Warrant Agent. </w:t>
      </w:r>
      <w:r>
        <w:rPr>
          <w:rFonts w:ascii="Times New Roman;serif" w:hAnsi="Times New Roman;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40" w:before="0" w:after="240"/>
        <w:ind w:left="0" w:right="0" w:firstLine="720"/>
        <w:jc w:val="both"/>
        <w:rPr/>
      </w:pPr>
      <w:r>
        <w:rPr>
          <w:rFonts w:ascii="Times New Roman;serif" w:hAnsi="Times New Roman;serif"/>
          <w:b/>
          <w:color w:val="000000"/>
          <w:sz w:val="22"/>
        </w:rPr>
        <w:t>5.2</w:t>
      </w:r>
      <w:r>
        <w:rPr>
          <w:rFonts w:ascii="Times New Roman;serif" w:hAnsi="Times New Roman;serif"/>
          <w:b/>
          <w:color w:val="000000"/>
          <w:sz w:val="22"/>
        </w:rPr>
        <w:t xml:space="preserve">Conditions Of Warrant Agent’s Obligations.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 xml:space="preserve">Compensation And Indemnification. </w:t>
      </w:r>
      <w:r>
        <w:rPr>
          <w:rFonts w:ascii="Times New Roman;serif" w:hAnsi="Times New Roman;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 xml:space="preserve">Agent For The Company. </w:t>
      </w:r>
      <w:r>
        <w:rPr>
          <w:rFonts w:ascii="Times New Roman;serif" w:hAnsi="Times New Roman;serif"/>
          <w:b w:val="false"/>
          <w:color w:val="000000"/>
          <w:sz w:val="22"/>
        </w:rPr>
        <w:t>In acting under this Warrant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 xml:space="preserve">Counsel.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 xml:space="preserve">Documents.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color w:val="000000"/>
          <w:sz w:val="22"/>
        </w:rPr>
        <w:t xml:space="preserve">Certain Transactions. </w:t>
      </w:r>
      <w:r>
        <w:rPr>
          <w:rFonts w:ascii="Times New Roman;serif" w:hAnsi="Times New Roman;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any indenture to which the Company is a party.</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color w:val="000000"/>
          <w:sz w:val="22"/>
        </w:rPr>
        <w:t xml:space="preserve">No Liability For Interest.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40" w:before="0" w:after="240"/>
        <w:ind w:left="0" w:right="0" w:firstLine="1440"/>
        <w:jc w:val="both"/>
        <w:rPr/>
      </w:pPr>
      <w:r>
        <w:rPr>
          <w:rFonts w:ascii="Times New Roman;serif" w:hAnsi="Times New Roman;serif"/>
          <w:b/>
          <w:color w:val="000000"/>
          <w:sz w:val="22"/>
        </w:rPr>
        <w:t>(g)</w:t>
      </w:r>
      <w:r>
        <w:rPr>
          <w:rFonts w:ascii="Times New Roman;serif" w:hAnsi="Times New Roman;serif"/>
          <w:b/>
          <w:color w:val="000000"/>
          <w:sz w:val="22"/>
        </w:rPr>
        <w:t xml:space="preserve">No Liability For Invalidity.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(h)</w:t>
      </w:r>
      <w:r>
        <w:rPr>
          <w:rFonts w:ascii="Times New Roman;serif" w:hAnsi="Times New Roman;serif"/>
          <w:b/>
          <w:color w:val="000000"/>
          <w:sz w:val="22"/>
        </w:rPr>
        <w:t xml:space="preserve">No Responsibility For Representations.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40" w:before="0" w:after="240"/>
        <w:ind w:left="0" w:right="0" w:firstLine="1440"/>
        <w:jc w:val="both"/>
        <w:rPr/>
      </w:pPr>
      <w:r>
        <w:rPr>
          <w:rFonts w:ascii="Times New Roman;serif" w:hAnsi="Times New Roman;serif"/>
          <w:b/>
          <w:color w:val="000000"/>
          <w:sz w:val="22"/>
        </w:rPr>
        <w:t>(i)</w:t>
      </w:r>
      <w:r>
        <w:rPr>
          <w:rFonts w:ascii="Times New Roman;serif" w:hAnsi="Times New Roman;serif"/>
          <w:b/>
          <w:color w:val="000000"/>
          <w:sz w:val="22"/>
        </w:rPr>
        <w:t xml:space="preserve">No Implied Obligations. </w:t>
      </w:r>
      <w:r>
        <w:rPr>
          <w:rFonts w:ascii="Times New Roman;serif" w:hAnsi="Times New Roman;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40" w:before="0" w:after="240"/>
        <w:ind w:left="0" w:right="0" w:firstLine="720"/>
        <w:jc w:val="both"/>
        <w:rPr/>
      </w:pPr>
      <w:r>
        <w:rPr>
          <w:rFonts w:ascii="Times New Roman;serif" w:hAnsi="Times New Roman;serif"/>
          <w:b/>
          <w:color w:val="000000"/>
          <w:sz w:val="22"/>
        </w:rPr>
        <w:t>5.3</w:t>
      </w:r>
      <w:r>
        <w:rPr>
          <w:rFonts w:ascii="Times New Roman;serif" w:hAnsi="Times New Roman;serif"/>
          <w:b/>
          <w:color w:val="000000"/>
          <w:sz w:val="22"/>
        </w:rPr>
        <w:t>Resignation, Removal And Appointment Of Successors.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 xml:space="preserve">Any successor Warrant Agent appointed hereunder shall execute, acknowledge and deliver to its predecessor and to the Company an instrument accepting such appointment hereunder, </w:t>
      </w:r>
    </w:p>
    <w:p>
      <w:pPr>
        <w:pStyle w:val="TextBody"/>
        <w:bidi w:val="0"/>
        <w:spacing w:before="0" w:after="24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40" w:before="0" w:after="240"/>
        <w:jc w:val="center"/>
        <w:rPr/>
      </w:pPr>
      <w:r>
        <w:rPr>
          <w:rFonts w:ascii="Times New Roman;serif" w:hAnsi="Times New Roman;serif"/>
          <w:b/>
          <w:color w:val="000000"/>
          <w:sz w:val="22"/>
        </w:rPr>
        <w:t>Article 6</w:t>
      </w:r>
      <w:r>
        <w:rPr>
          <w:rFonts w:ascii="Times New Roman;serif" w:hAnsi="Times New Roman;serif"/>
          <w:b/>
          <w:color w:val="000000"/>
          <w:sz w:val="22"/>
        </w:rPr>
        <w:br/>
        <w:br/>
        <w:t>MISCELLANEOUS</w:t>
      </w:r>
    </w:p>
    <w:p>
      <w:pPr>
        <w:pStyle w:val="TextBody"/>
        <w:bidi w:val="0"/>
        <w:spacing w:lineRule="auto" w:line="240" w:before="0" w:after="240"/>
        <w:ind w:left="0" w:right="0" w:firstLine="720"/>
        <w:jc w:val="both"/>
        <w:rPr/>
      </w:pPr>
      <w:r>
        <w:rPr>
          <w:rFonts w:ascii="Times New Roman;serif" w:hAnsi="Times New Roman;serif"/>
          <w:b/>
          <w:color w:val="000000"/>
          <w:sz w:val="22"/>
        </w:rPr>
        <w:t>6.1</w:t>
      </w:r>
      <w:r>
        <w:rPr>
          <w:rFonts w:ascii="Times New Roman;serif" w:hAnsi="Times New Roman;serif"/>
          <w:b/>
          <w:color w:val="000000"/>
          <w:sz w:val="22"/>
        </w:rPr>
        <w:t xml:space="preserve">Amendment. </w:t>
      </w:r>
      <w:r>
        <w:rPr>
          <w:rFonts w:ascii="Times New Roman;serif" w:hAnsi="Times New Roman;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6.2</w:t>
      </w:r>
      <w:r>
        <w:rPr>
          <w:rFonts w:ascii="Times New Roman;serif" w:hAnsi="Times New Roman;serif"/>
          <w:b/>
          <w:color w:val="000000"/>
          <w:sz w:val="22"/>
        </w:rPr>
        <w:t xml:space="preserve">Notices And Demands To The Company And Warrant Agent. </w:t>
      </w:r>
      <w:r>
        <w:rPr>
          <w:rFonts w:ascii="Times New Roman;serif" w:hAnsi="Times New Roman;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40" w:before="0" w:after="240"/>
        <w:ind w:left="0" w:right="0" w:firstLine="720"/>
        <w:jc w:val="both"/>
        <w:rPr/>
      </w:pPr>
      <w:r>
        <w:rPr>
          <w:rFonts w:ascii="Times New Roman;serif" w:hAnsi="Times New Roman;serif"/>
          <w:b/>
          <w:color w:val="000000"/>
          <w:sz w:val="22"/>
        </w:rPr>
        <w:t>6.3</w:t>
      </w:r>
      <w:r>
        <w:rPr>
          <w:rFonts w:ascii="Times New Roman;serif" w:hAnsi="Times New Roman;serif"/>
          <w:b/>
          <w:color w:val="000000"/>
          <w:sz w:val="22"/>
        </w:rPr>
        <w:t xml:space="preserve">Addresses. </w:t>
      </w:r>
      <w:r>
        <w:rPr>
          <w:rFonts w:ascii="Times New Roman;serif" w:hAnsi="Times New Roman;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SI-BONE, Inc., 471 El Camino Real, Santa Clara, CA 95050, Attention: [●] (or such other address as shall be specified in writing by the Warrant Agent or by the Company).</w:t>
      </w:r>
    </w:p>
    <w:p>
      <w:pPr>
        <w:pStyle w:val="TextBody"/>
        <w:bidi w:val="0"/>
        <w:spacing w:lineRule="auto" w:line="240" w:before="0" w:after="240"/>
        <w:ind w:left="0" w:right="0" w:firstLine="720"/>
        <w:jc w:val="both"/>
        <w:rPr/>
      </w:pPr>
      <w:r>
        <w:rPr>
          <w:rFonts w:ascii="Times New Roman;serif" w:hAnsi="Times New Roman;serif"/>
          <w:b/>
          <w:color w:val="000000"/>
          <w:sz w:val="22"/>
        </w:rPr>
        <w:t>6.4</w:t>
      </w:r>
      <w:r>
        <w:rPr>
          <w:rFonts w:ascii="Times New Roman;serif" w:hAnsi="Times New Roman;serif"/>
          <w:b/>
          <w:color w:val="000000"/>
          <w:sz w:val="22"/>
        </w:rPr>
        <w:t xml:space="preserve">Governing Law.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color w:val="000000"/>
          <w:sz w:val="22"/>
        </w:rPr>
        <w:t>6.5</w:t>
      </w:r>
      <w:r>
        <w:rPr>
          <w:rFonts w:ascii="Times New Roman;serif" w:hAnsi="Times New Roman;serif"/>
          <w:b/>
          <w:color w:val="000000"/>
          <w:sz w:val="22"/>
        </w:rPr>
        <w:t xml:space="preserve">Delivery Of Prospectus.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40" w:before="0" w:after="240"/>
        <w:ind w:left="0" w:right="0" w:firstLine="720"/>
        <w:jc w:val="both"/>
        <w:rPr/>
      </w:pPr>
      <w:r>
        <w:rPr>
          <w:rFonts w:ascii="Times New Roman;serif" w:hAnsi="Times New Roman;serif"/>
          <w:b/>
          <w:color w:val="000000"/>
          <w:sz w:val="22"/>
        </w:rPr>
        <w:t>6.6</w:t>
      </w:r>
      <w:r>
        <w:rPr>
          <w:rFonts w:ascii="Times New Roman;serif" w:hAnsi="Times New Roman;serif"/>
          <w:b/>
          <w:color w:val="000000"/>
          <w:sz w:val="22"/>
        </w:rPr>
        <w:t xml:space="preserve">Obtaining Of Governmental Approvals. </w:t>
      </w:r>
      <w:r>
        <w:rPr>
          <w:rFonts w:ascii="Times New Roman;serif" w:hAnsi="Times New Roman;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before="0" w:after="24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6.7</w:t>
      </w:r>
      <w:r>
        <w:rPr>
          <w:rFonts w:ascii="Times New Roman;serif" w:hAnsi="Times New Roman;serif"/>
          <w:b/>
          <w:color w:val="000000"/>
          <w:sz w:val="22"/>
        </w:rPr>
        <w:t xml:space="preserve">Persons Having Rights Under Warrant Agreement.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6.8</w:t>
      </w:r>
      <w:r>
        <w:rPr>
          <w:rFonts w:ascii="Times New Roman;serif" w:hAnsi="Times New Roman;serif"/>
          <w:b/>
          <w:color w:val="000000"/>
          <w:sz w:val="22"/>
        </w:rPr>
        <w:t xml:space="preserve">Headings.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40" w:before="0" w:after="240"/>
        <w:ind w:left="0" w:right="0" w:firstLine="720"/>
        <w:jc w:val="both"/>
        <w:rPr/>
      </w:pPr>
      <w:r>
        <w:rPr>
          <w:rFonts w:ascii="Times New Roman;serif" w:hAnsi="Times New Roman;serif"/>
          <w:b/>
          <w:color w:val="000000"/>
          <w:sz w:val="22"/>
        </w:rPr>
        <w:t>6.9</w:t>
      </w:r>
      <w:r>
        <w:rPr>
          <w:rFonts w:ascii="Times New Roman;serif" w:hAnsi="Times New Roman;serif"/>
          <w:b/>
          <w:color w:val="000000"/>
          <w:sz w:val="22"/>
        </w:rPr>
        <w:t xml:space="preserve">Counterparts.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40" w:before="0" w:after="240"/>
        <w:ind w:left="0" w:right="0" w:firstLine="720"/>
        <w:jc w:val="both"/>
        <w:rPr/>
      </w:pPr>
      <w:r>
        <w:rPr>
          <w:rFonts w:ascii="Times New Roman;serif" w:hAnsi="Times New Roman;serif"/>
          <w:b/>
          <w:color w:val="000000"/>
          <w:sz w:val="22"/>
        </w:rPr>
        <w:t>6.10</w:t>
      </w:r>
      <w:r>
        <w:rPr>
          <w:rFonts w:ascii="Times New Roman;serif" w:hAnsi="Times New Roman;serif"/>
          <w:b/>
          <w:color w:val="000000"/>
          <w:sz w:val="22"/>
        </w:rPr>
        <w:t xml:space="preserve">Inspection Of Agreement.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duly executed all as of the day and year first above written.</w:t>
      </w:r>
    </w:p>
    <w:tbl>
      <w:tblPr>
        <w:tblW w:w="3388" w:type="dxa"/>
        <w:jc w:val="left"/>
        <w:tblInd w:w="0" w:type="dxa"/>
        <w:tblLayout w:type="fixed"/>
        <w:tblCellMar>
          <w:top w:w="28" w:type="dxa"/>
          <w:left w:w="28" w:type="dxa"/>
          <w:bottom w:w="28" w:type="dxa"/>
          <w:right w:w="28" w:type="dxa"/>
        </w:tblCellMar>
      </w:tblPr>
      <w:tblGrid>
        <w:gridCol w:w="524"/>
        <w:gridCol w:w="463"/>
        <w:gridCol w:w="468"/>
        <w:gridCol w:w="301"/>
        <w:gridCol w:w="301"/>
        <w:gridCol w:w="301"/>
        <w:gridCol w:w="301"/>
        <w:gridCol w:w="301"/>
        <w:gridCol w:w="428"/>
      </w:tblGrid>
      <w:tr>
        <w:trPr/>
        <w:tc>
          <w:tcPr>
            <w:tcW w:w="5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SI-BONE, Inc.</w:t>
            </w:r>
            <w:r>
              <w:rPr>
                <w:rFonts w:ascii="Times New Roman;serif" w:hAnsi="Times New Roman;serif"/>
                <w:b w:val="false"/>
                <w:color w:val="000000"/>
                <w:sz w:val="22"/>
              </w:rPr>
              <w:t>, as Company</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Countersigned</w:t>
            </w:r>
          </w:p>
        </w:tc>
      </w:tr>
      <w:tr>
        <w:trPr/>
        <w:tc>
          <w:tcPr>
            <w:tcW w:w="3388" w:type="dxa"/>
            <w:gridSpan w:val="9"/>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as Warrant Agent</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03555"/>
                <wp:effectExtent l="0" t="0" r="0" b="0"/>
                <wp:wrapNone/>
                <wp:docPr id="103" name="Frame10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Common Stock Warrant Agreement]</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[Signature Page to Common Stock Warrant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644"/>
        <w:gridCol w:w="1444"/>
        <w:gridCol w:w="1452"/>
        <w:gridCol w:w="1657"/>
        <w:gridCol w:w="1657"/>
        <w:gridCol w:w="2351"/>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w:t>
            </w:r>
            <w:r>
              <w:rPr>
                <w:rFonts w:ascii="Times New Roman;serif" w:hAnsi="Times New Roman;serif"/>
                <w:b/>
                <w:i/>
                <w:color w:val="000000"/>
                <w:sz w:val="22"/>
              </w:rPr>
              <w:t>Form of Legend if Warrants are not immediately exercisable.</w:t>
            </w:r>
            <w:r>
              <w:rPr>
                <w:rFonts w:ascii="Times New Roman;serif" w:hAnsi="Times New Roman;serif"/>
                <w:b w:val="false"/>
                <w:color w:val="000000"/>
                <w:sz w:val="22"/>
              </w:rPr>
              <w:t>]</w:t>
            </w:r>
          </w:p>
        </w:tc>
        <w:tc>
          <w:tcPr>
            <w:tcW w:w="56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EXERCISABLE ONLY IF COUNTERSIGNED BY THE WARRANT AGENT </w:t>
        <w:br/>
        <w:t>AS PROVIDED HEREIN</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 CERTIFICATE REPRESENTING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WARRANTS TO PURCHASE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COMMON STOCK, PAR VALUE $0.0001 PER SHARE</w:t>
      </w:r>
    </w:p>
    <w:tbl>
      <w:tblPr>
        <w:tblW w:w="2473" w:type="dxa"/>
        <w:jc w:val="left"/>
        <w:tblInd w:w="0" w:type="dxa"/>
        <w:tblLayout w:type="fixed"/>
        <w:tblCellMar>
          <w:top w:w="28" w:type="dxa"/>
          <w:left w:w="28" w:type="dxa"/>
          <w:bottom w:w="28" w:type="dxa"/>
          <w:right w:w="28" w:type="dxa"/>
        </w:tblCellMar>
      </w:tblPr>
      <w:tblGrid>
        <w:gridCol w:w="292"/>
        <w:gridCol w:w="257"/>
        <w:gridCol w:w="261"/>
        <w:gridCol w:w="109"/>
        <w:gridCol w:w="109"/>
        <w:gridCol w:w="109"/>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Times New Roman;serif" w:hAnsi="Times New Roman;serif"/>
                <w:b w:val="false"/>
                <w:color w:val="000000"/>
                <w:sz w:val="22"/>
              </w:rPr>
            </w:pPr>
            <w:r>
              <w:rPr>
                <w:rFonts w:ascii="Times New Roman;serif" w:hAnsi="Times New Roman;serif"/>
                <w:b w:val="false"/>
                <w:color w:val="000000"/>
                <w:sz w:val="22"/>
              </w:rPr>
              <w:t>[●] Warrants</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This certifies that or registered assigns is the registered owner of the above indicated number of Warrants, each Warrant entitling such owner to purchase, at any time [after [●] p.m., [City] time, [on [●] and] on or before [●] p.m., [City] time, on [●] shares of Common Stock,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SI-BONE,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Warrant Certificate is issued under and in accordance with the Warrant Agreement dated as of [●]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Certificate shall not entitle the Holder hereof to any of the rights of a holder of the Warrant Securities, including, without limitation, the right to receive payments of dividends or </w:t>
      </w: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distributions, if any, on the Warrant Securities (except to the extent set forth in the Warrant Agreement) or to exercise any voting rights.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2524" w:type="dxa"/>
        <w:jc w:val="left"/>
        <w:tblInd w:w="0" w:type="dxa"/>
        <w:tblLayout w:type="fixed"/>
        <w:tblCellMar>
          <w:top w:w="28" w:type="dxa"/>
          <w:left w:w="28" w:type="dxa"/>
          <w:bottom w:w="28" w:type="dxa"/>
          <w:right w:w="28" w:type="dxa"/>
        </w:tblCellMar>
      </w:tblPr>
      <w:tblGrid>
        <w:gridCol w:w="527"/>
        <w:gridCol w:w="463"/>
        <w:gridCol w:w="465"/>
        <w:gridCol w:w="109"/>
        <w:gridCol w:w="109"/>
        <w:gridCol w:w="85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0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4808" w:type="dxa"/>
        <w:jc w:val="left"/>
        <w:tblInd w:w="0" w:type="dxa"/>
        <w:tblLayout w:type="fixed"/>
        <w:tblCellMar>
          <w:top w:w="28" w:type="dxa"/>
          <w:left w:w="28" w:type="dxa"/>
          <w:bottom w:w="28" w:type="dxa"/>
          <w:right w:w="28" w:type="dxa"/>
        </w:tblCellMar>
      </w:tblPr>
      <w:tblGrid>
        <w:gridCol w:w="526"/>
        <w:gridCol w:w="463"/>
        <w:gridCol w:w="466"/>
        <w:gridCol w:w="139"/>
        <w:gridCol w:w="139"/>
        <w:gridCol w:w="139"/>
        <w:gridCol w:w="139"/>
        <w:gridCol w:w="139"/>
        <w:gridCol w:w="139"/>
        <w:gridCol w:w="139"/>
        <w:gridCol w:w="139"/>
        <w:gridCol w:w="139"/>
        <w:gridCol w:w="139"/>
        <w:gridCol w:w="139"/>
        <w:gridCol w:w="139"/>
        <w:gridCol w:w="139"/>
        <w:gridCol w:w="139"/>
        <w:gridCol w:w="139"/>
        <w:gridCol w:w="139"/>
        <w:gridCol w:w="139"/>
        <w:gridCol w:w="139"/>
        <w:gridCol w:w="249"/>
        <w:gridCol w:w="249"/>
        <w:gridCol w:w="353"/>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SI-BONE, INC</w:t>
            </w:r>
            <w:r>
              <w:rPr>
                <w:rFonts w:ascii="Times New Roman;serif" w:hAnsi="Times New Roman;serif"/>
                <w:b w:val="false"/>
                <w:color w:val="000000"/>
                <w:sz w:val="22"/>
              </w:rPr>
              <w:t>., as Company</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Countersigned</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as Warrant Agent</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 Warrants, evidenced by this Warrant Certificate, to purchase [●] shares of the Common Stock,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SI-BONE</w:t>
      </w:r>
      <w:r>
        <w:rPr>
          <w:rFonts w:ascii="Times New Roman;serif" w:hAnsi="Times New Roman;serif"/>
          <w:b/>
          <w:color w:val="000000"/>
          <w:sz w:val="22"/>
        </w:rPr>
        <w:t xml:space="preserve">, </w:t>
      </w:r>
      <w:r>
        <w:rPr>
          <w:rFonts w:ascii="Times New Roman;serif" w:hAnsi="Times New Roman;serif"/>
          <w:b w:val="false"/>
          <w:color w:val="000000"/>
          <w:sz w:val="22"/>
        </w:rPr>
        <w:t>Inc. and represents that he has tendered payment for such Warrant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lineRule="auto" w:line="288" w:before="0" w:after="0"/>
        <w:jc w:val="left"/>
        <w:rPr/>
      </w:pPr>
      <w:r>
        <w:rPr>
          <w:rFonts w:ascii="Times New Roman;serif" w:hAnsi="Times New Roman;serif"/>
          <w:b w:val="false"/>
          <w:color w:val="000000"/>
          <w:sz w:val="22"/>
        </w:rPr>
        <w:t>Dated:    </w:t>
      </w:r>
      <w:r>
        <w:rPr>
          <w:color w:val="000000"/>
          <w:u w:val="single"/>
        </w:rPr>
        <w:t>    </w:t>
      </w:r>
      <w:r>
        <w:rPr>
          <w:color w:val="000000"/>
        </w:rPr>
        <w:t>    </w:t>
      </w:r>
      <w:r>
        <w:rPr>
          <w:rFonts w:ascii="Times New Roman;serif" w:hAnsi="Times New Roman;serif"/>
          <w:b w:val="false"/>
          <w:color w:val="000000"/>
          <w:sz w:val="22"/>
        </w:rPr>
        <w:t>Name:    </w:t>
      </w:r>
      <w:r>
        <w:rPr>
          <w:color w:val="000000"/>
          <w:u w:val="single"/>
        </w:rPr>
        <w:t>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Please Print</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 of Holder)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Signature Guaranteed:</w:t>
      </w:r>
      <w:r>
        <w:rPr>
          <w:color w:val="000000"/>
          <w:u w:val="single"/>
        </w:rPr>
        <w:t>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Signature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before="0" w:after="2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Warrant may be exercised at the following addresses: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hand at: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left"/>
        <w:rPr/>
      </w:pPr>
      <w:r>
        <w:rPr>
          <w:rFonts w:ascii="Times New Roman;serif" w:hAnsi="Times New Roman;serif"/>
          <w:b/>
          <w:color w:val="000000"/>
          <w:sz w:val="22"/>
        </w:rPr>
        <w:t>For Value Received</w:t>
      </w:r>
      <w:r>
        <w:rPr>
          <w:rFonts w:ascii="Times New Roman;serif" w:hAnsi="Times New Roman;serif"/>
          <w:b w:val="false"/>
          <w:color w:val="000000"/>
          <w:sz w:val="22"/>
        </w:rPr>
        <w:t>, [●] hereby sells, assigns and transfers unto:</w:t>
      </w:r>
    </w:p>
    <w:tbl>
      <w:tblPr>
        <w:tblW w:w="10205" w:type="dxa"/>
        <w:jc w:val="left"/>
        <w:tblInd w:w="0" w:type="dxa"/>
        <w:tblLayout w:type="fixed"/>
        <w:tblCellMar>
          <w:top w:w="28" w:type="dxa"/>
          <w:left w:w="28" w:type="dxa"/>
          <w:bottom w:w="28" w:type="dxa"/>
          <w:right w:w="28" w:type="dxa"/>
        </w:tblCellMar>
      </w:tblPr>
      <w:tblGrid>
        <w:gridCol w:w="901"/>
        <w:gridCol w:w="790"/>
        <w:gridCol w:w="790"/>
        <w:gridCol w:w="790"/>
        <w:gridCol w:w="790"/>
        <w:gridCol w:w="814"/>
        <w:gridCol w:w="1560"/>
        <w:gridCol w:w="1560"/>
        <w:gridCol w:w="2210"/>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6"/>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(Please print name and address including zip code)</w:t>
            </w:r>
          </w:p>
        </w:tc>
        <w:tc>
          <w:tcPr>
            <w:tcW w:w="5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Please print Social Security or other identifying number</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 shares of [Title of Warrant Securities] of SI-BONE, Inc. to which the within Warrant relates and appoints attorney [●] to transfer such right on the books of the Warrant Agent with full power of substitution in the premises.</w:t>
      </w:r>
    </w:p>
    <w:tbl>
      <w:tblPr>
        <w:tblW w:w="4671"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109"/>
        <w:gridCol w:w="109"/>
        <w:gridCol w:w="109"/>
        <w:gridCol w:w="268"/>
        <w:gridCol w:w="268"/>
        <w:gridCol w:w="270"/>
        <w:gridCol w:w="513"/>
        <w:gridCol w:w="513"/>
        <w:gridCol w:w="73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p>
      <w:pPr>
        <w:pStyle w:val="TextBody"/>
        <w:bidi w:val="0"/>
        <w:spacing w:lineRule="auto" w:line="288" w:before="0" w:after="0"/>
        <w:jc w:val="left"/>
        <w:rPr>
          <w:color w:val="000000"/>
          <w:u w:val="single"/>
        </w:rPr>
      </w:pPr>
      <w:r>
        <w:rPr>
          <w:color w:val="000000"/>
          <w:u w:val="single"/>
        </w:rPr>
        <w:t>    </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120"/>
        <w:jc w:val="right"/>
        <w:rPr>
          <w:rFonts w:ascii="Times New Roman;serif" w:hAnsi="Times New Roman;serif"/>
          <w:b/>
          <w:color w:val="000000"/>
          <w:sz w:val="22"/>
        </w:rPr>
      </w:pPr>
      <w:r>
        <w:rPr>
          <w:rFonts w:ascii="Times New Roman;serif" w:hAnsi="Times New Roman;serif"/>
          <w:b/>
          <w:color w:val="000000"/>
          <w:sz w:val="22"/>
        </w:rPr>
        <w:t>Exhibit 4.7</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600" w:after="240"/>
        <w:jc w:val="center"/>
        <w:rPr/>
      </w:pPr>
      <w:r>
        <w:rPr/>
      </w:r>
    </w:p>
    <w:p>
      <w:pPr>
        <w:pStyle w:val="TextBody"/>
        <w:bidi w:val="0"/>
        <w:spacing w:before="60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_____________, as Warrant Agent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Preferred Stock</w:t>
        <w:br/>
        <w:t>Warrant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__________</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120"/>
        <w:jc w:val="right"/>
        <w:rPr>
          <w:rFonts w:ascii="Times New Roman;serif" w:hAnsi="Times New Roman;serif"/>
          <w:b/>
          <w:color w:val="000000"/>
          <w:sz w:val="22"/>
        </w:rPr>
      </w:pPr>
      <w:r>
        <w:rPr>
          <w:rFonts w:ascii="Times New Roman;serif" w:hAnsi="Times New Roman;serif"/>
          <w:b/>
          <w:color w:val="000000"/>
          <w:sz w:val="22"/>
        </w:rPr>
        <w:t>Exhibit 4.7</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SI-BONE, Inc.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Preferred Stock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Preferred Stock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dated as of [●], between</w:t>
      </w:r>
      <w:r>
        <w:rPr>
          <w:color w:val="000000"/>
        </w:rPr>
        <w:t xml:space="preserve"> </w:t>
      </w:r>
      <w:r>
        <w:rPr>
          <w:rFonts w:ascii="Times New Roman;serif" w:hAnsi="Times New Roman;serif"/>
          <w:b/>
          <w:color w:val="000000"/>
          <w:sz w:val="22"/>
        </w:rPr>
        <w:t>SI-BONE,</w:t>
      </w:r>
      <w:r>
        <w:rPr>
          <w:color w:val="000000"/>
        </w:rPr>
        <w:t xml:space="preserve"> </w:t>
      </w:r>
      <w:r>
        <w:rPr>
          <w:rFonts w:ascii="Times New Roman;serif" w:hAnsi="Times New Roman;serif"/>
          <w:b/>
          <w:color w:val="000000"/>
          <w:sz w:val="22"/>
        </w:rPr>
        <w:t>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a [corporation] [national banking association] organized and existing under the laws of [●] and having a corporate trust office in [●],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proposes to sell [</w:t>
      </w:r>
      <w:r>
        <w:rPr>
          <w:rFonts w:ascii="Times New Roman;serif" w:hAnsi="Times New Roman;serif"/>
          <w:b/>
          <w:i/>
          <w:color w:val="000000"/>
          <w:sz w:val="22"/>
        </w:rPr>
        <w:t xml:space="preserve">If Warrants are sold with other securities — </w:t>
      </w:r>
      <w:r>
        <w:rPr>
          <w:rFonts w:ascii="Times New Roman;serif" w:hAnsi="Times New Roman;serif"/>
          <w:b w:val="false"/>
          <w:color w:val="000000"/>
          <w:sz w:val="22"/>
        </w:rPr>
        <w:t>[title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[title of Preferred Stock purchasable through exercise of Warrants]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of the mutual agreements herein contained, the parties hereto agree as follows:</w:t>
      </w:r>
    </w:p>
    <w:p>
      <w:pPr>
        <w:pStyle w:val="TextBody"/>
        <w:bidi w:val="0"/>
        <w:spacing w:lineRule="auto" w:line="240" w:before="0" w:after="240"/>
        <w:jc w:val="center"/>
        <w:rPr/>
      </w:pPr>
      <w:r>
        <w:rPr>
          <w:rFonts w:ascii="Times New Roman;serif" w:hAnsi="Times New Roman;serif"/>
          <w:b/>
          <w:color w:val="000000"/>
          <w:sz w:val="22"/>
        </w:rPr>
        <w:t>Article 1</w:t>
      </w:r>
      <w:r>
        <w:rPr>
          <w:rFonts w:ascii="Times New Roman;serif" w:hAnsi="Times New Roman;serif"/>
          <w:b w:val="false"/>
          <w:color w:val="000000"/>
          <w:sz w:val="22"/>
        </w:rPr>
        <w:br/>
        <w:br/>
      </w:r>
      <w:r>
        <w:rPr>
          <w:rFonts w:ascii="Times New Roman;serif" w:hAnsi="Times New Roman;serif"/>
          <w:b/>
          <w:color w:val="000000"/>
          <w:sz w:val="22"/>
        </w:rPr>
        <w:t xml:space="preserve">ISSUANCE OF WARRANTS AND EXECUTION AND </w:t>
        <w:br/>
        <w:t>DELIVERY OF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Issuance Of Warrants</w:t>
      </w:r>
      <w:r>
        <w:rPr>
          <w:rFonts w:ascii="Times New Roman;serif" w:hAnsi="Times New Roman;serif"/>
          <w:b w:val="false"/>
          <w:color w:val="000000"/>
          <w:sz w:val="22"/>
        </w:rPr>
        <w:t>. [</w:t>
      </w:r>
      <w:r>
        <w:rPr>
          <w:rFonts w:ascii="Times New Roman;serif" w:hAnsi="Times New Roman;serif"/>
          <w:b/>
          <w:i/>
          <w:color w:val="000000"/>
          <w:sz w:val="22"/>
        </w:rPr>
        <w:t>If Warrants alone</w:t>
      </w:r>
      <w:r>
        <w:rPr>
          <w:color w:val="000000"/>
        </w:rPr>
        <w:t xml:space="preserve">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Execution And Delivery Of Warrant Certificates</w:t>
      </w:r>
      <w:r>
        <w:rPr>
          <w:rFonts w:ascii="Times New Roman;serif" w:hAnsi="Times New Roman;serif"/>
          <w:b w:val="false"/>
          <w:color w:val="000000"/>
          <w:sz w:val="22"/>
        </w:rPr>
        <w:t xml:space="preserve">. Each Warrant Certificate, whenever issued, shall be in registered form substantially in the form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2"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rPr>
        <w:t>Issuance Of Warrant Certificates</w:t>
      </w:r>
      <w:r>
        <w:rPr>
          <w:rFonts w:ascii="Times New Roman;serif" w:hAnsi="Times New Roman;serif"/>
          <w:b w:val="false"/>
          <w:color w:val="000000"/>
          <w:sz w:val="22"/>
        </w:rPr>
        <w:t>. Warrant Certificates evidencing the right to purchase Warrant Securities may be executed by the Company and delivered 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40" w:before="0" w:after="240"/>
        <w:jc w:val="center"/>
        <w:rPr/>
      </w:pPr>
      <w:r>
        <w:rPr>
          <w:rFonts w:ascii="Times New Roman;serif" w:hAnsi="Times New Roman;serif"/>
          <w:b/>
          <w:color w:val="000000"/>
          <w:sz w:val="22"/>
        </w:rPr>
        <w:t>Article 2</w:t>
      </w:r>
      <w:r>
        <w:rPr>
          <w:rFonts w:ascii="Times New Roman;serif" w:hAnsi="Times New Roman;serif"/>
          <w:b w:val="false"/>
          <w:color w:val="000000"/>
          <w:sz w:val="22"/>
        </w:rPr>
        <w:br/>
        <w:br/>
      </w:r>
      <w:r>
        <w:rPr>
          <w:rFonts w:ascii="Times New Roman;serif" w:hAnsi="Times New Roman;serif"/>
          <w:b/>
          <w:color w:val="000000"/>
          <w:sz w:val="22"/>
        </w:rPr>
        <w:t>WARRANT PRICE, DURATION AND EXERCISE OF WARRANTS</w:t>
      </w:r>
    </w:p>
    <w:p>
      <w:pPr>
        <w:pStyle w:val="TextBody"/>
        <w:bidi w:val="0"/>
        <w:spacing w:lineRule="auto" w:line="240" w:before="0" w:after="240"/>
        <w:ind w:left="0" w:right="0" w:firstLine="720"/>
        <w:jc w:val="both"/>
        <w:rPr/>
      </w:pPr>
      <w:r>
        <w:rPr>
          <w:rFonts w:ascii="Times New Roman;serif" w:hAnsi="Times New Roman;serif"/>
          <w:b/>
          <w:color w:val="000000"/>
          <w:sz w:val="22"/>
        </w:rPr>
        <w:t>2.1</w:t>
      </w:r>
      <w:r>
        <w:rPr>
          <w:rFonts w:ascii="Times New Roman;serif" w:hAnsi="Times New Roman;serif"/>
          <w:b/>
          <w:color w:val="000000"/>
          <w:sz w:val="22"/>
        </w:rPr>
        <w:t>Warrant Price</w:t>
      </w:r>
      <w:r>
        <w:rPr>
          <w:rFonts w:ascii="Times New Roman;serif" w:hAnsi="Times New Roman;serif"/>
          <w:b w:val="false"/>
          <w:color w:val="000000"/>
          <w:sz w:val="22"/>
        </w:rPr>
        <w:t>. During the period specified in Section 2.2, each Warrant shall, subject to the terms of this Warrant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erif" w:hAnsi="Times New Roman;serif"/>
          <w:b/>
          <w:i/>
          <w:color w:val="000000"/>
          <w:sz w:val="22"/>
        </w:rPr>
        <w:t>Warrant Price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2.2</w:t>
      </w:r>
      <w:r>
        <w:rPr>
          <w:rFonts w:ascii="Times New Roman;serif" w:hAnsi="Times New Roman;serif"/>
          <w:b/>
          <w:color w:val="000000"/>
          <w:sz w:val="22"/>
        </w:rPr>
        <w:t>Duration Of Warrants</w:t>
      </w:r>
      <w:r>
        <w:rPr>
          <w:rFonts w:ascii="Times New Roman;serif" w:hAnsi="Times New Roman;serif"/>
          <w:b w:val="false"/>
          <w:color w:val="000000"/>
          <w:sz w:val="22"/>
        </w:rPr>
        <w:t>. 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lineRule="auto" w:line="240" w:before="0" w:after="240"/>
        <w:ind w:left="0" w:right="0" w:firstLine="720"/>
        <w:jc w:val="both"/>
        <w:rPr/>
      </w:pPr>
      <w:r>
        <w:rPr>
          <w:rFonts w:ascii="Times New Roman;serif" w:hAnsi="Times New Roman;serif"/>
          <w:b/>
          <w:color w:val="000000"/>
          <w:sz w:val="22"/>
        </w:rPr>
        <w:t>2.3</w:t>
      </w:r>
      <w:r>
        <w:rPr>
          <w:rFonts w:ascii="Times New Roman;serif" w:hAnsi="Times New Roman;serif"/>
          <w:b/>
          <w:color w:val="000000"/>
          <w:sz w:val="22"/>
        </w:rPr>
        <w:t>Exercise Of Warrants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 xml:space="preserve">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3"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40" w:before="0" w:after="240"/>
        <w:jc w:val="center"/>
        <w:rPr/>
      </w:pPr>
      <w:r>
        <w:rPr>
          <w:rFonts w:ascii="Times New Roman;serif" w:hAnsi="Times New Roman;serif"/>
          <w:b/>
          <w:color w:val="000000"/>
          <w:sz w:val="22"/>
        </w:rPr>
        <w:t>Article 3</w:t>
      </w:r>
      <w:r>
        <w:rPr>
          <w:rFonts w:ascii="Times New Roman;serif" w:hAnsi="Times New Roman;serif"/>
          <w:b w:val="false"/>
          <w:color w:val="000000"/>
          <w:sz w:val="22"/>
        </w:rPr>
        <w:br/>
        <w:br/>
      </w:r>
      <w:r>
        <w:rPr>
          <w:rFonts w:ascii="Times New Roman;serif" w:hAnsi="Times New Roman;serif"/>
          <w:b/>
          <w:color w:val="000000"/>
          <w:sz w:val="22"/>
        </w:rPr>
        <w:t xml:space="preserve">OTHER PROVISIONS RELATING TO RIGHTS OF HOLDERS OF </w:t>
        <w:br/>
        <w:t>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3.1</w:t>
      </w:r>
      <w:r>
        <w:rPr>
          <w:rFonts w:ascii="Times New Roman;serif" w:hAnsi="Times New Roman;serif"/>
          <w:b/>
          <w:color w:val="000000"/>
          <w:sz w:val="22"/>
        </w:rPr>
        <w:t>No Rights As Warrant Securityholder Conferred By Warrants Or Warrant Certificates</w:t>
      </w:r>
      <w:r>
        <w:rPr>
          <w:rFonts w:ascii="Times New Roman;serif" w:hAnsi="Times New Roman;serif"/>
          <w:b w:val="false"/>
          <w:color w:val="000000"/>
          <w:sz w:val="22"/>
        </w:rPr>
        <w:t xml:space="preserve">. No Warrant Certificate or Warrant evidenced thereby shall entitle the holder thereof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4"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40" w:before="0" w:after="240"/>
        <w:ind w:left="0" w:right="0" w:firstLine="720"/>
        <w:jc w:val="both"/>
        <w:rPr/>
      </w:pPr>
      <w:r>
        <w:rPr>
          <w:rFonts w:ascii="Times New Roman;serif" w:hAnsi="Times New Roman;serif"/>
          <w:b/>
          <w:color w:val="000000"/>
          <w:sz w:val="22"/>
        </w:rPr>
        <w:t>3.2</w:t>
      </w:r>
      <w:r>
        <w:rPr>
          <w:rFonts w:ascii="Times New Roman;serif" w:hAnsi="Times New Roman;serif"/>
          <w:b/>
          <w:color w:val="000000"/>
          <w:sz w:val="22"/>
        </w:rPr>
        <w:t>Lost, Stolen, Mutilated Or Destroyed Warrant Certificates</w:t>
      </w:r>
      <w:r>
        <w:rPr>
          <w:rFonts w:ascii="Times New Roman;serif" w:hAnsi="Times New Roman;serif"/>
          <w:b w:val="false"/>
          <w:color w:val="000000"/>
          <w:sz w:val="22"/>
        </w:rPr>
        <w:t>. 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3.3</w:t>
      </w:r>
      <w:r>
        <w:rPr>
          <w:rFonts w:ascii="Times New Roman;serif" w:hAnsi="Times New Roman;serif"/>
          <w:b/>
          <w:color w:val="000000"/>
          <w:sz w:val="22"/>
        </w:rPr>
        <w:t>Holder Of Warrant Certificate May Enforce Rights</w:t>
      </w:r>
      <w:r>
        <w:rPr>
          <w:rFonts w:ascii="Times New Roman;serif" w:hAnsi="Times New Roman;serif"/>
          <w:b w:val="false"/>
          <w:color w:val="000000"/>
          <w:sz w:val="22"/>
        </w:rPr>
        <w:t>. 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3.4</w:t>
      </w:r>
      <w:r>
        <w:rPr>
          <w:rFonts w:ascii="Times New Roman;serif" w:hAnsi="Times New Roman;serif"/>
          <w:b/>
          <w:color w:val="000000"/>
          <w:sz w:val="22"/>
        </w:rPr>
        <w:t>Adjustments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w:t>
      </w:r>
    </w:p>
    <w:p>
      <w:pPr>
        <w:pStyle w:val="TextBody"/>
        <w:bidi w:val="0"/>
        <w:spacing w:lineRule="auto" w:line="240" w:before="0" w:after="240"/>
        <w:ind w:left="0" w:right="0" w:firstLine="2160"/>
        <w:jc w:val="both"/>
        <w:rPr/>
      </w:pPr>
      <w:r>
        <w:rPr>
          <w:rFonts w:ascii="Times New Roman;serif" w:hAnsi="Times New Roman;serif"/>
          <w:b/>
          <w:color w:val="000000"/>
          <w:sz w:val="22"/>
        </w:rPr>
        <w:t>(i)</w:t>
      </w:r>
      <w:r>
        <w:rPr>
          <w:rFonts w:ascii="Times New Roman;serif" w:hAnsi="Times New Roman;serif"/>
          <w:b w:val="false"/>
          <w:color w:val="000000"/>
          <w:sz w:val="22"/>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5"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color w:val="000000"/>
          <w:sz w:val="22"/>
        </w:rPr>
        <w:t>(ii)</w:t>
      </w:r>
      <w:r>
        <w:rPr>
          <w:rFonts w:ascii="Times New Roman;serif" w:hAnsi="Times New Roman;serif"/>
          <w:b w:val="false"/>
          <w:color w:val="000000"/>
          <w:sz w:val="22"/>
        </w:rPr>
        <w:t>any cash paid or payable otherwise than in accordance with the terms of [title of Preferred Stock purchasable through exercise of Warrants] or otherwise than as a cash dividend paid or payable out of the Company’s current or retained earnings;</w:t>
      </w:r>
    </w:p>
    <w:p>
      <w:pPr>
        <w:pStyle w:val="TextBody"/>
        <w:bidi w:val="0"/>
        <w:spacing w:lineRule="auto" w:line="240" w:before="0" w:after="240"/>
        <w:ind w:left="0" w:right="0" w:firstLine="2160"/>
        <w:jc w:val="both"/>
        <w:rPr/>
      </w:pPr>
      <w:r>
        <w:rPr>
          <w:rFonts w:ascii="Times New Roman;serif" w:hAnsi="Times New Roman;serif"/>
          <w:b/>
          <w:color w:val="000000"/>
          <w:sz w:val="22"/>
        </w:rPr>
        <w:t>(iii)</w:t>
      </w:r>
      <w:r>
        <w:rPr>
          <w:rFonts w:ascii="Times New Roman;serif" w:hAnsi="Times New Roman;serif"/>
          <w:b w:val="false"/>
          <w:color w:val="000000"/>
          <w:sz w:val="22"/>
        </w:rPr>
        <w:t>any evidence of the Company’s indebtedness or rights to subscribe for or purchase the Company’s indebtedness; or</w:t>
      </w:r>
    </w:p>
    <w:p>
      <w:pPr>
        <w:pStyle w:val="TextBody"/>
        <w:bidi w:val="0"/>
        <w:spacing w:lineRule="auto" w:line="240" w:before="0" w:after="240"/>
        <w:ind w:left="0" w:right="0" w:firstLine="2160"/>
        <w:jc w:val="both"/>
        <w:rPr/>
      </w:pPr>
      <w:r>
        <w:rPr>
          <w:rFonts w:ascii="Times New Roman;serif" w:hAnsi="Times New Roman;serif"/>
          <w:b/>
          <w:color w:val="000000"/>
          <w:sz w:val="22"/>
        </w:rPr>
        <w:t>(iv)</w:t>
      </w:r>
      <w:r>
        <w:rPr>
          <w:rFonts w:ascii="Times New Roman;serif" w:hAnsi="Times New Roman;serif"/>
          <w:b w:val="false"/>
          <w:color w:val="000000"/>
          <w:sz w:val="22"/>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he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case of (i) any reclassification, capital reorganization, or change in the [title of Preferred Stock purchasable through the exercise of the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the exercise of the Warrants] other than the issuance of additional shares of [title of Preferred Stock purchasable through the exercise of the Warrants]) or (iii)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the exercise of the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6"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Except as herein otherwise expressly provided, no adjustment in the Warrant Price shall be made by reason of the issuance of any securities of the Company or for any other reason whatsoever.</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any U.S. quotation medium or inter-dealer quotation system on such date, or if on any such date the Warrant Securities are not listed or admitted to trading on a registered national securities exchange and are not quoted on any U.S. quotation medium or inter-dealer quotation system, an amount equal to the same fraction of the average of the closing bid and asked prices as furnished by any Financial Industry Regulatory Authority, Inc. (“FINRA”) member firm selected from time to time by the Company for that purpose at the close of business on the business day that next precedes the day of exercise.</w:t>
      </w:r>
    </w:p>
    <w:p>
      <w:pPr>
        <w:pStyle w:val="TextBody"/>
        <w:bidi w:val="0"/>
        <w:spacing w:lineRule="auto" w:line="240" w:before="0" w:after="240"/>
        <w:ind w:left="0" w:right="0" w:firstLine="1440"/>
        <w:jc w:val="both"/>
        <w:rPr/>
      </w:pPr>
      <w:r>
        <w:rPr>
          <w:rFonts w:ascii="Times New Roman;serif" w:hAnsi="Times New Roman;serif"/>
          <w:b/>
          <w:color w:val="000000"/>
          <w:sz w:val="22"/>
        </w:rPr>
        <w:t>(g)</w:t>
      </w:r>
      <w:r>
        <w:rPr>
          <w:rFonts w:ascii="Times New Roman;serif" w:hAnsi="Times New Roman;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lineRule="auto" w:line="240" w:before="0" w:after="240"/>
        <w:ind w:left="0" w:right="0" w:firstLine="720"/>
        <w:jc w:val="both"/>
        <w:rPr/>
      </w:pPr>
      <w:r>
        <w:rPr>
          <w:rFonts w:ascii="Times New Roman;serif" w:hAnsi="Times New Roman;serif"/>
          <w:b/>
          <w:color w:val="000000"/>
          <w:sz w:val="22"/>
        </w:rPr>
        <w:t>3.5</w:t>
      </w:r>
      <w:r>
        <w:rPr>
          <w:rFonts w:ascii="Times New Roman;serif" w:hAnsi="Times New Roman;serif"/>
          <w:b/>
          <w:color w:val="000000"/>
          <w:sz w:val="22"/>
        </w:rPr>
        <w:t>Notice To Warrantholders</w:t>
      </w:r>
      <w:r>
        <w:rPr>
          <w:rFonts w:ascii="Times New Roman;serif" w:hAnsi="Times New Roman;serif"/>
          <w:b w:val="false"/>
          <w:color w:val="000000"/>
          <w:sz w:val="22"/>
        </w:rPr>
        <w:t>. In case the Company shall (a) effect any dividend or distribution described in Section 3.4(b), (b) effect any Reorganization Event, (c) make any distribution on or in respect of the [title of Preferred Stock purchasable through the exercise of the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the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the exercise of the Warrants] of record shall be entitled to exchange their shares of [title of Preferred Stock purchasable through the exercise of the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40" w:before="0" w:after="240"/>
        <w:ind w:left="0" w:right="0" w:firstLine="720"/>
        <w:jc w:val="both"/>
        <w:rPr/>
      </w:pPr>
      <w:r>
        <w:rPr>
          <w:rFonts w:ascii="Times New Roman;serif" w:hAnsi="Times New Roman;serif"/>
          <w:b/>
          <w:color w:val="000000"/>
          <w:sz w:val="22"/>
        </w:rPr>
        <w:t>3.6</w:t>
      </w:r>
      <w:r>
        <w:rPr>
          <w:rFonts w:ascii="Times New Roman;serif" w:hAnsi="Times New Roman;serif"/>
          <w:b/>
          <w:color w:val="000000"/>
          <w:sz w:val="22"/>
        </w:rPr>
        <w:t>[</w:t>
      </w:r>
      <w:r>
        <w:rPr>
          <w:rFonts w:ascii="Times New Roman;serif" w:hAnsi="Times New Roman;serif"/>
          <w:b/>
          <w:i/>
          <w:color w:val="000000"/>
          <w:sz w:val="22"/>
        </w:rPr>
        <w:t>If The Warrants Are Subject To Acceleration By The Company, Insert</w:t>
      </w:r>
      <w:r>
        <w:rPr>
          <w:color w:val="000000"/>
        </w:rPr>
        <w:t>—</w:t>
      </w:r>
      <w:r>
        <w:rPr>
          <w:rFonts w:ascii="Times New Roman;serif" w:hAnsi="Times New Roman;serif"/>
          <w:b/>
          <w:color w:val="000000"/>
          <w:sz w:val="22"/>
        </w:rPr>
        <w:t>Acceleration Of Warrants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7"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erif" w:hAnsi="Times New Roman;serif"/>
          <w:b/>
          <w:i/>
          <w:color w:val="000000"/>
          <w:sz w:val="22"/>
        </w:rPr>
        <w:t>Acceleration Date</w:t>
      </w:r>
      <w:r>
        <w:rPr>
          <w:color w:val="000000"/>
        </w:rPr>
        <w:t>”</w:t>
      </w:r>
      <w:r>
        <w:rPr>
          <w:rFonts w:ascii="Times New Roman;serif" w:hAnsi="Times New Roman;serif"/>
          <w:b w:val="false"/>
          <w:color w:val="000000"/>
          <w:sz w:val="22"/>
        </w:rPr>
        <w:t>), if the Market Price (as hereinafter defined) of the [title of Preferred Stock purchasable through the exercise of the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color w:val="000000"/>
        </w:rPr>
        <w:t>“</w:t>
      </w:r>
      <w:r>
        <w:rPr>
          <w:rFonts w:ascii="Times New Roman;serif" w:hAnsi="Times New Roman;serif"/>
          <w:b/>
          <w:i/>
          <w:color w:val="000000"/>
          <w:sz w:val="22"/>
        </w:rPr>
        <w:t>Market Price</w:t>
      </w:r>
      <w:r>
        <w:rPr>
          <w:color w:val="000000"/>
        </w:rPr>
        <w:t xml:space="preserve">” </w:t>
      </w:r>
      <w:r>
        <w:rPr>
          <w:rFonts w:ascii="Times New Roman;serif" w:hAnsi="Times New Roman;serif"/>
          <w:b w:val="false"/>
          <w:color w:val="000000"/>
          <w:sz w:val="22"/>
        </w:rPr>
        <w:t>for each Trading Day shall be, if the [title of Preferred Stock purchasable through the exercise of the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the exercise of the Warrants], in either case as reported on the principal registered national securities exchange on which the [title of Preferred Stock purchasable through the exercise of the Warrants] is listed or admitted to trading or, if not listed or admitted to trading on any registered national securities exchange, the average of the closing high bid and low asked prices as reported on other U.S. quotation medium or inter-dealer quotation system, or if on any such date the shares of [title of Preferred Stock purchasable through the exercise of the Warrants] are not listed or admitted to trading on a registered national securities exchange and are not quoted on any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the exercise of the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Any Warrant accelerated may be exercised until [●] p.m., [City] time, on the business day next preceding the Acceleration Date. The Warrant Price shall be payable as provided in Section 2.]</w:t>
      </w:r>
    </w:p>
    <w:p>
      <w:pPr>
        <w:pStyle w:val="TextBody"/>
        <w:bidi w:val="0"/>
        <w:spacing w:lineRule="auto" w:line="240" w:before="0" w:after="240"/>
        <w:jc w:val="center"/>
        <w:rPr/>
      </w:pPr>
      <w:r>
        <w:rPr>
          <w:rFonts w:ascii="Times New Roman;serif" w:hAnsi="Times New Roman;serif"/>
          <w:b/>
          <w:color w:val="000000"/>
          <w:sz w:val="22"/>
        </w:rPr>
        <w:t>Article 4</w:t>
      </w:r>
      <w:r>
        <w:rPr>
          <w:rFonts w:ascii="Times New Roman;serif" w:hAnsi="Times New Roman;serif"/>
          <w:b w:val="false"/>
          <w:color w:val="000000"/>
          <w:sz w:val="22"/>
        </w:rPr>
        <w:br/>
        <w:br/>
      </w:r>
      <w:r>
        <w:rPr>
          <w:rFonts w:ascii="Times New Roman;serif" w:hAnsi="Times New Roman;serif"/>
          <w:b/>
          <w:color w:val="000000"/>
          <w:sz w:val="22"/>
        </w:rPr>
        <w:t>EXCHANGE AND TRANSFER OF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4.1</w:t>
      </w:r>
      <w:r>
        <w:rPr>
          <w:rFonts w:ascii="Times New Roman;serif" w:hAnsi="Times New Roman;serif"/>
          <w:b/>
          <w:color w:val="000000"/>
          <w:sz w:val="22"/>
        </w:rPr>
        <w:t>Exchange And Transfer Of Warrant Certificates.</w:t>
      </w:r>
      <w:r>
        <w:rPr>
          <w:color w:val="000000"/>
        </w:rPr>
        <w:t xml:space="preserve"> </w:t>
      </w:r>
      <w:r>
        <w:rPr>
          <w:rFonts w:ascii="Times New Roman;serif" w:hAnsi="Times New Roman;serif"/>
          <w:b w:val="false"/>
          <w:color w:val="000000"/>
          <w:sz w:val="22"/>
        </w:rPr>
        <w:t xml:space="preserve">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8"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40" w:before="0" w:after="240"/>
        <w:ind w:left="0" w:right="0" w:firstLine="720"/>
        <w:jc w:val="both"/>
        <w:rPr/>
      </w:pPr>
      <w:r>
        <w:rPr>
          <w:rFonts w:ascii="Times New Roman;serif" w:hAnsi="Times New Roman;serif"/>
          <w:b/>
          <w:color w:val="000000"/>
          <w:sz w:val="22"/>
        </w:rPr>
        <w:t>4.2</w:t>
      </w:r>
      <w:r>
        <w:rPr>
          <w:rFonts w:ascii="Times New Roman;serif" w:hAnsi="Times New Roman;serif"/>
          <w:b/>
          <w:color w:val="000000"/>
          <w:sz w:val="22"/>
        </w:rPr>
        <w:t>Treatment Of Holders Of Warrant Certificates</w:t>
      </w:r>
      <w:r>
        <w:rPr>
          <w:rFonts w:ascii="Times New Roman;serif" w:hAnsi="Times New Roman;serif"/>
          <w:b w:val="false"/>
          <w:color w:val="000000"/>
          <w:sz w:val="22"/>
        </w:rPr>
        <w:t>. 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40" w:before="0" w:after="240"/>
        <w:ind w:left="0" w:right="0" w:firstLine="720"/>
        <w:jc w:val="both"/>
        <w:rPr/>
      </w:pPr>
      <w:r>
        <w:rPr>
          <w:rFonts w:ascii="Times New Roman;serif" w:hAnsi="Times New Roman;serif"/>
          <w:b/>
          <w:color w:val="000000"/>
          <w:sz w:val="22"/>
        </w:rPr>
        <w:t>4.3</w:t>
      </w:r>
      <w:r>
        <w:rPr>
          <w:rFonts w:ascii="Times New Roman;serif" w:hAnsi="Times New Roman;serif"/>
          <w:b/>
          <w:color w:val="000000"/>
          <w:sz w:val="22"/>
        </w:rPr>
        <w:t>Cancellation Of Warrant Certificates</w:t>
      </w:r>
      <w:r>
        <w:rPr>
          <w:rFonts w:ascii="Times New Roman;serif" w:hAnsi="Times New Roman;serif"/>
          <w:b w:val="false"/>
          <w:color w:val="000000"/>
          <w:sz w:val="22"/>
        </w:rPr>
        <w:t>. 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40" w:before="0" w:after="240"/>
        <w:jc w:val="center"/>
        <w:rPr/>
      </w:pPr>
      <w:r>
        <w:rPr>
          <w:rFonts w:ascii="Times New Roman;serif" w:hAnsi="Times New Roman;serif"/>
          <w:b/>
          <w:color w:val="000000"/>
          <w:sz w:val="22"/>
        </w:rPr>
        <w:t>Article 5</w:t>
      </w:r>
      <w:r>
        <w:rPr>
          <w:rFonts w:ascii="Times New Roman;serif" w:hAnsi="Times New Roman;serif"/>
          <w:b w:val="false"/>
          <w:color w:val="000000"/>
          <w:sz w:val="22"/>
        </w:rPr>
        <w:br/>
        <w:br/>
      </w:r>
      <w:r>
        <w:rPr>
          <w:rFonts w:ascii="Times New Roman;serif" w:hAnsi="Times New Roman;serif"/>
          <w:b/>
          <w:color w:val="000000"/>
          <w:sz w:val="22"/>
        </w:rPr>
        <w:t>CONCERNING THE WARRANT AGENT</w:t>
      </w:r>
    </w:p>
    <w:p>
      <w:pPr>
        <w:pStyle w:val="TextBody"/>
        <w:bidi w:val="0"/>
        <w:spacing w:lineRule="auto" w:line="240" w:before="0" w:after="240"/>
        <w:ind w:left="0" w:right="0" w:firstLine="720"/>
        <w:jc w:val="both"/>
        <w:rPr/>
      </w:pPr>
      <w:r>
        <w:rPr>
          <w:rFonts w:ascii="Times New Roman;serif" w:hAnsi="Times New Roman;serif"/>
          <w:b/>
          <w:color w:val="000000"/>
          <w:sz w:val="22"/>
        </w:rPr>
        <w:t>5.1</w:t>
      </w:r>
      <w:r>
        <w:rPr>
          <w:rFonts w:ascii="Times New Roman;serif" w:hAnsi="Times New Roman;serif"/>
          <w:b/>
          <w:color w:val="000000"/>
          <w:sz w:val="22"/>
        </w:rPr>
        <w:t>Warrant Agent</w:t>
      </w:r>
      <w:r>
        <w:rPr>
          <w:rFonts w:ascii="Times New Roman;serif" w:hAnsi="Times New Roman;serif"/>
          <w:b w:val="false"/>
          <w:color w:val="000000"/>
          <w:sz w:val="22"/>
        </w:rPr>
        <w:t>. 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40" w:before="0" w:after="240"/>
        <w:ind w:left="0" w:right="0" w:firstLine="720"/>
        <w:jc w:val="both"/>
        <w:rPr/>
      </w:pPr>
      <w:r>
        <w:rPr>
          <w:rFonts w:ascii="Times New Roman;serif" w:hAnsi="Times New Roman;serif"/>
          <w:b/>
          <w:color w:val="000000"/>
          <w:sz w:val="22"/>
        </w:rPr>
        <w:t>5.2</w:t>
      </w:r>
      <w:r>
        <w:rPr>
          <w:rFonts w:ascii="Times New Roman;serif" w:hAnsi="Times New Roman;serif"/>
          <w:b/>
          <w:color w:val="000000"/>
          <w:sz w:val="22"/>
        </w:rPr>
        <w:t>Conditions Of Warrant Agent’s Obligations</w:t>
      </w:r>
      <w:r>
        <w:rPr>
          <w:rFonts w:ascii="Times New Roman;serif" w:hAnsi="Times New Roman;serif"/>
          <w:b w:val="false"/>
          <w:color w:val="000000"/>
          <w:sz w:val="22"/>
        </w:rPr>
        <w:t>. 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Compensation And Indemnification</w:t>
      </w:r>
      <w:r>
        <w:rPr>
          <w:rFonts w:ascii="Times New Roman;serif" w:hAnsi="Times New Roman;serif"/>
          <w:b w:val="false"/>
          <w:color w:val="000000"/>
          <w:sz w:val="22"/>
        </w:rPr>
        <w:t>. 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19"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Agent For The Company</w:t>
      </w:r>
      <w:r>
        <w:rPr>
          <w:rFonts w:ascii="Times New Roman;serif" w:hAnsi="Times New Roman;serif"/>
          <w:b w:val="false"/>
          <w:color w:val="000000"/>
          <w:sz w:val="22"/>
        </w:rPr>
        <w:t>. In acting under this Warrant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Counsel</w:t>
      </w:r>
      <w:r>
        <w:rPr>
          <w:rFonts w:ascii="Times New Roman;serif" w:hAnsi="Times New Roman;serif"/>
          <w:b w:val="false"/>
          <w:color w:val="000000"/>
          <w:sz w:val="22"/>
        </w:rPr>
        <w:t>. 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Documents</w:t>
      </w:r>
      <w:r>
        <w:rPr>
          <w:rFonts w:ascii="Times New Roman;serif" w:hAnsi="Times New Roman;serif"/>
          <w:b w:val="false"/>
          <w:color w:val="000000"/>
          <w:sz w:val="22"/>
        </w:rPr>
        <w:t>. 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color w:val="000000"/>
          <w:sz w:val="22"/>
        </w:rPr>
        <w:t>Certain Transactions</w:t>
      </w:r>
      <w:r>
        <w:rPr>
          <w:rFonts w:ascii="Times New Roman;serif" w:hAnsi="Times New Roman;serif"/>
          <w:b w:val="false"/>
          <w:color w:val="000000"/>
          <w:sz w:val="22"/>
        </w:rPr>
        <w:t>. 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any indenture to which the Company is a party.</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color w:val="000000"/>
          <w:sz w:val="22"/>
        </w:rPr>
        <w:t>No Liability For Interest</w:t>
      </w:r>
      <w:r>
        <w:rPr>
          <w:rFonts w:ascii="Times New Roman;serif" w:hAnsi="Times New Roman;serif"/>
          <w:b w:val="false"/>
          <w:color w:val="000000"/>
          <w:sz w:val="22"/>
        </w:rPr>
        <w:t>. 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40" w:before="0" w:after="240"/>
        <w:ind w:left="0" w:right="0" w:firstLine="1440"/>
        <w:jc w:val="both"/>
        <w:rPr/>
      </w:pPr>
      <w:r>
        <w:rPr>
          <w:rFonts w:ascii="Times New Roman;serif" w:hAnsi="Times New Roman;serif"/>
          <w:b/>
          <w:color w:val="000000"/>
          <w:sz w:val="22"/>
        </w:rPr>
        <w:t>(g)</w:t>
      </w:r>
      <w:r>
        <w:rPr>
          <w:rFonts w:ascii="Times New Roman;serif" w:hAnsi="Times New Roman;serif"/>
          <w:b/>
          <w:color w:val="000000"/>
          <w:sz w:val="22"/>
        </w:rPr>
        <w:t>No Liability For Invalidity</w:t>
      </w:r>
      <w:r>
        <w:rPr>
          <w:rFonts w:ascii="Times New Roman;serif" w:hAnsi="Times New Roman;serif"/>
          <w:b w:val="false"/>
          <w:color w:val="000000"/>
          <w:sz w:val="22"/>
        </w:rPr>
        <w:t>. The Warrant Agent shall have no liability with respect to any invalidity of this Agreement or any of the Warrant Certificates (except as to the Warrant Agent’s countersignature thereon).</w:t>
      </w:r>
    </w:p>
    <w:p>
      <w:pPr>
        <w:pStyle w:val="TextBody"/>
        <w:bidi w:val="0"/>
        <w:spacing w:lineRule="auto" w:line="240" w:before="0" w:after="240"/>
        <w:ind w:left="0" w:right="0" w:firstLine="1440"/>
        <w:jc w:val="both"/>
        <w:rPr/>
      </w:pPr>
      <w:r>
        <w:rPr>
          <w:rFonts w:ascii="Times New Roman;serif" w:hAnsi="Times New Roman;serif"/>
          <w:b/>
          <w:color w:val="000000"/>
          <w:sz w:val="22"/>
        </w:rPr>
        <w:t>(h)</w:t>
      </w:r>
      <w:r>
        <w:rPr>
          <w:rFonts w:ascii="Times New Roman;serif" w:hAnsi="Times New Roman;serif"/>
          <w:b/>
          <w:color w:val="000000"/>
          <w:sz w:val="22"/>
        </w:rPr>
        <w:t>No Responsibility For Representations</w:t>
      </w:r>
      <w:r>
        <w:rPr>
          <w:rFonts w:ascii="Times New Roman;serif" w:hAnsi="Times New Roman;serif"/>
          <w:b w:val="false"/>
          <w:color w:val="000000"/>
          <w:sz w:val="22"/>
        </w:rPr>
        <w:t>. 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40" w:before="0" w:after="240"/>
        <w:ind w:left="0" w:right="0" w:firstLine="1440"/>
        <w:jc w:val="both"/>
        <w:rPr/>
      </w:pPr>
      <w:r>
        <w:rPr>
          <w:rFonts w:ascii="Times New Roman;serif" w:hAnsi="Times New Roman;serif"/>
          <w:b/>
          <w:color w:val="000000"/>
          <w:sz w:val="22"/>
        </w:rPr>
        <w:t>(i)</w:t>
      </w:r>
      <w:r>
        <w:rPr>
          <w:rFonts w:ascii="Times New Roman;serif" w:hAnsi="Times New Roman;serif"/>
          <w:b/>
          <w:color w:val="000000"/>
          <w:sz w:val="22"/>
        </w:rPr>
        <w:t>No Implied Obligations</w:t>
      </w:r>
      <w:r>
        <w:rPr>
          <w:rFonts w:ascii="Times New Roman;serif" w:hAnsi="Times New Roman;serif"/>
          <w:b w:val="false"/>
          <w:color w:val="000000"/>
          <w:sz w:val="22"/>
        </w:rPr>
        <w:t>. 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0"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5.3</w:t>
      </w:r>
      <w:r>
        <w:rPr>
          <w:rFonts w:ascii="Times New Roman;serif" w:hAnsi="Times New Roman;serif"/>
          <w:b/>
          <w:color w:val="000000"/>
          <w:sz w:val="22"/>
        </w:rPr>
        <w:t>Resignation, Removal And Appointment Of Successors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1"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2"/>
        </w:rPr>
        <w:t>Article 6</w:t>
      </w:r>
      <w:r>
        <w:rPr>
          <w:rFonts w:ascii="Times New Roman;serif" w:hAnsi="Times New Roman;serif"/>
          <w:b w:val="false"/>
          <w:color w:val="000000"/>
          <w:sz w:val="22"/>
        </w:rPr>
        <w:br/>
        <w:br/>
      </w:r>
      <w:r>
        <w:rPr>
          <w:rFonts w:ascii="Times New Roman;serif" w:hAnsi="Times New Roman;serif"/>
          <w:b/>
          <w:color w:val="000000"/>
          <w:sz w:val="22"/>
        </w:rPr>
        <w:t>MISCELLANEOUS</w:t>
      </w:r>
    </w:p>
    <w:p>
      <w:pPr>
        <w:pStyle w:val="TextBody"/>
        <w:bidi w:val="0"/>
        <w:spacing w:lineRule="auto" w:line="240" w:before="0" w:after="240"/>
        <w:ind w:left="0" w:right="0" w:firstLine="720"/>
        <w:jc w:val="both"/>
        <w:rPr/>
      </w:pPr>
      <w:r>
        <w:rPr>
          <w:rFonts w:ascii="Times New Roman;serif" w:hAnsi="Times New Roman;serif"/>
          <w:b/>
          <w:color w:val="000000"/>
          <w:sz w:val="22"/>
        </w:rPr>
        <w:t>6.1</w:t>
      </w:r>
      <w:r>
        <w:rPr>
          <w:rFonts w:ascii="Times New Roman;serif" w:hAnsi="Times New Roman;serif"/>
          <w:b/>
          <w:color w:val="000000"/>
          <w:sz w:val="22"/>
        </w:rPr>
        <w:t>Amendment</w:t>
      </w:r>
      <w:r>
        <w:rPr>
          <w:rFonts w:ascii="Times New Roman;serif" w:hAnsi="Times New Roman;serif"/>
          <w:b w:val="false"/>
          <w:color w:val="000000"/>
          <w:sz w:val="22"/>
        </w:rPr>
        <w:t>. 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6.2</w:t>
      </w:r>
      <w:r>
        <w:rPr>
          <w:rFonts w:ascii="Times New Roman;serif" w:hAnsi="Times New Roman;serif"/>
          <w:b/>
          <w:color w:val="000000"/>
          <w:sz w:val="22"/>
        </w:rPr>
        <w:t>Notices And Demands To The Company And Warrant Agent</w:t>
      </w:r>
      <w:r>
        <w:rPr>
          <w:rFonts w:ascii="Times New Roman;serif" w:hAnsi="Times New Roman;serif"/>
          <w:b w:val="false"/>
          <w:color w:val="000000"/>
          <w:sz w:val="22"/>
        </w:rPr>
        <w:t>. 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40" w:before="0" w:after="240"/>
        <w:ind w:left="0" w:right="0" w:firstLine="720"/>
        <w:jc w:val="both"/>
        <w:rPr/>
      </w:pPr>
      <w:r>
        <w:rPr>
          <w:rFonts w:ascii="Times New Roman;serif" w:hAnsi="Times New Roman;serif"/>
          <w:b/>
          <w:color w:val="000000"/>
          <w:sz w:val="22"/>
        </w:rPr>
        <w:t>6.3</w:t>
      </w:r>
      <w:r>
        <w:rPr>
          <w:rFonts w:ascii="Times New Roman;serif" w:hAnsi="Times New Roman;serif"/>
          <w:b/>
          <w:color w:val="000000"/>
          <w:sz w:val="22"/>
        </w:rPr>
        <w:t>Addresses</w:t>
      </w:r>
      <w:r>
        <w:rPr>
          <w:rFonts w:ascii="Times New Roman;serif" w:hAnsi="Times New Roman;serif"/>
          <w:b w:val="false"/>
          <w:color w:val="000000"/>
          <w:sz w:val="22"/>
        </w:rPr>
        <w:t>. Any communication from the Company to the Warrant Agent with respect to this Agreement shall be addressed to [●], Attention: [●] and any communication from the Warrant Agent to the Company with respect to this Agreement shall be addressed to SI-BONE, Inc., 471 El Camino Real, Santa Clara, CA 95050, Attention: [●] (or such other address as shall be specified in writing by the Warrant Agent or by the Company).</w:t>
      </w:r>
    </w:p>
    <w:p>
      <w:pPr>
        <w:pStyle w:val="TextBody"/>
        <w:bidi w:val="0"/>
        <w:spacing w:lineRule="auto" w:line="240" w:before="0" w:after="240"/>
        <w:ind w:left="0" w:right="0" w:firstLine="720"/>
        <w:jc w:val="both"/>
        <w:rPr/>
      </w:pPr>
      <w:r>
        <w:rPr>
          <w:rFonts w:ascii="Times New Roman;serif" w:hAnsi="Times New Roman;serif"/>
          <w:b/>
          <w:color w:val="000000"/>
          <w:sz w:val="22"/>
        </w:rPr>
        <w:t>6.4</w:t>
      </w:r>
      <w:r>
        <w:rPr>
          <w:rFonts w:ascii="Times New Roman;serif" w:hAnsi="Times New Roman;serif"/>
          <w:b/>
          <w:color w:val="000000"/>
          <w:sz w:val="22"/>
        </w:rPr>
        <w:t>Governing Law</w:t>
      </w:r>
      <w:r>
        <w:rPr>
          <w:rFonts w:ascii="Times New Roman;serif" w:hAnsi="Times New Roman;serif"/>
          <w:b w:val="false"/>
          <w:color w:val="000000"/>
          <w:sz w:val="22"/>
        </w:rPr>
        <w:t>. This Agreement and each Warrant Certificate issued hereunder shall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color w:val="000000"/>
          <w:sz w:val="22"/>
        </w:rPr>
        <w:t>6.5</w:t>
      </w:r>
      <w:r>
        <w:rPr>
          <w:rFonts w:ascii="Times New Roman;serif" w:hAnsi="Times New Roman;serif"/>
          <w:b/>
          <w:color w:val="000000"/>
          <w:sz w:val="22"/>
        </w:rPr>
        <w:t>Delivery Of Prospectus</w:t>
      </w:r>
      <w:r>
        <w:rPr>
          <w:rFonts w:ascii="Times New Roman;serif" w:hAnsi="Times New Roman;serif"/>
          <w:b w:val="false"/>
          <w:color w:val="000000"/>
          <w:sz w:val="22"/>
        </w:rPr>
        <w:t>. The Company shall furnish to the Warrant Agent sufficient copies of a prospectus meeting the requirements of the Securities Act of 1933, as amended, relating to the Warrant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40" w:before="0" w:after="240"/>
        <w:ind w:left="0" w:right="0" w:firstLine="720"/>
        <w:jc w:val="both"/>
        <w:rPr/>
      </w:pPr>
      <w:r>
        <w:rPr>
          <w:rFonts w:ascii="Times New Roman;serif" w:hAnsi="Times New Roman;serif"/>
          <w:b/>
          <w:color w:val="000000"/>
          <w:sz w:val="22"/>
        </w:rPr>
        <w:t>6.6</w:t>
      </w:r>
      <w:r>
        <w:rPr>
          <w:rFonts w:ascii="Times New Roman;serif" w:hAnsi="Times New Roman;serif"/>
          <w:b/>
          <w:color w:val="000000"/>
          <w:sz w:val="22"/>
        </w:rPr>
        <w:t>Obtaining Of Governmental Approvals</w:t>
      </w:r>
      <w:r>
        <w:rPr>
          <w:rFonts w:ascii="Times New Roman;serif" w:hAnsi="Times New Roman;serif"/>
          <w:b w:val="false"/>
          <w:color w:val="000000"/>
          <w:sz w:val="22"/>
        </w:rPr>
        <w:t>. 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lineRule="auto" w:line="240" w:before="0" w:after="240"/>
        <w:ind w:left="0" w:right="0" w:firstLine="720"/>
        <w:jc w:val="both"/>
        <w:rPr/>
      </w:pPr>
      <w:r>
        <w:rPr>
          <w:rFonts w:ascii="Times New Roman;serif" w:hAnsi="Times New Roman;serif"/>
          <w:b/>
          <w:color w:val="000000"/>
          <w:sz w:val="22"/>
        </w:rPr>
        <w:t>6.7</w:t>
      </w:r>
      <w:r>
        <w:rPr>
          <w:rFonts w:ascii="Times New Roman;serif" w:hAnsi="Times New Roman;serif"/>
          <w:b/>
          <w:color w:val="000000"/>
          <w:sz w:val="22"/>
        </w:rPr>
        <w:t>Persons Having Rights Under Warrant Agreement</w:t>
      </w:r>
      <w:r>
        <w:rPr>
          <w:rFonts w:ascii="Times New Roman;serif" w:hAnsi="Times New Roman;serif"/>
          <w:b w:val="false"/>
          <w:color w:val="000000"/>
          <w:sz w:val="22"/>
        </w:rPr>
        <w:t>. Nothing in this Agreement shall give to any person other than the Company, the Warrant Agent and the holders of the Warrant Certificates any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6.8</w:t>
      </w:r>
      <w:r>
        <w:rPr>
          <w:rFonts w:ascii="Times New Roman;serif" w:hAnsi="Times New Roman;serif"/>
          <w:b/>
          <w:color w:val="000000"/>
          <w:sz w:val="22"/>
        </w:rPr>
        <w:t>Headings</w:t>
      </w:r>
      <w:r>
        <w:rPr>
          <w:rFonts w:ascii="Times New Roman;serif" w:hAnsi="Times New Roman;serif"/>
          <w:b w:val="false"/>
          <w:color w:val="000000"/>
          <w:sz w:val="22"/>
        </w:rPr>
        <w:t>. 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40" w:before="0" w:after="240"/>
        <w:ind w:left="0" w:right="0" w:firstLine="720"/>
        <w:jc w:val="both"/>
        <w:rPr/>
      </w:pPr>
      <w:r>
        <w:rPr>
          <w:rFonts w:ascii="Times New Roman;serif" w:hAnsi="Times New Roman;serif"/>
          <w:b/>
          <w:color w:val="000000"/>
          <w:sz w:val="22"/>
        </w:rPr>
        <w:t>6.9</w:t>
      </w:r>
      <w:r>
        <w:rPr>
          <w:rFonts w:ascii="Times New Roman;serif" w:hAnsi="Times New Roman;serif"/>
          <w:b/>
          <w:color w:val="000000"/>
          <w:sz w:val="22"/>
        </w:rPr>
        <w:t>Counterparts</w:t>
      </w:r>
      <w:r>
        <w:rPr>
          <w:rFonts w:ascii="Times New Roman;serif" w:hAnsi="Times New Roman;serif"/>
          <w:b w:val="false"/>
          <w:color w:val="000000"/>
          <w:sz w:val="22"/>
        </w:rPr>
        <w:t>. 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2"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6.10</w:t>
      </w:r>
      <w:r>
        <w:rPr>
          <w:rFonts w:ascii="Times New Roman;serif" w:hAnsi="Times New Roman;serif"/>
          <w:b/>
          <w:color w:val="000000"/>
          <w:sz w:val="22"/>
        </w:rPr>
        <w:t>Inspection Of Agreement</w:t>
      </w:r>
      <w:r>
        <w:rPr>
          <w:rFonts w:ascii="Times New Roman;serif" w:hAnsi="Times New Roman;serif"/>
          <w:b w:val="false"/>
          <w:color w:val="000000"/>
          <w:sz w:val="22"/>
        </w:rPr>
        <w:t>. 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3"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duly executed, all as of the day and year first above written.</w:t>
      </w:r>
    </w:p>
    <w:tbl>
      <w:tblPr>
        <w:tblW w:w="3388" w:type="dxa"/>
        <w:jc w:val="left"/>
        <w:tblInd w:w="0" w:type="dxa"/>
        <w:tblLayout w:type="fixed"/>
        <w:tblCellMar>
          <w:top w:w="28" w:type="dxa"/>
          <w:left w:w="28" w:type="dxa"/>
          <w:bottom w:w="28" w:type="dxa"/>
          <w:right w:w="28" w:type="dxa"/>
        </w:tblCellMar>
      </w:tblPr>
      <w:tblGrid>
        <w:gridCol w:w="524"/>
        <w:gridCol w:w="463"/>
        <w:gridCol w:w="468"/>
        <w:gridCol w:w="301"/>
        <w:gridCol w:w="301"/>
        <w:gridCol w:w="301"/>
        <w:gridCol w:w="301"/>
        <w:gridCol w:w="301"/>
        <w:gridCol w:w="428"/>
      </w:tblGrid>
      <w:tr>
        <w:trPr/>
        <w:tc>
          <w:tcPr>
            <w:tcW w:w="5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SI-BONE, Inc.</w:t>
            </w:r>
            <w:r>
              <w:rPr>
                <w:rFonts w:ascii="Times New Roman;serif" w:hAnsi="Times New Roman;serif"/>
                <w:b w:val="false"/>
                <w:color w:val="000000"/>
                <w:sz w:val="22"/>
              </w:rPr>
              <w:t>, as Company</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Countersigned</w:t>
            </w:r>
          </w:p>
        </w:tc>
      </w:tr>
      <w:tr>
        <w:trPr/>
        <w:tc>
          <w:tcPr>
            <w:tcW w:w="3388" w:type="dxa"/>
            <w:gridSpan w:val="9"/>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as Warrant Agent</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Preferred Stock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Preferred Stock Warrant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55"/>
        <w:gridCol w:w="1368"/>
        <w:gridCol w:w="1371"/>
        <w:gridCol w:w="268"/>
        <w:gridCol w:w="268"/>
        <w:gridCol w:w="270"/>
        <w:gridCol w:w="1491"/>
        <w:gridCol w:w="1491"/>
        <w:gridCol w:w="2123"/>
      </w:tblGrid>
      <w:tr>
        <w:trPr/>
        <w:tc>
          <w:tcPr>
            <w:tcW w:w="155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i/>
                <w:color w:val="000000"/>
                <w:sz w:val="22"/>
              </w:rPr>
            </w:pPr>
            <w:r>
              <w:rPr>
                <w:rFonts w:ascii="Times New Roman;serif" w:hAnsi="Times New Roman;serif"/>
                <w:b/>
                <w:i/>
                <w:color w:val="000000"/>
                <w:sz w:val="22"/>
              </w:rPr>
              <w:t>[Form of Legend if Warrants are not immediately exercisable.]</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510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EXERCISABLE ONLY IF COUNTERSIGNED BY THE WARRANT AGENT </w:t>
        <w:br/>
        <w:t>AS PROVIDED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SI-BONE, INC.</w:t>
        <w:br/>
        <w:t>WARRANT CERTIFICATE REPRESENTING</w:t>
        <w:br/>
        <w:t>WARRANTS TO PURCHASE</w:t>
        <w:br/>
        <w:t>[TITLE OF WARRANT SECURITIES]</w:t>
      </w:r>
    </w:p>
    <w:tbl>
      <w:tblPr>
        <w:tblW w:w="4392" w:type="dxa"/>
        <w:jc w:val="left"/>
        <w:tblInd w:w="0" w:type="dxa"/>
        <w:tblLayout w:type="fixed"/>
        <w:tblCellMar>
          <w:top w:w="28" w:type="dxa"/>
          <w:left w:w="28" w:type="dxa"/>
          <w:bottom w:w="28" w:type="dxa"/>
          <w:right w:w="28" w:type="dxa"/>
        </w:tblCellMar>
      </w:tblPr>
      <w:tblGrid>
        <w:gridCol w:w="555"/>
        <w:gridCol w:w="486"/>
        <w:gridCol w:w="489"/>
        <w:gridCol w:w="268"/>
        <w:gridCol w:w="268"/>
        <w:gridCol w:w="270"/>
        <w:gridCol w:w="209"/>
        <w:gridCol w:w="209"/>
        <w:gridCol w:w="1638"/>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2"/>
              </w:rPr>
            </w:pPr>
            <w:r>
              <w:rPr>
                <w:rFonts w:ascii="Times New Roman;serif" w:hAnsi="Times New Roman;serif"/>
                <w:b w:val="false"/>
                <w:color w:val="000000"/>
                <w:sz w:val="22"/>
              </w:rPr>
              <w:t>[●] Warrants</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shares of [Title of Warrant Securities]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SI-BONE,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term “Holder”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Warrant Certificate is issued under and in accordance with the Warrant Agreement dated as of [●]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Certificate shall not entitle the Holder hereof to any of the rights of a holder of the Warrant Securities, including, without limitation, the right to receive payments of dividends or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distributions, if any, on the Warrant Securities (except to the extent set forth in the Warrant Agreement) or to exercise any voting rights.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2524" w:type="dxa"/>
        <w:jc w:val="left"/>
        <w:tblInd w:w="0" w:type="dxa"/>
        <w:tblLayout w:type="fixed"/>
        <w:tblCellMar>
          <w:top w:w="28" w:type="dxa"/>
          <w:left w:w="28" w:type="dxa"/>
          <w:bottom w:w="28" w:type="dxa"/>
          <w:right w:w="28" w:type="dxa"/>
        </w:tblCellMar>
      </w:tblPr>
      <w:tblGrid>
        <w:gridCol w:w="527"/>
        <w:gridCol w:w="463"/>
        <w:gridCol w:w="465"/>
        <w:gridCol w:w="109"/>
        <w:gridCol w:w="109"/>
        <w:gridCol w:w="85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Dated:</w:t>
            </w:r>
          </w:p>
        </w:tc>
        <w:tc>
          <w:tcPr>
            <w:tcW w:w="10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808" w:type="dxa"/>
        <w:jc w:val="left"/>
        <w:tblInd w:w="0" w:type="dxa"/>
        <w:tblLayout w:type="fixed"/>
        <w:tblCellMar>
          <w:top w:w="28" w:type="dxa"/>
          <w:left w:w="28" w:type="dxa"/>
          <w:bottom w:w="28" w:type="dxa"/>
          <w:right w:w="28" w:type="dxa"/>
        </w:tblCellMar>
      </w:tblPr>
      <w:tblGrid>
        <w:gridCol w:w="526"/>
        <w:gridCol w:w="463"/>
        <w:gridCol w:w="466"/>
        <w:gridCol w:w="139"/>
        <w:gridCol w:w="139"/>
        <w:gridCol w:w="139"/>
        <w:gridCol w:w="139"/>
        <w:gridCol w:w="139"/>
        <w:gridCol w:w="139"/>
        <w:gridCol w:w="139"/>
        <w:gridCol w:w="139"/>
        <w:gridCol w:w="139"/>
        <w:gridCol w:w="139"/>
        <w:gridCol w:w="139"/>
        <w:gridCol w:w="139"/>
        <w:gridCol w:w="139"/>
        <w:gridCol w:w="139"/>
        <w:gridCol w:w="139"/>
        <w:gridCol w:w="139"/>
        <w:gridCol w:w="139"/>
        <w:gridCol w:w="139"/>
        <w:gridCol w:w="249"/>
        <w:gridCol w:w="249"/>
        <w:gridCol w:w="353"/>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SI-BONE, INC</w:t>
            </w:r>
            <w:r>
              <w:rPr>
                <w:rFonts w:ascii="Times New Roman;serif" w:hAnsi="Times New Roman;serif"/>
                <w:b w:val="false"/>
                <w:color w:val="000000"/>
                <w:sz w:val="22"/>
              </w:rPr>
              <w:t>., as Company</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Countersigned</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as Warrant Agent</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 Warrants, evidenced by this Warrant Certificate, to purchase [●] shares of the [Title of Warrant Securities]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SI-BONE, Inc. and represents that he has tendered payment for such Warrant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lineRule="auto" w:line="288" w:before="0" w:after="0"/>
        <w:jc w:val="left"/>
        <w:rPr/>
      </w:pPr>
      <w:r>
        <w:rPr>
          <w:rFonts w:ascii="Times New Roman;serif" w:hAnsi="Times New Roman;serif"/>
          <w:b w:val="false"/>
          <w:color w:val="000000"/>
          <w:sz w:val="22"/>
        </w:rPr>
        <w:t>Dated:    </w:t>
      </w:r>
      <w:r>
        <w:rPr>
          <w:color w:val="000000"/>
          <w:u w:val="single"/>
        </w:rPr>
        <w:t>    </w:t>
      </w:r>
      <w:r>
        <w:rPr>
          <w:color w:val="000000"/>
        </w:rPr>
        <w:t>    </w:t>
      </w:r>
      <w:r>
        <w:rPr>
          <w:rFonts w:ascii="Times New Roman;serif" w:hAnsi="Times New Roman;serif"/>
          <w:b w:val="false"/>
          <w:color w:val="000000"/>
          <w:sz w:val="22"/>
        </w:rPr>
        <w:t>Name:    </w:t>
      </w:r>
      <w:r>
        <w:rPr>
          <w:color w:val="000000"/>
          <w:u w:val="single"/>
        </w:rPr>
        <w:t>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Please Print</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 of Holder)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Signature Guaranteed:</w:t>
      </w:r>
      <w:r>
        <w:rPr>
          <w:color w:val="000000"/>
          <w:u w:val="single"/>
        </w:rPr>
        <w:t>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Signature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may be exercised at the following addresses: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hand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erif" w:hAnsi="Times New Roman;serif"/>
          <w:b/>
          <w:color w:val="000000"/>
          <w:sz w:val="22"/>
        </w:rPr>
        <w:t>For Value Received</w:t>
      </w:r>
      <w:r>
        <w:rPr>
          <w:rFonts w:ascii="Times New Roman;serif" w:hAnsi="Times New Roman;serif"/>
          <w:b w:val="false"/>
          <w:color w:val="000000"/>
          <w:sz w:val="22"/>
        </w:rPr>
        <w:t>, [●] hereby sells, assigns and transfers unto:</w:t>
      </w:r>
    </w:p>
    <w:tbl>
      <w:tblPr>
        <w:tblW w:w="10205" w:type="dxa"/>
        <w:jc w:val="left"/>
        <w:tblInd w:w="0" w:type="dxa"/>
        <w:tblLayout w:type="fixed"/>
        <w:tblCellMar>
          <w:top w:w="28" w:type="dxa"/>
          <w:left w:w="28" w:type="dxa"/>
          <w:bottom w:w="28" w:type="dxa"/>
          <w:right w:w="28" w:type="dxa"/>
        </w:tblCellMar>
      </w:tblPr>
      <w:tblGrid>
        <w:gridCol w:w="1634"/>
        <w:gridCol w:w="1438"/>
        <w:gridCol w:w="1441"/>
        <w:gridCol w:w="268"/>
        <w:gridCol w:w="268"/>
        <w:gridCol w:w="270"/>
        <w:gridCol w:w="1428"/>
        <w:gridCol w:w="1428"/>
        <w:gridCol w:w="2030"/>
      </w:tblGrid>
      <w:tr>
        <w:trPr/>
        <w:tc>
          <w:tcPr>
            <w:tcW w:w="16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print name and address including zip code)</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4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print Social Security or other identifying number</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 shares of [Title of Warrant Securities] of SI-BONE, Inc. to which the within Warrant relates and appoints [●] attorney to transfer such right on the books of the Warrant Agent with full power of substitution in the premises.</w:t>
      </w:r>
    </w:p>
    <w:tbl>
      <w:tblPr>
        <w:tblW w:w="4671"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109"/>
        <w:gridCol w:w="109"/>
        <w:gridCol w:w="109"/>
        <w:gridCol w:w="268"/>
        <w:gridCol w:w="268"/>
        <w:gridCol w:w="270"/>
        <w:gridCol w:w="513"/>
        <w:gridCol w:w="513"/>
        <w:gridCol w:w="73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Signature Guaranteed</w:t>
      </w:r>
    </w:p>
    <w:p>
      <w:pPr>
        <w:pStyle w:val="TextBody"/>
        <w:bidi w:val="0"/>
        <w:spacing w:lineRule="auto" w:line="288" w:before="0" w:after="0"/>
        <w:jc w:val="left"/>
        <w:rPr>
          <w:color w:val="000000"/>
          <w:u w:val="single"/>
        </w:rPr>
      </w:pPr>
      <w:r>
        <w:rPr>
          <w:color w:val="000000"/>
          <w:u w:val="single"/>
        </w:rPr>
        <w:t>    </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120"/>
        <w:jc w:val="right"/>
        <w:rPr>
          <w:rFonts w:ascii="Times New Roman;serif" w:hAnsi="Times New Roman;serif"/>
          <w:b/>
          <w:color w:val="000000"/>
          <w:sz w:val="22"/>
        </w:rPr>
      </w:pPr>
      <w:r>
        <w:rPr>
          <w:rFonts w:ascii="Times New Roman;serif" w:hAnsi="Times New Roman;serif"/>
          <w:b/>
          <w:color w:val="000000"/>
          <w:sz w:val="22"/>
        </w:rPr>
        <w:t>Exhibit 4.8</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0" w:after="240"/>
        <w:jc w:val="center"/>
        <w:rPr/>
      </w:pPr>
      <w:r>
        <w:rPr/>
      </w:r>
    </w:p>
    <w:p>
      <w:pPr>
        <w:pStyle w:val="TextBody"/>
        <w:bidi w:val="0"/>
        <w:spacing w:before="60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SI-BONE,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_____________, as Warrant Agent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Debt Securities</w:t>
        <w:br/>
        <w:t>Warrant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__________</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SI-BONE, Inc.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Debt Securities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This Debt Securities Warrant Agreement</w:t>
      </w:r>
      <w:r>
        <w:rPr>
          <w:color w:val="000000"/>
        </w:rPr>
        <w:t xml:space="preserve">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dated as of [●], between </w:t>
      </w:r>
      <w:r>
        <w:rPr>
          <w:rFonts w:ascii="Times New Roman;serif" w:hAnsi="Times New Roman;serif"/>
          <w:b/>
          <w:color w:val="000000"/>
          <w:sz w:val="22"/>
        </w:rPr>
        <w:t>SI-BONE,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a [corporation] [national banking association] organized and existing under the laws of [●] and having a corporate trust office in [●],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has entered into an indenture dated as of [●] (the “</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with [●], as trustee (such trustee, and any successors to such trustee, herein called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 providing for the issuance from time to time of its debt securities, to be issued in one or more series as provided in the Indenture (the “</w:t>
      </w:r>
      <w:r>
        <w:rPr>
          <w:rFonts w:ascii="Times New Roman;serif" w:hAnsi="Times New Roman;serif"/>
          <w:b/>
          <w:i/>
          <w:color w:val="000000"/>
          <w:sz w:val="22"/>
        </w:rPr>
        <w:t>Debt Securities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proposes to sell [</w:t>
      </w:r>
      <w:r>
        <w:rPr>
          <w:rFonts w:ascii="Times New Roman;serif" w:hAnsi="Times New Roman;serif"/>
          <w:b/>
          <w:i/>
          <w:color w:val="000000"/>
          <w:sz w:val="22"/>
        </w:rPr>
        <w:t xml:space="preserve">If Warrants are sold with other securities — </w:t>
      </w:r>
      <w:r>
        <w:rPr>
          <w:rFonts w:ascii="Times New Roman;serif" w:hAnsi="Times New Roman;serif"/>
          <w:b w:val="false"/>
          <w:color w:val="000000"/>
          <w:sz w:val="22"/>
        </w:rPr>
        <w:t>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[title of Debt Securities purchasable through exercise of Warrants]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of the mutual agreements herein contained, the parties hereto agree as follows:</w:t>
      </w:r>
    </w:p>
    <w:p>
      <w:pPr>
        <w:pStyle w:val="TextBody"/>
        <w:bidi w:val="0"/>
        <w:spacing w:lineRule="auto" w:line="240" w:before="0" w:after="240"/>
        <w:jc w:val="center"/>
        <w:rPr/>
      </w:pPr>
      <w:r>
        <w:rPr>
          <w:rFonts w:ascii="Times New Roman;serif" w:hAnsi="Times New Roman;serif"/>
          <w:b/>
          <w:color w:val="000000"/>
          <w:sz w:val="22"/>
        </w:rPr>
        <w:t>Article 1</w:t>
      </w:r>
      <w:r>
        <w:rPr>
          <w:rFonts w:ascii="Times New Roman;serif" w:hAnsi="Times New Roman;serif"/>
          <w:b w:val="false"/>
          <w:color w:val="000000"/>
          <w:sz w:val="22"/>
        </w:rPr>
        <w:br/>
        <w:br/>
      </w:r>
      <w:r>
        <w:rPr>
          <w:rFonts w:ascii="Times New Roman;serif" w:hAnsi="Times New Roman;serif"/>
          <w:b/>
          <w:color w:val="000000"/>
          <w:sz w:val="22"/>
        </w:rPr>
        <w:t>ISSUANCE OF WARRANTS AND EXECUTION AND</w:t>
        <w:br/>
        <w:t>DELIVERY OF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Issuance Of Warrants.</w:t>
      </w:r>
      <w:r>
        <w:rPr>
          <w:color w:val="000000"/>
        </w:rPr>
        <w:t xml:space="preserve"> </w:t>
      </w:r>
      <w:r>
        <w:rPr>
          <w:rFonts w:ascii="Times New Roman;serif" w:hAnsi="Times New Roman;serif"/>
          <w:b w:val="false"/>
          <w:color w:val="000000"/>
          <w:sz w:val="22"/>
        </w:rPr>
        <w:t>[</w:t>
      </w:r>
      <w:r>
        <w:rPr>
          <w:rFonts w:ascii="Times New Roman;serif" w:hAnsi="Times New Roman;serif"/>
          <w:b/>
          <w:i/>
          <w:color w:val="000000"/>
          <w:sz w:val="22"/>
        </w:rPr>
        <w:t>If Warrants alone</w:t>
      </w:r>
      <w:r>
        <w:rPr>
          <w:color w:val="000000"/>
        </w:rPr>
        <w:t xml:space="preserve"> —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serif" w:hAnsi="Times New Roman;serif"/>
          <w:b/>
          <w:i/>
          <w:color w:val="000000"/>
          <w:sz w:val="22"/>
        </w:rPr>
        <w:t>If Other Securities and Warrants</w:t>
      </w:r>
      <w:r>
        <w:rPr>
          <w:color w:val="000000"/>
        </w:rPr>
        <w:t xml:space="preserve"> — </w:t>
      </w:r>
      <w:r>
        <w:rPr>
          <w:rFonts w:ascii="Times New Roman;serif" w:hAnsi="Times New Roman;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Execution And Delivery Of Warrant Certificates.</w:t>
      </w:r>
      <w:r>
        <w:rPr>
          <w:color w:val="000000"/>
        </w:rPr>
        <w:t xml:space="preserve">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3"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term “holder” or “holder of a Warrant Certificate” as used herein shall mean any person in whose name at the time any Warrant Certificate shall be registered upon the books to be maintained by the Warrant Agent for that purpose.</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rPr>
        <w:t>Issuance Of Warrant Certificates.</w:t>
      </w:r>
      <w:r>
        <w:rPr>
          <w:color w:val="000000"/>
        </w:rPr>
        <w:t xml:space="preserve"> </w:t>
      </w:r>
      <w:r>
        <w:rPr>
          <w:rFonts w:ascii="Times New Roman;serif" w:hAnsi="Times New Roman;serif"/>
          <w:b w:val="false"/>
          <w:color w:val="000000"/>
          <w:sz w:val="22"/>
        </w:rPr>
        <w:t>Warrant Certificates evidencing the right to purchase Warrant Debt Securities may be executed by the Company and delivered 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40" w:before="0" w:after="240"/>
        <w:jc w:val="center"/>
        <w:rPr/>
      </w:pPr>
      <w:r>
        <w:rPr>
          <w:rFonts w:ascii="Times New Roman;serif" w:hAnsi="Times New Roman;serif"/>
          <w:b/>
          <w:color w:val="000000"/>
          <w:sz w:val="22"/>
        </w:rPr>
        <w:t>Article 2</w:t>
      </w:r>
      <w:r>
        <w:rPr>
          <w:rFonts w:ascii="Times New Roman;serif" w:hAnsi="Times New Roman;serif"/>
          <w:b/>
          <w:color w:val="000000"/>
          <w:sz w:val="22"/>
        </w:rPr>
        <w:br/>
        <w:br/>
        <w:t>WARRANT PRICE, DURATION AND EXERCISE OF WARRANTS</w:t>
      </w:r>
    </w:p>
    <w:p>
      <w:pPr>
        <w:pStyle w:val="TextBody"/>
        <w:bidi w:val="0"/>
        <w:spacing w:lineRule="auto" w:line="240" w:before="0" w:after="240"/>
        <w:ind w:left="0" w:right="0" w:firstLine="720"/>
        <w:jc w:val="both"/>
        <w:rPr/>
      </w:pPr>
      <w:r>
        <w:rPr>
          <w:rFonts w:ascii="Times New Roman;serif" w:hAnsi="Times New Roman;serif"/>
          <w:b/>
          <w:color w:val="000000"/>
          <w:sz w:val="22"/>
        </w:rPr>
        <w:t>2.1</w:t>
      </w:r>
      <w:r>
        <w:rPr>
          <w:rFonts w:ascii="Times New Roman;serif" w:hAnsi="Times New Roman;serif"/>
          <w:b/>
          <w:color w:val="000000"/>
          <w:sz w:val="22"/>
        </w:rPr>
        <w:t>Warrant Price.</w:t>
      </w:r>
      <w:r>
        <w:rPr>
          <w:color w:val="000000"/>
        </w:rPr>
        <w:t xml:space="preserve"> </w:t>
      </w:r>
      <w:r>
        <w:rPr>
          <w:rFonts w:ascii="Times New Roman;serif" w:hAnsi="Times New Roman;serif"/>
          <w:b w:val="false"/>
          <w:color w:val="000000"/>
          <w:sz w:val="22"/>
        </w:rPr>
        <w:t>During the period specified in Section 2.2, each Warrant shall, subject to the terms of this Warrant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serif" w:hAnsi="Times New Roman;serif"/>
          <w:b/>
          <w:i/>
          <w:color w:val="000000"/>
          <w:sz w:val="22"/>
        </w:rPr>
        <w:t>Warrant Price.</w:t>
      </w:r>
      <w:r>
        <w:rPr>
          <w:color w:val="000000"/>
        </w:rPr>
        <w:t>”</w:t>
      </w:r>
    </w:p>
    <w:p>
      <w:pPr>
        <w:pStyle w:val="TextBody"/>
        <w:bidi w:val="0"/>
        <w:spacing w:lineRule="auto" w:line="240" w:before="0" w:after="240"/>
        <w:ind w:left="0" w:right="0" w:firstLine="720"/>
        <w:jc w:val="both"/>
        <w:rPr/>
      </w:pPr>
      <w:r>
        <w:rPr>
          <w:rFonts w:ascii="Times New Roman;serif" w:hAnsi="Times New Roman;serif"/>
          <w:b/>
          <w:color w:val="000000"/>
          <w:sz w:val="22"/>
        </w:rPr>
        <w:t>2.2</w:t>
      </w:r>
      <w:r>
        <w:rPr>
          <w:rFonts w:ascii="Times New Roman;serif" w:hAnsi="Times New Roman;serif"/>
          <w:b/>
          <w:color w:val="000000"/>
          <w:sz w:val="22"/>
        </w:rPr>
        <w:t>Duration Of Warrants.</w:t>
      </w:r>
      <w:r>
        <w:rPr>
          <w:color w:val="000000"/>
        </w:rPr>
        <w:t xml:space="preserve"> </w:t>
      </w:r>
      <w:r>
        <w:rPr>
          <w:rFonts w:ascii="Times New Roman;serif" w:hAnsi="Times New Roman;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4"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2.3</w:t>
      </w:r>
      <w:r>
        <w:rPr>
          <w:rFonts w:ascii="Times New Roman;serif" w:hAnsi="Times New Roman;serif"/>
          <w:b/>
          <w:color w:val="000000"/>
          <w:sz w:val="22"/>
        </w:rPr>
        <w:t>Exercise Of Warrants.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5"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br/>
        <w:t>OTHER PROVISIONS RELATING TO RIGHTS OF HOLDERS OF</w:t>
        <w:br/>
        <w:t>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3.1</w:t>
      </w:r>
      <w:r>
        <w:rPr>
          <w:rFonts w:ascii="Times New Roman;serif" w:hAnsi="Times New Roman;serif"/>
          <w:b/>
          <w:color w:val="000000"/>
          <w:sz w:val="22"/>
        </w:rPr>
        <w:t>No Rights As Holders of Warrant Debt Securities Conferred By Warrants or Warrant Certificates.</w:t>
      </w:r>
      <w:r>
        <w:rPr>
          <w:color w:val="000000"/>
        </w:rPr>
        <w:t xml:space="preserve"> </w:t>
      </w:r>
      <w:r>
        <w:rPr>
          <w:rFonts w:ascii="Times New Roman;serif" w:hAnsi="Times New Roman;serif"/>
          <w:b w:val="false"/>
          <w:color w:val="000000"/>
          <w:sz w:val="22"/>
        </w:rPr>
        <w:t>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pStyle w:val="TextBody"/>
        <w:bidi w:val="0"/>
        <w:spacing w:lineRule="auto" w:line="240" w:before="0" w:after="240"/>
        <w:ind w:left="0" w:right="0" w:firstLine="720"/>
        <w:jc w:val="both"/>
        <w:rPr/>
      </w:pPr>
      <w:r>
        <w:rPr>
          <w:rFonts w:ascii="Times New Roman;serif" w:hAnsi="Times New Roman;serif"/>
          <w:b/>
          <w:color w:val="000000"/>
          <w:sz w:val="22"/>
        </w:rPr>
        <w:t>3.2</w:t>
      </w:r>
      <w:r>
        <w:rPr>
          <w:rFonts w:ascii="Times New Roman;serif" w:hAnsi="Times New Roman;serif"/>
          <w:b/>
          <w:color w:val="000000"/>
          <w:sz w:val="22"/>
        </w:rPr>
        <w:t>Lost, Stolen, Mutilated Or Destroyed Warrant Certificates.</w:t>
      </w:r>
      <w:r>
        <w:rPr>
          <w:color w:val="000000"/>
        </w:rPr>
        <w:t xml:space="preserve"> </w:t>
      </w:r>
      <w:r>
        <w:rPr>
          <w:rFonts w:ascii="Times New Roman;serif" w:hAnsi="Times New Roman;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3.3</w:t>
      </w:r>
      <w:r>
        <w:rPr>
          <w:rFonts w:ascii="Times New Roman;serif" w:hAnsi="Times New Roman;serif"/>
          <w:b/>
          <w:color w:val="000000"/>
          <w:sz w:val="22"/>
        </w:rPr>
        <w:t>Holder Of Warrant Certificate May Enforce Rights.</w:t>
      </w:r>
      <w:r>
        <w:rPr>
          <w:color w:val="000000"/>
        </w:rPr>
        <w:t xml:space="preserve"> </w:t>
      </w:r>
      <w:r>
        <w:rPr>
          <w:rFonts w:ascii="Times New Roman;serif" w:hAnsi="Times New Roman;serif"/>
          <w:b w:val="false"/>
          <w:color w:val="000000"/>
          <w:sz w:val="22"/>
        </w:rPr>
        <w:t>Notwithstanding any of the provisions of this Agreement, any holder of a Warrant Certificate, without the consent of the Warrant Agent,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3.4</w:t>
      </w:r>
      <w:r>
        <w:rPr>
          <w:rFonts w:ascii="Times New Roman;serif" w:hAnsi="Times New Roman;serif"/>
          <w:b/>
          <w:color w:val="000000"/>
          <w:sz w:val="22"/>
        </w:rPr>
        <w:t>Merger, Sale, Conveyance or Lease.</w:t>
      </w:r>
      <w:r>
        <w:rPr>
          <w:color w:val="000000"/>
        </w:rPr>
        <w:t xml:space="preserve"> </w:t>
      </w:r>
      <w:r>
        <w:rPr>
          <w:rFonts w:ascii="Times New Roman;serif" w:hAnsi="Times New Roman;serif"/>
          <w:b w:val="false"/>
          <w:color w:val="000000"/>
          <w:sz w:val="22"/>
        </w:rPr>
        <w:t>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6"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3.5</w:t>
      </w:r>
      <w:r>
        <w:rPr>
          <w:rFonts w:ascii="Times New Roman;serif" w:hAnsi="Times New Roman;serif"/>
          <w:b/>
          <w:color w:val="000000"/>
          <w:sz w:val="22"/>
        </w:rPr>
        <w:t>Notice to Warrantholders.</w:t>
      </w:r>
      <w:r>
        <w:rPr>
          <w:color w:val="000000"/>
        </w:rPr>
        <w:t xml:space="preserve"> </w:t>
      </w:r>
      <w:r>
        <w:rPr>
          <w:rFonts w:ascii="Times New Roman;serif" w:hAnsi="Times New Roman;serif"/>
          <w:b w:val="false"/>
          <w:color w:val="000000"/>
          <w:sz w:val="22"/>
        </w:rPr>
        <w:t>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pStyle w:val="TextBody"/>
        <w:bidi w:val="0"/>
        <w:spacing w:lineRule="auto" w:line="240" w:before="0" w:after="240"/>
        <w:jc w:val="center"/>
        <w:rPr/>
      </w:pPr>
      <w:r>
        <w:rPr>
          <w:rFonts w:ascii="Times New Roman;serif" w:hAnsi="Times New Roman;serif"/>
          <w:b/>
          <w:color w:val="000000"/>
          <w:sz w:val="22"/>
        </w:rPr>
        <w:t>Article 4</w:t>
      </w:r>
      <w:r>
        <w:rPr>
          <w:rFonts w:ascii="Times New Roman;serif" w:hAnsi="Times New Roman;serif"/>
          <w:b/>
          <w:color w:val="000000"/>
          <w:sz w:val="22"/>
        </w:rPr>
        <w:br/>
        <w:br/>
        <w:t>EXCHANGE AND TRANSFER OF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4.1</w:t>
      </w:r>
      <w:r>
        <w:rPr>
          <w:rFonts w:ascii="Times New Roman;serif" w:hAnsi="Times New Roman;serif"/>
          <w:b/>
          <w:color w:val="000000"/>
          <w:sz w:val="22"/>
        </w:rPr>
        <w:t>Exchange And Transfer Of Warrant Certificates.</w:t>
      </w:r>
      <w:r>
        <w:rPr>
          <w:color w:val="000000"/>
        </w:rPr>
        <w:t xml:space="preserve"> </w:t>
      </w:r>
      <w:r>
        <w:rPr>
          <w:rFonts w:ascii="Times New Roman;serif" w:hAnsi="Times New Roman;serif"/>
          <w:b w:val="false"/>
          <w:color w:val="000000"/>
          <w:sz w:val="22"/>
        </w:rPr>
        <w:t>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40" w:before="0" w:after="240"/>
        <w:ind w:left="0" w:right="0" w:firstLine="720"/>
        <w:jc w:val="both"/>
        <w:rPr/>
      </w:pPr>
      <w:r>
        <w:rPr>
          <w:rFonts w:ascii="Times New Roman;serif" w:hAnsi="Times New Roman;serif"/>
          <w:b/>
          <w:color w:val="000000"/>
          <w:sz w:val="22"/>
        </w:rPr>
        <w:t>4.2</w:t>
      </w:r>
      <w:r>
        <w:rPr>
          <w:rFonts w:ascii="Times New Roman;serif" w:hAnsi="Times New Roman;serif"/>
          <w:b/>
          <w:color w:val="000000"/>
          <w:sz w:val="22"/>
        </w:rPr>
        <w:t>Treatment Of Holders Of Warrant Certificates.</w:t>
      </w:r>
      <w:r>
        <w:rPr>
          <w:color w:val="000000"/>
        </w:rPr>
        <w:t xml:space="preserve"> </w:t>
      </w:r>
      <w:r>
        <w:rPr>
          <w:rFonts w:ascii="Times New Roman;serif" w:hAnsi="Times New Roman;serif"/>
          <w:b w:val="false"/>
          <w:color w:val="000000"/>
          <w:sz w:val="22"/>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40" w:before="0" w:after="240"/>
        <w:ind w:left="0" w:right="0" w:firstLine="720"/>
        <w:jc w:val="both"/>
        <w:rPr/>
      </w:pPr>
      <w:r>
        <w:rPr>
          <w:rFonts w:ascii="Times New Roman;serif" w:hAnsi="Times New Roman;serif"/>
          <w:b/>
          <w:color w:val="000000"/>
          <w:sz w:val="22"/>
        </w:rPr>
        <w:t>4.3</w:t>
      </w:r>
      <w:r>
        <w:rPr>
          <w:rFonts w:ascii="Times New Roman;serif" w:hAnsi="Times New Roman;serif"/>
          <w:b/>
          <w:color w:val="000000"/>
          <w:sz w:val="22"/>
        </w:rPr>
        <w:t>Cancellation Of Warrant Certificates.</w:t>
      </w:r>
      <w:r>
        <w:rPr>
          <w:color w:val="000000"/>
        </w:rPr>
        <w:t xml:space="preserve"> </w:t>
      </w:r>
      <w:r>
        <w:rPr>
          <w:rFonts w:ascii="Times New Roman;serif" w:hAnsi="Times New Roman;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40" w:before="0" w:after="240"/>
        <w:jc w:val="center"/>
        <w:rPr/>
      </w:pPr>
      <w:r>
        <w:rPr>
          <w:rFonts w:ascii="Times New Roman;serif" w:hAnsi="Times New Roman;serif"/>
          <w:b/>
          <w:color w:val="000000"/>
          <w:sz w:val="22"/>
        </w:rPr>
        <w:t>Article 5</w:t>
      </w:r>
      <w:r>
        <w:rPr>
          <w:rFonts w:ascii="Times New Roman;serif" w:hAnsi="Times New Roman;serif"/>
          <w:b/>
          <w:color w:val="000000"/>
          <w:sz w:val="22"/>
        </w:rPr>
        <w:br/>
        <w:br/>
        <w:t>CONCERNING THE WARRANT AGENT</w:t>
      </w:r>
    </w:p>
    <w:p>
      <w:pPr>
        <w:pStyle w:val="TextBody"/>
        <w:bidi w:val="0"/>
        <w:spacing w:lineRule="auto" w:line="240" w:before="0" w:after="240"/>
        <w:ind w:left="0" w:right="0" w:firstLine="720"/>
        <w:jc w:val="both"/>
        <w:rPr/>
      </w:pPr>
      <w:r>
        <w:rPr>
          <w:rFonts w:ascii="Times New Roman;serif" w:hAnsi="Times New Roman;serif"/>
          <w:b/>
          <w:color w:val="000000"/>
          <w:sz w:val="22"/>
        </w:rPr>
        <w:t>5.1</w:t>
      </w:r>
      <w:r>
        <w:rPr>
          <w:rFonts w:ascii="Times New Roman;serif" w:hAnsi="Times New Roman;serif"/>
          <w:b/>
          <w:color w:val="000000"/>
          <w:sz w:val="22"/>
        </w:rPr>
        <w:t>Warrant Agent.</w:t>
      </w:r>
      <w:r>
        <w:rPr>
          <w:color w:val="000000"/>
        </w:rPr>
        <w:t xml:space="preserve"> </w:t>
      </w:r>
      <w:r>
        <w:rPr>
          <w:rFonts w:ascii="Times New Roman;serif" w:hAnsi="Times New Roman;serif"/>
          <w:b w:val="false"/>
          <w:color w:val="000000"/>
          <w:sz w:val="22"/>
        </w:rPr>
        <w:t xml:space="preserve">The Company hereby appoints [●] as Warrant Agent of the Company in respect of the Warrants and the Warrant Certificates upon the terms and subject to the conditions herein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7"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40" w:before="0" w:after="240"/>
        <w:ind w:left="0" w:right="0" w:firstLine="720"/>
        <w:jc w:val="both"/>
        <w:rPr/>
      </w:pPr>
      <w:r>
        <w:rPr>
          <w:rFonts w:ascii="Times New Roman;serif" w:hAnsi="Times New Roman;serif"/>
          <w:b/>
          <w:color w:val="000000"/>
          <w:sz w:val="22"/>
        </w:rPr>
        <w:t>5.2</w:t>
      </w:r>
      <w:r>
        <w:rPr>
          <w:rFonts w:ascii="Times New Roman;serif" w:hAnsi="Times New Roman;serif"/>
          <w:b/>
          <w:color w:val="000000"/>
          <w:sz w:val="22"/>
        </w:rPr>
        <w:t>Conditions Of Warrant Agent’s Obligations.</w:t>
      </w:r>
      <w:r>
        <w:rPr>
          <w:color w:val="000000"/>
        </w:rPr>
        <w:t xml:space="preserve">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Compensation And Indemnification.</w:t>
      </w:r>
      <w:r>
        <w:rPr>
          <w:color w:val="000000"/>
        </w:rPr>
        <w:t xml:space="preserve"> </w:t>
      </w:r>
      <w:r>
        <w:rPr>
          <w:rFonts w:ascii="Times New Roman;serif" w:hAnsi="Times New Roman;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Agent For The Company.</w:t>
      </w:r>
      <w:r>
        <w:rPr>
          <w:color w:val="000000"/>
        </w:rPr>
        <w:t xml:space="preserve"> </w:t>
      </w:r>
      <w:r>
        <w:rPr>
          <w:rFonts w:ascii="Times New Roman;serif" w:hAnsi="Times New Roman;serif"/>
          <w:b w:val="false"/>
          <w:color w:val="000000"/>
          <w:sz w:val="22"/>
        </w:rPr>
        <w:t>In acting under this Warrant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Counsel.</w:t>
      </w:r>
      <w:r>
        <w:rPr>
          <w:color w:val="000000"/>
        </w:rPr>
        <w:t xml:space="preserve">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Documents.</w:t>
      </w:r>
      <w:r>
        <w:rPr>
          <w:color w:val="000000"/>
        </w:rPr>
        <w:t xml:space="preserve">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color w:val="000000"/>
          <w:sz w:val="22"/>
        </w:rPr>
        <w:t>Certain Transactions.</w:t>
      </w:r>
      <w:r>
        <w:rPr>
          <w:color w:val="000000"/>
        </w:rPr>
        <w:t xml:space="preserve"> </w:t>
      </w:r>
      <w:r>
        <w:rPr>
          <w:rFonts w:ascii="Times New Roman;serif" w:hAnsi="Times New Roman;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Warrant Agreement shall be deemed to prevent the Warrant Agent from acting as Trustee under the Indenture.</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color w:val="000000"/>
          <w:sz w:val="22"/>
        </w:rPr>
        <w:t>No Liability For Interest.</w:t>
      </w:r>
      <w:r>
        <w:rPr>
          <w:color w:val="000000"/>
        </w:rPr>
        <w:t xml:space="preserve">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40" w:before="0" w:after="240"/>
        <w:ind w:left="0" w:right="0" w:firstLine="1440"/>
        <w:jc w:val="both"/>
        <w:rPr/>
      </w:pPr>
      <w:r>
        <w:rPr>
          <w:rFonts w:ascii="Times New Roman;serif" w:hAnsi="Times New Roman;serif"/>
          <w:b/>
          <w:color w:val="000000"/>
          <w:sz w:val="22"/>
        </w:rPr>
        <w:t>(g)</w:t>
      </w:r>
      <w:r>
        <w:rPr>
          <w:rFonts w:ascii="Times New Roman;serif" w:hAnsi="Times New Roman;serif"/>
          <w:b/>
          <w:color w:val="000000"/>
          <w:sz w:val="22"/>
        </w:rPr>
        <w:t>No Liability For Invalidity.</w:t>
      </w:r>
      <w:r>
        <w:rPr>
          <w:color w:val="000000"/>
        </w:rPr>
        <w:t xml:space="preserve">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40" w:before="0" w:after="240"/>
        <w:ind w:left="0" w:right="0" w:firstLine="1440"/>
        <w:jc w:val="both"/>
        <w:rPr/>
      </w:pPr>
      <w:r>
        <w:rPr>
          <w:rFonts w:ascii="Times New Roman;serif" w:hAnsi="Times New Roman;serif"/>
          <w:b/>
          <w:color w:val="000000"/>
          <w:sz w:val="22"/>
        </w:rPr>
        <w:t>(h)</w:t>
      </w:r>
      <w:r>
        <w:rPr>
          <w:rFonts w:ascii="Times New Roman;serif" w:hAnsi="Times New Roman;serif"/>
          <w:b/>
          <w:color w:val="000000"/>
          <w:sz w:val="22"/>
        </w:rPr>
        <w:t>No Responsibility For Representations.</w:t>
      </w:r>
      <w:r>
        <w:rPr>
          <w:color w:val="000000"/>
        </w:rPr>
        <w:t xml:space="preserve">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8"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(i)</w:t>
      </w:r>
      <w:r>
        <w:rPr>
          <w:rFonts w:ascii="Times New Roman;serif" w:hAnsi="Times New Roman;serif"/>
          <w:b/>
          <w:color w:val="000000"/>
          <w:sz w:val="22"/>
        </w:rPr>
        <w:t>No Implied Obligations.</w:t>
      </w:r>
      <w:r>
        <w:rPr>
          <w:color w:val="000000"/>
        </w:rPr>
        <w:t xml:space="preserve"> </w:t>
      </w:r>
      <w:r>
        <w:rPr>
          <w:rFonts w:ascii="Times New Roman;serif" w:hAnsi="Times New Roman;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40" w:before="0" w:after="240"/>
        <w:ind w:left="0" w:right="0" w:firstLine="720"/>
        <w:jc w:val="both"/>
        <w:rPr/>
      </w:pPr>
      <w:r>
        <w:rPr>
          <w:rFonts w:ascii="Times New Roman;serif" w:hAnsi="Times New Roman;serif"/>
          <w:b/>
          <w:color w:val="000000"/>
          <w:sz w:val="22"/>
        </w:rPr>
        <w:t>5.3</w:t>
      </w:r>
      <w:r>
        <w:rPr>
          <w:rFonts w:ascii="Times New Roman;serif" w:hAnsi="Times New Roman;serif"/>
          <w:b/>
          <w:color w:val="000000"/>
          <w:sz w:val="22"/>
        </w:rPr>
        <w:t>Resignation, Removal And Appointment Of Successors.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val="false"/>
          <w:color w:val="000000"/>
          <w:sz w:val="22"/>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val="false"/>
          <w:color w:val="000000"/>
          <w:sz w:val="22"/>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39"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pay over, and such successor Warrant Agent shall be entitled to receive, all monies, securities and other property on deposit with or held by such predecessor, as Warrant Agent hereunder.</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40" w:before="0" w:after="240"/>
        <w:jc w:val="center"/>
        <w:rPr/>
      </w:pPr>
      <w:r>
        <w:rPr>
          <w:rFonts w:ascii="Times New Roman;serif" w:hAnsi="Times New Roman;serif"/>
          <w:b/>
          <w:color w:val="000000"/>
          <w:sz w:val="22"/>
        </w:rPr>
        <w:t>Article 6</w:t>
      </w:r>
      <w:r>
        <w:rPr>
          <w:rFonts w:ascii="Times New Roman;serif" w:hAnsi="Times New Roman;serif"/>
          <w:b/>
          <w:color w:val="000000"/>
          <w:sz w:val="22"/>
        </w:rPr>
        <w:br/>
        <w:br/>
        <w:t>MISCELLANEOUS</w:t>
      </w:r>
    </w:p>
    <w:p>
      <w:pPr>
        <w:pStyle w:val="TextBody"/>
        <w:bidi w:val="0"/>
        <w:spacing w:lineRule="auto" w:line="240" w:before="0" w:after="240"/>
        <w:ind w:left="0" w:right="0" w:firstLine="720"/>
        <w:jc w:val="both"/>
        <w:rPr/>
      </w:pPr>
      <w:r>
        <w:rPr>
          <w:rFonts w:ascii="Times New Roman;serif" w:hAnsi="Times New Roman;serif"/>
          <w:b/>
          <w:color w:val="000000"/>
          <w:sz w:val="22"/>
        </w:rPr>
        <w:t>6.1</w:t>
      </w:r>
      <w:r>
        <w:rPr>
          <w:rFonts w:ascii="Times New Roman;serif" w:hAnsi="Times New Roman;serif"/>
          <w:b/>
          <w:color w:val="000000"/>
          <w:sz w:val="22"/>
        </w:rPr>
        <w:t>Amendment.</w:t>
      </w:r>
      <w:r>
        <w:rPr>
          <w:color w:val="000000"/>
        </w:rPr>
        <w:t xml:space="preserve"> </w:t>
      </w:r>
      <w:r>
        <w:rPr>
          <w:rFonts w:ascii="Times New Roman;serif" w:hAnsi="Times New Roman;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40" w:before="0" w:after="240"/>
        <w:ind w:left="0" w:right="0" w:firstLine="720"/>
        <w:jc w:val="both"/>
        <w:rPr/>
      </w:pPr>
      <w:r>
        <w:rPr>
          <w:rFonts w:ascii="Times New Roman;serif" w:hAnsi="Times New Roman;serif"/>
          <w:b/>
          <w:color w:val="000000"/>
          <w:sz w:val="22"/>
        </w:rPr>
        <w:t>6.2</w:t>
      </w:r>
      <w:r>
        <w:rPr>
          <w:rFonts w:ascii="Times New Roman;serif" w:hAnsi="Times New Roman;serif"/>
          <w:b/>
          <w:color w:val="000000"/>
          <w:sz w:val="22"/>
        </w:rPr>
        <w:t>Notices And Demands To The Company And Warrant Agent.</w:t>
      </w:r>
      <w:r>
        <w:rPr>
          <w:color w:val="000000"/>
        </w:rPr>
        <w:t xml:space="preserve"> </w:t>
      </w:r>
      <w:r>
        <w:rPr>
          <w:rFonts w:ascii="Times New Roman;serif" w:hAnsi="Times New Roman;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40" w:before="0" w:after="240"/>
        <w:ind w:left="0" w:right="0" w:firstLine="720"/>
        <w:jc w:val="both"/>
        <w:rPr/>
      </w:pPr>
      <w:r>
        <w:rPr>
          <w:rFonts w:ascii="Times New Roman;serif" w:hAnsi="Times New Roman;serif"/>
          <w:b/>
          <w:color w:val="000000"/>
          <w:sz w:val="22"/>
        </w:rPr>
        <w:t>6.3</w:t>
      </w:r>
      <w:r>
        <w:rPr>
          <w:rFonts w:ascii="Times New Roman;serif" w:hAnsi="Times New Roman;serif"/>
          <w:b/>
          <w:color w:val="000000"/>
          <w:sz w:val="22"/>
        </w:rPr>
        <w:t>Addresses.</w:t>
      </w:r>
      <w:r>
        <w:rPr>
          <w:color w:val="000000"/>
        </w:rPr>
        <w:t xml:space="preserve"> </w:t>
      </w:r>
      <w:r>
        <w:rPr>
          <w:rFonts w:ascii="Times New Roman;serif" w:hAnsi="Times New Roman;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SI-BONE, Inc., 471 El Camino Real, Santa Clara, CA 95050, Attention: [●] (or such other address as shall be specified in writing by the Warrant Agent or by the Company).</w:t>
      </w:r>
    </w:p>
    <w:p>
      <w:pPr>
        <w:pStyle w:val="TextBody"/>
        <w:bidi w:val="0"/>
        <w:spacing w:lineRule="auto" w:line="240" w:before="0" w:after="240"/>
        <w:ind w:left="0" w:right="0" w:firstLine="720"/>
        <w:jc w:val="both"/>
        <w:rPr/>
      </w:pPr>
      <w:r>
        <w:rPr>
          <w:rFonts w:ascii="Times New Roman;serif" w:hAnsi="Times New Roman;serif"/>
          <w:b/>
          <w:color w:val="000000"/>
          <w:sz w:val="22"/>
        </w:rPr>
        <w:t>6.4</w:t>
      </w:r>
      <w:r>
        <w:rPr>
          <w:rFonts w:ascii="Times New Roman;serif" w:hAnsi="Times New Roman;serif"/>
          <w:b/>
          <w:color w:val="000000"/>
          <w:sz w:val="22"/>
        </w:rPr>
        <w:t>Governing Law.</w:t>
      </w:r>
      <w:r>
        <w:rPr>
          <w:color w:val="000000"/>
        </w:rPr>
        <w:t xml:space="preserve">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color w:val="000000"/>
          <w:sz w:val="22"/>
        </w:rPr>
        <w:t>6.5</w:t>
      </w:r>
      <w:r>
        <w:rPr>
          <w:rFonts w:ascii="Times New Roman;serif" w:hAnsi="Times New Roman;serif"/>
          <w:b/>
          <w:color w:val="000000"/>
          <w:sz w:val="22"/>
        </w:rPr>
        <w:t>Delivery Of Prospectus.</w:t>
      </w:r>
      <w:r>
        <w:rPr>
          <w:color w:val="000000"/>
        </w:rPr>
        <w:t xml:space="preserve">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pStyle w:val="TextBody"/>
        <w:bidi w:val="0"/>
        <w:spacing w:lineRule="auto" w:line="240" w:before="0" w:after="240"/>
        <w:ind w:left="0" w:right="0" w:firstLine="720"/>
        <w:jc w:val="both"/>
        <w:rPr/>
      </w:pPr>
      <w:r>
        <w:rPr>
          <w:rFonts w:ascii="Times New Roman;serif" w:hAnsi="Times New Roman;serif"/>
          <w:b/>
          <w:color w:val="000000"/>
          <w:sz w:val="22"/>
        </w:rPr>
        <w:t>6.6</w:t>
      </w:r>
      <w:r>
        <w:rPr>
          <w:rFonts w:ascii="Times New Roman;serif" w:hAnsi="Times New Roman;serif"/>
          <w:b/>
          <w:color w:val="000000"/>
          <w:sz w:val="22"/>
        </w:rPr>
        <w:t>Obtaining Of Governmental Approvals.</w:t>
      </w:r>
      <w:r>
        <w:rPr>
          <w:color w:val="000000"/>
        </w:rPr>
        <w:t xml:space="preserve"> </w:t>
      </w:r>
      <w:r>
        <w:rPr>
          <w:rFonts w:ascii="Times New Roman;serif" w:hAnsi="Times New Roman;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pStyle w:val="TextBody"/>
        <w:bidi w:val="0"/>
        <w:spacing w:lineRule="auto" w:line="240" w:before="0" w:after="240"/>
        <w:ind w:left="0" w:right="0" w:firstLine="720"/>
        <w:jc w:val="both"/>
        <w:rPr/>
      </w:pPr>
      <w:r>
        <w:rPr>
          <w:rFonts w:ascii="Times New Roman;serif" w:hAnsi="Times New Roman;serif"/>
          <w:b/>
          <w:color w:val="000000"/>
          <w:sz w:val="22"/>
        </w:rPr>
        <w:t>6.7</w:t>
      </w:r>
      <w:r>
        <w:rPr>
          <w:rFonts w:ascii="Times New Roman;serif" w:hAnsi="Times New Roman;serif"/>
          <w:b/>
          <w:color w:val="000000"/>
          <w:sz w:val="22"/>
        </w:rPr>
        <w:t>Persons Having Rights Under Warrant Agreement.</w:t>
      </w:r>
      <w:r>
        <w:rPr>
          <w:color w:val="000000"/>
        </w:rPr>
        <w:t xml:space="preserve">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0"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6.8</w:t>
      </w:r>
      <w:r>
        <w:rPr>
          <w:rFonts w:ascii="Times New Roman;serif" w:hAnsi="Times New Roman;serif"/>
          <w:b/>
          <w:color w:val="000000"/>
          <w:sz w:val="22"/>
        </w:rPr>
        <w:t>Headings.</w:t>
      </w:r>
      <w:r>
        <w:rPr>
          <w:color w:val="000000"/>
        </w:rPr>
        <w:t xml:space="preserve">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40" w:before="0" w:after="240"/>
        <w:ind w:left="0" w:right="0" w:firstLine="720"/>
        <w:jc w:val="both"/>
        <w:rPr/>
      </w:pPr>
      <w:r>
        <w:rPr>
          <w:rFonts w:ascii="Times New Roman;serif" w:hAnsi="Times New Roman;serif"/>
          <w:b/>
          <w:color w:val="000000"/>
          <w:sz w:val="22"/>
        </w:rPr>
        <w:t>6.9</w:t>
      </w:r>
      <w:r>
        <w:rPr>
          <w:rFonts w:ascii="Times New Roman;serif" w:hAnsi="Times New Roman;serif"/>
          <w:b/>
          <w:color w:val="000000"/>
          <w:sz w:val="22"/>
        </w:rPr>
        <w:t>Counterparts.</w:t>
      </w:r>
      <w:r>
        <w:rPr>
          <w:color w:val="000000"/>
        </w:rPr>
        <w:t xml:space="preserve">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40" w:before="0" w:after="240"/>
        <w:ind w:left="0" w:right="0" w:firstLine="720"/>
        <w:jc w:val="both"/>
        <w:rPr/>
      </w:pPr>
      <w:r>
        <w:rPr>
          <w:rFonts w:ascii="Times New Roman;serif" w:hAnsi="Times New Roman;serif"/>
          <w:b/>
          <w:color w:val="000000"/>
          <w:sz w:val="22"/>
        </w:rPr>
        <w:t>6.10</w:t>
      </w:r>
      <w:r>
        <w:rPr>
          <w:rFonts w:ascii="Times New Roman;serif" w:hAnsi="Times New Roman;serif"/>
          <w:b/>
          <w:color w:val="000000"/>
          <w:sz w:val="22"/>
        </w:rPr>
        <w:t>Inspection Of Agreement.</w:t>
      </w:r>
      <w:r>
        <w:rPr>
          <w:color w:val="000000"/>
        </w:rPr>
        <w:t xml:space="preserve">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his Warrant Certificate for inspection by it.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1"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xml:space="preserve">, the parties hereto have caused this Agreement to be duly executed, all as of the day and year first above written. </w:t>
      </w:r>
    </w:p>
    <w:tbl>
      <w:tblPr>
        <w:tblW w:w="3388" w:type="dxa"/>
        <w:jc w:val="left"/>
        <w:tblInd w:w="0" w:type="dxa"/>
        <w:tblLayout w:type="fixed"/>
        <w:tblCellMar>
          <w:top w:w="28" w:type="dxa"/>
          <w:left w:w="28" w:type="dxa"/>
          <w:bottom w:w="28" w:type="dxa"/>
          <w:right w:w="28" w:type="dxa"/>
        </w:tblCellMar>
      </w:tblPr>
      <w:tblGrid>
        <w:gridCol w:w="524"/>
        <w:gridCol w:w="463"/>
        <w:gridCol w:w="468"/>
        <w:gridCol w:w="301"/>
        <w:gridCol w:w="301"/>
        <w:gridCol w:w="301"/>
        <w:gridCol w:w="301"/>
        <w:gridCol w:w="301"/>
        <w:gridCol w:w="428"/>
      </w:tblGrid>
      <w:tr>
        <w:trPr/>
        <w:tc>
          <w:tcPr>
            <w:tcW w:w="5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SI-BONE, Inc.</w:t>
            </w:r>
            <w:r>
              <w:rPr>
                <w:rFonts w:ascii="Times New Roman;serif" w:hAnsi="Times New Roman;serif"/>
                <w:b w:val="false"/>
                <w:color w:val="000000"/>
                <w:sz w:val="22"/>
              </w:rPr>
              <w:t>, as Company</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88" w:type="dxa"/>
            <w:gridSpan w:val="9"/>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Countersigned</w:t>
            </w:r>
          </w:p>
        </w:tc>
      </w:tr>
      <w:tr>
        <w:trPr/>
        <w:tc>
          <w:tcPr>
            <w:tcW w:w="3388" w:type="dxa"/>
            <w:gridSpan w:val="9"/>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as Warrant Agent</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Debt Securities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Debt Securities Warrant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41"/>
        <w:gridCol w:w="1355"/>
        <w:gridCol w:w="1357"/>
        <w:gridCol w:w="268"/>
        <w:gridCol w:w="268"/>
        <w:gridCol w:w="270"/>
        <w:gridCol w:w="1503"/>
        <w:gridCol w:w="1503"/>
        <w:gridCol w:w="2140"/>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253"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[Form of Legend if Warrants are not immediately exercisable.]</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514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r>
        <w:trPr/>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EXERCISABLE ONLY IF COUNTERSIGNED BY THE WARRANT AGENT </w:t>
        <w:br/>
        <w:t>AS PROVIDED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SI-BONE, INC.</w:t>
        <w:br/>
        <w:t>WARRANT CERTIFICATE REPRESENTING</w:t>
        <w:br/>
        <w:t>WARRANTS TO PURCHASE</w:t>
        <w:br/>
        <w:t>[TITLE OF WARRANT DEBT SECURITIES]</w:t>
      </w:r>
    </w:p>
    <w:tbl>
      <w:tblPr>
        <w:tblW w:w="4392" w:type="dxa"/>
        <w:jc w:val="left"/>
        <w:tblInd w:w="0" w:type="dxa"/>
        <w:tblLayout w:type="fixed"/>
        <w:tblCellMar>
          <w:top w:w="28" w:type="dxa"/>
          <w:left w:w="28" w:type="dxa"/>
          <w:bottom w:w="28" w:type="dxa"/>
          <w:right w:w="28" w:type="dxa"/>
        </w:tblCellMar>
      </w:tblPr>
      <w:tblGrid>
        <w:gridCol w:w="555"/>
        <w:gridCol w:w="486"/>
        <w:gridCol w:w="489"/>
        <w:gridCol w:w="268"/>
        <w:gridCol w:w="268"/>
        <w:gridCol w:w="270"/>
        <w:gridCol w:w="209"/>
        <w:gridCol w:w="209"/>
        <w:gridCol w:w="1638"/>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2"/>
              </w:rPr>
            </w:pPr>
            <w:r>
              <w:rPr>
                <w:rFonts w:ascii="Times New Roman;serif" w:hAnsi="Times New Roman;serif"/>
                <w:b w:val="false"/>
                <w:color w:val="000000"/>
                <w:sz w:val="22"/>
              </w:rPr>
              <w:t>[●] Warrants</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principal amount of [Title of Warrant Debt Securities]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of SI-BONE,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Warrant Certificate is issued under and in accordance with the Warrant Agreement dated as of [●]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Warrant Debt Securities to be issued and delivered upon the exercise of Warrants evidenced by this Warrant Certificate will be issued under and in accordance with an Indenture, dated as of [●] (the “</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between the Company and [●], as trustee (such trustee, and any successors to such trustee,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 and will be subject to the terms and provisions contained in the Warrant Debt Securities and in the Indenture. Copies of the Indenture, including the form of the Warrant Debt Securities, are on file at the corporate trust office of the Trustee.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2524" w:type="dxa"/>
        <w:jc w:val="left"/>
        <w:tblInd w:w="0" w:type="dxa"/>
        <w:tblLayout w:type="fixed"/>
        <w:tblCellMar>
          <w:top w:w="28" w:type="dxa"/>
          <w:left w:w="28" w:type="dxa"/>
          <w:bottom w:w="28" w:type="dxa"/>
          <w:right w:w="28" w:type="dxa"/>
        </w:tblCellMar>
      </w:tblPr>
      <w:tblGrid>
        <w:gridCol w:w="527"/>
        <w:gridCol w:w="463"/>
        <w:gridCol w:w="465"/>
        <w:gridCol w:w="109"/>
        <w:gridCol w:w="109"/>
        <w:gridCol w:w="85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Dated:</w:t>
            </w:r>
          </w:p>
        </w:tc>
        <w:tc>
          <w:tcPr>
            <w:tcW w:w="10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808" w:type="dxa"/>
        <w:jc w:val="left"/>
        <w:tblInd w:w="0" w:type="dxa"/>
        <w:tblLayout w:type="fixed"/>
        <w:tblCellMar>
          <w:top w:w="28" w:type="dxa"/>
          <w:left w:w="28" w:type="dxa"/>
          <w:bottom w:w="28" w:type="dxa"/>
          <w:right w:w="28" w:type="dxa"/>
        </w:tblCellMar>
      </w:tblPr>
      <w:tblGrid>
        <w:gridCol w:w="526"/>
        <w:gridCol w:w="463"/>
        <w:gridCol w:w="466"/>
        <w:gridCol w:w="139"/>
        <w:gridCol w:w="139"/>
        <w:gridCol w:w="139"/>
        <w:gridCol w:w="139"/>
        <w:gridCol w:w="139"/>
        <w:gridCol w:w="139"/>
        <w:gridCol w:w="139"/>
        <w:gridCol w:w="139"/>
        <w:gridCol w:w="139"/>
        <w:gridCol w:w="139"/>
        <w:gridCol w:w="139"/>
        <w:gridCol w:w="139"/>
        <w:gridCol w:w="139"/>
        <w:gridCol w:w="139"/>
        <w:gridCol w:w="139"/>
        <w:gridCol w:w="139"/>
        <w:gridCol w:w="139"/>
        <w:gridCol w:w="139"/>
        <w:gridCol w:w="249"/>
        <w:gridCol w:w="249"/>
        <w:gridCol w:w="353"/>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SI-BONE, INC</w:t>
            </w:r>
            <w:r>
              <w:rPr>
                <w:rFonts w:ascii="Times New Roman;serif" w:hAnsi="Times New Roman;serif"/>
                <w:b w:val="false"/>
                <w:color w:val="000000"/>
                <w:sz w:val="22"/>
              </w:rPr>
              <w:t>., as Company</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Countersigned</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957" w:type="dxa"/>
            <w:gridSpan w:val="21"/>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as Warrant Agent</w:t>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Attest</w:t>
            </w:r>
            <w:r>
              <w:rPr>
                <w:rFonts w:ascii="Times New Roman;serif" w:hAnsi="Times New Roman;serif"/>
                <w:b w:val="false"/>
                <w:color w:val="000000"/>
                <w:sz w:val="22"/>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 Warrants, represented by this Warrant Certificate, to purchase $[●] principal amount of the [Title of Warrant Debt Securities]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of SI-BONE, Inc. and represents that he has tendered payment for such Warrant Debt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pStyle w:val="TextBody"/>
        <w:bidi w:val="0"/>
        <w:spacing w:lineRule="auto" w:line="288" w:before="0" w:after="0"/>
        <w:jc w:val="left"/>
        <w:rPr/>
      </w:pPr>
      <w:r>
        <w:rPr>
          <w:rFonts w:ascii="Times New Roman;serif" w:hAnsi="Times New Roman;serif"/>
          <w:b w:val="false"/>
          <w:color w:val="000000"/>
          <w:sz w:val="22"/>
        </w:rPr>
        <w:t>Dated:    </w:t>
      </w:r>
      <w:r>
        <w:rPr>
          <w:color w:val="000000"/>
          <w:u w:val="single"/>
        </w:rPr>
        <w:t>    </w:t>
      </w:r>
      <w:r>
        <w:rPr>
          <w:color w:val="000000"/>
        </w:rPr>
        <w:t>    </w:t>
      </w:r>
      <w:r>
        <w:rPr>
          <w:rFonts w:ascii="Times New Roman;serif" w:hAnsi="Times New Roman;serif"/>
          <w:b w:val="false"/>
          <w:color w:val="000000"/>
          <w:sz w:val="22"/>
        </w:rPr>
        <w:t>Name:    </w:t>
      </w:r>
      <w:r>
        <w:rPr>
          <w:color w:val="000000"/>
          <w:u w:val="single"/>
        </w:rPr>
        <w:t>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Please Print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 of Holder)</w:t>
      </w:r>
    </w:p>
    <w:p>
      <w:pPr>
        <w:pStyle w:val="TextBody"/>
        <w:bidi w:val="0"/>
        <w:spacing w:lineRule="auto" w:line="288" w:before="0" w:after="0"/>
        <w:jc w:val="left"/>
        <w:rPr/>
      </w:pPr>
      <w:r>
        <w:rPr>
          <w:rFonts w:ascii="Times New Roman;serif" w:hAnsi="Times New Roman;serif"/>
          <w:b w:val="false"/>
          <w:color w:val="000000"/>
          <w:sz w:val="22"/>
        </w:rPr>
        <w:t>Signature Guaranteed:</w:t>
      </w:r>
      <w:r>
        <w:rPr>
          <w:color w:val="000000"/>
          <w:u w:val="single"/>
        </w:rPr>
        <w:t>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Signature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may be exercised at the following addresses: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hand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Debt Securities and, if applicable, Warrant Certificates evidencing Warrants for the number of Warrant Debt Securities remaining unexercised—complete as appropriate.]</w:t>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erif" w:hAnsi="Times New Roman;serif"/>
          <w:b/>
          <w:color w:val="000000"/>
          <w:sz w:val="22"/>
        </w:rPr>
        <w:t>For Value Received</w:t>
      </w:r>
      <w:r>
        <w:rPr>
          <w:rFonts w:ascii="Times New Roman;serif" w:hAnsi="Times New Roman;serif"/>
          <w:b w:val="false"/>
          <w:color w:val="000000"/>
          <w:sz w:val="22"/>
        </w:rPr>
        <w:t>, [●] hereby sells, assigns and transfers unto:</w:t>
      </w:r>
    </w:p>
    <w:tbl>
      <w:tblPr>
        <w:tblW w:w="10205" w:type="dxa"/>
        <w:jc w:val="left"/>
        <w:tblInd w:w="0" w:type="dxa"/>
        <w:tblLayout w:type="fixed"/>
        <w:tblCellMar>
          <w:top w:w="28" w:type="dxa"/>
          <w:left w:w="28" w:type="dxa"/>
          <w:bottom w:w="28" w:type="dxa"/>
          <w:right w:w="28" w:type="dxa"/>
        </w:tblCellMar>
      </w:tblPr>
      <w:tblGrid>
        <w:gridCol w:w="1634"/>
        <w:gridCol w:w="1438"/>
        <w:gridCol w:w="1441"/>
        <w:gridCol w:w="268"/>
        <w:gridCol w:w="268"/>
        <w:gridCol w:w="270"/>
        <w:gridCol w:w="1428"/>
        <w:gridCol w:w="1428"/>
        <w:gridCol w:w="2030"/>
      </w:tblGrid>
      <w:tr>
        <w:trPr/>
        <w:tc>
          <w:tcPr>
            <w:tcW w:w="16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print name and address including zip code)</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4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print Social Security or other identifying number</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 aggregate principal amount of shares [Title of Warrant Debt Securities] of SI-BONE, Inc. to which the within Warrant relates and appoints [●] attorney to transfer such right on the books of the Warrant Agent with full power of substitution in the premises.</w:t>
      </w:r>
    </w:p>
    <w:tbl>
      <w:tblPr>
        <w:tblW w:w="5963"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268"/>
        <w:gridCol w:w="268"/>
        <w:gridCol w:w="270"/>
        <w:gridCol w:w="539"/>
        <w:gridCol w:w="539"/>
        <w:gridCol w:w="541"/>
        <w:gridCol w:w="513"/>
        <w:gridCol w:w="513"/>
        <w:gridCol w:w="73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2"/>
              </w:rPr>
            </w:pPr>
            <w:r>
              <w:rPr>
                <w:rFonts w:ascii="Times New Roman;serif" w:hAnsi="Times New Roman;serif"/>
                <w:b w:val="false"/>
                <w:color w:val="000000"/>
                <w:sz w:val="22"/>
              </w:rPr>
              <w:t>Name:   </w:t>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p>
      <w:pPr>
        <w:pStyle w:val="TextBody"/>
        <w:bidi w:val="0"/>
        <w:spacing w:lineRule="auto" w:line="288" w:before="0" w:after="480"/>
        <w:jc w:val="both"/>
        <w:rPr>
          <w:rFonts w:ascii="Times New Roman;serif" w:hAnsi="Times New Roman;serif"/>
          <w:b w:val="false"/>
          <w:color w:val="000000"/>
          <w:sz w:val="22"/>
        </w:rPr>
      </w:pPr>
      <w:r>
        <w:rPr>
          <w:rFonts w:ascii="Times New Roman;serif" w:hAnsi="Times New Roman;serif"/>
          <w:b w:val="false"/>
          <w:color w:val="000000"/>
          <w:sz w:val="22"/>
        </w:rPr>
        <w:t>Signature Guaranteed</w:t>
      </w:r>
    </w:p>
    <w:p>
      <w:pPr>
        <w:pStyle w:val="TextBody"/>
        <w:bidi w:val="0"/>
        <w:spacing w:lineRule="auto" w:line="288" w:before="0" w:after="0"/>
        <w:jc w:val="left"/>
        <w:rPr>
          <w:color w:val="000000"/>
          <w:u w:val="single"/>
        </w:rPr>
      </w:pPr>
      <w:r>
        <w:rPr>
          <w:color w:val="000000"/>
          <w:u w:val="single"/>
        </w:rPr>
        <w:t>    </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060" w:type="dxa"/>
        <w:jc w:val="left"/>
        <w:tblInd w:w="0" w:type="dxa"/>
        <w:tblLayout w:type="fixed"/>
        <w:tblCellMar>
          <w:top w:w="28" w:type="dxa"/>
          <w:left w:w="28" w:type="dxa"/>
          <w:bottom w:w="28" w:type="dxa"/>
          <w:right w:w="28" w:type="dxa"/>
        </w:tblCellMar>
      </w:tblPr>
      <w:tblGrid>
        <w:gridCol w:w="756"/>
        <w:gridCol w:w="664"/>
        <w:gridCol w:w="666"/>
        <w:gridCol w:w="284"/>
        <w:gridCol w:w="284"/>
        <w:gridCol w:w="406"/>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Kate Nichols</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+1 650 843 5877</w:t>
            </w:r>
          </w:p>
          <w:p>
            <w:pPr>
              <w:pStyle w:val="TableContents"/>
              <w:bidi w:val="0"/>
              <w:spacing w:lineRule="atLeast" w:line="240" w:before="0" w:after="0"/>
              <w:jc w:val="left"/>
              <w:rPr>
                <w:rFonts w:ascii="Arial;sans-serif" w:hAnsi="Arial;sans-serif"/>
                <w:b w:val="false"/>
                <w:color w:val="000000"/>
                <w:sz w:val="20"/>
              </w:rPr>
            </w:pPr>
            <w:r>
              <w:rPr>
                <w:rFonts w:ascii="Arial;sans-serif" w:hAnsi="Arial;sans-serif"/>
                <w:b w:val="false"/>
                <w:color w:val="000000"/>
                <w:sz w:val="20"/>
              </w:rPr>
              <w:t>jknichols@cooley.com</w:t>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Exhibit 5.1</w:t>
            </w:r>
          </w:p>
        </w:tc>
      </w:tr>
    </w:tbl>
    <w:p>
      <w:pPr>
        <w:pStyle w:val="TextBody"/>
        <w:bidi w:val="0"/>
        <w:spacing w:before="0" w:after="720"/>
        <w:jc w:val="left"/>
        <w:rPr/>
      </w:pPr>
      <w:r>
        <w:rPr/>
        <w:drawing>
          <wp:inline distT="0" distB="0" distL="0" distR="0">
            <wp:extent cx="1295400" cy="419100"/>
            <wp:effectExtent l="0" t="0" r="0" b="0"/>
            <wp:docPr id="1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 descr=""/>
                    <pic:cNvPicPr>
                      <a:picLocks noChangeAspect="1" noChangeArrowheads="1"/>
                    </pic:cNvPicPr>
                  </pic:nvPicPr>
                  <pic:blipFill>
                    <a:blip r:embed="rId15"/>
                    <a:stretch>
                      <a:fillRect/>
                    </a:stretch>
                  </pic:blipFill>
                  <pic:spPr bwMode="auto">
                    <a:xfrm>
                      <a:off x="0" y="0"/>
                      <a:ext cx="1295400" cy="419100"/>
                    </a:xfrm>
                    <a:prstGeom prst="rect">
                      <a:avLst/>
                    </a:prstGeom>
                  </pic:spPr>
                </pic:pic>
              </a:graphicData>
            </a:graphic>
          </wp:inline>
        </w:drawing>
      </w:r>
    </w:p>
    <w:p>
      <w:pPr>
        <w:pStyle w:val="TextBody"/>
        <w:bidi w:val="0"/>
        <w:spacing w:lineRule="atLeast" w:line="300" w:before="240" w:after="240"/>
        <w:jc w:val="left"/>
        <w:rPr>
          <w:rFonts w:ascii="Arial;sans-serif" w:hAnsi="Arial;sans-serif"/>
          <w:b w:val="false"/>
          <w:color w:val="000000"/>
          <w:sz w:val="20"/>
        </w:rPr>
      </w:pPr>
      <w:r>
        <w:rPr>
          <w:rFonts w:ascii="Arial;sans-serif" w:hAnsi="Arial;sans-serif"/>
          <w:b w:val="false"/>
          <w:color w:val="000000"/>
          <w:sz w:val="20"/>
        </w:rPr>
        <w:t>February 24,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SI-BONE,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471 El Camino Real, Suite 101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Santa Clara, CA 95050</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0" w:after="240"/>
        <w:jc w:val="both"/>
        <w:rPr/>
      </w:pPr>
      <w:r>
        <w:rPr>
          <w:rFonts w:ascii="Arial;sans-serif" w:hAnsi="Arial;sans-serif"/>
          <w:b w:val="false"/>
          <w:color w:val="000000"/>
          <w:sz w:val="20"/>
        </w:rPr>
        <w:t>We have acted as counsel to SI-BONE,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by the Company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of a Registration Statement on Form S-3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by the Company under the Securities Act of 1933, as amended (the “</w:t>
      </w:r>
      <w:r>
        <w:rPr>
          <w:rFonts w:ascii="Arial;sans-serif" w:hAnsi="Arial;sans-serif"/>
          <w:b/>
          <w:i/>
          <w:color w:val="000000"/>
          <w:sz w:val="20"/>
        </w:rPr>
        <w:t>Securities Act</w:t>
      </w:r>
      <w:r>
        <w:rPr>
          <w:color w:val="000000"/>
        </w:rPr>
        <w:t>”</w:t>
      </w:r>
      <w:r>
        <w:rPr>
          <w:rFonts w:ascii="Arial;sans-serif" w:hAnsi="Arial;sans-serif"/>
          <w:b w:val="false"/>
          <w:color w:val="000000"/>
          <w:sz w:val="20"/>
        </w:rPr>
        <w:t>). The Registration Statement includes a prospectus (the “</w:t>
      </w:r>
      <w:r>
        <w:rPr>
          <w:rFonts w:ascii="Arial;sans-serif" w:hAnsi="Arial;sans-serif"/>
          <w:b/>
          <w:i/>
          <w:color w:val="000000"/>
          <w:sz w:val="20"/>
        </w:rPr>
        <w:t>Base Prospectus</w:t>
      </w:r>
      <w:r>
        <w:rPr>
          <w:color w:val="000000"/>
        </w:rPr>
        <w:t>”</w:t>
      </w:r>
      <w:r>
        <w:rPr>
          <w:rFonts w:ascii="Arial;sans-serif" w:hAnsi="Arial;sans-serif"/>
          <w:b w:val="false"/>
          <w:color w:val="000000"/>
          <w:sz w:val="20"/>
        </w:rPr>
        <w:t>) that provides it will be supplemented in the future by one or more prospectus supplements (each, a “</w:t>
      </w:r>
      <w:r>
        <w:rPr>
          <w:rFonts w:ascii="Arial;sans-serif" w:hAnsi="Arial;sans-serif"/>
          <w:b/>
          <w:i/>
          <w:color w:val="000000"/>
          <w:sz w:val="20"/>
        </w:rPr>
        <w:t>Prospectus Supplement</w:t>
      </w:r>
      <w:r>
        <w:rPr>
          <w:color w:val="000000"/>
        </w:rPr>
        <w:t>”</w:t>
      </w:r>
      <w:r>
        <w:rPr>
          <w:rFonts w:ascii="Arial;sans-serif" w:hAnsi="Arial;sans-serif"/>
          <w:b w:val="false"/>
          <w:color w:val="000000"/>
          <w:sz w:val="20"/>
        </w:rPr>
        <w:t>). The Registration Statement, including the Base Prospectus (as supplemented from time to time by one or more Prospectus Supplements), will provide for the registration by the Company of the sale of the following securities: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shd w:fill="FFFFFF" w:val="clear"/>
        </w:rPr>
        <w:t>shares of common stock, par value $0.0001 per share, of the Company (the “</w:t>
      </w:r>
      <w:r>
        <w:rPr>
          <w:rFonts w:ascii="Arial;sans-serif" w:hAnsi="Arial;sans-serif"/>
          <w:b/>
          <w:i/>
          <w:color w:val="000000"/>
          <w:sz w:val="20"/>
          <w:shd w:fill="FFFFFF" w:val="clear"/>
        </w:rPr>
        <w:t>Common Stock</w:t>
      </w:r>
      <w:r>
        <w:rPr>
          <w:color w:val="000000"/>
          <w:shd w:fill="FFFFFF" w:val="clear"/>
        </w:rPr>
        <w:t>”</w:t>
      </w:r>
      <w:r>
        <w:rPr>
          <w:rFonts w:ascii="Arial;sans-serif" w:hAnsi="Arial;sans-serif"/>
          <w:b w:val="false"/>
          <w:color w:val="000000"/>
          <w:sz w:val="20"/>
          <w:shd w:fill="FFFFFF" w:val="clear"/>
        </w:rPr>
        <w: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shd w:fill="FFFFFF" w:val="clear"/>
        </w:rPr>
        <w:t>shares of preferred stock, par value $0.0001 per share, of the Company (the “</w:t>
      </w:r>
      <w:r>
        <w:rPr>
          <w:rFonts w:ascii="Arial;sans-serif" w:hAnsi="Arial;sans-serif"/>
          <w:b/>
          <w:i/>
          <w:color w:val="000000"/>
          <w:sz w:val="20"/>
          <w:shd w:fill="FFFFFF" w:val="clear"/>
        </w:rPr>
        <w:t>Preferred Stock</w:t>
      </w:r>
      <w:r>
        <w:rPr>
          <w:color w:val="000000"/>
          <w:shd w:fill="FFFFFF" w:val="clear"/>
        </w:rPr>
        <w:t>”</w:t>
      </w:r>
      <w:r>
        <w:rPr>
          <w:rFonts w:ascii="Arial;sans-serif" w:hAnsi="Arial;sans-serif"/>
          <w:b w:val="false"/>
          <w:color w:val="000000"/>
          <w:sz w:val="20"/>
          <w:shd w:fill="FFFFFF" w:val="clear"/>
        </w:rPr>
        <w: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shd w:fill="FFFFFF" w:val="clear"/>
        </w:rPr>
        <w:t>debt securities, in one or more series (the “</w:t>
      </w:r>
      <w:r>
        <w:rPr>
          <w:rFonts w:ascii="Arial;sans-serif" w:hAnsi="Arial;sans-serif"/>
          <w:b/>
          <w:i/>
          <w:color w:val="000000"/>
          <w:sz w:val="20"/>
          <w:shd w:fill="FFFFFF" w:val="clear"/>
        </w:rPr>
        <w:t>Debt Securities</w:t>
      </w:r>
      <w:r>
        <w:rPr>
          <w:color w:val="000000"/>
          <w:shd w:fill="FFFFFF" w:val="clear"/>
        </w:rPr>
        <w:t>”</w:t>
      </w:r>
      <w:r>
        <w:rPr>
          <w:rFonts w:ascii="Arial;sans-serif" w:hAnsi="Arial;sans-serif"/>
          <w:b w:val="false"/>
          <w:color w:val="000000"/>
          <w:sz w:val="20"/>
          <w:shd w:fill="FFFFFF" w:val="clear"/>
        </w:rPr>
        <w:t>), which may be issued pursuant to an indenture to be dated on or about the date of the first issuance of Debt Securities thereunder, by and between a trustee to be selected by the Company (the “</w:t>
      </w:r>
      <w:r>
        <w:rPr>
          <w:rFonts w:ascii="Arial;sans-serif" w:hAnsi="Arial;sans-serif"/>
          <w:b/>
          <w:i/>
          <w:color w:val="000000"/>
          <w:sz w:val="20"/>
          <w:shd w:fill="FFFFFF" w:val="clear"/>
        </w:rPr>
        <w:t>Trustee</w:t>
      </w:r>
      <w:r>
        <w:rPr>
          <w:color w:val="000000"/>
          <w:shd w:fill="FFFFFF" w:val="clear"/>
        </w:rPr>
        <w:t>”</w:t>
      </w:r>
      <w:r>
        <w:rPr>
          <w:rFonts w:ascii="Arial;sans-serif" w:hAnsi="Arial;sans-serif"/>
          <w:b w:val="false"/>
          <w:color w:val="000000"/>
          <w:sz w:val="20"/>
          <w:shd w:fill="FFFFFF" w:val="clear"/>
        </w:rPr>
        <w:t>) and the Company, in the form filed as Exhibit 4.4 to the Registration Statement and one or more indentures supplemental thereto with respect to any particular series of Debt Securities (the “</w:t>
      </w:r>
      <w:r>
        <w:rPr>
          <w:rFonts w:ascii="Arial;sans-serif" w:hAnsi="Arial;sans-serif"/>
          <w:b/>
          <w:i/>
          <w:color w:val="000000"/>
          <w:sz w:val="20"/>
          <w:shd w:fill="FFFFFF" w:val="clear"/>
        </w:rPr>
        <w:t>Indenture</w:t>
      </w:r>
      <w:r>
        <w:rPr>
          <w:color w:val="000000"/>
          <w:shd w:fill="FFFFFF" w:val="clear"/>
        </w:rPr>
        <w:t>”</w:t>
      </w:r>
      <w:r>
        <w:rPr>
          <w:rFonts w:ascii="Arial;sans-serif" w:hAnsi="Arial;sans-serif"/>
          <w:b w:val="false"/>
          <w:color w:val="000000"/>
          <w:sz w:val="20"/>
          <w:shd w:fill="FFFFFF" w:val="clear"/>
        </w:rPr>
        <w:t>); and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shd w:fill="FFFFFF" w:val="clear"/>
        </w:rPr>
        <w:t>warrants to purchase Common Stock, Preferred Stock or Debt Securities (the “</w:t>
      </w:r>
      <w:r>
        <w:rPr>
          <w:rFonts w:ascii="Arial;sans-serif" w:hAnsi="Arial;sans-serif"/>
          <w:b/>
          <w:i/>
          <w:color w:val="000000"/>
          <w:sz w:val="20"/>
          <w:shd w:fill="FFFFFF" w:val="clear"/>
        </w:rPr>
        <w:t>Warrants</w:t>
      </w:r>
      <w:r>
        <w:rPr>
          <w:color w:val="000000"/>
          <w:shd w:fill="FFFFFF" w:val="clear"/>
        </w:rPr>
        <w:t>”</w:t>
      </w:r>
      <w:r>
        <w:rPr>
          <w:rFonts w:ascii="Arial;sans-serif" w:hAnsi="Arial;sans-serif"/>
          <w:b w:val="false"/>
          <w:color w:val="000000"/>
          <w:sz w:val="20"/>
          <w:shd w:fill="FFFFFF" w:val="clear"/>
        </w:rPr>
        <w:t>), which may be issued under one or more warrant agreements, to be dated on or about the date of the first issuance of the Warrants thereunder, by and between a warrant agent to be selected by the Company (the “</w:t>
      </w:r>
      <w:r>
        <w:rPr>
          <w:rFonts w:ascii="Arial;sans-serif" w:hAnsi="Arial;sans-serif"/>
          <w:b/>
          <w:i/>
          <w:color w:val="000000"/>
          <w:sz w:val="20"/>
          <w:shd w:fill="FFFFFF" w:val="clear"/>
        </w:rPr>
        <w:t>Warrant Agent</w:t>
      </w:r>
      <w:r>
        <w:rPr>
          <w:color w:val="000000"/>
          <w:shd w:fill="FFFFFF" w:val="clear"/>
        </w:rPr>
        <w:t>”</w:t>
      </w:r>
      <w:r>
        <w:rPr>
          <w:rFonts w:ascii="Arial;sans-serif" w:hAnsi="Arial;sans-serif"/>
          <w:b w:val="false"/>
          <w:color w:val="000000"/>
          <w:sz w:val="20"/>
          <w:shd w:fill="FFFFFF" w:val="clear"/>
        </w:rPr>
        <w:t>) and the Company, in the forms filed as Exhibits 4.6, 4.7 and 4.8 to the Registration Statement, respectively (each, a “</w:t>
      </w:r>
      <w:r>
        <w:rPr>
          <w:rFonts w:ascii="Arial;sans-serif" w:hAnsi="Arial;sans-serif"/>
          <w:b/>
          <w:i/>
          <w:color w:val="000000"/>
          <w:sz w:val="20"/>
          <w:shd w:fill="FFFFFF" w:val="clear"/>
        </w:rPr>
        <w:t>Warrant Agreement</w:t>
      </w:r>
      <w:r>
        <w:rPr>
          <w:color w:val="000000"/>
          <w:shd w:fill="FFFFFF" w:val="clear"/>
        </w:rPr>
        <w:t>”</w:t>
      </w:r>
      <w:r>
        <w:rPr>
          <w:rFonts w:ascii="Arial;sans-serif" w:hAnsi="Arial;sans-serif"/>
          <w:b w:val="false"/>
          <w:color w:val="000000"/>
          <w:sz w:val="20"/>
          <w:shd w:fill="FFFFFF" w:val="clear"/>
        </w:rPr>
        <w:t>).</w:t>
      </w:r>
    </w:p>
    <w:p>
      <w:pPr>
        <w:pStyle w:val="TextBody"/>
        <w:bidi w:val="0"/>
        <w:spacing w:lineRule="auto" w:line="288" w:before="0" w:after="240"/>
        <w:jc w:val="both"/>
        <w:rPr/>
      </w:pPr>
      <w:r>
        <w:rPr>
          <w:rFonts w:ascii="Arial;sans-serif" w:hAnsi="Arial;sans-serif"/>
          <w:b w:val="false"/>
          <w:color w:val="000000"/>
          <w:sz w:val="20"/>
        </w:rPr>
        <w:t>The Common Stock, the Preferred Stock, the Debt Securities and the Warrants are collectively referred to herein as the “</w:t>
      </w:r>
      <w:r>
        <w:rPr>
          <w:rFonts w:ascii="Arial;sans-serif" w:hAnsi="Arial;sans-serif"/>
          <w:b/>
          <w:i/>
          <w:color w:val="000000"/>
          <w:sz w:val="20"/>
        </w:rPr>
        <w:t>Securities</w:t>
      </w:r>
      <w:r>
        <w:rPr>
          <w:rFonts w:ascii="Arial;sans-serif" w:hAnsi="Arial;sans-serif"/>
          <w:b w:val="false"/>
          <w:color w:val="000000"/>
          <w:sz w:val="20"/>
        </w:rPr>
        <w:t>.” The Securities are being registered for offer and sale from time to time pursuant to Rule 415 under the Securities 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this opinion, we have examined and relied upon (a) the Registration Statement and the Base Prospectus, (b) the Company’s certificate of incorporation and bylaws, each as currently in effect, and (c)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093470"/>
                <wp:effectExtent l="0" t="0" r="0" b="0"/>
                <wp:wrapNone/>
                <wp:docPr id="151" name="Frame149"/>
                <a:graphic xmlns:a="http://schemas.openxmlformats.org/drawingml/2006/main">
                  <a:graphicData uri="http://schemas.microsoft.com/office/word/2010/wordprocessingShape">
                    <wps:wsp>
                      <wps:cNvSpPr txBox="1"/>
                      <wps:spPr>
                        <a:xfrm>
                          <a:off x="0" y="0"/>
                          <a:ext cx="6480175" cy="10934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v:textbox>
                <w10:wrap type="none"/>
              </v:rect>
            </w:pict>
          </mc:Fallback>
        </mc:AlternateContent>
      </w:r>
    </w:p>
    <w:tbl>
      <w:tblPr>
        <w:tblW w:w="2066" w:type="dxa"/>
        <w:jc w:val="left"/>
        <w:tblInd w:w="0" w:type="dxa"/>
        <w:tblLayout w:type="fixed"/>
        <w:tblCellMar>
          <w:top w:w="28" w:type="dxa"/>
          <w:left w:w="28" w:type="dxa"/>
          <w:bottom w:w="28" w:type="dxa"/>
          <w:right w:w="28" w:type="dxa"/>
        </w:tblCellMar>
      </w:tblPr>
      <w:tblGrid>
        <w:gridCol w:w="614"/>
        <w:gridCol w:w="539"/>
        <w:gridCol w:w="541"/>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24, 2026</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opinion herein is expressed solely with respect to the General Corporation Law of the State of Delaware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the basis of the foregoing, in reliance thereon and subject to the assumptions, qualifications, limitations and exceptions set forth herein, we are of the opinion that:</w:t>
      </w:r>
    </w:p>
    <w:p>
      <w:pPr>
        <w:pStyle w:val="TextBody"/>
        <w:bidi w:val="0"/>
        <w:spacing w:lineRule="auto" w:line="288" w:before="0" w:after="240"/>
        <w:ind w:left="0" w:right="0" w:firstLine="720"/>
        <w:jc w:val="both"/>
        <w:rPr/>
      </w:pPr>
      <w:r>
        <w:rPr>
          <w:rFonts w:ascii="Arial;sans-serif" w:hAnsi="Arial;sans-serif"/>
          <w:b w:val="false"/>
          <w:color w:val="000000"/>
          <w:sz w:val="20"/>
        </w:rPr>
        <w:t>1.</w:t>
      </w:r>
      <w:r>
        <w:rPr>
          <w:rFonts w:ascii="Arial;sans-serif" w:hAnsi="Arial;sans-serif"/>
          <w:b w:val="false"/>
          <w:color w:val="000000"/>
          <w:sz w:val="20"/>
        </w:rPr>
        <w:t>With respect to the Common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Common Stock has been duly authorized by all necessary corporate action on the part of the Company; (c) the issuance and sale of the Common Stock do not violate any applicable law, are in conformity with the Company’s then operative certificate of incorporation (the “</w:t>
      </w:r>
      <w:r>
        <w:rPr>
          <w:rFonts w:ascii="Arial;sans-serif" w:hAnsi="Arial;sans-serif"/>
          <w:b/>
          <w:i/>
          <w:color w:val="000000"/>
          <w:sz w:val="20"/>
        </w:rPr>
        <w:t>Certificate of Incorporation</w:t>
      </w:r>
      <w:r>
        <w:rPr>
          <w:color w:val="000000"/>
        </w:rPr>
        <w:t>”</w:t>
      </w:r>
      <w:r>
        <w:rPr>
          <w:rFonts w:ascii="Arial;sans-serif" w:hAnsi="Arial;sans-serif"/>
          <w:b w:val="false"/>
          <w:color w:val="000000"/>
          <w:sz w:val="20"/>
        </w:rPr>
        <w:t>) and bylaws (the “</w:t>
      </w:r>
      <w:r>
        <w:rPr>
          <w:rFonts w:ascii="Arial;sans-serif" w:hAnsi="Arial;sans-serif"/>
          <w:b/>
          <w:i/>
          <w:color w:val="000000"/>
          <w:sz w:val="20"/>
        </w:rPr>
        <w:t>Bylaws</w:t>
      </w:r>
      <w:r>
        <w:rPr>
          <w:color w:val="000000"/>
        </w:rPr>
        <w:t>”</w:t>
      </w:r>
      <w:r>
        <w:rPr>
          <w:rFonts w:ascii="Arial;sans-serif" w:hAnsi="Arial;sans-serif"/>
          <w:b w:val="false"/>
          <w:color w:val="000000"/>
          <w:sz w:val="20"/>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Common Stock have been duly executed by the Company, countersigned by the transfer agent therefor and duly delivered to the purchasers thereof against payment therefor, then the Common Stock,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093470"/>
                <wp:effectExtent l="0" t="0" r="0" b="0"/>
                <wp:wrapNone/>
                <wp:docPr id="152" name="Frame150"/>
                <a:graphic xmlns:a="http://schemas.openxmlformats.org/drawingml/2006/main">
                  <a:graphicData uri="http://schemas.microsoft.com/office/word/2010/wordprocessingShape">
                    <wps:wsp>
                      <wps:cNvSpPr txBox="1"/>
                      <wps:spPr>
                        <a:xfrm>
                          <a:off x="0" y="0"/>
                          <a:ext cx="6480175" cy="10934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v:textbox>
                <w10:wrap type="none"/>
              </v:rect>
            </w:pict>
          </mc:Fallback>
        </mc:AlternateContent>
      </w:r>
    </w:p>
    <w:tbl>
      <w:tblPr>
        <w:tblW w:w="2066" w:type="dxa"/>
        <w:jc w:val="left"/>
        <w:tblInd w:w="0" w:type="dxa"/>
        <w:tblLayout w:type="fixed"/>
        <w:tblCellMar>
          <w:top w:w="28" w:type="dxa"/>
          <w:left w:w="28" w:type="dxa"/>
          <w:bottom w:w="28" w:type="dxa"/>
          <w:right w:w="28" w:type="dxa"/>
        </w:tblCellMar>
      </w:tblPr>
      <w:tblGrid>
        <w:gridCol w:w="614"/>
        <w:gridCol w:w="539"/>
        <w:gridCol w:w="541"/>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24, 2026</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2.</w:t>
      </w:r>
      <w:r>
        <w:rPr>
          <w:rFonts w:ascii="Arial;sans-serif" w:hAnsi="Arial;sans-serif"/>
          <w:b w:val="false"/>
          <w:color w:val="000000"/>
          <w:sz w:val="20"/>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pStyle w:val="TextBody"/>
        <w:bidi w:val="0"/>
        <w:spacing w:lineRule="auto" w:line="288" w:before="0" w:after="240"/>
        <w:ind w:left="0" w:right="0" w:firstLine="720"/>
        <w:jc w:val="both"/>
        <w:rPr/>
      </w:pPr>
      <w:r>
        <w:rPr>
          <w:rFonts w:ascii="Arial;sans-serif" w:hAnsi="Arial;sans-serif"/>
          <w:b w:val="false"/>
          <w:color w:val="000000"/>
          <w:sz w:val="20"/>
        </w:rPr>
        <w:t>3.</w:t>
      </w:r>
      <w:r>
        <w:rPr>
          <w:rFonts w:ascii="Arial;sans-serif" w:hAnsi="Arial;sans-serif"/>
          <w:b w:val="false"/>
          <w:color w:val="000000"/>
          <w:sz w:val="20"/>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093470"/>
                <wp:effectExtent l="0" t="0" r="0" b="0"/>
                <wp:wrapNone/>
                <wp:docPr id="153" name="Frame151"/>
                <a:graphic xmlns:a="http://schemas.openxmlformats.org/drawingml/2006/main">
                  <a:graphicData uri="http://schemas.microsoft.com/office/word/2010/wordprocessingShape">
                    <wps:wsp>
                      <wps:cNvSpPr txBox="1"/>
                      <wps:spPr>
                        <a:xfrm>
                          <a:off x="0" y="0"/>
                          <a:ext cx="6480175" cy="10934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v:textbox>
                <w10:wrap type="none"/>
              </v:rect>
            </w:pict>
          </mc:Fallback>
        </mc:AlternateContent>
      </w:r>
    </w:p>
    <w:tbl>
      <w:tblPr>
        <w:tblW w:w="2066" w:type="dxa"/>
        <w:jc w:val="left"/>
        <w:tblInd w:w="0" w:type="dxa"/>
        <w:tblLayout w:type="fixed"/>
        <w:tblCellMar>
          <w:top w:w="28" w:type="dxa"/>
          <w:left w:w="28" w:type="dxa"/>
          <w:bottom w:w="28" w:type="dxa"/>
          <w:right w:w="28" w:type="dxa"/>
        </w:tblCellMar>
      </w:tblPr>
      <w:tblGrid>
        <w:gridCol w:w="614"/>
        <w:gridCol w:w="539"/>
        <w:gridCol w:w="541"/>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24, 2026</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4.</w:t>
      </w:r>
      <w:r>
        <w:rPr>
          <w:rFonts w:ascii="Arial;sans-serif" w:hAnsi="Arial;sans-serif"/>
          <w:b w:val="false"/>
          <w:color w:val="000000"/>
          <w:sz w:val="20"/>
        </w:rPr>
        <w:t>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093470"/>
                <wp:effectExtent l="0" t="0" r="0" b="0"/>
                <wp:wrapNone/>
                <wp:docPr id="154" name="Frame152"/>
                <a:graphic xmlns:a="http://schemas.openxmlformats.org/drawingml/2006/main">
                  <a:graphicData uri="http://schemas.microsoft.com/office/word/2010/wordprocessingShape">
                    <wps:wsp>
                      <wps:cNvSpPr txBox="1"/>
                      <wps:spPr>
                        <a:xfrm>
                          <a:off x="0" y="0"/>
                          <a:ext cx="6480175" cy="10934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v:textbox>
                <w10:wrap type="none"/>
              </v:rect>
            </w:pict>
          </mc:Fallback>
        </mc:AlternateContent>
      </w:r>
    </w:p>
    <w:tbl>
      <w:tblPr>
        <w:tblW w:w="2066" w:type="dxa"/>
        <w:jc w:val="left"/>
        <w:tblInd w:w="0" w:type="dxa"/>
        <w:tblLayout w:type="fixed"/>
        <w:tblCellMar>
          <w:top w:w="28" w:type="dxa"/>
          <w:left w:w="28" w:type="dxa"/>
          <w:bottom w:w="28" w:type="dxa"/>
          <w:right w:w="28" w:type="dxa"/>
        </w:tblCellMar>
      </w:tblPr>
      <w:tblGrid>
        <w:gridCol w:w="614"/>
        <w:gridCol w:w="539"/>
        <w:gridCol w:w="541"/>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6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24, 2026</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240" w:after="340"/>
        <w:jc w:val="both"/>
        <w:rPr>
          <w:rFonts w:ascii="Arial;sans-serif" w:hAnsi="Arial;sans-serif"/>
          <w:b/>
          <w:color w:val="000000"/>
          <w:sz w:val="20"/>
        </w:rPr>
      </w:pPr>
      <w:r>
        <w:rPr>
          <w:rFonts w:ascii="Arial;sans-serif" w:hAnsi="Arial;sans-serif"/>
          <w:b/>
          <w:color w:val="000000"/>
          <w:sz w:val="20"/>
        </w:rPr>
        <w:t>Cooley LLP</w:t>
      </w:r>
    </w:p>
    <w:p>
      <w:pPr>
        <w:pStyle w:val="TextBody"/>
        <w:bidi w:val="0"/>
        <w:spacing w:before="240" w:after="340"/>
        <w:jc w:val="both"/>
        <w:rPr/>
      </w:pPr>
      <w:r>
        <w:rPr/>
      </w:r>
    </w:p>
    <w:tbl>
      <w:tblPr>
        <w:tblW w:w="2024" w:type="dxa"/>
        <w:jc w:val="left"/>
        <w:tblInd w:w="0" w:type="dxa"/>
        <w:tblLayout w:type="fixed"/>
        <w:tblCellMar>
          <w:top w:w="28" w:type="dxa"/>
          <w:left w:w="28" w:type="dxa"/>
          <w:bottom w:w="28" w:type="dxa"/>
          <w:right w:w="28" w:type="dxa"/>
        </w:tblCellMar>
      </w:tblPr>
      <w:tblGrid>
        <w:gridCol w:w="173"/>
        <w:gridCol w:w="153"/>
        <w:gridCol w:w="154"/>
        <w:gridCol w:w="452"/>
        <w:gridCol w:w="452"/>
        <w:gridCol w:w="640"/>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 xml:space="preserve">By: </w:t>
            </w:r>
          </w:p>
        </w:tc>
        <w:tc>
          <w:tcPr>
            <w:tcW w:w="154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/s/ Kate Nichols</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Kate Nichols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Georgia;serif" w:hAnsi="Georgia;serif"/>
          <w:b/>
          <w:color w:val="000000"/>
          <w:sz w:val="20"/>
        </w:rPr>
      </w:pPr>
      <w:r>
        <w:rPr>
          <w:rFonts w:ascii="Georgia;serif" w:hAnsi="Georgia;serif"/>
          <w:b/>
          <w:color w:val="000000"/>
          <w:sz w:val="20"/>
        </w:rPr>
        <w:t>Exhibit 23.1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093470"/>
                <wp:effectExtent l="0" t="0" r="0" b="0"/>
                <wp:wrapNone/>
                <wp:docPr id="155" name="Frame153"/>
                <a:graphic xmlns:a="http://schemas.openxmlformats.org/drawingml/2006/main">
                  <a:graphicData uri="http://schemas.microsoft.com/office/word/2010/wordprocessingShape">
                    <wps:wsp>
                      <wps:cNvSpPr txBox="1"/>
                      <wps:spPr>
                        <a:xfrm>
                          <a:off x="0" y="0"/>
                          <a:ext cx="6480175" cy="10934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1pt;mso-wrap-distance-left:0pt;mso-wrap-distance-right:0pt;mso-wrap-distance-top:0pt;mso-wrap-distance-bottom:0pt;margin-top:0pt;mso-position-vertical:top;mso-position-vertical-relative:text;margin-left:-421.4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3825" w:type="dxa"/>
                        <w:jc w:val="left"/>
                        <w:tblInd w:w="0" w:type="dxa"/>
                        <w:tblLayout w:type="fixed"/>
                        <w:tblCellMar>
                          <w:top w:w="28" w:type="dxa"/>
                          <w:left w:w="28" w:type="dxa"/>
                          <w:bottom w:w="28" w:type="dxa"/>
                          <w:right w:w="28" w:type="dxa"/>
                        </w:tblCellMar>
                      </w:tblPr>
                      <w:tblGrid>
                        <w:gridCol w:w="1225"/>
                        <w:gridCol w:w="1076"/>
                        <w:gridCol w:w="152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Cooley LLP 3175 Hanover Street Palo Alto, CA 94304-1130</w:t>
                              <w:br/>
                              <w:t>t: (650) 843-5000 f: (650) 849-7400 cooley.com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88" w:before="0" w:after="120"/>
        <w:jc w:val="left"/>
        <w:rPr/>
      </w:pPr>
      <w:r>
        <w:rPr>
          <w:rFonts w:ascii="Georgia;serif" w:hAnsi="Georgia;serif"/>
          <w:b w:val="false"/>
          <w:color w:val="000000"/>
          <w:sz w:val="20"/>
        </w:rPr>
        <w:t>We hereby consent to the incorporation by reference in this Registration Statement on Form S-3 of SI-BONE, Inc. of our report dated February 24, 2026</w:t>
      </w:r>
      <w:r>
        <w:rPr>
          <w:color w:val="FF0000"/>
        </w:rPr>
        <w:t xml:space="preserve"> </w:t>
      </w:r>
      <w:r>
        <w:rPr>
          <w:rFonts w:ascii="Georgia;serif" w:hAnsi="Georgia;serif"/>
          <w:b w:val="false"/>
          <w:color w:val="000000"/>
          <w:sz w:val="20"/>
        </w:rPr>
        <w:t>relating to the financial statements and the effectiveness of internal control over financial reporting, which appears in SI-BONE, Inc.'s Annual Report on Form 10-K for the year ended December 31, 2025. We also consent to the reference to us under the heading “Experts”</w:t>
      </w:r>
      <w:r>
        <w:rPr>
          <w:color w:val="000000"/>
        </w:rPr>
        <w:t xml:space="preserve"> </w:t>
      </w:r>
      <w:r>
        <w:rPr>
          <w:rFonts w:ascii="Georgia;serif" w:hAnsi="Georgia;serif"/>
          <w:b w:val="false"/>
          <w:color w:val="000000"/>
          <w:sz w:val="20"/>
        </w:rPr>
        <w:t>in such Registration Statement.</w:t>
      </w:r>
    </w:p>
    <w:p>
      <w:pPr>
        <w:pStyle w:val="TextBody"/>
        <w:bidi w:val="0"/>
        <w:spacing w:before="240" w:after="283"/>
        <w:jc w:val="left"/>
        <w:rPr/>
      </w:pPr>
      <w:r>
        <w:rPr/>
      </w:r>
    </w:p>
    <w:p>
      <w:pPr>
        <w:pStyle w:val="TextBody"/>
        <w:bidi w:val="0"/>
        <w:spacing w:lineRule="auto" w:line="288" w:before="240" w:after="283"/>
        <w:jc w:val="left"/>
        <w:rPr/>
      </w:pPr>
      <w:r>
        <w:rPr>
          <w:rFonts w:ascii="Georgia;serif" w:hAnsi="Georgia;serif"/>
          <w:b w:val="false"/>
          <w:color w:val="000000"/>
          <w:sz w:val="20"/>
        </w:rPr>
        <w:t>/s/ PricewaterhouseCoopers LLP</w:t>
        <w:br/>
        <w:t>San Jose, California</w:t>
      </w:r>
      <w:r>
        <w:rPr>
          <w:color w:val="FF0000"/>
        </w:rPr>
        <w:t xml:space="preserve"> </w:t>
      </w:r>
      <w:r>
        <w:rPr>
          <w:rFonts w:ascii="Georgia;serif" w:hAnsi="Georgia;serif"/>
          <w:b w:val="false"/>
          <w:color w:val="000000"/>
          <w:sz w:val="20"/>
        </w:rPr>
        <w:br/>
        <w:t>February 24, 2026</w:t>
      </w:r>
    </w:p>
    <w:p>
      <w:pPr>
        <w:pStyle w:val="TextBody"/>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3240"/>
                <wp:effectExtent l="0" t="0" r="0" b="0"/>
                <wp:wrapNone/>
                <wp:docPr id="156" name="Frame154"/>
                <a:graphic xmlns:a="http://schemas.openxmlformats.org/drawingml/2006/main">
                  <a:graphicData uri="http://schemas.microsoft.com/office/word/2010/wordprocessingShape">
                    <wps:wsp>
                      <wps:cNvSpPr txBox="1"/>
                      <wps:spPr>
                        <a:xfrm>
                          <a:off x="0" y="0"/>
                          <a:ext cx="6480175" cy="523240"/>
                        </a:xfrm>
                        <a:prstGeom prst="rect"/>
                        <a:solidFill>
                          <a:srgbClr val="FFFFFF"/>
                        </a:solidFill>
                      </wps:spPr>
                      <wps:txb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459839/000145983926000036/sibn-20251231.htm" TargetMode="External"/><Relationship Id="rId4" Type="http://schemas.openxmlformats.org/officeDocument/2006/relationships/hyperlink" Target="https://www.sec.gov/ix?doc=/Archives/edgar/data/0001459839/000145983926000022/sibn-20260220.htm" TargetMode="External"/><Relationship Id="rId5" Type="http://schemas.openxmlformats.org/officeDocument/2006/relationships/hyperlink" Target="https://www.sec.gov/ix?doc=/Archives/edgar/data/0001459839/000145983925000048/sibn-20250425.htm" TargetMode="External"/><Relationship Id="rId6" Type="http://schemas.openxmlformats.org/officeDocument/2006/relationships/hyperlink" Target="http://www.sec.gov/Archives/edgar/data/1459839/000119312518297571/d486750d8a12b.htm" TargetMode="External"/><Relationship Id="rId7" Type="http://schemas.openxmlformats.org/officeDocument/2006/relationships/hyperlink" Target="https://www.sec.gov/Archives/edgar/data/1459839/000145983920000047/exhibit43descriptionof.htm" TargetMode="External"/><Relationship Id="rId8" Type="http://schemas.openxmlformats.org/officeDocument/2006/relationships/hyperlink" Target="http://www.sec.gov/Archives/edgar/data/1459839/000119312518303020/d641574dex31.htm" TargetMode="External"/><Relationship Id="rId9" Type="http://schemas.openxmlformats.org/officeDocument/2006/relationships/hyperlink" Target="https://www.sec.gov/Archives/edgar/data/1459839/000145983923000095/secondamendedandrestatedby.htm" TargetMode="External"/><Relationship Id="rId10" Type="http://schemas.openxmlformats.org/officeDocument/2006/relationships/hyperlink" Target="https://www.sec.gov/ix?doc=/Archives/edgar/data/0001459839/000145983924000048/sibn-20240625.htm" TargetMode="External"/><Relationship Id="rId11" Type="http://schemas.openxmlformats.org/officeDocument/2006/relationships/hyperlink" Target="https://www.sec.gov/Archives/edgar/data/1459839/000119312518303020/d641574dex31.htm" TargetMode="External"/><Relationship Id="rId12" Type="http://schemas.openxmlformats.org/officeDocument/2006/relationships/hyperlink" Target="https://www.sec.gov/Archives/edgar/data/1459839/000119312518293978/d452987dex34.htm" TargetMode="External"/><Relationship Id="rId13" Type="http://schemas.openxmlformats.org/officeDocument/2006/relationships/hyperlink" Target="https://www.sec.gov/ix?doc=/Archives/edgar/data/0001459839/000145983924000048/sibn-20240625.htm" TargetMode="External"/><Relationship Id="rId14" Type="http://schemas.openxmlformats.org/officeDocument/2006/relationships/hyperlink" Target="https://www.sec.gov/Archives/edgar/data/1459839/000119312518293978/d452987dex41.htm" TargetMode="External"/><Relationship Id="rId15" Type="http://schemas.openxmlformats.org/officeDocument/2006/relationships/image" Target="media/image2.pn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155</Pages>
  <Words>73168</Words>
  <Characters>381556</Characters>
  <CharactersWithSpaces>453843</CharactersWithSpaces>
  <Paragraphs>2051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