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8, 2021</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1300480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November 8, 2021, SI-BONE, Inc. (the "Company") issued a press release (the “Press Release”) announcing results for the quarter ended September 30, 2021. A copy of the Press Release is attached as Exhibit 99.1 to this current report on Form 8-K and is incorporated by reference herein.</w:t>
      </w:r>
    </w:p>
    <w:p>
      <w:pPr>
        <w:spacing w:after="0" w:line="15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8, 2021</w:t>
              </w:r>
            </w:hyperlink>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0" w:type="dxa"/>
            <w:vAlign w:val="bottom"/>
            <w:gridSpan w:val="2"/>
          </w:tcPr>
          <w:p>
            <w:pPr>
              <w:ind w:left="126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200"/>
              <w:spacing w:after="0"/>
              <w:rPr>
                <w:sz w:val="20"/>
                <w:szCs w:val="20"/>
                <w:color w:val="auto"/>
              </w:rPr>
            </w:pPr>
            <w:r>
              <w:rPr>
                <w:rFonts w:ascii="Arial" w:cs="Arial" w:eastAsia="Arial" w:hAnsi="Arial"/>
                <w:sz w:val="18"/>
                <w:szCs w:val="18"/>
                <w:color w:val="auto"/>
              </w:rPr>
              <w:t>November 8, 2021</w:t>
            </w:r>
          </w:p>
        </w:tc>
        <w:tc>
          <w:tcPr>
            <w:tcW w:w="1980" w:type="dxa"/>
            <w:vAlign w:val="bottom"/>
          </w:tcPr>
          <w:p>
            <w:pPr>
              <w:ind w:left="12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4"/>
        </w:trPr>
        <w:tc>
          <w:tcPr>
            <w:tcW w:w="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bl>
    <w:p>
      <w:pPr>
        <w:ind w:left="54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Third Quarter 2021 Financial Results and Updates 2021 Financial Guidance</w:t>
      </w:r>
    </w:p>
    <w:p>
      <w:pPr>
        <w:spacing w:after="0" w:line="256" w:lineRule="exact"/>
        <w:rPr>
          <w:sz w:val="20"/>
          <w:szCs w:val="20"/>
          <w:color w:val="auto"/>
        </w:rPr>
      </w:pPr>
    </w:p>
    <w:p>
      <w:pPr>
        <w:spacing w:after="0" w:line="352" w:lineRule="auto"/>
        <w:rPr>
          <w:sz w:val="20"/>
          <w:szCs w:val="20"/>
          <w:color w:val="auto"/>
        </w:rPr>
      </w:pPr>
      <w:r>
        <w:rPr>
          <w:rFonts w:ascii="Arial" w:cs="Arial" w:eastAsia="Arial" w:hAnsi="Arial"/>
          <w:sz w:val="19"/>
          <w:szCs w:val="19"/>
          <w:b w:val="1"/>
          <w:bCs w:val="1"/>
          <w:color w:val="auto"/>
        </w:rPr>
        <w:t xml:space="preserve">SANTA CLARA, Calif. </w:t>
      </w:r>
      <w:r>
        <w:rPr>
          <w:rFonts w:ascii="Arial" w:cs="Arial" w:eastAsia="Arial" w:hAnsi="Arial"/>
          <w:sz w:val="19"/>
          <w:szCs w:val="19"/>
          <w:color w:val="auto"/>
        </w:rPr>
        <w:t>November 8, 2021 - SI-BONE, Inc. (Nasdaq:SIBN), a medical device company dedicated to solving</w:t>
      </w:r>
      <w:r>
        <w:rPr>
          <w:rFonts w:ascii="Arial" w:cs="Arial" w:eastAsia="Arial" w:hAnsi="Arial"/>
          <w:sz w:val="19"/>
          <w:szCs w:val="19"/>
          <w:b w:val="1"/>
          <w:bCs w:val="1"/>
          <w:color w:val="auto"/>
        </w:rPr>
        <w:t xml:space="preserve"> </w:t>
      </w:r>
      <w:r>
        <w:rPr>
          <w:rFonts w:ascii="Arial" w:cs="Arial" w:eastAsia="Arial" w:hAnsi="Arial"/>
          <w:sz w:val="19"/>
          <w:szCs w:val="19"/>
          <w:color w:val="auto"/>
        </w:rPr>
        <w:t>musculoskeletal disorders of the sacropelvic anatomy, today reported financial results for the quarter ended September 30, 2021.</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worldwide revenue of $22.3 million for the third quarter 2021, representing a 9% increase over the corresponding period in 2020</w:t>
      </w:r>
    </w:p>
    <w:p>
      <w:pPr>
        <w:spacing w:after="0" w:line="76" w:lineRule="exact"/>
        <w:rPr>
          <w:rFonts w:ascii="Arial" w:cs="Arial" w:eastAsia="Arial" w:hAnsi="Arial"/>
          <w:sz w:val="18"/>
          <w:szCs w:val="18"/>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revenue of $20.4 million for the third quarter 2021, representing a 8% increase over the corresponding period in 2020</w:t>
      </w:r>
    </w:p>
    <w:p>
      <w:pPr>
        <w:spacing w:after="0" w:line="53"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margin of 89% for the third quarter 2021</w:t>
      </w:r>
    </w:p>
    <w:p>
      <w:pPr>
        <w:spacing w:after="0" w:line="77"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2"/>
          <w:szCs w:val="22"/>
          <w:color w:val="auto"/>
        </w:rPr>
      </w:pPr>
      <w:r>
        <w:rPr>
          <w:rFonts w:ascii="Arial" w:cs="Arial" w:eastAsia="Arial" w:hAnsi="Arial"/>
          <w:sz w:val="20"/>
          <w:szCs w:val="20"/>
          <w:color w:val="auto"/>
        </w:rPr>
        <w:t>Refinanced debt with a new $35 million Term Loan from Silicon Valley Bank at more favorable terms</w:t>
      </w:r>
    </w:p>
    <w:p>
      <w:pPr>
        <w:spacing w:after="0" w:line="60" w:lineRule="exact"/>
        <w:rPr>
          <w:rFonts w:ascii="Arial" w:cs="Arial" w:eastAsia="Arial" w:hAnsi="Arial"/>
          <w:sz w:val="22"/>
          <w:szCs w:val="22"/>
          <w:color w:val="auto"/>
        </w:rPr>
      </w:pPr>
    </w:p>
    <w:p>
      <w:pPr>
        <w:ind w:left="420" w:hanging="412"/>
        <w:spacing w:after="0" w:line="293" w:lineRule="auto"/>
        <w:tabs>
          <w:tab w:leader="none" w:pos="415" w:val="left"/>
        </w:tabs>
        <w:numPr>
          <w:ilvl w:val="0"/>
          <w:numId w:val="2"/>
        </w:numPr>
        <w:rPr>
          <w:rFonts w:ascii="Arial" w:cs="Arial" w:eastAsia="Arial" w:hAnsi="Arial"/>
          <w:sz w:val="22"/>
          <w:szCs w:val="22"/>
          <w:color w:val="auto"/>
        </w:rPr>
      </w:pPr>
      <w:r>
        <w:rPr>
          <w:rFonts w:ascii="Arial" w:cs="Arial" w:eastAsia="Arial" w:hAnsi="Arial"/>
          <w:sz w:val="20"/>
          <w:szCs w:val="20"/>
          <w:color w:val="auto"/>
        </w:rPr>
        <w:t>Received UnitedHealthcare exclusive iFuse coverage for minimally invasive SI Joint Fusion, effective October 1, 2021; approximately 160 million U.S. covered lives now exclusive to iFuse</w:t>
      </w:r>
    </w:p>
    <w:p>
      <w:pPr>
        <w:spacing w:after="0" w:line="1" w:lineRule="exact"/>
        <w:rPr>
          <w:rFonts w:ascii="Arial" w:cs="Arial" w:eastAsia="Arial" w:hAnsi="Arial"/>
          <w:sz w:val="22"/>
          <w:szCs w:val="22"/>
          <w:color w:val="auto"/>
        </w:rPr>
      </w:pPr>
    </w:p>
    <w:p>
      <w:pPr>
        <w:ind w:left="400" w:hanging="392"/>
        <w:spacing w:after="0"/>
        <w:tabs>
          <w:tab w:leader="none" w:pos="400" w:val="left"/>
        </w:tabs>
        <w:numPr>
          <w:ilvl w:val="0"/>
          <w:numId w:val="2"/>
        </w:numPr>
        <w:rPr>
          <w:rFonts w:ascii="Arial" w:cs="Arial" w:eastAsia="Arial" w:hAnsi="Arial"/>
          <w:sz w:val="22"/>
          <w:szCs w:val="22"/>
          <w:color w:val="auto"/>
        </w:rPr>
      </w:pPr>
      <w:r>
        <w:rPr>
          <w:rFonts w:ascii="Arial" w:cs="Arial" w:eastAsia="Arial" w:hAnsi="Arial"/>
          <w:sz w:val="20"/>
          <w:szCs w:val="20"/>
          <w:color w:val="auto"/>
        </w:rPr>
        <w:t>Surpassed 60,000 procedures performed by over 2,500 surgeons worldwide</w:t>
      </w:r>
    </w:p>
    <w:p>
      <w:pPr>
        <w:spacing w:after="0" w:line="276"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“Our resilient performance in the third quarter reflects the growing demand for our sacropelvic surgical solutions and the perseverance of our employees to support surgeons and their patients during this challenging period.” said Laura Francis, Chief Executive Officer. “I am confident that, as the pandemic-related disruptions subside, our investment in differentiated solutions and our commercialization strategy combined with nearly universal coverage of minimally invasive sacroiliac joint fusion in the U.S., sets us up to further penetrate the market and drive top line growth.”</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Financial Results</w:t>
      </w:r>
    </w:p>
    <w:p>
      <w:pPr>
        <w:spacing w:after="0" w:line="289" w:lineRule="exact"/>
        <w:rPr>
          <w:sz w:val="20"/>
          <w:szCs w:val="20"/>
          <w:color w:val="auto"/>
        </w:rPr>
      </w:pPr>
    </w:p>
    <w:p>
      <w:pPr>
        <w:jc w:val="both"/>
        <w:spacing w:after="0" w:line="345" w:lineRule="auto"/>
        <w:rPr>
          <w:sz w:val="20"/>
          <w:szCs w:val="20"/>
          <w:color w:val="auto"/>
        </w:rPr>
      </w:pPr>
      <w:r>
        <w:rPr>
          <w:rFonts w:ascii="Arial" w:cs="Arial" w:eastAsia="Arial" w:hAnsi="Arial"/>
          <w:sz w:val="18"/>
          <w:szCs w:val="18"/>
          <w:color w:val="auto"/>
        </w:rPr>
        <w:t>Worldwide revenue was $22.3 million in the third quarter 2021, a 9% increase from $20.4 million in the corresponding period in 2020. U.S. revenue for the third quarter 2021 was $20.4 million, a 8% increase from $18.9 million in the corresponding period in 2020. International revenue for the third quarter 2021 was $1.9 million, a 31% increase from $1.4 million in the corresponding period in 2020. The third quarter 2021 was negatively impacted by COVID deferrals while the third quarter 2020 benefited from COVID rescheduling.</w:t>
      </w:r>
    </w:p>
    <w:p>
      <w:pPr>
        <w:spacing w:after="0" w:line="187"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Gross margin was 89% for the third quarter 2021, as compared to 87% in the corresponding period in 2020. Gross margin in the third quarter 2020 was impacted by increased write-downs of iFuse-related inventory as a result of the more rapid than anticipated adoption of iFuse-3D.</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302" w:lineRule="auto"/>
        <w:rPr>
          <w:sz w:val="20"/>
          <w:szCs w:val="20"/>
          <w:color w:val="auto"/>
        </w:rPr>
      </w:pPr>
      <w:r>
        <w:rPr>
          <w:rFonts w:ascii="Arial" w:cs="Arial" w:eastAsia="Arial" w:hAnsi="Arial"/>
          <w:sz w:val="20"/>
          <w:szCs w:val="20"/>
          <w:color w:val="auto"/>
        </w:rPr>
        <w:t>Operating expenses increased 25% to $33.0 million in the third quarter 2021, as compared to $26.5 million in the corresponding period in 2020. The increase was driven by higher sales and marketing expenses related to increased sales hiring, research and development expenses and increased stock-based compensation expense. The third quarter 2020 operating expenses were impacted by preemptive steps taken in response to COVID-19 to reduce discretionary spending.</w:t>
      </w:r>
    </w:p>
    <w:p>
      <w:pPr>
        <w:spacing w:after="0" w:line="21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Operating loss was $13.2 million in the third quarter 2021, as compared to an operating loss of $8.7 million in the corresponding period in 2020.</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Net loss was $15.9 million, or $0.48 per diluted share for the third quarter 2021, as compared to a net loss of $9.5 million, or $0.33 per diluted share in the corresponding period in 2020. Net loss was impacted by $1.8 million in debt extinguishment costs as part of the refinancing.</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Cash and marketable securities were $160.9 million and long-term borrowings were $34.9 million as of September 30, 2021.</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Financial Guidance Updated</w:t>
      </w:r>
    </w:p>
    <w:p>
      <w:pPr>
        <w:spacing w:after="0" w:line="249"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While the operating environment continues to improve, SI-BONE remains cognizant of the near-term uncertainty surrounding COVID-19 and the potential impact on elective procedures as well as to healthcare infrastructure. </w:t>
      </w:r>
      <w:r>
        <w:rPr>
          <w:rFonts w:ascii="Arial" w:cs="Arial" w:eastAsia="Arial" w:hAnsi="Arial"/>
          <w:sz w:val="20"/>
          <w:szCs w:val="20"/>
          <w:color w:val="auto"/>
        </w:rPr>
        <w:t>T</w:t>
      </w:r>
      <w:r>
        <w:rPr>
          <w:rFonts w:ascii="Arial" w:cs="Arial" w:eastAsia="Arial" w:hAnsi="Arial"/>
          <w:sz w:val="19"/>
          <w:szCs w:val="19"/>
          <w:color w:val="auto"/>
        </w:rPr>
        <w:t>he Company is updating the full year 2021 total revenue guidance to be approximately $89 million to $90 million, representing growth of 21% to 23% compared to full year 2020.</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7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 xml:space="preserve">SI-BONE will host a conference call to discuss the third quarter 2021 financial results after market close on Monday, November 8, 2021 at 4:30 P.M. Eastern Time. The conference call can be accessed live over the phone </w:t>
      </w:r>
      <w:r>
        <w:rPr>
          <w:rFonts w:ascii="Arial" w:cs="Arial" w:eastAsia="Arial" w:hAnsi="Arial"/>
          <w:sz w:val="19"/>
          <w:szCs w:val="19"/>
          <w:color w:val="auto"/>
        </w:rPr>
        <w:t>(866) 470-1968</w:t>
      </w:r>
      <w:r>
        <w:rPr>
          <w:rFonts w:ascii="Arial" w:cs="Arial" w:eastAsia="Arial" w:hAnsi="Arial"/>
          <w:sz w:val="18"/>
          <w:szCs w:val="18"/>
          <w:color w:val="auto"/>
        </w:rPr>
        <w:t xml:space="preserve"> for domestic callers or </w:t>
      </w:r>
      <w:r>
        <w:rPr>
          <w:rFonts w:ascii="Arial" w:cs="Arial" w:eastAsia="Arial" w:hAnsi="Arial"/>
          <w:sz w:val="19"/>
          <w:szCs w:val="19"/>
          <w:color w:val="auto"/>
        </w:rPr>
        <w:t>(409) 217-8248</w:t>
      </w:r>
      <w:r>
        <w:rPr>
          <w:rFonts w:ascii="Arial" w:cs="Arial" w:eastAsia="Arial" w:hAnsi="Arial"/>
          <w:sz w:val="18"/>
          <w:szCs w:val="18"/>
          <w:color w:val="auto"/>
        </w:rPr>
        <w:t xml:space="preserve"> for international callers, using conference ID: </w:t>
      </w:r>
      <w:r>
        <w:rPr>
          <w:rFonts w:ascii="Arial" w:cs="Arial" w:eastAsia="Arial" w:hAnsi="Arial"/>
          <w:sz w:val="19"/>
          <w:szCs w:val="19"/>
          <w:color w:val="auto"/>
        </w:rPr>
        <w:t>4991983</w:t>
      </w:r>
      <w:r>
        <w:rPr>
          <w:rFonts w:ascii="Arial" w:cs="Arial" w:eastAsia="Arial" w:hAnsi="Arial"/>
          <w:sz w:val="18"/>
          <w:szCs w:val="18"/>
          <w:color w:val="auto"/>
        </w:rPr>
        <w:t xml:space="preserve">. The webcast can be accessed at </w:t>
      </w:r>
      <w:r>
        <w:rPr>
          <w:rFonts w:ascii="Arial" w:cs="Arial" w:eastAsia="Arial" w:hAnsi="Arial"/>
          <w:sz w:val="19"/>
          <w:szCs w:val="19"/>
          <w:u w:val="single" w:color="auto"/>
          <w:color w:val="0000FF"/>
        </w:rPr>
        <w:t>https://investor.si-bone.com</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SI-BONE (NASDAQ: SIBN) is a global leader in technology for surgical treatment of musculoskeletal disorders of the sacropelvic anatomy. In 2009, SI-BONE introduced the iFuse Implant System for minimally invasive surgery of the SI joint, shown to be a source of pain in 15% to 30% of chronic low back pain. Since then, more than 2,500 surgeons have performed a combined total of more than 60,000 SI joint fusion procedures. A unique body of evidence, supporting the iFuse Implant System, including two RCT’s and over 100 peer reviewed publications, has enabled multiple government and private insurance payors to establish coverage of the SI joint fusion procedure exclusively when performed with the iFuse Implant System. SI-BONE is leveraging its market leadership position, supported by this proprietary reimbursement advantage, to commercialize other devices intended for surgical treatment of related aspects of the human anatomy. For more information or to join our team, please visit us at </w:t>
      </w:r>
      <w:r>
        <w:rPr>
          <w:rFonts w:ascii="Arial" w:cs="Arial" w:eastAsia="Arial" w:hAnsi="Arial"/>
          <w:sz w:val="19"/>
          <w:szCs w:val="19"/>
          <w:color w:val="0000FF"/>
        </w:rPr>
        <w:t>www.si-bone.com</w:t>
      </w:r>
      <w:r>
        <w:rPr>
          <w:rFonts w:ascii="Arial" w:cs="Arial" w:eastAsia="Arial" w:hAnsi="Arial"/>
          <w:sz w:val="19"/>
          <w:szCs w:val="19"/>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on the company or the products including risks and benefits, please visit </w:t>
      </w:r>
      <w:r>
        <w:rPr>
          <w:rFonts w:ascii="Arial" w:cs="Arial" w:eastAsia="Arial" w:hAnsi="Arial"/>
          <w:sz w:val="20"/>
          <w:szCs w:val="20"/>
          <w:color w:val="0000FF"/>
        </w:rPr>
        <w:t>www.si-bone.com</w:t>
      </w:r>
      <w:r>
        <w:rPr>
          <w:rFonts w:ascii="Arial" w:cs="Arial" w:eastAsia="Arial" w:hAnsi="Arial"/>
          <w:sz w:val="20"/>
          <w:szCs w:val="20"/>
          <w:color w:val="auto"/>
        </w:rPr>
        <w:t>.</w:t>
      </w:r>
    </w:p>
    <w:p>
      <w:pPr>
        <w:sectPr>
          <w:pgSz w:w="11900" w:h="16838" w:orient="portrait"/>
          <w:cols w:equalWidth="0" w:num="1">
            <w:col w:w="11240"/>
          </w:cols>
          <w:pgMar w:left="320" w:top="919"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SI-BONE and iFuse Implant System are registered trademarks of SI-BONE, Inc. ©2021 SI-BONE, Inc. All Rights Reserved.</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and obtain favorable coverage and reimbursement determinations from third-party payors.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Matt Bacso, CFA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90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44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51,243</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44,616</w:t>
            </w:r>
          </w:p>
        </w:tc>
        <w:tc>
          <w:tcPr>
            <w:tcW w:w="0" w:type="dxa"/>
            <w:vAlign w:val="bottom"/>
          </w:tcPr>
          <w:p>
            <w:pPr>
              <w:spacing w:after="0"/>
              <w:rPr>
                <w:sz w:val="1"/>
                <w:szCs w:val="1"/>
                <w:color w:val="auto"/>
              </w:rPr>
            </w:pPr>
          </w:p>
        </w:tc>
      </w:tr>
      <w:tr>
        <w:trPr>
          <w:trHeight w:val="210"/>
        </w:trPr>
        <w:tc>
          <w:tcPr>
            <w:tcW w:w="570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53,808</w:t>
            </w: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14,471</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75,312</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29"/>
        </w:trPr>
        <w:tc>
          <w:tcPr>
            <w:tcW w:w="570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700" w:type="dxa"/>
            <w:vAlign w:val="bottom"/>
          </w:tcPr>
          <w:p>
            <w:pPr>
              <w:ind w:left="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(15,872)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(9,474)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(42,095)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(34,718)</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shd w:val="clear" w:color="auto" w:fill="CCEEFF"/>
          </w:tcPr>
          <w:p>
            <w:pPr>
              <w:ind w:left="60"/>
              <w:spacing w:after="0" w:line="142" w:lineRule="exact"/>
              <w:rPr>
                <w:sz w:val="20"/>
                <w:szCs w:val="20"/>
                <w:color w:val="auto"/>
              </w:rPr>
            </w:pPr>
            <w:r>
              <w:rPr>
                <w:rFonts w:ascii="Arial" w:cs="Arial" w:eastAsia="Arial" w:hAnsi="Arial"/>
                <w:sz w:val="16"/>
                <w:szCs w:val="16"/>
                <w:color w:val="auto"/>
              </w:rPr>
              <w:t>Weighted-average number of common shares used to compute basic and</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33,340,093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28,713,418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33,005,904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28,155,561</w:t>
            </w:r>
          </w:p>
        </w:tc>
        <w:tc>
          <w:tcPr>
            <w:tcW w:w="0" w:type="dxa"/>
            <w:vAlign w:val="bottom"/>
          </w:tcPr>
          <w:p>
            <w:pPr>
              <w:spacing w:after="0"/>
              <w:rPr>
                <w:sz w:val="1"/>
                <w:szCs w:val="1"/>
                <w:color w:val="auto"/>
              </w:rPr>
            </w:pPr>
          </w:p>
        </w:tc>
      </w:tr>
      <w:tr>
        <w:trPr>
          <w:trHeight w:val="222"/>
        </w:trPr>
        <w:tc>
          <w:tcPr>
            <w:tcW w:w="570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 net loss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6"/>
                <w:szCs w:val="16"/>
                <w:b w:val="1"/>
                <w:bCs w:val="1"/>
                <w:color w:val="auto"/>
                <w:w w:val="90"/>
              </w:rPr>
              <w:t>December 31, 2020</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53,581</w:t>
            </w: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100,988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142,851</w:t>
            </w: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r>
      <w:tr>
        <w:trPr>
          <w:trHeight w:val="229"/>
        </w:trPr>
        <w:tc>
          <w:tcPr>
            <w:tcW w:w="70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5,633</w:t>
            </w:r>
          </w:p>
        </w:tc>
      </w:tr>
      <w:tr>
        <w:trPr>
          <w:trHeight w:val="230"/>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185,648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218,241</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3"/>
        </w:trPr>
        <w:tc>
          <w:tcPr>
            <w:tcW w:w="70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193,966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4,139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3,271</w:t>
            </w: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13,470</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39,455</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53,779</w:t>
            </w:r>
          </w:p>
        </w:tc>
      </w:tr>
      <w:tr>
        <w:trPr>
          <w:trHeight w:val="250"/>
        </w:trPr>
        <w:tc>
          <w:tcPr>
            <w:tcW w:w="7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424,564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408,116</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(281,372)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(239,277)</w:t>
            </w:r>
          </w:p>
        </w:tc>
      </w:tr>
      <w:tr>
        <w:trPr>
          <w:trHeight w:val="223"/>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143,618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169,363</w:t>
            </w:r>
          </w:p>
        </w:tc>
      </w:tr>
      <w:tr>
        <w:trPr>
          <w:trHeight w:val="223"/>
        </w:trPr>
        <w:tc>
          <w:tcPr>
            <w:tcW w:w="706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193,966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260"/>
      </w:cols>
      <w:pgMar w:left="820" w:top="89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2021-11-08T15:16:57Z</dcterms:created>
  <dcterms:modified xsi:type="dcterms:W3CDTF">2021-11-08T15:16:57Z</dcterms:modified>
</cp:coreProperties>
</file>