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12, 2021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122555</wp:posOffset>
            </wp:positionV>
            <wp:extent cx="19202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tbl>
      <w:tblPr>
        <w:tblLayout w:type="fixed"/>
        <w:tblInd w:w="2080" w:type="dxa"/>
        <w:tblCellMar>
          <w:top w:w="0" w:type="dxa"/>
          <w:left w:w="0" w:type="dxa"/>
          <w:bottom w:w="0" w:type="dxa"/>
          <w:right w:w="0" w:type="dxa"/>
        </w:tblCellMar>
      </w:tblPr>
      <w:tr>
        <w:trPr>
          <w:trHeight w:val="280"/>
        </w:trPr>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gridSpan w:val="2"/>
          </w:tcPr>
          <w:p>
            <w:pPr>
              <w:jc w:val="center"/>
              <w:ind w:right="1848"/>
              <w:spacing w:after="0"/>
              <w:rPr>
                <w:sz w:val="20"/>
                <w:szCs w:val="20"/>
                <w:color w:val="auto"/>
              </w:rPr>
            </w:pPr>
            <w:r>
              <w:rPr>
                <w:rFonts w:ascii="Arial" w:cs="Arial" w:eastAsia="Arial" w:hAnsi="Arial"/>
                <w:sz w:val="22"/>
                <w:szCs w:val="22"/>
                <w:b w:val="1"/>
                <w:bCs w:val="1"/>
                <w:color w:val="auto"/>
                <w:w w:val="96"/>
              </w:rPr>
              <w:t>FORM S-3</w:t>
            </w:r>
          </w:p>
        </w:tc>
      </w:tr>
      <w:tr>
        <w:trPr>
          <w:trHeight w:val="297"/>
        </w:trPr>
        <w:tc>
          <w:tcPr>
            <w:tcW w:w="1920" w:type="dxa"/>
            <w:vAlign w:val="bottom"/>
          </w:tcPr>
          <w:p>
            <w:pPr>
              <w:spacing w:after="0"/>
              <w:rPr>
                <w:sz w:val="24"/>
                <w:szCs w:val="24"/>
                <w:color w:val="auto"/>
              </w:rPr>
            </w:pPr>
          </w:p>
        </w:tc>
        <w:tc>
          <w:tcPr>
            <w:tcW w:w="5060" w:type="dxa"/>
            <w:vAlign w:val="bottom"/>
            <w:gridSpan w:val="3"/>
          </w:tcPr>
          <w:p>
            <w:pPr>
              <w:jc w:val="center"/>
              <w:ind w:right="1748"/>
              <w:spacing w:after="0"/>
              <w:rPr>
                <w:sz w:val="20"/>
                <w:szCs w:val="20"/>
                <w:color w:val="auto"/>
              </w:rPr>
            </w:pPr>
            <w:r>
              <w:rPr>
                <w:rFonts w:ascii="Arial" w:cs="Arial" w:eastAsia="Arial" w:hAnsi="Arial"/>
                <w:sz w:val="22"/>
                <w:szCs w:val="22"/>
                <w:b w:val="1"/>
                <w:bCs w:val="1"/>
                <w:color w:val="auto"/>
                <w:w w:val="99"/>
              </w:rPr>
              <w:t>REGISTRATION STATEMENT</w:t>
            </w:r>
          </w:p>
        </w:tc>
      </w:tr>
      <w:tr>
        <w:trPr>
          <w:trHeight w:val="297"/>
        </w:trPr>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gridSpan w:val="2"/>
          </w:tcPr>
          <w:p>
            <w:pPr>
              <w:jc w:val="center"/>
              <w:ind w:right="1868"/>
              <w:spacing w:after="0"/>
              <w:rPr>
                <w:sz w:val="20"/>
                <w:szCs w:val="20"/>
                <w:color w:val="auto"/>
              </w:rPr>
            </w:pPr>
            <w:r>
              <w:rPr>
                <w:rFonts w:ascii="Arial" w:cs="Arial" w:eastAsia="Arial" w:hAnsi="Arial"/>
                <w:sz w:val="22"/>
                <w:szCs w:val="22"/>
                <w:b w:val="1"/>
                <w:bCs w:val="1"/>
                <w:i w:val="1"/>
                <w:iCs w:val="1"/>
                <w:color w:val="auto"/>
                <w:w w:val="97"/>
              </w:rPr>
              <w:t>UNDER</w:t>
            </w:r>
          </w:p>
        </w:tc>
      </w:tr>
      <w:tr>
        <w:trPr>
          <w:trHeight w:val="297"/>
        </w:trPr>
        <w:tc>
          <w:tcPr>
            <w:tcW w:w="1920" w:type="dxa"/>
            <w:vAlign w:val="bottom"/>
          </w:tcPr>
          <w:p>
            <w:pPr>
              <w:spacing w:after="0"/>
              <w:rPr>
                <w:sz w:val="24"/>
                <w:szCs w:val="24"/>
                <w:color w:val="auto"/>
              </w:rPr>
            </w:pPr>
          </w:p>
        </w:tc>
        <w:tc>
          <w:tcPr>
            <w:tcW w:w="5060" w:type="dxa"/>
            <w:vAlign w:val="bottom"/>
            <w:gridSpan w:val="3"/>
          </w:tcPr>
          <w:p>
            <w:pPr>
              <w:jc w:val="center"/>
              <w:ind w:right="1748"/>
              <w:spacing w:after="0"/>
              <w:rPr>
                <w:sz w:val="20"/>
                <w:szCs w:val="20"/>
                <w:color w:val="auto"/>
              </w:rPr>
            </w:pPr>
            <w:r>
              <w:rPr>
                <w:rFonts w:ascii="Arial" w:cs="Arial" w:eastAsia="Arial" w:hAnsi="Arial"/>
                <w:sz w:val="22"/>
                <w:szCs w:val="22"/>
                <w:b w:val="1"/>
                <w:bCs w:val="1"/>
                <w:i w:val="1"/>
                <w:iCs w:val="1"/>
                <w:color w:val="auto"/>
                <w:w w:val="94"/>
              </w:rPr>
              <w:t>THE SECURITIES ACT OF 1933</w:t>
            </w:r>
          </w:p>
        </w:tc>
      </w:tr>
      <w:tr>
        <w:trPr>
          <w:trHeight w:val="186"/>
        </w:trPr>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tcBorders>
              <w:bottom w:val="single" w:sz="8" w:color="auto"/>
            </w:tcBorders>
          </w:tcPr>
          <w:p>
            <w:pPr>
              <w:spacing w:after="0"/>
              <w:rPr>
                <w:sz w:val="16"/>
                <w:szCs w:val="16"/>
                <w:color w:val="auto"/>
              </w:rPr>
            </w:pPr>
          </w:p>
        </w:tc>
        <w:tc>
          <w:tcPr>
            <w:tcW w:w="1920" w:type="dxa"/>
            <w:vAlign w:val="bottom"/>
          </w:tcPr>
          <w:p>
            <w:pPr>
              <w:spacing w:after="0"/>
              <w:rPr>
                <w:sz w:val="16"/>
                <w:szCs w:val="16"/>
                <w:color w:val="auto"/>
              </w:rPr>
            </w:pPr>
          </w:p>
        </w:tc>
      </w:tr>
      <w:tr>
        <w:trPr>
          <w:trHeight w:val="451"/>
        </w:trPr>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gridSpan w:val="2"/>
          </w:tcPr>
          <w:p>
            <w:pPr>
              <w:jc w:val="center"/>
              <w:ind w:right="1868"/>
              <w:spacing w:after="0"/>
              <w:rPr>
                <w:sz w:val="20"/>
                <w:szCs w:val="20"/>
                <w:color w:val="auto"/>
              </w:rPr>
            </w:pPr>
            <w:r>
              <w:rPr>
                <w:rFonts w:ascii="Arial" w:cs="Arial" w:eastAsia="Arial" w:hAnsi="Arial"/>
                <w:sz w:val="29"/>
                <w:szCs w:val="29"/>
                <w:b w:val="1"/>
                <w:bCs w:val="1"/>
                <w:color w:val="auto"/>
                <w:w w:val="96"/>
              </w:rPr>
              <w:t>SI-BONE, Inc.</w:t>
            </w:r>
          </w:p>
        </w:tc>
      </w:tr>
      <w:tr>
        <w:trPr>
          <w:trHeight w:val="199"/>
        </w:trPr>
        <w:tc>
          <w:tcPr>
            <w:tcW w:w="1920" w:type="dxa"/>
            <w:vAlign w:val="bottom"/>
          </w:tcPr>
          <w:p>
            <w:pPr>
              <w:spacing w:after="0"/>
              <w:rPr>
                <w:sz w:val="17"/>
                <w:szCs w:val="17"/>
                <w:color w:val="auto"/>
              </w:rPr>
            </w:pPr>
          </w:p>
        </w:tc>
        <w:tc>
          <w:tcPr>
            <w:tcW w:w="5060" w:type="dxa"/>
            <w:vAlign w:val="bottom"/>
            <w:gridSpan w:val="3"/>
          </w:tcPr>
          <w:p>
            <w:pPr>
              <w:jc w:val="center"/>
              <w:ind w:right="172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344"/>
        </w:trPr>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5060" w:type="dxa"/>
            <w:vAlign w:val="bottom"/>
            <w:gridSpan w:val="3"/>
          </w:tcPr>
          <w:p>
            <w:pPr>
              <w:jc w:val="center"/>
              <w:ind w:left="3548"/>
              <w:spacing w:after="0"/>
              <w:rPr>
                <w:sz w:val="20"/>
                <w:szCs w:val="20"/>
                <w:color w:val="auto"/>
              </w:rPr>
            </w:pPr>
            <w:r>
              <w:rPr>
                <w:rFonts w:ascii="Arial" w:cs="Arial" w:eastAsia="Arial" w:hAnsi="Arial"/>
                <w:sz w:val="16"/>
                <w:szCs w:val="16"/>
                <w:b w:val="1"/>
                <w:bCs w:val="1"/>
                <w:color w:val="auto"/>
                <w:w w:val="91"/>
              </w:rPr>
              <w:t>26-2216351</w:t>
            </w:r>
          </w:p>
        </w:tc>
      </w:tr>
      <w:tr>
        <w:trPr>
          <w:trHeight w:val="210"/>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920" w:type="dxa"/>
            <w:vAlign w:val="bottom"/>
          </w:tcPr>
          <w:p>
            <w:pPr>
              <w:jc w:val="center"/>
              <w:ind w:left="408"/>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1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920" w:type="dxa"/>
            <w:vAlign w:val="bottom"/>
          </w:tcPr>
          <w:p>
            <w:pPr>
              <w:jc w:val="center"/>
              <w:ind w:left="42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127635</wp:posOffset>
            </wp:positionV>
            <wp:extent cx="19202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83" w:lineRule="exact"/>
        <w:rPr>
          <w:sz w:val="24"/>
          <w:szCs w:val="24"/>
          <w:color w:val="auto"/>
        </w:rPr>
      </w:pPr>
    </w:p>
    <w:p>
      <w:pPr>
        <w:ind w:left="4580"/>
        <w:spacing w:after="0"/>
        <w:rPr>
          <w:sz w:val="20"/>
          <w:szCs w:val="20"/>
          <w:color w:val="auto"/>
        </w:rPr>
      </w:pPr>
      <w:r>
        <w:rPr>
          <w:rFonts w:ascii="Arial" w:cs="Arial" w:eastAsia="Arial" w:hAnsi="Arial"/>
          <w:sz w:val="16"/>
          <w:szCs w:val="16"/>
          <w:b w:val="1"/>
          <w:bCs w:val="1"/>
          <w:color w:val="auto"/>
        </w:rPr>
        <w:t>471 El Camino Real, Suite 101</w:t>
      </w:r>
    </w:p>
    <w:p>
      <w:pPr>
        <w:spacing w:after="0" w:line="23" w:lineRule="exact"/>
        <w:rPr>
          <w:sz w:val="24"/>
          <w:szCs w:val="24"/>
          <w:color w:val="auto"/>
        </w:rPr>
      </w:pPr>
    </w:p>
    <w:p>
      <w:pPr>
        <w:ind w:left="4580"/>
        <w:spacing w:after="0"/>
        <w:rPr>
          <w:sz w:val="20"/>
          <w:szCs w:val="20"/>
          <w:color w:val="auto"/>
        </w:rPr>
      </w:pPr>
      <w:r>
        <w:rPr>
          <w:rFonts w:ascii="Arial" w:cs="Arial" w:eastAsia="Arial" w:hAnsi="Arial"/>
          <w:sz w:val="16"/>
          <w:szCs w:val="16"/>
          <w:b w:val="1"/>
          <w:bCs w:val="1"/>
          <w:color w:val="auto"/>
        </w:rPr>
        <w:t>Santa Clara, California 95050</w:t>
      </w:r>
    </w:p>
    <w:p>
      <w:pPr>
        <w:spacing w:after="0" w:line="8"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b w:val="1"/>
          <w:bCs w:val="1"/>
          <w:color w:val="auto"/>
        </w:rPr>
        <w:t>(408) 207</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0700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124460</wp:posOffset>
            </wp:positionV>
            <wp:extent cx="19202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5020"/>
        <w:spacing w:after="0"/>
        <w:rPr>
          <w:sz w:val="20"/>
          <w:szCs w:val="20"/>
          <w:color w:val="auto"/>
        </w:rPr>
      </w:pPr>
      <w:r>
        <w:rPr>
          <w:rFonts w:ascii="Arial" w:cs="Arial" w:eastAsia="Arial" w:hAnsi="Arial"/>
          <w:sz w:val="16"/>
          <w:szCs w:val="16"/>
          <w:b w:val="1"/>
          <w:bCs w:val="1"/>
          <w:color w:val="auto"/>
        </w:rPr>
        <w:t>Laura A. Francis</w:t>
      </w:r>
    </w:p>
    <w:p>
      <w:pPr>
        <w:spacing w:after="0" w:line="26" w:lineRule="exact"/>
        <w:rPr>
          <w:sz w:val="24"/>
          <w:szCs w:val="24"/>
          <w:color w:val="auto"/>
        </w:rPr>
      </w:pPr>
    </w:p>
    <w:p>
      <w:pPr>
        <w:ind w:left="3820"/>
        <w:spacing w:after="0"/>
        <w:rPr>
          <w:sz w:val="20"/>
          <w:szCs w:val="20"/>
          <w:color w:val="auto"/>
        </w:rPr>
      </w:pPr>
      <w:r>
        <w:rPr>
          <w:rFonts w:ascii="Arial" w:cs="Arial" w:eastAsia="Arial" w:hAnsi="Arial"/>
          <w:sz w:val="16"/>
          <w:szCs w:val="16"/>
          <w:b w:val="1"/>
          <w:bCs w:val="1"/>
          <w:color w:val="auto"/>
        </w:rPr>
        <w:t>Chief Financial Officer and Chief Operating Officer</w:t>
      </w:r>
    </w:p>
    <w:p>
      <w:pPr>
        <w:spacing w:after="0" w:line="15" w:lineRule="exact"/>
        <w:rPr>
          <w:sz w:val="24"/>
          <w:szCs w:val="24"/>
          <w:color w:val="auto"/>
        </w:rPr>
      </w:pPr>
    </w:p>
    <w:p>
      <w:pPr>
        <w:ind w:left="4580"/>
        <w:spacing w:after="0"/>
        <w:rPr>
          <w:sz w:val="20"/>
          <w:szCs w:val="20"/>
          <w:color w:val="auto"/>
        </w:rPr>
      </w:pPr>
      <w:r>
        <w:rPr>
          <w:rFonts w:ascii="Arial" w:cs="Arial" w:eastAsia="Arial" w:hAnsi="Arial"/>
          <w:sz w:val="16"/>
          <w:szCs w:val="16"/>
          <w:b w:val="1"/>
          <w:bCs w:val="1"/>
          <w:color w:val="auto"/>
        </w:rPr>
        <w:t>471 El Camino Real, Suite 101</w:t>
      </w:r>
    </w:p>
    <w:p>
      <w:pPr>
        <w:spacing w:after="0" w:line="5" w:lineRule="exact"/>
        <w:rPr>
          <w:sz w:val="24"/>
          <w:szCs w:val="24"/>
          <w:color w:val="auto"/>
        </w:rPr>
      </w:pPr>
    </w:p>
    <w:p>
      <w:pPr>
        <w:ind w:left="4580"/>
        <w:spacing w:after="0"/>
        <w:rPr>
          <w:sz w:val="20"/>
          <w:szCs w:val="20"/>
          <w:color w:val="auto"/>
        </w:rPr>
      </w:pPr>
      <w:r>
        <w:rPr>
          <w:rFonts w:ascii="Arial" w:cs="Arial" w:eastAsia="Arial" w:hAnsi="Arial"/>
          <w:sz w:val="16"/>
          <w:szCs w:val="16"/>
          <w:b w:val="1"/>
          <w:bCs w:val="1"/>
          <w:color w:val="auto"/>
        </w:rPr>
        <w:t>Santa Clara, California 95050</w:t>
      </w:r>
    </w:p>
    <w:p>
      <w:pPr>
        <w:spacing w:after="0" w:line="8"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(408) 207</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0700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116205</wp:posOffset>
            </wp:positionV>
            <wp:extent cx="19202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96" w:lineRule="exact"/>
        <w:rPr>
          <w:sz w:val="24"/>
          <w:szCs w:val="24"/>
          <w:color w:val="auto"/>
        </w:rPr>
      </w:pPr>
    </w:p>
    <w:tbl>
      <w:tblPr>
        <w:tblLayout w:type="fixed"/>
        <w:tblInd w:w="1160" w:type="dxa"/>
        <w:tblCellMar>
          <w:top w:w="0" w:type="dxa"/>
          <w:left w:w="0" w:type="dxa"/>
          <w:bottom w:w="0" w:type="dxa"/>
          <w:right w:w="0" w:type="dxa"/>
        </w:tblCellMar>
      </w:tblPr>
      <w:tr>
        <w:trPr>
          <w:trHeight w:val="206"/>
        </w:trPr>
        <w:tc>
          <w:tcPr>
            <w:tcW w:w="2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360" w:type="dxa"/>
            <w:vAlign w:val="bottom"/>
            <w:gridSpan w:val="2"/>
          </w:tcPr>
          <w:p>
            <w:pPr>
              <w:ind w:left="420"/>
              <w:spacing w:after="0"/>
              <w:rPr>
                <w:sz w:val="20"/>
                <w:szCs w:val="20"/>
                <w:color w:val="auto"/>
              </w:rPr>
            </w:pPr>
            <w:r>
              <w:rPr>
                <w:rFonts w:ascii="Arial" w:cs="Arial" w:eastAsia="Arial" w:hAnsi="Arial"/>
                <w:sz w:val="16"/>
                <w:szCs w:val="16"/>
                <w:b w:val="1"/>
                <w:bCs w:val="1"/>
                <w:i w:val="1"/>
                <w:iCs w:val="1"/>
                <w:color w:val="auto"/>
              </w:rPr>
              <w:t>Copies to:</w:t>
            </w:r>
          </w:p>
        </w:tc>
      </w:tr>
      <w:tr>
        <w:trPr>
          <w:trHeight w:val="208"/>
        </w:trPr>
        <w:tc>
          <w:tcPr>
            <w:tcW w:w="37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Michael A. Pisetsky</w:t>
            </w:r>
          </w:p>
        </w:tc>
        <w:tc>
          <w:tcPr>
            <w:tcW w:w="2280" w:type="dxa"/>
            <w:vAlign w:val="bottom"/>
          </w:tcPr>
          <w:p>
            <w:pPr>
              <w:spacing w:after="0"/>
              <w:rPr>
                <w:sz w:val="18"/>
                <w:szCs w:val="18"/>
                <w:color w:val="auto"/>
              </w:rPr>
            </w:pPr>
          </w:p>
        </w:tc>
        <w:tc>
          <w:tcPr>
            <w:tcW w:w="2080" w:type="dxa"/>
            <w:vAlign w:val="bottom"/>
          </w:tcPr>
          <w:p>
            <w:pPr>
              <w:jc w:val="center"/>
              <w:ind w:left="359"/>
              <w:spacing w:after="0"/>
              <w:rPr>
                <w:sz w:val="20"/>
                <w:szCs w:val="20"/>
                <w:color w:val="auto"/>
              </w:rPr>
            </w:pPr>
            <w:r>
              <w:rPr>
                <w:rFonts w:ascii="Arial" w:cs="Arial" w:eastAsia="Arial" w:hAnsi="Arial"/>
                <w:sz w:val="16"/>
                <w:szCs w:val="16"/>
                <w:b w:val="1"/>
                <w:bCs w:val="1"/>
                <w:color w:val="auto"/>
                <w:w w:val="95"/>
              </w:rPr>
              <w:t>Matthew B. Hemington</w:t>
            </w:r>
          </w:p>
        </w:tc>
      </w:tr>
      <w:tr>
        <w:trPr>
          <w:trHeight w:val="175"/>
        </w:trPr>
        <w:tc>
          <w:tcPr>
            <w:tcW w:w="370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92"/>
              </w:rPr>
              <w:t>General Counsel and Chief Compliance Officer</w:t>
            </w:r>
          </w:p>
        </w:tc>
        <w:tc>
          <w:tcPr>
            <w:tcW w:w="2280" w:type="dxa"/>
            <w:vAlign w:val="bottom"/>
          </w:tcPr>
          <w:p>
            <w:pPr>
              <w:spacing w:after="0"/>
              <w:rPr>
                <w:sz w:val="15"/>
                <w:szCs w:val="15"/>
                <w:color w:val="auto"/>
              </w:rPr>
            </w:pPr>
          </w:p>
        </w:tc>
        <w:tc>
          <w:tcPr>
            <w:tcW w:w="2080" w:type="dxa"/>
            <w:vAlign w:val="bottom"/>
          </w:tcPr>
          <w:p>
            <w:pPr>
              <w:jc w:val="center"/>
              <w:ind w:left="339"/>
              <w:spacing w:after="0" w:line="175" w:lineRule="exact"/>
              <w:rPr>
                <w:sz w:val="20"/>
                <w:szCs w:val="20"/>
                <w:color w:val="auto"/>
              </w:rPr>
            </w:pPr>
            <w:r>
              <w:rPr>
                <w:rFonts w:ascii="Arial" w:cs="Arial" w:eastAsia="Arial" w:hAnsi="Arial"/>
                <w:sz w:val="16"/>
                <w:szCs w:val="16"/>
                <w:b w:val="1"/>
                <w:bCs w:val="1"/>
                <w:color w:val="auto"/>
                <w:w w:val="96"/>
              </w:rPr>
              <w:t>Brett D. White</w:t>
            </w:r>
          </w:p>
        </w:tc>
      </w:tr>
      <w:tr>
        <w:trPr>
          <w:trHeight w:val="175"/>
        </w:trPr>
        <w:tc>
          <w:tcPr>
            <w:tcW w:w="3700" w:type="dxa"/>
            <w:vAlign w:val="bottom"/>
            <w:gridSpan w:val="2"/>
          </w:tcPr>
          <w:p>
            <w:pPr>
              <w:jc w:val="center"/>
              <w:ind w:right="400"/>
              <w:spacing w:after="0" w:line="175" w:lineRule="exact"/>
              <w:rPr>
                <w:sz w:val="20"/>
                <w:szCs w:val="20"/>
                <w:color w:val="auto"/>
              </w:rPr>
            </w:pPr>
            <w:r>
              <w:rPr>
                <w:rFonts w:ascii="Arial" w:cs="Arial" w:eastAsia="Arial" w:hAnsi="Arial"/>
                <w:sz w:val="16"/>
                <w:szCs w:val="16"/>
                <w:b w:val="1"/>
                <w:bCs w:val="1"/>
                <w:color w:val="auto"/>
                <w:w w:val="92"/>
              </w:rPr>
              <w:t>471 El Camino Real, Suite 101</w:t>
            </w:r>
          </w:p>
        </w:tc>
        <w:tc>
          <w:tcPr>
            <w:tcW w:w="2280" w:type="dxa"/>
            <w:vAlign w:val="bottom"/>
          </w:tcPr>
          <w:p>
            <w:pPr>
              <w:spacing w:after="0"/>
              <w:rPr>
                <w:sz w:val="15"/>
                <w:szCs w:val="15"/>
                <w:color w:val="auto"/>
              </w:rPr>
            </w:pPr>
          </w:p>
        </w:tc>
        <w:tc>
          <w:tcPr>
            <w:tcW w:w="2080" w:type="dxa"/>
            <w:vAlign w:val="bottom"/>
          </w:tcPr>
          <w:p>
            <w:pPr>
              <w:jc w:val="center"/>
              <w:ind w:left="359"/>
              <w:spacing w:after="0" w:line="175" w:lineRule="exact"/>
              <w:rPr>
                <w:sz w:val="20"/>
                <w:szCs w:val="20"/>
                <w:color w:val="auto"/>
              </w:rPr>
            </w:pPr>
            <w:r>
              <w:rPr>
                <w:rFonts w:ascii="Arial" w:cs="Arial" w:eastAsia="Arial" w:hAnsi="Arial"/>
                <w:sz w:val="16"/>
                <w:szCs w:val="16"/>
                <w:b w:val="1"/>
                <w:bCs w:val="1"/>
                <w:color w:val="auto"/>
                <w:w w:val="95"/>
              </w:rPr>
              <w:t>Cooley LLP</w:t>
            </w:r>
          </w:p>
        </w:tc>
      </w:tr>
      <w:tr>
        <w:trPr>
          <w:trHeight w:val="175"/>
        </w:trPr>
        <w:tc>
          <w:tcPr>
            <w:tcW w:w="370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94"/>
              </w:rPr>
              <w:t>Santa Clara, CA 95050</w:t>
            </w:r>
          </w:p>
        </w:tc>
        <w:tc>
          <w:tcPr>
            <w:tcW w:w="2280" w:type="dxa"/>
            <w:vAlign w:val="bottom"/>
          </w:tcPr>
          <w:p>
            <w:pPr>
              <w:spacing w:after="0"/>
              <w:rPr>
                <w:sz w:val="15"/>
                <w:szCs w:val="15"/>
                <w:color w:val="auto"/>
              </w:rPr>
            </w:pPr>
          </w:p>
        </w:tc>
        <w:tc>
          <w:tcPr>
            <w:tcW w:w="2080" w:type="dxa"/>
            <w:vAlign w:val="bottom"/>
          </w:tcPr>
          <w:p>
            <w:pPr>
              <w:jc w:val="center"/>
              <w:ind w:left="339"/>
              <w:spacing w:after="0" w:line="175" w:lineRule="exact"/>
              <w:rPr>
                <w:sz w:val="20"/>
                <w:szCs w:val="20"/>
                <w:color w:val="auto"/>
              </w:rPr>
            </w:pPr>
            <w:r>
              <w:rPr>
                <w:rFonts w:ascii="Arial" w:cs="Arial" w:eastAsia="Arial" w:hAnsi="Arial"/>
                <w:sz w:val="16"/>
                <w:szCs w:val="16"/>
                <w:b w:val="1"/>
                <w:bCs w:val="1"/>
                <w:color w:val="auto"/>
                <w:w w:val="92"/>
              </w:rPr>
              <w:t>3175 Hanover Street</w:t>
            </w:r>
          </w:p>
        </w:tc>
      </w:tr>
      <w:tr>
        <w:trPr>
          <w:trHeight w:val="175"/>
        </w:trPr>
        <w:tc>
          <w:tcPr>
            <w:tcW w:w="370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91"/>
              </w:rPr>
              <w:t>(408) 207</w:t>
            </w:r>
            <w:r>
              <w:rPr>
                <w:rFonts w:ascii="MS PGothic" w:cs="MS PGothic" w:eastAsia="MS PGothic" w:hAnsi="MS PGothic"/>
                <w:sz w:val="16"/>
                <w:szCs w:val="16"/>
                <w:color w:val="auto"/>
                <w:w w:val="91"/>
              </w:rPr>
              <w:t>‑</w:t>
            </w:r>
            <w:r>
              <w:rPr>
                <w:rFonts w:ascii="Arial" w:cs="Arial" w:eastAsia="Arial" w:hAnsi="Arial"/>
                <w:sz w:val="16"/>
                <w:szCs w:val="16"/>
                <w:b w:val="1"/>
                <w:bCs w:val="1"/>
                <w:color w:val="auto"/>
                <w:w w:val="91"/>
              </w:rPr>
              <w:t>0700</w:t>
            </w:r>
          </w:p>
        </w:tc>
        <w:tc>
          <w:tcPr>
            <w:tcW w:w="2280" w:type="dxa"/>
            <w:vAlign w:val="bottom"/>
          </w:tcPr>
          <w:p>
            <w:pPr>
              <w:spacing w:after="0"/>
              <w:rPr>
                <w:sz w:val="15"/>
                <w:szCs w:val="15"/>
                <w:color w:val="auto"/>
              </w:rPr>
            </w:pPr>
          </w:p>
        </w:tc>
        <w:tc>
          <w:tcPr>
            <w:tcW w:w="2080" w:type="dxa"/>
            <w:vAlign w:val="bottom"/>
          </w:tcPr>
          <w:p>
            <w:pPr>
              <w:jc w:val="center"/>
              <w:ind w:left="359"/>
              <w:spacing w:after="0" w:line="175" w:lineRule="exact"/>
              <w:rPr>
                <w:sz w:val="20"/>
                <w:szCs w:val="20"/>
                <w:color w:val="auto"/>
              </w:rPr>
            </w:pPr>
            <w:r>
              <w:rPr>
                <w:rFonts w:ascii="Arial" w:cs="Arial" w:eastAsia="Arial" w:hAnsi="Arial"/>
                <w:sz w:val="16"/>
                <w:szCs w:val="16"/>
                <w:b w:val="1"/>
                <w:bCs w:val="1"/>
                <w:color w:val="auto"/>
                <w:w w:val="93"/>
              </w:rPr>
              <w:t>Palo Alto, CA 94304</w:t>
            </w:r>
          </w:p>
        </w:tc>
      </w:tr>
      <w:tr>
        <w:trPr>
          <w:trHeight w:val="210"/>
        </w:trPr>
        <w:tc>
          <w:tcPr>
            <w:tcW w:w="2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60" w:type="dxa"/>
            <w:vAlign w:val="bottom"/>
            <w:gridSpan w:val="2"/>
          </w:tcPr>
          <w:p>
            <w:pPr>
              <w:jc w:val="center"/>
              <w:ind w:left="2639"/>
              <w:spacing w:after="0"/>
              <w:rPr>
                <w:sz w:val="20"/>
                <w:szCs w:val="20"/>
                <w:color w:val="auto"/>
              </w:rPr>
            </w:pPr>
            <w:r>
              <w:rPr>
                <w:rFonts w:ascii="Arial" w:cs="Arial" w:eastAsia="Arial" w:hAnsi="Arial"/>
                <w:sz w:val="16"/>
                <w:szCs w:val="16"/>
                <w:b w:val="1"/>
                <w:bCs w:val="1"/>
                <w:color w:val="auto"/>
                <w:w w:val="91"/>
              </w:rPr>
              <w:t>(650) 843-5000</w:t>
            </w:r>
          </w:p>
        </w:tc>
      </w:tr>
      <w:tr>
        <w:trPr>
          <w:trHeight w:val="256"/>
        </w:trPr>
        <w:tc>
          <w:tcPr>
            <w:tcW w:w="296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2080" w:type="dxa"/>
            <w:vAlign w:val="bottom"/>
          </w:tcPr>
          <w:p>
            <w:pPr>
              <w:spacing w:after="0"/>
              <w:rPr>
                <w:sz w:val="22"/>
                <w:szCs w:val="22"/>
                <w:color w:val="auto"/>
              </w:rPr>
            </w:pPr>
          </w:p>
        </w:tc>
      </w:tr>
    </w:tbl>
    <w:p>
      <w:pPr>
        <w:spacing w:after="0" w:line="32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11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70" w:lineRule="exact"/>
        <w:rPr>
          <w:sz w:val="24"/>
          <w:szCs w:val="24"/>
          <w:color w:val="auto"/>
        </w:rPr>
      </w:pPr>
    </w:p>
    <w:p>
      <w:pPr>
        <w:spacing w:after="0" w:line="221"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00" w:lineRule="exact"/>
        <w:rPr>
          <w:sz w:val="24"/>
          <w:szCs w:val="24"/>
          <w:color w:val="auto"/>
        </w:rPr>
      </w:pPr>
    </w:p>
    <w:p>
      <w:pPr>
        <w:spacing w:after="0" w:line="221"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00" w:lineRule="exact"/>
        <w:rPr>
          <w:sz w:val="24"/>
          <w:szCs w:val="24"/>
          <w:color w:val="auto"/>
        </w:rPr>
      </w:pPr>
    </w:p>
    <w:p>
      <w:pPr>
        <w:spacing w:after="0" w:line="221"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00" w:lineRule="exact"/>
        <w:rPr>
          <w:sz w:val="24"/>
          <w:szCs w:val="24"/>
          <w:color w:val="auto"/>
        </w:rPr>
      </w:pPr>
    </w:p>
    <w:p>
      <w:pPr>
        <w:spacing w:after="0" w:line="221"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ectPr>
          <w:pgSz w:w="11900" w:h="16838" w:orient="portrait"/>
          <w:cols w:equalWidth="0" w:num="1">
            <w:col w:w="11240"/>
          </w:cols>
          <w:pgMar w:left="320" w:top="891" w:right="339" w:bottom="1440" w:gutter="0" w:footer="0" w:header="0"/>
        </w:sectPr>
      </w:pPr>
    </w:p>
    <w:bookmarkStart w:id="1" w:name="page2"/>
    <w:bookmarkEnd w:id="1"/>
    <w:p>
      <w:pPr>
        <w:jc w:val="both"/>
        <w:spacing w:after="0" w:line="221"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10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91" w:right="339" w:bottom="1440" w:gutter="0" w:footer="0" w:header="0"/>
        </w:sectPr>
      </w:pPr>
    </w:p>
    <w:p>
      <w:pPr>
        <w:spacing w:after="0" w:line="99" w:lineRule="exact"/>
        <w:rPr>
          <w:sz w:val="20"/>
          <w:szCs w:val="20"/>
          <w:color w:val="auto"/>
        </w:rPr>
      </w:pPr>
    </w:p>
    <w:p>
      <w:pPr>
        <w:ind w:left="10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109" w:lineRule="exact"/>
        <w:rPr>
          <w:sz w:val="20"/>
          <w:szCs w:val="20"/>
          <w:color w:val="auto"/>
        </w:rPr>
      </w:pPr>
    </w:p>
    <w:p>
      <w:pPr>
        <w:sectPr>
          <w:pgSz w:w="11900" w:h="16838" w:orient="portrait"/>
          <w:cols w:equalWidth="0" w:num="2">
            <w:col w:w="6860" w:space="720"/>
            <w:col w:w="3660"/>
          </w:cols>
          <w:pgMar w:left="320" w:top="791" w:right="339" w:bottom="1440" w:gutter="0" w:footer="0" w:header="0"/>
          <w:type w:val="continuous"/>
        </w:sectPr>
      </w:pPr>
    </w:p>
    <w:p>
      <w:pPr>
        <w:ind w:left="10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09" w:lineRule="exact"/>
        <w:rPr>
          <w:sz w:val="20"/>
          <w:szCs w:val="20"/>
          <w:color w:val="auto"/>
        </w:rPr>
      </w:pPr>
    </w:p>
    <w:p>
      <w:pPr>
        <w:sectPr>
          <w:pgSz w:w="11900" w:h="16838" w:orient="portrait"/>
          <w:cols w:equalWidth="0" w:num="2">
            <w:col w:w="6860" w:space="720"/>
            <w:col w:w="3660"/>
          </w:cols>
          <w:pgMar w:left="320" w:top="791" w:right="339" w:bottom="1440" w:gutter="0" w:footer="0" w:header="0"/>
          <w:type w:val="continuous"/>
        </w:sectPr>
      </w:pPr>
    </w:p>
    <w:p>
      <w:pPr>
        <w:ind w:left="75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240"/>
          </w:cols>
          <w:pgMar w:left="320" w:top="791" w:right="339" w:bottom="1440" w:gutter="0" w:footer="0" w:header="0"/>
          <w:type w:val="continuous"/>
        </w:sectPr>
      </w:pPr>
    </w:p>
    <w:p>
      <w:pPr>
        <w:spacing w:after="0" w:line="315" w:lineRule="exact"/>
        <w:rPr>
          <w:sz w:val="20"/>
          <w:szCs w:val="20"/>
          <w:color w:val="auto"/>
        </w:rPr>
      </w:pPr>
    </w:p>
    <w:p>
      <w:pPr>
        <w:spacing w:after="0" w:line="22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172720</wp:posOffset>
            </wp:positionV>
            <wp:extent cx="19202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111760</wp:posOffset>
            </wp:positionV>
            <wp:extent cx="69094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6"/>
              </w:rPr>
              <w:t>Proposed</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Proposed</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1520" w:type="dxa"/>
            <w:vAlign w:val="bottom"/>
            <w:gridSpan w:val="2"/>
            <w:vMerge w:val="continue"/>
          </w:tcPr>
          <w:p>
            <w:pPr>
              <w:spacing w:after="0"/>
              <w:rPr>
                <w:sz w:val="12"/>
                <w:szCs w:val="12"/>
                <w:color w:val="auto"/>
              </w:rPr>
            </w:pPr>
          </w:p>
        </w:tc>
        <w:tc>
          <w:tcPr>
            <w:tcW w:w="154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9"/>
              </w:rPr>
              <w:t>Maximum</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140" w:type="dxa"/>
            <w:vAlign w:val="bottom"/>
            <w:gridSpan w:val="2"/>
            <w:vMerge w:val="restart"/>
          </w:tcPr>
          <w:p>
            <w:pPr>
              <w:jc w:val="center"/>
              <w:ind w:right="1800"/>
              <w:spacing w:after="0"/>
              <w:rPr>
                <w:sz w:val="20"/>
                <w:szCs w:val="20"/>
                <w:color w:val="auto"/>
              </w:rPr>
            </w:pPr>
            <w:r>
              <w:rPr>
                <w:rFonts w:ascii="Arial" w:cs="Arial" w:eastAsia="Arial" w:hAnsi="Arial"/>
                <w:sz w:val="14"/>
                <w:szCs w:val="14"/>
                <w:b w:val="1"/>
                <w:bCs w:val="1"/>
                <w:color w:val="auto"/>
                <w:w w:val="91"/>
              </w:rPr>
              <w:t>Title of Each Class of</w:t>
            </w:r>
          </w:p>
        </w:tc>
        <w:tc>
          <w:tcPr>
            <w:tcW w:w="1660" w:type="dxa"/>
            <w:vAlign w:val="bottom"/>
            <w:gridSpan w:val="2"/>
            <w:vMerge w:val="continue"/>
          </w:tcPr>
          <w:p>
            <w:pPr>
              <w:spacing w:after="0"/>
              <w:rPr>
                <w:sz w:val="9"/>
                <w:szCs w:val="9"/>
                <w:color w:val="auto"/>
              </w:rPr>
            </w:pPr>
          </w:p>
        </w:tc>
        <w:tc>
          <w:tcPr>
            <w:tcW w:w="1520" w:type="dxa"/>
            <w:vAlign w:val="bottom"/>
            <w:gridSpan w:val="2"/>
          </w:tcPr>
          <w:p>
            <w:pPr>
              <w:jc w:val="center"/>
              <w:ind w:right="160"/>
              <w:spacing w:after="0" w:line="108" w:lineRule="exact"/>
              <w:rPr>
                <w:sz w:val="20"/>
                <w:szCs w:val="20"/>
                <w:color w:val="auto"/>
              </w:rPr>
            </w:pPr>
            <w:r>
              <w:rPr>
                <w:rFonts w:ascii="Arial" w:cs="Arial" w:eastAsia="Arial" w:hAnsi="Arial"/>
                <w:sz w:val="12"/>
                <w:szCs w:val="12"/>
                <w:b w:val="1"/>
                <w:bCs w:val="1"/>
                <w:color w:val="auto"/>
              </w:rPr>
              <w:t>Maximum</w:t>
            </w:r>
          </w:p>
        </w:tc>
        <w:tc>
          <w:tcPr>
            <w:tcW w:w="1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140" w:type="dxa"/>
            <w:vAlign w:val="bottom"/>
            <w:gridSpan w:val="2"/>
            <w:vMerge w:val="continue"/>
          </w:tcPr>
          <w:p>
            <w:pPr>
              <w:spacing w:after="0"/>
              <w:rPr>
                <w:sz w:val="11"/>
                <w:szCs w:val="11"/>
                <w:color w:val="auto"/>
              </w:rPr>
            </w:pPr>
          </w:p>
        </w:tc>
        <w:tc>
          <w:tcPr>
            <w:tcW w:w="16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9"/>
              </w:rPr>
              <w:t>to be</w:t>
            </w:r>
          </w:p>
        </w:tc>
        <w:tc>
          <w:tcPr>
            <w:tcW w:w="15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gridSpan w:val="2"/>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4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Securities to be Registered</w:t>
            </w: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Registered</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Per Unit</w:t>
            </w: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Offering</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Price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Common Stock, par value $0.0001 per share</w:t>
            </w:r>
          </w:p>
        </w:tc>
        <w:tc>
          <w:tcPr>
            <w:tcW w:w="1400" w:type="dxa"/>
            <w:vAlign w:val="bottom"/>
          </w:tcPr>
          <w:p>
            <w:pPr>
              <w:jc w:val="center"/>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Preferred Stock, par value $0.0001 per share</w:t>
            </w:r>
          </w:p>
        </w:tc>
        <w:tc>
          <w:tcPr>
            <w:tcW w:w="1400" w:type="dxa"/>
            <w:vAlign w:val="bottom"/>
          </w:tcPr>
          <w:p>
            <w:pPr>
              <w:jc w:val="center"/>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Debt Securities</w:t>
            </w:r>
          </w:p>
        </w:tc>
        <w:tc>
          <w:tcPr>
            <w:tcW w:w="1400" w:type="dxa"/>
            <w:vAlign w:val="bottom"/>
          </w:tcPr>
          <w:p>
            <w:pPr>
              <w:jc w:val="center"/>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Warrants</w:t>
            </w:r>
          </w:p>
        </w:tc>
        <w:tc>
          <w:tcPr>
            <w:tcW w:w="1400" w:type="dxa"/>
            <w:vAlign w:val="bottom"/>
          </w:tcPr>
          <w:p>
            <w:pPr>
              <w:jc w:val="center"/>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3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340" w:hanging="332"/>
        <w:spacing w:after="0" w:line="234" w:lineRule="auto"/>
        <w:tabs>
          <w:tab w:leader="none" w:pos="399" w:val="left"/>
        </w:tabs>
        <w:numPr>
          <w:ilvl w:val="0"/>
          <w:numId w:val="1"/>
        </w:numPr>
        <w:rPr>
          <w:rFonts w:ascii="Arial" w:cs="Arial" w:eastAsia="Arial" w:hAnsi="Arial"/>
          <w:sz w:val="16"/>
          <w:szCs w:val="16"/>
          <w:color w:val="auto"/>
        </w:rPr>
      </w:pPr>
      <w:r>
        <w:rPr>
          <w:rFonts w:ascii="Arial" w:cs="Arial" w:eastAsia="Arial" w:hAnsi="Arial"/>
          <w:sz w:val="16"/>
          <w:szCs w:val="16"/>
          <w:color w:val="auto"/>
        </w:rPr>
        <w:t>Omitted pursuant to General Instructions II.E of Form S-3. An indeterminate number or amount, as the case may be, of shares of common stock, shares of preferred stock, debt securities and warrants are being registered hereunder as may from time to time be issued at indeterminate prices. The securities being registered hereunder may be convertible into or exchangeable or exercisable for other securities of any identified class, and may be sold separately or in combination with the other securities registered hereunder. In addition to the securities that may be issued directly under this registration statement, there is being registered hereunder such indeterminate aggregate number or amount, as the case may be, of the securities of each identified class as may from time to time be issued upon the conversion, exchange, settlement or exercise of other securities offered hereby. Separate consideration may or may not be received for securities that are issuable upon the conversion or exercise of, or in exchange for, other securities offered hereby.</w:t>
      </w:r>
    </w:p>
    <w:p>
      <w:pPr>
        <w:spacing w:after="0" w:line="215" w:lineRule="exact"/>
        <w:rPr>
          <w:rFonts w:ascii="Arial" w:cs="Arial" w:eastAsia="Arial" w:hAnsi="Arial"/>
          <w:sz w:val="16"/>
          <w:szCs w:val="16"/>
          <w:color w:val="auto"/>
        </w:rPr>
      </w:pPr>
    </w:p>
    <w:p>
      <w:pPr>
        <w:ind w:left="340" w:right="20" w:hanging="332"/>
        <w:spacing w:after="0" w:line="258" w:lineRule="auto"/>
        <w:tabs>
          <w:tab w:leader="none" w:pos="372"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Rules 456(b) and 457(r), the Registrant is deferring payment of all applicable registration fees. Any registration fees will be paid subsequently on a pay-as-you-go basis in accordance with Rule 457(r).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497205</wp:posOffset>
            </wp:positionV>
            <wp:extent cx="2571750" cy="9944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175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Common Stock</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Preferred Stock</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Debt Securities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Warrants</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228" w:lineRule="exact"/>
        <w:rPr>
          <w:sz w:val="20"/>
          <w:szCs w:val="20"/>
          <w:color w:val="auto"/>
        </w:rPr>
      </w:pPr>
    </w:p>
    <w:p>
      <w:pPr>
        <w:ind w:right="20" w:firstLine="324"/>
        <w:spacing w:after="0" w:line="255" w:lineRule="auto"/>
        <w:rPr>
          <w:sz w:val="20"/>
          <w:szCs w:val="20"/>
          <w:color w:val="auto"/>
        </w:rPr>
      </w:pPr>
      <w:r>
        <w:rPr>
          <w:rFonts w:ascii="Arial" w:cs="Arial" w:eastAsia="Arial" w:hAnsi="Arial"/>
          <w:sz w:val="17"/>
          <w:szCs w:val="17"/>
          <w:color w:val="auto"/>
        </w:rPr>
        <w:t>From time to time, we or selling securityholders may offer and sell any combination of the securities described in this prospectus, either individually or in combination. We or selling securityholders may also offer common stock or preferred stock upon conversion of debt securities, common stock upon conversion of preferred stock, or common stock, preferred stock or debt securities upon the exercise of warrants</w:t>
      </w:r>
    </w:p>
    <w:p>
      <w:pPr>
        <w:jc w:val="both"/>
        <w:ind w:firstLine="324"/>
        <w:spacing w:after="0" w:line="277" w:lineRule="auto"/>
        <w:rPr>
          <w:sz w:val="20"/>
          <w:szCs w:val="20"/>
          <w:color w:val="auto"/>
        </w:rPr>
      </w:pPr>
      <w:r>
        <w:rPr>
          <w:rFonts w:ascii="Arial" w:cs="Arial" w:eastAsia="Arial" w:hAnsi="Arial"/>
          <w:sz w:val="16"/>
          <w:szCs w:val="16"/>
          <w:color w:val="auto"/>
        </w:rPr>
        <w:t>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7"/>
          <w:szCs w:val="17"/>
          <w:color w:val="auto"/>
        </w:rPr>
        <w:t>Our common stock is listed on The Nasdaq Global Market under the trading symbol “SIBN.” On March 9, 2021, the last reported sale price of our common stock was $30.64 per share. The applicable prospectus supplement will contain information, where applicable, as to other listings, if any, on The Nasdaq Global Market or other securities exchange of the securities covered by the applicable prospectus supplement.</w:t>
      </w:r>
    </w:p>
    <w:p>
      <w:pPr>
        <w:jc w:val="both"/>
        <w:ind w:firstLine="324"/>
        <w:spacing w:after="0" w:line="238" w:lineRule="auto"/>
        <w:rPr>
          <w:sz w:val="20"/>
          <w:szCs w:val="20"/>
          <w:color w:val="auto"/>
        </w:rPr>
      </w:pPr>
      <w:r>
        <w:rPr>
          <w:rFonts w:ascii="Arial" w:cs="Arial" w:eastAsia="Arial" w:hAnsi="Arial"/>
          <w:sz w:val="18"/>
          <w:szCs w:val="18"/>
          <w:b w:val="1"/>
          <w:bCs w:val="1"/>
          <w:i w:val="1"/>
          <w:iCs w:val="1"/>
          <w:color w:val="auto"/>
        </w:rPr>
        <w:t>Investing in our securities involves a high degree of risk. Before making an investment decision, you should review carefully the risks described under the heading “</w:t>
      </w:r>
      <w:r>
        <w:rPr>
          <w:rFonts w:ascii="Arial" w:cs="Arial" w:eastAsia="Arial" w:hAnsi="Arial"/>
          <w:sz w:val="18"/>
          <w:szCs w:val="18"/>
          <w:b w:val="1"/>
          <w:bCs w:val="1"/>
          <w:i w:val="1"/>
          <w:iCs w:val="1"/>
          <w:color w:val="0000FF"/>
        </w:rPr>
        <w:t>Risk Factors</w:t>
      </w:r>
      <w:r>
        <w:rPr>
          <w:rFonts w:ascii="Arial" w:cs="Arial" w:eastAsia="Arial" w:hAnsi="Arial"/>
          <w:sz w:val="18"/>
          <w:szCs w:val="18"/>
          <w:b w:val="1"/>
          <w:bCs w:val="1"/>
          <w:i w:val="1"/>
          <w:iCs w:val="1"/>
          <w:color w:val="auto"/>
        </w:rPr>
        <w:t>” on page 5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a sale of securities unless accompanied by a prospectus supplement.</w:t>
      </w:r>
    </w:p>
    <w:p>
      <w:pPr>
        <w:spacing w:after="0" w:line="2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color w:val="auto"/>
        </w:rPr>
        <w:t>The securities may be sold directly by us to investors, through agents designated from time to time or to or through underwriters or dealers, on a continuous or delayed basis. The supplements to this prospectus will provide the specific terms of the plan of distribution. If any agents or underwriters are involved in the sale of any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will also be set forth in a prospectus supplement. Unless the applicable prospectus supplement provides otherwise, we will not receive any proceeds from the sale of securities by selling securityholders.</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are an emerging growth company as that term is used in the Jumpstart Our Business Startups Act of 2012 and, as such, we have elected to take advantage of certain reduced public company reporting requirements for this prospectus and future filings.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80645</wp:posOffset>
            </wp:positionV>
            <wp:extent cx="19888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March 10, 2021.</w:t>
      </w:r>
    </w:p>
    <w:p>
      <w:pPr>
        <w:sectPr>
          <w:pgSz w:w="11900" w:h="16838" w:orient="portrait"/>
          <w:cols w:equalWidth="0" w:num="1">
            <w:col w:w="11240"/>
          </w:cols>
          <w:pgMar w:left="320" w:top="999"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2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29"/>
        </w:trPr>
        <w:tc>
          <w:tcPr>
            <w:tcW w:w="942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ABOUT THIS PROSPECTUS</w:t>
              </w:r>
            </w:hyperlink>
          </w:p>
        </w:tc>
        <w:tc>
          <w:tcPr>
            <w:tcW w:w="660" w:type="dxa"/>
            <w:vAlign w:val="bottom"/>
          </w:tcPr>
          <w:p>
            <w:pPr>
              <w:jc w:val="cente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ii</w:t>
              </w:r>
            </w:hyperlink>
          </w:p>
        </w:tc>
      </w:tr>
      <w:tr>
        <w:trPr>
          <w:trHeight w:val="230"/>
        </w:trPr>
        <w:tc>
          <w:tcPr>
            <w:tcW w:w="942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PROSPECTUS SUMMARY</w:t>
              </w:r>
            </w:hyperlink>
          </w:p>
        </w:tc>
        <w:tc>
          <w:tcPr>
            <w:tcW w:w="660" w:type="dxa"/>
            <w:vAlign w:val="bottom"/>
          </w:tcPr>
          <w:p>
            <w:pPr>
              <w:jc w:val="center"/>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1</w:t>
              </w:r>
            </w:hyperlink>
          </w:p>
        </w:tc>
      </w:tr>
      <w:tr>
        <w:trPr>
          <w:trHeight w:val="229"/>
        </w:trPr>
        <w:tc>
          <w:tcPr>
            <w:tcW w:w="9420" w:type="dxa"/>
            <w:vAlign w:val="bottom"/>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RISK FACTORS</w:t>
              </w:r>
            </w:hyperlink>
          </w:p>
        </w:tc>
        <w:tc>
          <w:tcPr>
            <w:tcW w:w="660" w:type="dxa"/>
            <w:vAlign w:val="bottom"/>
          </w:tcPr>
          <w:p>
            <w:pPr>
              <w:jc w:val="center"/>
              <w:spacing w:after="0"/>
              <w:rPr>
                <w:rFonts w:ascii="Arial" w:cs="Arial" w:eastAsia="Arial" w:hAnsi="Arial"/>
                <w:sz w:val="18"/>
                <w:szCs w:val="18"/>
                <w:u w:val="single" w:color="auto"/>
                <w:color w:val="0000FF"/>
                <w:w w:val="99"/>
              </w:rPr>
            </w:pPr>
            <w:hyperlink w:anchor="page10">
              <w:r>
                <w:rPr>
                  <w:rFonts w:ascii="Arial" w:cs="Arial" w:eastAsia="Arial" w:hAnsi="Arial"/>
                  <w:sz w:val="18"/>
                  <w:szCs w:val="18"/>
                  <w:u w:val="single" w:color="auto"/>
                  <w:color w:val="0000FF"/>
                  <w:w w:val="99"/>
                </w:rPr>
                <w:t>6</w:t>
              </w:r>
            </w:hyperlink>
          </w:p>
        </w:tc>
      </w:tr>
      <w:tr>
        <w:trPr>
          <w:trHeight w:val="229"/>
        </w:trPr>
        <w:tc>
          <w:tcPr>
            <w:tcW w:w="9420" w:type="dxa"/>
            <w:vAlign w:val="bottom"/>
          </w:tcPr>
          <w:p>
            <w:pPr>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SPECIAL NOTE REGARDING FORWARD-LOOKING STATEMENTS</w:t>
              </w:r>
            </w:hyperlink>
          </w:p>
        </w:tc>
        <w:tc>
          <w:tcPr>
            <w:tcW w:w="660" w:type="dxa"/>
            <w:vAlign w:val="bottom"/>
          </w:tcPr>
          <w:p>
            <w:pPr>
              <w:jc w:val="center"/>
              <w:spacing w:after="0"/>
              <w:rPr>
                <w:rFonts w:ascii="Arial" w:cs="Arial" w:eastAsia="Arial" w:hAnsi="Arial"/>
                <w:sz w:val="18"/>
                <w:szCs w:val="18"/>
                <w:u w:val="single" w:color="auto"/>
                <w:color w:val="0000FF"/>
                <w:w w:val="99"/>
              </w:rPr>
            </w:pPr>
            <w:hyperlink w:anchor="page11">
              <w:r>
                <w:rPr>
                  <w:rFonts w:ascii="Arial" w:cs="Arial" w:eastAsia="Arial" w:hAnsi="Arial"/>
                  <w:sz w:val="18"/>
                  <w:szCs w:val="18"/>
                  <w:u w:val="single" w:color="auto"/>
                  <w:color w:val="0000FF"/>
                  <w:w w:val="99"/>
                </w:rPr>
                <w:t>6</w:t>
              </w:r>
            </w:hyperlink>
          </w:p>
        </w:tc>
      </w:tr>
      <w:tr>
        <w:trPr>
          <w:trHeight w:val="230"/>
        </w:trPr>
        <w:tc>
          <w:tcPr>
            <w:tcW w:w="9420" w:type="dxa"/>
            <w:vAlign w:val="bottom"/>
          </w:tcPr>
          <w:p>
            <w:pPr>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USE OF PROCEEDS</w:t>
              </w:r>
            </w:hyperlink>
          </w:p>
        </w:tc>
        <w:tc>
          <w:tcPr>
            <w:tcW w:w="660" w:type="dxa"/>
            <w:vAlign w:val="bottom"/>
          </w:tcPr>
          <w:p>
            <w:pPr>
              <w:jc w:val="center"/>
              <w:spacing w:after="0"/>
              <w:rPr>
                <w:rFonts w:ascii="Arial" w:cs="Arial" w:eastAsia="Arial" w:hAnsi="Arial"/>
                <w:sz w:val="18"/>
                <w:szCs w:val="18"/>
                <w:u w:val="single" w:color="auto"/>
                <w:color w:val="0000FF"/>
                <w:w w:val="99"/>
              </w:rPr>
            </w:pPr>
            <w:hyperlink w:anchor="page12">
              <w:r>
                <w:rPr>
                  <w:rFonts w:ascii="Arial" w:cs="Arial" w:eastAsia="Arial" w:hAnsi="Arial"/>
                  <w:sz w:val="18"/>
                  <w:szCs w:val="18"/>
                  <w:u w:val="single" w:color="auto"/>
                  <w:color w:val="0000FF"/>
                  <w:w w:val="99"/>
                </w:rPr>
                <w:t>7</w:t>
              </w:r>
            </w:hyperlink>
          </w:p>
        </w:tc>
      </w:tr>
      <w:tr>
        <w:trPr>
          <w:trHeight w:val="229"/>
        </w:trPr>
        <w:tc>
          <w:tcPr>
            <w:tcW w:w="9420" w:type="dxa"/>
            <w:vAlign w:val="bottom"/>
          </w:tcPr>
          <w:p>
            <w:pPr>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DESCRIPTION OF CAPITAL STOCK</w:t>
              </w:r>
            </w:hyperlink>
          </w:p>
        </w:tc>
        <w:tc>
          <w:tcPr>
            <w:tcW w:w="660" w:type="dxa"/>
            <w:vAlign w:val="bottom"/>
          </w:tcPr>
          <w:p>
            <w:pPr>
              <w:jc w:val="center"/>
              <w:spacing w:after="0"/>
              <w:rPr>
                <w:rFonts w:ascii="Arial" w:cs="Arial" w:eastAsia="Arial" w:hAnsi="Arial"/>
                <w:sz w:val="18"/>
                <w:szCs w:val="18"/>
                <w:u w:val="single" w:color="auto"/>
                <w:color w:val="0000FF"/>
                <w:w w:val="99"/>
              </w:rPr>
            </w:pPr>
            <w:hyperlink w:anchor="page12">
              <w:r>
                <w:rPr>
                  <w:rFonts w:ascii="Arial" w:cs="Arial" w:eastAsia="Arial" w:hAnsi="Arial"/>
                  <w:sz w:val="18"/>
                  <w:szCs w:val="18"/>
                  <w:u w:val="single" w:color="auto"/>
                  <w:color w:val="0000FF"/>
                  <w:w w:val="99"/>
                </w:rPr>
                <w:t>7</w:t>
              </w:r>
            </w:hyperlink>
          </w:p>
        </w:tc>
      </w:tr>
      <w:tr>
        <w:trPr>
          <w:trHeight w:val="229"/>
        </w:trPr>
        <w:tc>
          <w:tcPr>
            <w:tcW w:w="9420" w:type="dxa"/>
            <w:vAlign w:val="bottom"/>
          </w:tcPr>
          <w:p>
            <w:pPr>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DESCRIPTION OF DEBT SECURITIES</w:t>
              </w:r>
            </w:hyperlink>
          </w:p>
        </w:tc>
        <w:tc>
          <w:tcPr>
            <w:tcW w:w="660" w:type="dxa"/>
            <w:vAlign w:val="bottom"/>
          </w:tcPr>
          <w:p>
            <w:pPr>
              <w:jc w:val="center"/>
              <w:spacing w:after="0"/>
              <w:rPr>
                <w:rFonts w:ascii="Arial" w:cs="Arial" w:eastAsia="Arial" w:hAnsi="Arial"/>
                <w:sz w:val="18"/>
                <w:szCs w:val="18"/>
                <w:u w:val="single" w:color="auto"/>
                <w:color w:val="0000FF"/>
                <w:w w:val="89"/>
              </w:rPr>
            </w:pPr>
            <w:hyperlink w:anchor="page15">
              <w:r>
                <w:rPr>
                  <w:rFonts w:ascii="Arial" w:cs="Arial" w:eastAsia="Arial" w:hAnsi="Arial"/>
                  <w:sz w:val="18"/>
                  <w:szCs w:val="18"/>
                  <w:u w:val="single" w:color="auto"/>
                  <w:color w:val="0000FF"/>
                  <w:w w:val="89"/>
                </w:rPr>
                <w:t>10</w:t>
              </w:r>
            </w:hyperlink>
          </w:p>
        </w:tc>
      </w:tr>
      <w:tr>
        <w:trPr>
          <w:trHeight w:val="230"/>
        </w:trPr>
        <w:tc>
          <w:tcPr>
            <w:tcW w:w="9420" w:type="dxa"/>
            <w:vAlign w:val="bottom"/>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DESCRIPTION OF WARRANTS</w:t>
              </w:r>
            </w:hyperlink>
          </w:p>
        </w:tc>
        <w:tc>
          <w:tcPr>
            <w:tcW w:w="660" w:type="dxa"/>
            <w:vAlign w:val="bottom"/>
          </w:tcPr>
          <w:p>
            <w:pPr>
              <w:jc w:val="center"/>
              <w:spacing w:after="0"/>
              <w:rPr>
                <w:rFonts w:ascii="Arial" w:cs="Arial" w:eastAsia="Arial" w:hAnsi="Arial"/>
                <w:sz w:val="18"/>
                <w:szCs w:val="18"/>
                <w:u w:val="single" w:color="auto"/>
                <w:color w:val="0000FF"/>
                <w:w w:val="89"/>
              </w:rPr>
            </w:pPr>
            <w:hyperlink w:anchor="page21">
              <w:r>
                <w:rPr>
                  <w:rFonts w:ascii="Arial" w:cs="Arial" w:eastAsia="Arial" w:hAnsi="Arial"/>
                  <w:sz w:val="18"/>
                  <w:szCs w:val="18"/>
                  <w:u w:val="single" w:color="auto"/>
                  <w:color w:val="0000FF"/>
                  <w:w w:val="89"/>
                </w:rPr>
                <w:t>16</w:t>
              </w:r>
            </w:hyperlink>
          </w:p>
        </w:tc>
      </w:tr>
      <w:tr>
        <w:trPr>
          <w:trHeight w:val="229"/>
        </w:trPr>
        <w:tc>
          <w:tcPr>
            <w:tcW w:w="9420" w:type="dxa"/>
            <w:vAlign w:val="bottom"/>
          </w:tcPr>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LEGAL OWNERSHIP OF SECURITIES</w:t>
              </w:r>
            </w:hyperlink>
          </w:p>
        </w:tc>
        <w:tc>
          <w:tcPr>
            <w:tcW w:w="660" w:type="dxa"/>
            <w:vAlign w:val="bottom"/>
          </w:tcPr>
          <w:p>
            <w:pPr>
              <w:jc w:val="center"/>
              <w:spacing w:after="0"/>
              <w:rPr>
                <w:rFonts w:ascii="Arial" w:cs="Arial" w:eastAsia="Arial" w:hAnsi="Arial"/>
                <w:sz w:val="18"/>
                <w:szCs w:val="18"/>
                <w:u w:val="single" w:color="auto"/>
                <w:color w:val="0000FF"/>
                <w:w w:val="89"/>
              </w:rPr>
            </w:pPr>
            <w:hyperlink w:anchor="page22">
              <w:r>
                <w:rPr>
                  <w:rFonts w:ascii="Arial" w:cs="Arial" w:eastAsia="Arial" w:hAnsi="Arial"/>
                  <w:sz w:val="18"/>
                  <w:szCs w:val="18"/>
                  <w:u w:val="single" w:color="auto"/>
                  <w:color w:val="0000FF"/>
                  <w:w w:val="89"/>
                </w:rPr>
                <w:t>17</w:t>
              </w:r>
            </w:hyperlink>
          </w:p>
        </w:tc>
      </w:tr>
      <w:tr>
        <w:trPr>
          <w:trHeight w:val="230"/>
        </w:trPr>
        <w:tc>
          <w:tcPr>
            <w:tcW w:w="9420" w:type="dxa"/>
            <w:vAlign w:val="bottom"/>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SELLING SECURITYHOLDERS</w:t>
              </w:r>
            </w:hyperlink>
          </w:p>
        </w:tc>
        <w:tc>
          <w:tcPr>
            <w:tcW w:w="660" w:type="dxa"/>
            <w:vAlign w:val="bottom"/>
          </w:tcPr>
          <w:p>
            <w:pPr>
              <w:jc w:val="center"/>
              <w:spacing w:after="0"/>
              <w:rPr>
                <w:rFonts w:ascii="Arial" w:cs="Arial" w:eastAsia="Arial" w:hAnsi="Arial"/>
                <w:sz w:val="18"/>
                <w:szCs w:val="18"/>
                <w:u w:val="single" w:color="auto"/>
                <w:color w:val="0000FF"/>
                <w:w w:val="89"/>
              </w:rPr>
            </w:pPr>
            <w:hyperlink w:anchor="page25">
              <w:r>
                <w:rPr>
                  <w:rFonts w:ascii="Arial" w:cs="Arial" w:eastAsia="Arial" w:hAnsi="Arial"/>
                  <w:sz w:val="18"/>
                  <w:szCs w:val="18"/>
                  <w:u w:val="single" w:color="auto"/>
                  <w:color w:val="0000FF"/>
                  <w:w w:val="89"/>
                </w:rPr>
                <w:t>21</w:t>
              </w:r>
            </w:hyperlink>
          </w:p>
        </w:tc>
      </w:tr>
      <w:tr>
        <w:trPr>
          <w:trHeight w:val="229"/>
        </w:trPr>
        <w:tc>
          <w:tcPr>
            <w:tcW w:w="9420" w:type="dxa"/>
            <w:vAlign w:val="bottom"/>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PLAN OF DISTRIBUTION</w:t>
              </w:r>
            </w:hyperlink>
          </w:p>
        </w:tc>
        <w:tc>
          <w:tcPr>
            <w:tcW w:w="660" w:type="dxa"/>
            <w:vAlign w:val="bottom"/>
          </w:tcPr>
          <w:p>
            <w:pPr>
              <w:jc w:val="center"/>
              <w:spacing w:after="0"/>
              <w:rPr>
                <w:rFonts w:ascii="Arial" w:cs="Arial" w:eastAsia="Arial" w:hAnsi="Arial"/>
                <w:sz w:val="18"/>
                <w:szCs w:val="18"/>
                <w:u w:val="single" w:color="auto"/>
                <w:color w:val="0000FF"/>
                <w:w w:val="89"/>
              </w:rPr>
            </w:pPr>
            <w:hyperlink w:anchor="page26">
              <w:r>
                <w:rPr>
                  <w:rFonts w:ascii="Arial" w:cs="Arial" w:eastAsia="Arial" w:hAnsi="Arial"/>
                  <w:sz w:val="18"/>
                  <w:szCs w:val="18"/>
                  <w:u w:val="single" w:color="auto"/>
                  <w:color w:val="0000FF"/>
                  <w:w w:val="89"/>
                </w:rPr>
                <w:t>22</w:t>
              </w:r>
            </w:hyperlink>
          </w:p>
        </w:tc>
      </w:tr>
      <w:tr>
        <w:trPr>
          <w:trHeight w:val="229"/>
        </w:trPr>
        <w:tc>
          <w:tcPr>
            <w:tcW w:w="9420" w:type="dxa"/>
            <w:vAlign w:val="bottom"/>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LEGAL MATTERS</w:t>
              </w:r>
            </w:hyperlink>
          </w:p>
        </w:tc>
        <w:tc>
          <w:tcPr>
            <w:tcW w:w="660" w:type="dxa"/>
            <w:vAlign w:val="bottom"/>
          </w:tcPr>
          <w:p>
            <w:pPr>
              <w:jc w:val="center"/>
              <w:spacing w:after="0"/>
              <w:rPr>
                <w:rFonts w:ascii="Arial" w:cs="Arial" w:eastAsia="Arial" w:hAnsi="Arial"/>
                <w:sz w:val="18"/>
                <w:szCs w:val="18"/>
                <w:u w:val="single" w:color="auto"/>
                <w:color w:val="0000FF"/>
                <w:w w:val="89"/>
              </w:rPr>
            </w:pPr>
            <w:hyperlink w:anchor="page28">
              <w:r>
                <w:rPr>
                  <w:rFonts w:ascii="Arial" w:cs="Arial" w:eastAsia="Arial" w:hAnsi="Arial"/>
                  <w:sz w:val="18"/>
                  <w:szCs w:val="18"/>
                  <w:u w:val="single" w:color="auto"/>
                  <w:color w:val="0000FF"/>
                  <w:w w:val="89"/>
                </w:rPr>
                <w:t>23</w:t>
              </w:r>
            </w:hyperlink>
          </w:p>
        </w:tc>
      </w:tr>
      <w:tr>
        <w:trPr>
          <w:trHeight w:val="230"/>
        </w:trPr>
        <w:tc>
          <w:tcPr>
            <w:tcW w:w="9420" w:type="dxa"/>
            <w:vAlign w:val="bottom"/>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EXPERTS</w:t>
              </w:r>
            </w:hyperlink>
          </w:p>
        </w:tc>
        <w:tc>
          <w:tcPr>
            <w:tcW w:w="660" w:type="dxa"/>
            <w:vAlign w:val="bottom"/>
          </w:tcPr>
          <w:p>
            <w:pPr>
              <w:jc w:val="center"/>
              <w:spacing w:after="0"/>
              <w:rPr>
                <w:rFonts w:ascii="Arial" w:cs="Arial" w:eastAsia="Arial" w:hAnsi="Arial"/>
                <w:sz w:val="18"/>
                <w:szCs w:val="18"/>
                <w:u w:val="single" w:color="auto"/>
                <w:color w:val="0000FF"/>
                <w:w w:val="89"/>
              </w:rPr>
            </w:pPr>
            <w:hyperlink w:anchor="page28">
              <w:r>
                <w:rPr>
                  <w:rFonts w:ascii="Arial" w:cs="Arial" w:eastAsia="Arial" w:hAnsi="Arial"/>
                  <w:sz w:val="18"/>
                  <w:szCs w:val="18"/>
                  <w:u w:val="single" w:color="auto"/>
                  <w:color w:val="0000FF"/>
                  <w:w w:val="89"/>
                </w:rPr>
                <w:t>24</w:t>
              </w:r>
            </w:hyperlink>
          </w:p>
        </w:tc>
      </w:tr>
      <w:tr>
        <w:trPr>
          <w:trHeight w:val="229"/>
        </w:trPr>
        <w:tc>
          <w:tcPr>
            <w:tcW w:w="9420" w:type="dxa"/>
            <w:vAlign w:val="bottom"/>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WHERE YOU CAN FIND ADDITIONAL INFORMATION</w:t>
              </w:r>
            </w:hyperlink>
          </w:p>
        </w:tc>
        <w:tc>
          <w:tcPr>
            <w:tcW w:w="660" w:type="dxa"/>
            <w:vAlign w:val="bottom"/>
          </w:tcPr>
          <w:p>
            <w:pPr>
              <w:jc w:val="center"/>
              <w:spacing w:after="0"/>
              <w:rPr>
                <w:rFonts w:ascii="Arial" w:cs="Arial" w:eastAsia="Arial" w:hAnsi="Arial"/>
                <w:sz w:val="18"/>
                <w:szCs w:val="18"/>
                <w:u w:val="single" w:color="auto"/>
                <w:color w:val="0000FF"/>
                <w:w w:val="89"/>
              </w:rPr>
            </w:pPr>
            <w:hyperlink w:anchor="page29">
              <w:r>
                <w:rPr>
                  <w:rFonts w:ascii="Arial" w:cs="Arial" w:eastAsia="Arial" w:hAnsi="Arial"/>
                  <w:sz w:val="18"/>
                  <w:szCs w:val="18"/>
                  <w:u w:val="single" w:color="auto"/>
                  <w:color w:val="0000FF"/>
                  <w:w w:val="89"/>
                </w:rPr>
                <w:t>24</w:t>
              </w:r>
            </w:hyperlink>
          </w:p>
        </w:tc>
      </w:tr>
      <w:tr>
        <w:trPr>
          <w:trHeight w:val="230"/>
        </w:trPr>
        <w:tc>
          <w:tcPr>
            <w:tcW w:w="9420" w:type="dxa"/>
            <w:vAlign w:val="bottom"/>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INCORPORATION OF CERTAIN INFORMATION BY REFERENCE</w:t>
              </w:r>
            </w:hyperlink>
          </w:p>
        </w:tc>
        <w:tc>
          <w:tcPr>
            <w:tcW w:w="660" w:type="dxa"/>
            <w:vAlign w:val="bottom"/>
          </w:tcPr>
          <w:p>
            <w:pPr>
              <w:jc w:val="center"/>
              <w:spacing w:after="0"/>
              <w:rPr>
                <w:rFonts w:ascii="Arial" w:cs="Arial" w:eastAsia="Arial" w:hAnsi="Arial"/>
                <w:sz w:val="18"/>
                <w:szCs w:val="18"/>
                <w:u w:val="single" w:color="auto"/>
                <w:color w:val="0000FF"/>
                <w:w w:val="89"/>
              </w:rPr>
            </w:pPr>
            <w:hyperlink w:anchor="page29">
              <w:r>
                <w:rPr>
                  <w:rFonts w:ascii="Arial" w:cs="Arial" w:eastAsia="Arial" w:hAnsi="Arial"/>
                  <w:sz w:val="18"/>
                  <w:szCs w:val="18"/>
                  <w:u w:val="single" w:color="auto"/>
                  <w:color w:val="0000FF"/>
                  <w:w w:val="89"/>
                </w:rPr>
                <w:t>24</w:t>
              </w:r>
            </w:hyperlink>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080"/>
          </w:cols>
          <w:pgMar w:left="920" w:top="958" w:right="8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This prospectus is part of a registration statement on Form S-3 that we filed with the Securities and Exchange Commission, or SEC, using a “shelf” registration process as a “well-known seasoned issuer” as defined in Rule 405 under the Securities Act of 1933, as amended, or the Securities Act. Under this shelf registration statement, we or selling securityholders may, from time to time, offer and sell, either individually or in combination, in one or more offerings, any combination of the securities described in this prospectus. There is no limit on the aggregate amount of the securities that we or selling securityholders may offer pursuant to the registration statement of which this prospectus is a part.</w:t>
      </w:r>
    </w:p>
    <w:p>
      <w:pPr>
        <w:spacing w:after="0" w:line="20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This prospectus provides you with a general description of the securities we or selling securityholders may offer. Each time we or selling securityholders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243"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You should rely only on the information contained in, or incorporated by reference into, this prospectus and any applicable prospectus supplement, along with the information contained in any free writing prospectuses we have authorized for use in connection with a specific offering. We have not authorized anyone to provide you with different or additional information. You must not rely upon any information or representation not contained or incorporated by reference in this prospectus, the accompanying prospectus supplement or in any related free writing prospectus that we may authorize to be provided to you. This prospectus is an offer to sell only the securities offered hereby, but only under circumstances and in jurisdictions where it is lawful to do so.</w:t>
      </w:r>
    </w:p>
    <w:p>
      <w:pPr>
        <w:spacing w:after="0" w:line="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spacing w:after="0" w:line="2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7"/>
          <w:szCs w:val="17"/>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207" w:lineRule="exact"/>
        <w:rPr>
          <w:sz w:val="20"/>
          <w:szCs w:val="20"/>
          <w:color w:val="auto"/>
        </w:rPr>
      </w:pPr>
    </w:p>
    <w:p>
      <w:pPr>
        <w:jc w:val="both"/>
        <w:ind w:firstLine="324"/>
        <w:spacing w:after="0" w:line="200"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w:t>
      </w:r>
    </w:p>
    <w:p>
      <w:pPr>
        <w:ind w:left="5580"/>
        <w:spacing w:after="0" w:line="189" w:lineRule="auto"/>
        <w:rPr>
          <w:sz w:val="20"/>
          <w:szCs w:val="20"/>
          <w:color w:val="auto"/>
        </w:rPr>
      </w:pPr>
      <w:r>
        <w:rPr>
          <w:rFonts w:ascii="Arial" w:cs="Arial" w:eastAsia="Arial" w:hAnsi="Arial"/>
          <w:sz w:val="18"/>
          <w:szCs w:val="18"/>
          <w:color w:val="auto"/>
        </w:rPr>
        <w:t>ii</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part, and you may obtain copies of those documents as described below under the section entitled “Where You Can Find Additional Information.”</w:t>
      </w:r>
    </w:p>
    <w:p>
      <w:pPr>
        <w:sectPr>
          <w:pgSz w:w="11900" w:h="16838" w:orient="portrait"/>
          <w:cols w:equalWidth="0" w:num="1">
            <w:col w:w="11240"/>
          </w:cols>
          <w:pgMar w:left="320" w:top="95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8559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8559165"/>
                    </a:xfrm>
                    <a:prstGeom prst="rect">
                      <a:avLst/>
                    </a:prstGeom>
                    <a:noFill/>
                  </pic:spPr>
                </pic:pic>
              </a:graphicData>
            </a:graphic>
          </wp:anchor>
        </w:drawing>
        <w:t>PROSPECTUS SUMMARY</w:t>
      </w:r>
    </w:p>
    <w:p>
      <w:pPr>
        <w:spacing w:after="0" w:line="243"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i w:val="1"/>
          <w:iCs w:val="1"/>
          <w:color w:val="auto"/>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We are a medical device company focused on the development of implantable devices used in the surgical treatment of the sacropelvic anatomy. We have pioneered a proprietary minimally invasive surgical implant system, which we call iFuse, to fuse the sacroiliac joint to treat sacroiliac joint dysfunction that often causes severe lower back pain. As of December 31, 2020, more than 53,000 procedures implanting iFuse have been performed by over 2,300 surgeons in the United States and more than 35 other countries since we introduced iFuse in 2009.</w:t>
      </w:r>
    </w:p>
    <w:p>
      <w:pPr>
        <w:spacing w:after="0" w:line="182"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The sacroiliac joint, which is the largest joint in the human body, can cause debilitating pain. Clinical studies have shown that 15% to 30% of all chronic lower back pain is associated with the sacroiliac joint. Studies have also shown that the disability that results from disease of the sacroiliac joint is comparable to the disability associated with a number of other serious orthopedic conditions, such as knee and hip arthritis and degenerative disc disease, each of which has surgical solutions in which an implant is used and a multi-billion dollar market exists. We believe iFuse is currently the market leading implantable device used in minimally invasive surgical fusions of the sacroiliac joint in the United States.</w:t>
      </w:r>
    </w:p>
    <w:p>
      <w:pPr>
        <w:spacing w:after="0" w:line="216"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Our iFuse Implant System includes a series of patented triangular titanium implants and the instruments we have developed to enable surgeons to perform the procedure. Surgeons place our implants across the sacroiliac joint, either from a lateral approach through the iliac, or hip, bones into the sacrum, or from a posterior approach through the sacrum and into the iliac bones. Surgeons typically use three iFuse implants to fuse a sacroiliac joint in the lateral procedure, and one iFuse implant in each sacroiliac joint, typically alongside another device crossing the joint and joining to the spinal construct.</w:t>
      </w:r>
    </w:p>
    <w:p>
      <w:pPr>
        <w:spacing w:after="0" w:line="21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Our iFuse implants have a triangular cross section that resists twisting or rotation of the implant within the bone within which it is implanted, regardless of the surgical approach and technique used to place the implants. The triangular shape of our implants helps stabilize the joint, and the implants’ porous surface facilitates biologic fixation of the bone onto the implant, or bony ongrowth and ingrowth, that results in fusion. We hold issued patents on implants with cross-sections of many non-round shapes, including the triangular shape of the iFuse implant. We also hold issued patents for the method of placing those implants across the sacroiliac joint, as well as other parts of the spine and pelvis. Each titanium iFuse implant has at least three times the strength of a typical eight-millimeter cannulated surgical screw, and the large porous surface area of our implants allows for bony ingrowth.</w:t>
      </w:r>
    </w:p>
    <w:p>
      <w:pPr>
        <w:spacing w:after="0" w:line="218"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8"/>
          <w:szCs w:val="18"/>
          <w:color w:val="auto"/>
        </w:rPr>
        <w:t>We introduced iFuse-3D, our second-generation implant, in 2017. This patented titanium implant combines the triangular cross-section of the iFuse implant with the proprietary 3D-printed porous surface and a fenestrated design. This design also allows the surgeon to fill the implant with ground-up bone before implantation, which some surgeons believe accelerates bone through-growth and biological fixation. iFuse-3D implants have shown positive bony ingrowth, ongrowth and through-growth in cell culture and animal studies, whether or not ground-up bone is used. We hold issued patents on 3D-printed triangular implants with fenestrations, or holes, which allow bone to grow into and through the implants.</w:t>
      </w:r>
    </w:p>
    <w:p>
      <w:pPr>
        <w:spacing w:after="0" w:line="210" w:lineRule="exact"/>
        <w:rPr>
          <w:sz w:val="20"/>
          <w:szCs w:val="20"/>
          <w:color w:val="auto"/>
        </w:rPr>
      </w:pPr>
    </w:p>
    <w:p>
      <w:pPr>
        <w:jc w:val="both"/>
        <w:ind w:firstLine="405"/>
        <w:spacing w:after="0" w:line="265" w:lineRule="auto"/>
        <w:rPr>
          <w:sz w:val="20"/>
          <w:szCs w:val="20"/>
          <w:color w:val="auto"/>
        </w:rPr>
      </w:pPr>
      <w:r>
        <w:rPr>
          <w:rFonts w:ascii="Arial" w:cs="Arial" w:eastAsia="Arial" w:hAnsi="Arial"/>
          <w:sz w:val="17"/>
          <w:szCs w:val="17"/>
          <w:color w:val="auto"/>
        </w:rPr>
        <w:t>In April 2019, we received clearance from the United States Food and Drug Administration, or FDA, to promote the use of our iFuse Implant System for fusion of the sacroiliac joint in conjunction with multi-level spinal fusion procedures to provide further stabilization and</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immobilization of the sacroiliac joint. For this indication, surgeons typically use the posterior approach, through the sacrum and into the iliac bones, which we call the Bedrock technique. We received CE marking and began marketing our iFuse Implant System for this indication and surgical technique in Europe in December 2019. In March 2020, we received FDA 510(k) clearance for an expanded indication for the iFuse Implant System to support our trauma program. </w:t>
      </w:r>
      <w:r>
        <w:rPr>
          <w:rFonts w:ascii="Arial" w:cs="Arial" w:eastAsia="Arial" w:hAnsi="Arial"/>
          <w:sz w:val="18"/>
          <w:szCs w:val="18"/>
          <w:color w:val="auto"/>
          <w:highlight w:val="white"/>
        </w:rPr>
        <w:t>In January 2021, we received CE marking for a similarly expanded indication for use to support</w:t>
      </w:r>
      <w:r>
        <w:rPr>
          <w:rFonts w:ascii="Arial" w:cs="Arial" w:eastAsia="Arial" w:hAnsi="Arial"/>
          <w:sz w:val="18"/>
          <w:szCs w:val="18"/>
          <w:color w:val="auto"/>
        </w:rPr>
        <w:t xml:space="preserve"> </w:t>
      </w:r>
      <w:r>
        <w:rPr>
          <w:rFonts w:ascii="Arial" w:cs="Arial" w:eastAsia="Arial" w:hAnsi="Arial"/>
          <w:sz w:val="18"/>
          <w:szCs w:val="18"/>
          <w:color w:val="auto"/>
          <w:highlight w:val="white"/>
        </w:rPr>
        <w:t>our trauma program in Europe.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1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 is subject to numerous risks. You should read these risks before you invest in our common stock. In particular, our risks include, but are not limited to, the following:</w:t>
      </w:r>
    </w:p>
    <w:p>
      <w:pPr>
        <w:sectPr>
          <w:pgSz w:w="11900" w:h="16838" w:orient="portrait"/>
          <w:cols w:equalWidth="0" w:num="1">
            <w:col w:w="10400"/>
          </w:cols>
          <w:pgMar w:left="740" w:top="1377"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0400"/>
          </w:cols>
          <w:pgMar w:left="740" w:top="1377" w:right="759" w:bottom="1440" w:gutter="0" w:footer="0" w:header="0"/>
          <w:type w:val="continuous"/>
        </w:sectPr>
      </w:pPr>
    </w:p>
    <w:bookmarkStart w:id="6" w:name="page7"/>
    <w:bookmarkEnd w:id="6"/>
    <w:p>
      <w:pPr>
        <w:ind w:left="640" w:hanging="314"/>
        <w:spacing w:after="0" w:line="261"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8722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8722360"/>
                    </a:xfrm>
                    <a:prstGeom prst="rect">
                      <a:avLst/>
                    </a:prstGeom>
                    <a:noFill/>
                  </pic:spPr>
                </pic:pic>
              </a:graphicData>
            </a:graphic>
          </wp:anchor>
        </w:drawing>
        <w:t>We have incurred significant operating losses since inception, we expect to continue to incur operating losses in the future and we may not be able to achieve or sustain future profitability;</w:t>
      </w:r>
    </w:p>
    <w:p>
      <w:pPr>
        <w:spacing w:after="0" w:line="197" w:lineRule="exact"/>
        <w:rPr>
          <w:rFonts w:ascii="Arial" w:cs="Arial" w:eastAsia="Arial" w:hAnsi="Arial"/>
          <w:sz w:val="18"/>
          <w:szCs w:val="18"/>
          <w:color w:val="auto"/>
        </w:rPr>
      </w:pPr>
    </w:p>
    <w:p>
      <w:pPr>
        <w:ind w:left="640" w:hanging="314"/>
        <w:spacing w:after="0" w:line="324" w:lineRule="auto"/>
        <w:tabs>
          <w:tab w:leader="none" w:pos="635" w:val="left"/>
        </w:tabs>
        <w:numPr>
          <w:ilvl w:val="0"/>
          <w:numId w:val="2"/>
        </w:numPr>
        <w:rPr>
          <w:rFonts w:ascii="Arial" w:cs="Arial" w:eastAsia="Arial" w:hAnsi="Arial"/>
          <w:sz w:val="16"/>
          <w:szCs w:val="16"/>
          <w:color w:val="auto"/>
        </w:rPr>
      </w:pPr>
      <w:r>
        <w:rPr>
          <w:rFonts w:ascii="Arial" w:cs="Arial" w:eastAsia="Arial" w:hAnsi="Arial"/>
          <w:sz w:val="16"/>
          <w:szCs w:val="16"/>
          <w:color w:val="auto"/>
        </w:rPr>
        <w:t>Epidemic diseases, or the perception of their effects, have had and could have (or, in the case of the COVID-19 pandemic, will continue to have during its duration) a material adverse effect on our business, financial condition, results of operations, or cash flows;</w:t>
      </w:r>
    </w:p>
    <w:p>
      <w:pPr>
        <w:spacing w:after="0" w:line="151" w:lineRule="exact"/>
        <w:rPr>
          <w:rFonts w:ascii="Arial" w:cs="Arial" w:eastAsia="Arial" w:hAnsi="Arial"/>
          <w:sz w:val="16"/>
          <w:szCs w:val="16"/>
          <w:color w:val="auto"/>
        </w:rPr>
      </w:pPr>
    </w:p>
    <w:p>
      <w:pPr>
        <w:jc w:val="both"/>
        <w:ind w:left="640" w:hanging="314"/>
        <w:spacing w:after="0" w:line="248"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hospitals, surgeons, and other healthcare providers are unable to obtain coverage and reimbursement from third-party payors for procedures performed using our products, adoption of our products may be delayed, and it is unlikely that they will gain further acceptance;</w:t>
      </w:r>
    </w:p>
    <w:p>
      <w:pPr>
        <w:spacing w:after="0" w:line="208" w:lineRule="exact"/>
        <w:rPr>
          <w:rFonts w:ascii="Arial" w:cs="Arial" w:eastAsia="Arial" w:hAnsi="Arial"/>
          <w:sz w:val="18"/>
          <w:szCs w:val="18"/>
          <w:color w:val="auto"/>
        </w:rPr>
      </w:pPr>
    </w:p>
    <w:p>
      <w:pPr>
        <w:jc w:val="both"/>
        <w:ind w:left="640" w:hanging="314"/>
        <w:spacing w:after="0" w:line="248"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208" w:lineRule="exact"/>
        <w:rPr>
          <w:rFonts w:ascii="Arial" w:cs="Arial" w:eastAsia="Arial" w:hAnsi="Arial"/>
          <w:sz w:val="18"/>
          <w:szCs w:val="18"/>
          <w:color w:val="auto"/>
        </w:rPr>
      </w:pPr>
    </w:p>
    <w:p>
      <w:pPr>
        <w:ind w:left="640" w:hanging="314"/>
        <w:spacing w:after="0" w:line="261"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197" w:lineRule="exact"/>
        <w:rPr>
          <w:rFonts w:ascii="Arial" w:cs="Arial" w:eastAsia="Arial" w:hAnsi="Arial"/>
          <w:sz w:val="18"/>
          <w:szCs w:val="18"/>
          <w:color w:val="auto"/>
        </w:rPr>
      </w:pPr>
    </w:p>
    <w:p>
      <w:pPr>
        <w:ind w:left="640" w:hanging="314"/>
        <w:spacing w:after="0" w:line="261"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Surgeons and payors may not find our clinical evidence to be compelling, which could limit our sales and revenue, and ongoing and future research may prove our products to be less safe and effective than currently thought;</w:t>
      </w:r>
    </w:p>
    <w:p>
      <w:pPr>
        <w:spacing w:after="0" w:line="197" w:lineRule="exact"/>
        <w:rPr>
          <w:rFonts w:ascii="Arial" w:cs="Arial" w:eastAsia="Arial" w:hAnsi="Arial"/>
          <w:sz w:val="18"/>
          <w:szCs w:val="18"/>
          <w:color w:val="auto"/>
        </w:rPr>
      </w:pPr>
    </w:p>
    <w:p>
      <w:pPr>
        <w:jc w:val="both"/>
        <w:ind w:left="640" w:hanging="314"/>
        <w:spacing w:after="0" w:line="248"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Pricing pressure from our competitors, changes in third-party coverage and reimbursement, healthcare provider consolidation, payor consolidation and the presence of “physician-owned distributorships” may impact our ability to sell our product at prices necessary to support our current business strategies;</w:t>
      </w:r>
    </w:p>
    <w:p>
      <w:pPr>
        <w:spacing w:after="0" w:line="208" w:lineRule="exact"/>
        <w:rPr>
          <w:rFonts w:ascii="Arial" w:cs="Arial" w:eastAsia="Arial" w:hAnsi="Arial"/>
          <w:sz w:val="18"/>
          <w:szCs w:val="18"/>
          <w:color w:val="auto"/>
        </w:rPr>
      </w:pPr>
    </w:p>
    <w:p>
      <w:pPr>
        <w:ind w:left="640" w:hanging="314"/>
        <w:spacing w:after="0" w:line="261"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COVID-19 pandemic has caused procedures to be shifted from the hospital environment to ambulatory surgical centers, or ASCs, where pressure on the prices of our products is generally more acute;</w:t>
      </w:r>
    </w:p>
    <w:p>
      <w:pPr>
        <w:spacing w:after="0" w:line="197" w:lineRule="exact"/>
        <w:rPr>
          <w:rFonts w:ascii="Arial" w:cs="Arial" w:eastAsia="Arial" w:hAnsi="Arial"/>
          <w:sz w:val="18"/>
          <w:szCs w:val="18"/>
          <w:color w:val="auto"/>
        </w:rPr>
      </w:pPr>
    </w:p>
    <w:p>
      <w:pPr>
        <w:ind w:left="640" w:hanging="314"/>
        <w:spacing w:after="0" w:line="261"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operate in a very competitive business environment and if we are unable to compete successfully against our existing or potential competitors, our sales and operating results may be adversely affected;</w:t>
      </w:r>
    </w:p>
    <w:p>
      <w:pPr>
        <w:spacing w:after="0" w:line="197" w:lineRule="exact"/>
        <w:rPr>
          <w:rFonts w:ascii="Arial" w:cs="Arial" w:eastAsia="Arial" w:hAnsi="Arial"/>
          <w:sz w:val="18"/>
          <w:szCs w:val="18"/>
          <w:color w:val="auto"/>
        </w:rPr>
      </w:pPr>
    </w:p>
    <w:p>
      <w:pPr>
        <w:jc w:val="both"/>
        <w:ind w:left="640" w:hanging="314"/>
        <w:spacing w:after="0" w:line="248"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currently manufacture and sell a single family of products focused on procedures, the goal of which is to stabilize and fuse the sacroiliac joint. Reliance on a single family of products and single procedure could negatively affect our results of operations and financial condition;</w:t>
      </w:r>
    </w:p>
    <w:p>
      <w:pPr>
        <w:spacing w:after="0" w:line="208" w:lineRule="exact"/>
        <w:rPr>
          <w:rFonts w:ascii="Arial" w:cs="Arial" w:eastAsia="Arial" w:hAnsi="Arial"/>
          <w:sz w:val="18"/>
          <w:szCs w:val="18"/>
          <w:color w:val="auto"/>
        </w:rPr>
      </w:pPr>
    </w:p>
    <w:p>
      <w:pPr>
        <w:ind w:left="640" w:hanging="314"/>
        <w:spacing w:after="0" w:line="324" w:lineRule="auto"/>
        <w:tabs>
          <w:tab w:leader="none" w:pos="635"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spacing w:after="0" w:line="151" w:lineRule="exact"/>
        <w:rPr>
          <w:rFonts w:ascii="Arial" w:cs="Arial" w:eastAsia="Arial" w:hAnsi="Arial"/>
          <w:sz w:val="16"/>
          <w:szCs w:val="16"/>
          <w:color w:val="auto"/>
        </w:rPr>
      </w:pPr>
    </w:p>
    <w:p>
      <w:pPr>
        <w:ind w:left="640" w:hanging="314"/>
        <w:spacing w:after="0" w:line="261"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are unable to maintain our network of direct sales representatives and third-party distributors, we may not be able to generate anticipated sales;</w:t>
      </w:r>
    </w:p>
    <w:p>
      <w:pPr>
        <w:spacing w:after="0" w:line="197" w:lineRule="exact"/>
        <w:rPr>
          <w:rFonts w:ascii="Arial" w:cs="Arial" w:eastAsia="Arial" w:hAnsi="Arial"/>
          <w:sz w:val="18"/>
          <w:szCs w:val="18"/>
          <w:color w:val="auto"/>
        </w:rPr>
      </w:pPr>
    </w:p>
    <w:p>
      <w:pPr>
        <w:jc w:val="both"/>
        <w:ind w:left="640" w:hanging="314"/>
        <w:spacing w:after="0" w:line="248"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208" w:lineRule="exact"/>
        <w:rPr>
          <w:rFonts w:ascii="Arial" w:cs="Arial" w:eastAsia="Arial" w:hAnsi="Arial"/>
          <w:sz w:val="18"/>
          <w:szCs w:val="18"/>
          <w:color w:val="auto"/>
        </w:rPr>
      </w:pPr>
    </w:p>
    <w:p>
      <w:pPr>
        <w:ind w:left="640" w:hanging="314"/>
        <w:spacing w:after="0" w:line="261"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our suppliers, and our third-party manufacturers are subject to extensive governmental regulation both in the U.S. and abroad, and failure to comply with applicable requirements could cause our business to suffer;</w:t>
      </w:r>
    </w:p>
    <w:p>
      <w:pPr>
        <w:spacing w:after="0" w:line="197" w:lineRule="exact"/>
        <w:rPr>
          <w:rFonts w:ascii="Arial" w:cs="Arial" w:eastAsia="Arial" w:hAnsi="Arial"/>
          <w:sz w:val="18"/>
          <w:szCs w:val="18"/>
          <w:color w:val="auto"/>
        </w:rPr>
      </w:pPr>
    </w:p>
    <w:p>
      <w:pPr>
        <w:ind w:left="640" w:hanging="314"/>
        <w:spacing w:after="0" w:line="261"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and our sales representatives must comply with U.S. federal and state fraud and abuse laws, including those relating to physician kickbacks and false claims for reimbursement, as well as equivalent foreign laws; and</w:t>
      </w:r>
    </w:p>
    <w:p>
      <w:pPr>
        <w:spacing w:after="0" w:line="197" w:lineRule="exact"/>
        <w:rPr>
          <w:rFonts w:ascii="Arial" w:cs="Arial" w:eastAsia="Arial" w:hAnsi="Arial"/>
          <w:sz w:val="18"/>
          <w:szCs w:val="18"/>
          <w:color w:val="auto"/>
        </w:rPr>
      </w:pPr>
    </w:p>
    <w:p>
      <w:pPr>
        <w:ind w:left="640" w:hanging="314"/>
        <w:spacing w:after="0" w:line="324" w:lineRule="auto"/>
        <w:tabs>
          <w:tab w:leader="none" w:pos="635"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highlight w:val="white"/>
        </w:rPr>
        <w:t>We were incorporated in March 2008 in Delaware. We completed the initial public offering of our common stock in October 2018. Our principal executive offices are located at 471 El Camino Real, Suite 101, Santa Clara, California 95050 and our telephone number is (408) 207-0700. Our website address is www.si-bone.com. The information on, or that can be accessed through, our website is not part of this prospectus. We have included our website address as an inactive textual reference only.</w:t>
      </w:r>
    </w:p>
    <w:p>
      <w:pPr>
        <w:sectPr>
          <w:pgSz w:w="11900" w:h="16838" w:orient="portrait"/>
          <w:cols w:equalWidth="0" w:num="1">
            <w:col w:w="10400"/>
          </w:cols>
          <w:pgMar w:left="740" w:top="1367"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400"/>
          </w:cols>
          <w:pgMar w:left="740" w:top="1367" w:right="759" w:bottom="1440" w:gutter="0" w:footer="0" w:header="0"/>
          <w:type w:val="continuous"/>
        </w:sectPr>
      </w:pPr>
    </w:p>
    <w:bookmarkStart w:id="7" w:name="page8"/>
    <w:bookmarkEnd w:id="7"/>
    <w:p>
      <w:pPr>
        <w:jc w:val="both"/>
        <w:ind w:firstLine="324"/>
        <w:spacing w:after="0" w:line="308" w:lineRule="auto"/>
        <w:rPr>
          <w:sz w:val="20"/>
          <w:szCs w:val="20"/>
          <w:color w:val="auto"/>
        </w:rPr>
      </w:pPr>
      <w:r>
        <w:rPr>
          <w:rFonts w:ascii="Arial" w:cs="Arial" w:eastAsia="Arial" w:hAnsi="Arial"/>
          <w:sz w:val="17"/>
          <w:szCs w:val="17"/>
          <w:color w:val="auto"/>
          <w:highlight w:val="white"/>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8430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8430895"/>
                    </a:xfrm>
                    <a:prstGeom prst="rect">
                      <a:avLst/>
                    </a:prstGeom>
                    <a:noFill/>
                  </pic:spPr>
                </pic:pic>
              </a:graphicData>
            </a:graphic>
          </wp:anchor>
        </w:drawing>
        <w:t>Our common stock is currently listed on the Nasdaq Global Market under the symbol “SIBN.” We are an “emerging growth company” under the Jumpstart Our Business Startups Act of 2012, and therefore we are subject to reduced public company reporting requirements.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4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6"/>
          <w:szCs w:val="16"/>
          <w:color w:val="auto"/>
        </w:rPr>
        <w:t>We or selling securityholders may offer shares of our common stock and preferred stock, various series of debt securities and/or warrants to purchase any of such securities, either individually or in combination, from time to time under this prospectus, together with the applicable prospectus supplement and any related free writing prospectus, at prices and on terms to be determined by market conditions at the time of any offering. There is no limit on the aggregate amount of the securities that we or selling securityholders may offer pursuant to the registration statement of which this prospectus is a part. We or selling securityholders may also offer common stock, preferred stock and/or debt securities upon the exercise of warrants. This prospectus provides you with a general description of the securities we or selling securityholders may offer. Each time we or selling securityholders offer a type or series of securities under this prospectus, we will provide a prospectus supplement that will describe the specific amounts, prices and other important terms of the securities, including, to the extent applicable:</w:t>
      </w:r>
    </w:p>
    <w:p>
      <w:pPr>
        <w:spacing w:after="0" w:line="208" w:lineRule="exact"/>
        <w:rPr>
          <w:sz w:val="20"/>
          <w:szCs w:val="20"/>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144"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144"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maturity date, if applicable;</w:t>
      </w:r>
    </w:p>
    <w:p>
      <w:pPr>
        <w:spacing w:after="0" w:line="144"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original issue discount, if any;</w:t>
      </w:r>
    </w:p>
    <w:p>
      <w:pPr>
        <w:spacing w:after="0" w:line="144"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144"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redemption, conversion, exercise, exchange or sinking fund terms, if any;</w:t>
      </w:r>
    </w:p>
    <w:p>
      <w:pPr>
        <w:spacing w:after="0" w:line="144" w:lineRule="exact"/>
        <w:rPr>
          <w:rFonts w:ascii="Arial" w:cs="Arial" w:eastAsia="Arial" w:hAnsi="Arial"/>
          <w:sz w:val="18"/>
          <w:szCs w:val="18"/>
          <w:color w:val="auto"/>
        </w:rPr>
      </w:pPr>
    </w:p>
    <w:p>
      <w:pPr>
        <w:ind w:left="640" w:hanging="314"/>
        <w:spacing w:after="0" w:line="308"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62"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ranking;</w:t>
      </w:r>
    </w:p>
    <w:p>
      <w:pPr>
        <w:spacing w:after="0" w:line="144"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restrictive covenants, if any;</w:t>
      </w:r>
    </w:p>
    <w:p>
      <w:pPr>
        <w:spacing w:after="0" w:line="144"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144"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material or special U.S. federal income tax considerations, if any.</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210"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153" w:lineRule="exact"/>
        <w:rPr>
          <w:sz w:val="20"/>
          <w:szCs w:val="20"/>
          <w:color w:val="auto"/>
        </w:rPr>
      </w:pPr>
    </w:p>
    <w:p>
      <w:pPr>
        <w:jc w:val="both"/>
        <w:ind w:firstLine="381"/>
        <w:spacing w:after="0" w:line="294" w:lineRule="auto"/>
        <w:rPr>
          <w:sz w:val="20"/>
          <w:szCs w:val="20"/>
          <w:color w:val="auto"/>
        </w:rPr>
      </w:pPr>
      <w:r>
        <w:rPr>
          <w:rFonts w:ascii="Arial" w:cs="Arial" w:eastAsia="Arial" w:hAnsi="Arial"/>
          <w:sz w:val="16"/>
          <w:szCs w:val="16"/>
          <w:color w:val="auto"/>
        </w:rPr>
        <w:t>We or selling securityholders may sell the securities directly to investors or to or through agents, underwriters or dealers. We or selling securityholders and our or their agents or underwriters, reserve the right to accept or reject all or part of any proposed purchase of securities. If we or selling securityholders do offer securities to or through agents or underwriters, we will include in the applicable prospectus supplement:</w:t>
      </w:r>
    </w:p>
    <w:p>
      <w:pPr>
        <w:spacing w:after="0" w:line="188" w:lineRule="exact"/>
        <w:rPr>
          <w:sz w:val="20"/>
          <w:szCs w:val="20"/>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36" w:lineRule="exact"/>
        <w:rPr>
          <w:rFonts w:ascii="Arial" w:cs="Arial" w:eastAsia="Arial" w:hAnsi="Arial"/>
          <w:sz w:val="18"/>
          <w:szCs w:val="18"/>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36" w:lineRule="exact"/>
        <w:rPr>
          <w:rFonts w:ascii="Arial" w:cs="Arial" w:eastAsia="Arial" w:hAnsi="Arial"/>
          <w:sz w:val="18"/>
          <w:szCs w:val="18"/>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36" w:lineRule="exact"/>
        <w:rPr>
          <w:rFonts w:ascii="Arial" w:cs="Arial" w:eastAsia="Arial" w:hAnsi="Arial"/>
          <w:sz w:val="18"/>
          <w:szCs w:val="18"/>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79"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7"/>
          <w:szCs w:val="17"/>
          <w:i w:val="1"/>
          <w:iCs w:val="1"/>
          <w:color w:val="auto"/>
        </w:rPr>
        <w:t>Common Stock</w:t>
      </w:r>
      <w:r>
        <w:rPr>
          <w:rFonts w:ascii="Arial" w:cs="Arial" w:eastAsia="Arial" w:hAnsi="Arial"/>
          <w:sz w:val="17"/>
          <w:szCs w:val="17"/>
          <w:color w:val="auto"/>
        </w:rPr>
        <w:t>. We may issue shares of our common stock from time to time and the selling securityholders may offer shares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from time to time. The holders of our common stock are entitled to one vote for each share held of record on all matters submitted to a vote of stockholders. Subject to preferences that may be applicable to any outstanding shares of preferred stock, the holders of common stock are entitled to receive ratably such dividends as may be declared by our board of directors out of legally available funds. Upon our liquidation, dissolution or winding up, holders of our common stock are entitled to share ratably in</w:t>
      </w:r>
    </w:p>
    <w:p>
      <w:pPr>
        <w:sectPr>
          <w:pgSz w:w="11900" w:h="16838" w:orient="portrait"/>
          <w:cols w:equalWidth="0" w:num="1">
            <w:col w:w="10400"/>
          </w:cols>
          <w:pgMar w:left="740" w:top="1435"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400"/>
          </w:cols>
          <w:pgMar w:left="740" w:top="1435" w:right="759" w:bottom="1440" w:gutter="0" w:footer="0" w:header="0"/>
          <w:type w:val="continuous"/>
        </w:sectPr>
      </w:pPr>
    </w:p>
    <w:bookmarkStart w:id="8" w:name="page9"/>
    <w:bookmarkEnd w:id="8"/>
    <w:p>
      <w:pPr>
        <w:jc w:val="both"/>
        <w:spacing w:after="0" w:line="30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84391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8439150"/>
                    </a:xfrm>
                    <a:prstGeom prst="rect">
                      <a:avLst/>
                    </a:prstGeom>
                    <a:noFill/>
                  </pic:spPr>
                </pic:pic>
              </a:graphicData>
            </a:graphic>
          </wp:anchor>
        </w:drawing>
        <w:t>all assets remaining after payment of liabilities and the liquidation preferences of any outstanding shares of preferred stock. Holders of common stock have no preemptive rights and no right to convert their common stock into any other securities. There are no redemption or sinking fund provisions applicable to our common stock. In this prospectus, we have summarized certain general features of the common stock under “Description of Capital Stock — Common Stock.” We urge you, however, to read the applicable prospectus supplement (and any related free writing prospectus that we may authorize to be provided to you) related to any common stock being offered.</w:t>
      </w:r>
    </w:p>
    <w:p>
      <w:pPr>
        <w:spacing w:after="0" w:line="17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We may issue shares of our preferred stock from time to time, in one or more series. Our board of directors will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the designations, voting powers, preferences and rights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Convertible preferred stock will be convertible into our common stock or exchangeable for other securities. Conversion may be mandatory or at your option and would be at prescribed conversion rates.</w:t>
      </w:r>
    </w:p>
    <w:p>
      <w:pPr>
        <w:spacing w:after="0" w:line="189"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7"/>
          <w:szCs w:val="17"/>
          <w:color w:val="auto"/>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79"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7"/>
          <w:szCs w:val="17"/>
          <w:i w:val="1"/>
          <w:iCs w:val="1"/>
          <w:color w:val="auto"/>
        </w:rPr>
        <w:t xml:space="preserve">Debt Securities. </w:t>
      </w:r>
      <w:r>
        <w:rPr>
          <w:rFonts w:ascii="Arial" w:cs="Arial" w:eastAsia="Arial" w:hAnsi="Arial"/>
          <w:sz w:val="17"/>
          <w:szCs w:val="17"/>
          <w:color w:val="auto"/>
        </w:rPr>
        <w:t>We may issue debt securities from time to time, in one or more series, as either senior or subordinated debt or as senior or</w:t>
      </w:r>
      <w:r>
        <w:rPr>
          <w:rFonts w:ascii="Arial" w:cs="Arial" w:eastAsia="Arial" w:hAnsi="Arial"/>
          <w:sz w:val="17"/>
          <w:szCs w:val="17"/>
          <w:i w:val="1"/>
          <w:iCs w:val="1"/>
          <w:color w:val="auto"/>
        </w:rPr>
        <w:t xml:space="preserve"> </w:t>
      </w:r>
      <w:r>
        <w:rPr>
          <w:rFonts w:ascii="Arial" w:cs="Arial" w:eastAsia="Arial" w:hAnsi="Arial"/>
          <w:sz w:val="17"/>
          <w:szCs w:val="17"/>
          <w:color w:val="auto"/>
        </w:rPr>
        <w:t>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w:t>
      </w:r>
    </w:p>
    <w:p>
      <w:pPr>
        <w:spacing w:after="0" w:line="17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8"/>
          <w:szCs w:val="18"/>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“Description of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9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We may issue warrants for the purchase of common stock, preferred stock and/or debt securities in one or more series. We may</w:t>
      </w:r>
      <w:r>
        <w:rPr>
          <w:rFonts w:ascii="Arial" w:cs="Arial" w:eastAsia="Arial" w:hAnsi="Arial"/>
          <w:sz w:val="18"/>
          <w:szCs w:val="18"/>
          <w:i w:val="1"/>
          <w:iCs w:val="1"/>
          <w:color w:val="auto"/>
        </w:rPr>
        <w:t xml:space="preserve"> </w:t>
      </w:r>
      <w:r>
        <w:rPr>
          <w:rFonts w:ascii="Arial" w:cs="Arial" w:eastAsia="Arial" w:hAnsi="Arial"/>
          <w:sz w:val="18"/>
          <w:szCs w:val="18"/>
          <w:color w:val="auto"/>
        </w:rPr>
        <w:t>issue warrants independently or in combination with common stock, preferred stock and/or debt securities. In this prospectus, we have summarized certain general features of the warrants under “Description of Warrants.” We urge you, however, to read the applicable prospectus supplement (and any related free writing prospectus that we may authorize to be provided to you) related to the particular series of warrants being offered, as well as any warrant agreements and warrant certificates that contain the terms of the warrants. 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97"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sectPr>
          <w:pgSz w:w="11900" w:h="16838" w:orient="portrait"/>
          <w:cols w:equalWidth="0" w:num="1">
            <w:col w:w="10400"/>
          </w:cols>
          <w:pgMar w:left="740" w:top="1381"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400"/>
          </w:cols>
          <w:pgMar w:left="740" w:top="1381" w:right="7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2456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456180"/>
                    </a:xfrm>
                    <a:prstGeom prst="rect">
                      <a:avLst/>
                    </a:prstGeom>
                    <a:noFill/>
                  </pic:spPr>
                </pic:pic>
              </a:graphicData>
            </a:graphic>
          </wp:anchor>
        </w:drawing>
        <w:t>Use of Proceeds</w:t>
      </w:r>
    </w:p>
    <w:p>
      <w:pPr>
        <w:spacing w:after="0" w:line="229" w:lineRule="exact"/>
        <w:rPr>
          <w:sz w:val="20"/>
          <w:szCs w:val="20"/>
          <w:color w:val="auto"/>
        </w:rPr>
      </w:pPr>
    </w:p>
    <w:p>
      <w:pPr>
        <w:ind w:right="140" w:firstLine="324"/>
        <w:spacing w:after="0" w:line="243"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We will not receive any proceeds from the sale of securities by any selling securityholder. See “Use of Proceeds” in this prospectus.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common stock is listed on the Nasdaq Global Market under the symbol “SIBN.” The applicable prospectus supplement will contain information, where applicable, as to other listings, if any, on the Nasdaq Global Market or other securities exchange of the securities covered by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00"/>
          </w:cols>
          <w:pgMar w:left="740" w:top="1363" w:right="7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RISK FACTORS</w:t>
      </w:r>
    </w:p>
    <w:p>
      <w:pPr>
        <w:spacing w:after="0" w:line="24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“Special Note Regarding Forward-Looking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6"/>
          <w:szCs w:val="16"/>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w:t>
      </w:r>
    </w:p>
    <w:p>
      <w:pPr>
        <w:jc w:val="both"/>
        <w:spacing w:after="0" w:line="264" w:lineRule="auto"/>
        <w:rPr>
          <w:sz w:val="20"/>
          <w:szCs w:val="20"/>
          <w:color w:val="auto"/>
        </w:rPr>
      </w:pPr>
      <w:r>
        <w:rPr>
          <w:rFonts w:ascii="Arial" w:cs="Arial" w:eastAsia="Arial" w:hAnsi="Arial"/>
          <w:sz w:val="18"/>
          <w:szCs w:val="18"/>
          <w:color w:val="auto"/>
        </w:rPr>
        <w:t>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195" w:lineRule="exact"/>
        <w:rPr>
          <w:sz w:val="20"/>
          <w:szCs w:val="20"/>
          <w:color w:val="auto"/>
        </w:rPr>
      </w:pPr>
    </w:p>
    <w:p>
      <w:pPr>
        <w:jc w:val="both"/>
        <w:ind w:left="660" w:hanging="328"/>
        <w:spacing w:after="0" w:line="284"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impact the COVID-19 pandemic and governmental actions taken to combat the COVID-19 pandemic will have on us, including our operations, financial results, liquidity and capital resources, the existence and duration of state and local orders temporarily prohibiting elective procedures including procedures using the iFuse Implant System, the ability and desire of patients and physicians to undergo and perform such procedures, the duration and any potential resurgence of the COVID-19 pandemic, and whether the COVID-19 pandemic will recur in the future;</w:t>
      </w:r>
    </w:p>
    <w:p>
      <w:pPr>
        <w:spacing w:after="0" w:line="18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 healthy workforce in light of the ongoing COVID-19 pandemic;</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 that a significant portion of our revenues will be derived from sales of the iFuse Implant System, or iFuse;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indications for use and new devices;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and grow our sales team based on the demand for our products;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identify, train, and retain surgeons to perform procedures using our products;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favorable coverage and reimbursement determinations from third-party payors;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scope of protection from intellectual property rights covering our products;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of and results from clinical and other trials;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marketing clearances and authorization from the FDA and regulators in other jurisdictions;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of regulatory filings and feedback;</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our products;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our products;</w:t>
      </w:r>
    </w:p>
    <w:p>
      <w:pPr>
        <w:sectPr>
          <w:pgSz w:w="11900" w:h="16838" w:orient="portrait"/>
          <w:cols w:equalWidth="0" w:num="1">
            <w:col w:w="11240"/>
          </w:cols>
          <w:pgMar w:left="320" w:top="958"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958" w:right="339" w:bottom="1440" w:gutter="0" w:footer="0" w:header="0"/>
          <w:type w:val="continuous"/>
        </w:sectPr>
      </w:pPr>
    </w:p>
    <w:bookmarkStart w:id="11" w:name="page12"/>
    <w:bookmarkEnd w:id="11"/>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reliance on a limited number of suppliers, including sole source suppliers, which may impact the availability of instruments and materials;</w:t>
      </w:r>
    </w:p>
    <w:p>
      <w:pPr>
        <w:spacing w:after="0" w:line="25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sustain or increase demand for our products;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expansion;</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our ability to retain and recruit key personnel;</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3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7"/>
          <w:szCs w:val="17"/>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86"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4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which may include costs of funding future acquisitions or for any other purpose we describe in the applicable prospectus supplement.</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will not receive any proceeds from the sale of securities by any selling securityholder.</w:t>
      </w:r>
    </w:p>
    <w:p>
      <w:pPr>
        <w:spacing w:after="0" w:line="1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DESCRIPTION OF CAPITAL STOCK</w:t>
      </w:r>
    </w:p>
    <w:p>
      <w:pPr>
        <w:spacing w:after="0" w:line="20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authorized capital stock consists of 100,000,000 shares of common stock, $0.0001 par value per share, and 5,000,000 shares of preferred stock, $0.0001 par value per share. A description of material terms and provisions of our certificate of incorporation and bylaws affecting the rights of holders of our capital stock is set forth below. The description is intended as a summary, and is qualified in its entirety by reference to our certificate of incorporation and the bylaws.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949" w:right="339" w:bottom="1440" w:gutter="0" w:footer="0" w:header="0"/>
          <w:type w:val="continuous"/>
        </w:sectPr>
      </w:pPr>
    </w:p>
    <w:bookmarkStart w:id="12" w:name="page13"/>
    <w:bookmarkEnd w:id="12"/>
    <w:p>
      <w:pPr>
        <w:jc w:val="both"/>
        <w:ind w:firstLine="324"/>
        <w:spacing w:after="0" w:line="263"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holders of our common stock are entitled to one vote per share. Stockholders do not have the ability to cumulate votes for the election of directors. Our amended and restated certificate of incorporation and amended and restated bylaws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amended and restated certificate of incorporation authorizes our board of directors,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our company or other corporate action.</w:t>
      </w:r>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spacing w:after="0" w:line="18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applicable;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provisions for a sinking fund, if applicable;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those redemption and repurchase rights;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49" w:right="339" w:bottom="1440" w:gutter="0" w:footer="0" w:header="0"/>
        </w:sectPr>
      </w:pPr>
    </w:p>
    <w:bookmarkStart w:id="13" w:name="page14"/>
    <w:bookmarkEnd w:id="13"/>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the exchange period;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rights of the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transfer, sale or other assignment;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discussion of material United States federal income tax considerations applicable to the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relative ranking and preferences of the preferred stock as to dividend rights and rights if we liquidate, dissolve or wind up our affairs;</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Anti-takeover Effects of Provisions of our Certificate of Incorporation and Bylaws and Delaware Law</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144" w:lineRule="exact"/>
        <w:rPr>
          <w:sz w:val="20"/>
          <w:szCs w:val="20"/>
          <w:color w:val="auto"/>
        </w:rPr>
      </w:pPr>
    </w:p>
    <w:p>
      <w:pPr>
        <w:jc w:val="both"/>
        <w:ind w:firstLine="445"/>
        <w:spacing w:after="0" w:line="337" w:lineRule="auto"/>
        <w:rPr>
          <w:sz w:val="20"/>
          <w:szCs w:val="20"/>
          <w:color w:val="auto"/>
        </w:rPr>
      </w:pPr>
      <w:r>
        <w:rPr>
          <w:rFonts w:ascii="Arial" w:cs="Arial" w:eastAsia="Arial" w:hAnsi="Arial"/>
          <w:sz w:val="16"/>
          <w:szCs w:val="16"/>
          <w:color w:val="auto"/>
        </w:rPr>
        <w:t>We are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3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prior to the time that the interested stockholder became an interested stockholder;</w:t>
      </w:r>
    </w:p>
    <w:p>
      <w:pPr>
        <w:spacing w:after="0" w:line="128" w:lineRule="exact"/>
        <w:rPr>
          <w:rFonts w:ascii="Arial" w:cs="Arial" w:eastAsia="Arial" w:hAnsi="Arial"/>
          <w:sz w:val="17"/>
          <w:szCs w:val="17"/>
          <w:color w:val="auto"/>
        </w:rPr>
      </w:pPr>
    </w:p>
    <w:p>
      <w:pPr>
        <w:ind w:left="660" w:right="100" w:hanging="328"/>
        <w:spacing w:after="0" w:line="275"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222222"/>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w:t>
      </w:r>
      <w:r>
        <w:rPr>
          <w:rFonts w:ascii="Arial" w:cs="Arial" w:eastAsia="Arial" w:hAnsi="Arial"/>
          <w:sz w:val="17"/>
          <w:szCs w:val="17"/>
          <w:color w:val="000000"/>
        </w:rPr>
        <w:t>or</w:t>
      </w:r>
    </w:p>
    <w:p>
      <w:pPr>
        <w:spacing w:after="0" w:line="68" w:lineRule="exact"/>
        <w:rPr>
          <w:rFonts w:ascii="Arial" w:cs="Arial" w:eastAsia="Arial" w:hAnsi="Arial"/>
          <w:sz w:val="17"/>
          <w:szCs w:val="17"/>
          <w:color w:val="auto"/>
        </w:rPr>
      </w:pPr>
    </w:p>
    <w:p>
      <w:pPr>
        <w:ind w:left="660" w:right="10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97"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 Provisions</w:t>
      </w:r>
    </w:p>
    <w:p>
      <w:pPr>
        <w:spacing w:after="0" w:line="2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include a number of provisions that may have the effect of deterring hostile takeovers or delaying or preventing changes in control of our management team, including the following:</w:t>
      </w:r>
    </w:p>
    <w:p>
      <w:pPr>
        <w:spacing w:after="0" w:line="170" w:lineRule="exact"/>
        <w:rPr>
          <w:sz w:val="20"/>
          <w:szCs w:val="20"/>
          <w:color w:val="auto"/>
        </w:rPr>
      </w:pPr>
    </w:p>
    <w:p>
      <w:pPr>
        <w:jc w:val="both"/>
        <w:ind w:left="660" w:hanging="328"/>
        <w:spacing w:after="0" w:line="279" w:lineRule="auto"/>
        <w:tabs>
          <w:tab w:leader="none" w:pos="655"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Board of Directors Vacancies</w:t>
      </w:r>
      <w:r>
        <w:rPr>
          <w:rFonts w:ascii="Arial" w:cs="Arial" w:eastAsia="Arial" w:hAnsi="Arial"/>
          <w:sz w:val="17"/>
          <w:szCs w:val="17"/>
          <w:color w:val="auto"/>
        </w:rPr>
        <w:t>. Our amended and restated certificate of incorporation and amended and restated bylaws authorize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to fill vacant directorships, including newly-created seats. In addition, the number of directors constituting our board of directors is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98" w:lineRule="exact"/>
        <w:rPr>
          <w:rFonts w:ascii="Arial" w:cs="Arial" w:eastAsia="Arial" w:hAnsi="Arial"/>
          <w:sz w:val="17"/>
          <w:szCs w:val="17"/>
          <w:i w:val="1"/>
          <w:iCs w:val="1"/>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and amended and restated bylaws provide that our board of directors is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into three classes of directors, each of whom will hold office for a three-year term. In addition,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949" w:right="339" w:bottom="1440" w:gutter="0" w:footer="0" w:header="0"/>
        </w:sectPr>
      </w:pPr>
    </w:p>
    <w:bookmarkStart w:id="14" w:name="page15"/>
    <w:bookmarkEnd w:id="14"/>
    <w:p>
      <w:pPr>
        <w:jc w:val="both"/>
        <w:ind w:left="660"/>
        <w:spacing w:after="0" w:line="263" w:lineRule="auto"/>
        <w:rPr>
          <w:sz w:val="20"/>
          <w:szCs w:val="20"/>
          <w:color w:val="auto"/>
        </w:rPr>
      </w:pPr>
      <w:r>
        <w:rPr>
          <w:rFonts w:ascii="Arial" w:cs="Arial" w:eastAsia="Arial" w:hAnsi="Arial"/>
          <w:sz w:val="18"/>
          <w:szCs w:val="18"/>
          <w:color w:val="auto"/>
        </w:rPr>
        <w:t>directors may only be removed from the board of directors for cause and only by the approval of a majority of our then-outstanding shares of our common stock. The existence of a classified board could delay a successful tender offeror from obtaining majority control of our board of directors, and the prospect of that delay might deter a potential offeror.</w:t>
      </w:r>
    </w:p>
    <w:p>
      <w:pPr>
        <w:spacing w:after="0" w:line="211" w:lineRule="exact"/>
        <w:rPr>
          <w:sz w:val="20"/>
          <w:szCs w:val="20"/>
          <w:color w:val="auto"/>
        </w:rPr>
      </w:pPr>
    </w:p>
    <w:p>
      <w:pPr>
        <w:jc w:val="both"/>
        <w:ind w:left="660"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amended and restated certificate of incorporation provides that stockholders are not able</w:t>
      </w:r>
      <w:r>
        <w:rPr>
          <w:rFonts w:ascii="Arial" w:cs="Arial" w:eastAsia="Arial" w:hAnsi="Arial"/>
          <w:sz w:val="18"/>
          <w:szCs w:val="18"/>
          <w:i w:val="1"/>
          <w:iCs w:val="1"/>
          <w:color w:val="auto"/>
        </w:rPr>
        <w:t xml:space="preserve"> </w:t>
      </w:r>
      <w:r>
        <w:rPr>
          <w:rFonts w:ascii="Arial" w:cs="Arial" w:eastAsia="Arial" w:hAnsi="Arial"/>
          <w:sz w:val="18"/>
          <w:szCs w:val="18"/>
          <w:color w:val="auto"/>
        </w:rPr>
        <w:t>to take action by written consent, and are only be able to take action at annual or special meetings of our stockholders. Stockholders are not be permitted to cumulate their votes for the election of directors. Our amended and restated bylaws further provide that special meetings of our stockholders may be called only by a majority vote of our entire board of directors, the chairman of our board of directors, or our chief executive officer.</w:t>
      </w:r>
    </w:p>
    <w:p>
      <w:pPr>
        <w:spacing w:after="0" w:line="214"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Our amended and restated bylaws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any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214" w:lineRule="exact"/>
        <w:rPr>
          <w:rFonts w:ascii="Arial" w:cs="Arial" w:eastAsia="Arial" w:hAnsi="Arial"/>
          <w:sz w:val="18"/>
          <w:szCs w:val="18"/>
          <w:color w:val="auto"/>
        </w:rPr>
      </w:pPr>
    </w:p>
    <w:p>
      <w:pPr>
        <w:jc w:val="both"/>
        <w:ind w:left="660" w:hanging="328"/>
        <w:spacing w:after="0" w:line="287"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Issuance of Undesignated Preferred Stock</w:t>
      </w:r>
      <w:r>
        <w:rPr>
          <w:rFonts w:ascii="Arial" w:cs="Arial" w:eastAsia="Arial" w:hAnsi="Arial"/>
          <w:sz w:val="16"/>
          <w:szCs w:val="16"/>
          <w:color w:val="auto"/>
        </w:rPr>
        <w:t>. Our board of directors have the authority, without further action by the holders of common stock, to</w:t>
      </w:r>
      <w:r>
        <w:rPr>
          <w:rFonts w:ascii="Arial" w:cs="Arial" w:eastAsia="Arial" w:hAnsi="Arial"/>
          <w:sz w:val="16"/>
          <w:szCs w:val="16"/>
          <w:i w:val="1"/>
          <w:iCs w:val="1"/>
          <w:color w:val="auto"/>
        </w:rPr>
        <w:t xml:space="preserve"> </w:t>
      </w:r>
      <w:r>
        <w:rPr>
          <w:rFonts w:ascii="Arial" w:cs="Arial" w:eastAsia="Arial" w:hAnsi="Arial"/>
          <w:sz w:val="16"/>
          <w:szCs w:val="16"/>
          <w:color w:val="auto"/>
        </w:rPr>
        <w:t>issue up to 5,000,000 shares of undesignated preferred stock with rights and preferences, including voting rights, designated from time to time by the board of directors. The existence of authorized but unissued shares of preferred stock enable our board of directors to render more difficult or</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discourage an attempt to obtain control of us by means of a merger, tender offer, proxy contest, or otherwise.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Choice of Forum</w:t>
      </w:r>
    </w:p>
    <w:p>
      <w:pPr>
        <w:spacing w:after="0" w:line="116" w:lineRule="exact"/>
        <w:rPr>
          <w:sz w:val="20"/>
          <w:szCs w:val="20"/>
          <w:color w:val="auto"/>
        </w:rPr>
      </w:pPr>
    </w:p>
    <w:p>
      <w:pPr>
        <w:jc w:val="both"/>
        <w:ind w:firstLine="445"/>
        <w:spacing w:after="0" w:line="303"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fiduciary duty by any director, officer, or other employee to us or our stockholders; any action asserting a claim against us arising pursuant to the Delaware General Corporation Law, our amended and restated certificate of incorporation or our amended and restated bylaws, or any action asserting a claim against us or any director or officer or other employee that is governed by the internal affairs doctrine. The provision does not apply to suits brought to enforce a duty or liability created by the Exchange Act.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further provides that the federal district courts of the United States of America is be the exclusive forum for resolving any complaint asserting a cause of action arising under the Securities Act. We do not currently intend to enforce the federal forum selection provision unless a recent Delaware Chancery Court decision invalidating such a clause is appealed and the Delaware Supreme Court reverses the decision.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Market</w:t>
      </w:r>
    </w:p>
    <w:p>
      <w:pPr>
        <w:spacing w:after="0" w:line="2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common stock is listed on the Nasdaq Global Market the symbol “SIBN.” The applicable prospectus supplement will contain information, where applicable, as to any other listing, if any, on the Nasdaq Global Market or any securities market or other exchange of the preferred stock covered by such prospectus supplement.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7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will issue the debt securities under the indenture that we will enter into with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949" w:right="339" w:bottom="1440" w:gutter="0" w:footer="0" w:header="0"/>
        </w:sectPr>
      </w:pPr>
    </w:p>
    <w:bookmarkStart w:id="15" w:name="page16"/>
    <w:bookmarkEnd w:id="15"/>
    <w:p>
      <w:pPr>
        <w:jc w:val="both"/>
        <w:ind w:firstLine="324"/>
        <w:spacing w:after="0" w:line="259" w:lineRule="auto"/>
        <w:rPr>
          <w:sz w:val="20"/>
          <w:szCs w:val="20"/>
          <w:color w:val="auto"/>
        </w:rPr>
      </w:pPr>
      <w:r>
        <w:rPr>
          <w:rFonts w:ascii="Arial" w:cs="Arial" w:eastAsia="Arial" w:hAnsi="Arial"/>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describe in the applicable prospectus supplement the terms of the series of debt securities being offered, including:</w:t>
      </w:r>
    </w:p>
    <w:p>
      <w:pPr>
        <w:spacing w:after="0" w:line="23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title of the series of debt securities;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limit upon the aggregate principal amount that may be issued;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maturity date or dates;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form of the debt securities of the series;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44"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debt securities rank as senior debt, senior subordinated debt, subordinated debt or any combination thereof, and the terms of any subordination;</w:t>
      </w:r>
    </w:p>
    <w:p>
      <w:pPr>
        <w:spacing w:after="0" w:line="62" w:lineRule="exact"/>
        <w:rPr>
          <w:rFonts w:ascii="Arial" w:cs="Arial" w:eastAsia="Arial" w:hAnsi="Arial"/>
          <w:sz w:val="18"/>
          <w:szCs w:val="18"/>
          <w:color w:val="auto"/>
        </w:rPr>
      </w:pPr>
    </w:p>
    <w:p>
      <w:pPr>
        <w:jc w:val="both"/>
        <w:ind w:left="660" w:hanging="328"/>
        <w:spacing w:after="0" w:line="29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79" w:lineRule="exact"/>
        <w:rPr>
          <w:rFonts w:ascii="Arial" w:cs="Arial" w:eastAsia="Arial" w:hAnsi="Arial"/>
          <w:sz w:val="18"/>
          <w:szCs w:val="18"/>
          <w:color w:val="auto"/>
        </w:rPr>
      </w:pPr>
    </w:p>
    <w:p>
      <w:pPr>
        <w:ind w:left="660" w:hanging="328"/>
        <w:spacing w:after="0" w:line="341"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44" w:lineRule="exact"/>
        <w:rPr>
          <w:rFonts w:ascii="Arial" w:cs="Arial" w:eastAsia="Arial" w:hAnsi="Arial"/>
          <w:sz w:val="18"/>
          <w:szCs w:val="18"/>
          <w:color w:val="auto"/>
        </w:rPr>
      </w:pPr>
    </w:p>
    <w:p>
      <w:pPr>
        <w:ind w:left="660" w:right="20" w:hanging="328"/>
        <w:spacing w:after="0" w:line="377"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5" w:lineRule="exact"/>
        <w:rPr>
          <w:rFonts w:ascii="Arial" w:cs="Arial" w:eastAsia="Arial" w:hAnsi="Arial"/>
          <w:sz w:val="16"/>
          <w:szCs w:val="16"/>
          <w:color w:val="auto"/>
        </w:rPr>
      </w:pPr>
    </w:p>
    <w:p>
      <w:pPr>
        <w:jc w:val="both"/>
        <w:ind w:left="660" w:hanging="328"/>
        <w:spacing w:after="0" w:line="29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denominations in which we will issue the series of debt securities, if other than denominations of $1,000 and any integral multiple thereof;</w:t>
      </w:r>
    </w:p>
    <w:p>
      <w:pPr>
        <w:spacing w:after="0" w:line="155" w:lineRule="exact"/>
        <w:rPr>
          <w:rFonts w:ascii="Arial" w:cs="Arial" w:eastAsia="Arial" w:hAnsi="Arial"/>
          <w:sz w:val="17"/>
          <w:szCs w:val="17"/>
          <w:color w:val="auto"/>
        </w:rPr>
      </w:pPr>
    </w:p>
    <w:p>
      <w:pPr>
        <w:ind w:left="660" w:hanging="328"/>
        <w:spacing w:after="0" w:line="377"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debt securities of the series shall be issued in whole or in part in the form of a global security or securities;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49" w:right="339" w:bottom="1440" w:gutter="0" w:footer="0" w:header="0"/>
        </w:sectPr>
      </w:pPr>
    </w:p>
    <w:bookmarkStart w:id="16" w:name="page17"/>
    <w:bookmarkEnd w:id="16"/>
    <w:p>
      <w:pPr>
        <w:ind w:left="660" w:hanging="328"/>
        <w:spacing w:after="0" w:line="30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and conditions, if any, upon which such global security or securities may be exchanged in whole or in part for other individual securities, and the depositary for such global security or securities;</w:t>
      </w:r>
    </w:p>
    <w:p>
      <w:pPr>
        <w:spacing w:after="0" w:line="62" w:lineRule="exact"/>
        <w:rPr>
          <w:rFonts w:ascii="Arial" w:cs="Arial" w:eastAsia="Arial" w:hAnsi="Arial"/>
          <w:sz w:val="18"/>
          <w:szCs w:val="18"/>
          <w:color w:val="auto"/>
        </w:rPr>
      </w:pPr>
    </w:p>
    <w:p>
      <w:pPr>
        <w:jc w:val="both"/>
        <w:ind w:left="660" w:hanging="328"/>
        <w:spacing w:after="0" w:line="29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79"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to or changes in the covenants applicable to the particular debt securities being issued, including, among others, the consolidation, merger or sale covenant;</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satisfaction and discharge of the indenture;</w:t>
      </w:r>
    </w:p>
    <w:p>
      <w:pPr>
        <w:spacing w:after="0" w:line="144"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the modification of the indenture both with and without the consent of holders of debt securities issued under the indenture;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currency of payment of debt securities if other than U.S. dollars and the manner of determining the equivalent amount in U.S. dollars;</w:t>
      </w:r>
    </w:p>
    <w:p>
      <w:pPr>
        <w:spacing w:after="0" w:line="155" w:lineRule="exact"/>
        <w:rPr>
          <w:rFonts w:ascii="Arial" w:cs="Arial" w:eastAsia="Arial" w:hAnsi="Arial"/>
          <w:sz w:val="17"/>
          <w:szCs w:val="17"/>
          <w:color w:val="auto"/>
        </w:rPr>
      </w:pPr>
    </w:p>
    <w:p>
      <w:pPr>
        <w:ind w:left="660" w:right="20" w:hanging="328"/>
        <w:spacing w:after="0" w:line="30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debt securities at our or the holders’ option and the terms and conditions upon which the election may be made;</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debt securities of the series; and</w:t>
      </w:r>
    </w:p>
    <w:p>
      <w:pPr>
        <w:spacing w:after="0" w:line="144"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962" w:right="339" w:bottom="1440" w:gutter="0" w:footer="0" w:header="0"/>
        </w:sectPr>
      </w:pPr>
    </w:p>
    <w:bookmarkStart w:id="17" w:name="page18"/>
    <w:bookmarkEnd w:id="17"/>
    <w:p>
      <w:pPr>
        <w:jc w:val="both"/>
        <w:ind w:left="660" w:hanging="328"/>
        <w:spacing w:after="0" w:line="286"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165" w:lineRule="exact"/>
        <w:rPr>
          <w:rFonts w:ascii="Arial" w:cs="Arial" w:eastAsia="Arial" w:hAnsi="Arial"/>
          <w:sz w:val="17"/>
          <w:szCs w:val="17"/>
          <w:color w:val="auto"/>
        </w:rPr>
      </w:pPr>
    </w:p>
    <w:p>
      <w:pPr>
        <w:jc w:val="both"/>
        <w:ind w:left="660" w:hanging="328"/>
        <w:spacing w:after="0" w:line="279"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171"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6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9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144"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63" w:lineRule="exact"/>
        <w:rPr>
          <w:sz w:val="20"/>
          <w:szCs w:val="20"/>
          <w:color w:val="auto"/>
        </w:rPr>
      </w:pPr>
    </w:p>
    <w:p>
      <w:pPr>
        <w:ind w:firstLine="324"/>
        <w:spacing w:after="0" w:line="308"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 or to appoint a receiver or trustee, or to seek other remedies only if:</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written request,</w:t>
      </w:r>
    </w:p>
    <w:p>
      <w:pPr>
        <w:spacing w:after="0" w:line="144"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holders have offered to the trustee indemnity satisfactory to it against the costs, expenses and liabilities to be incurred by the trustee in compliance with the request; and</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4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949" w:right="33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and the trustee may change an indenture without the consent of any holders with respect to specific matters:</w:t>
      </w:r>
    </w:p>
    <w:p>
      <w:pPr>
        <w:spacing w:after="0" w:line="23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the debt securities of any series;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“Description of Debt Securities—Consolidation, Merger or Sale;”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44" w:lineRule="exact"/>
        <w:rPr>
          <w:rFonts w:ascii="Arial" w:cs="Arial" w:eastAsia="Arial" w:hAnsi="Arial"/>
          <w:sz w:val="18"/>
          <w:szCs w:val="18"/>
          <w:color w:val="auto"/>
        </w:rPr>
      </w:pPr>
    </w:p>
    <w:p>
      <w:pPr>
        <w:jc w:val="both"/>
        <w:ind w:left="660" w:hanging="328"/>
        <w:spacing w:after="0" w:line="347"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38" w:lineRule="exact"/>
        <w:rPr>
          <w:rFonts w:ascii="Arial" w:cs="Arial" w:eastAsia="Arial" w:hAnsi="Arial"/>
          <w:sz w:val="16"/>
          <w:szCs w:val="16"/>
          <w:color w:val="auto"/>
        </w:rPr>
      </w:pPr>
    </w:p>
    <w:p>
      <w:pPr>
        <w:ind w:left="660" w:hanging="328"/>
        <w:spacing w:after="0" w:line="30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interests of any holder of debt securities of any series in any material respect;</w:t>
      </w:r>
    </w:p>
    <w:p>
      <w:pPr>
        <w:spacing w:after="0" w:line="144" w:lineRule="exact"/>
        <w:rPr>
          <w:rFonts w:ascii="Arial" w:cs="Arial" w:eastAsia="Arial" w:hAnsi="Arial"/>
          <w:sz w:val="18"/>
          <w:szCs w:val="18"/>
          <w:color w:val="auto"/>
        </w:rPr>
      </w:pPr>
    </w:p>
    <w:p>
      <w:pPr>
        <w:jc w:val="both"/>
        <w:ind w:left="660" w:hanging="328"/>
        <w:spacing w:after="0" w:line="29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any indenture by a successor trustee; or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any indenture under the Trust Indenture Act.</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20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extending the fixed maturity of any debt securities of any series;</w:t>
      </w:r>
    </w:p>
    <w:p>
      <w:pPr>
        <w:spacing w:after="0" w:line="144"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series of any debt securities;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reducing the percentage of debt securities, the holders of which are required to consent to any amendment, supplement, modification or waiver.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specified obligations, including obligations to:</w:t>
      </w:r>
    </w:p>
    <w:p>
      <w:pPr>
        <w:spacing w:after="0" w:line="18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for payment;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principal of and premium and interest on any debt securities of the series;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949" w:right="339" w:bottom="1440" w:gutter="0" w:footer="0" w:header="0"/>
        </w:sectPr>
      </w:pPr>
    </w:p>
    <w:bookmarkStart w:id="19" w:name="page20"/>
    <w:bookmarkEnd w:id="19"/>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 entry securities will be set forth in the applicable prospectus supplement.</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39" w:lineRule="exact"/>
        <w:rPr>
          <w:sz w:val="20"/>
          <w:szCs w:val="20"/>
          <w:color w:val="auto"/>
        </w:rPr>
      </w:pPr>
    </w:p>
    <w:p>
      <w:pPr>
        <w:jc w:val="both"/>
        <w:ind w:left="660" w:hanging="328"/>
        <w:spacing w:after="0" w:line="295"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73"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w:t>
      </w:r>
    </w:p>
    <w:p>
      <w:pPr>
        <w:sectPr>
          <w:pgSz w:w="11900" w:h="16838" w:orient="portrait"/>
          <w:cols w:equalWidth="0" w:num="1">
            <w:col w:w="11240"/>
          </w:cols>
          <w:pgMar w:left="320" w:top="962"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962"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color w:val="auto"/>
        </w:rPr>
        <w:t>designate for the debt securities of a particular series. We will maintain a paying agent in each place of payment for the debt securities of a particular series.</w:t>
      </w:r>
    </w:p>
    <w:p>
      <w:pPr>
        <w:spacing w:after="0" w:line="2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except to the extent that the Trust Indenture Act of 1939 is applicable.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describe in the applicable prospectus supplement the terms of the series of warrants being offered, including:</w:t>
      </w:r>
    </w:p>
    <w:p>
      <w:pPr>
        <w:spacing w:after="0" w:line="23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144"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2" w:lineRule="exact"/>
        <w:rPr>
          <w:rFonts w:ascii="Arial" w:cs="Arial" w:eastAsia="Arial" w:hAnsi="Arial"/>
          <w:sz w:val="18"/>
          <w:szCs w:val="18"/>
          <w:color w:val="auto"/>
        </w:rPr>
      </w:pPr>
    </w:p>
    <w:p>
      <w:pPr>
        <w:ind w:left="660" w:hanging="328"/>
        <w:spacing w:after="0" w:line="341"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agreements and the warrants;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949" w:right="339" w:bottom="1440" w:gutter="0" w:footer="0" w:header="0"/>
        </w:sectPr>
      </w:pPr>
    </w:p>
    <w:bookmarkStart w:id="21" w:name="page22"/>
    <w:bookmarkEnd w:id="21"/>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manner in which the warrant agreements and warrants may be modified;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of holding or exercising the warrants;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144" w:lineRule="exact"/>
        <w:rPr>
          <w:sz w:val="20"/>
          <w:szCs w:val="20"/>
          <w:color w:val="auto"/>
        </w:rPr>
      </w:pPr>
    </w:p>
    <w:p>
      <w:pPr>
        <w:ind w:firstLine="324"/>
        <w:spacing w:after="0" w:line="308" w:lineRule="auto"/>
        <w:rPr>
          <w:sz w:val="20"/>
          <w:szCs w:val="20"/>
          <w:color w:val="auto"/>
        </w:rPr>
      </w:pPr>
      <w:r>
        <w:rPr>
          <w:rFonts w:ascii="Arial" w:cs="Arial" w:eastAsia="Arial" w:hAnsi="Arial"/>
          <w:sz w:val="18"/>
          <w:szCs w:val="18"/>
          <w:color w:val="auto"/>
        </w:rPr>
        <w:t>Before exercising their warrants, holders of warrants will not have any of the rights of holders of the securities purchasable upon such exercise, including:</w:t>
      </w:r>
    </w:p>
    <w:p>
      <w:pPr>
        <w:spacing w:after="0" w:line="171" w:lineRule="exact"/>
        <w:rPr>
          <w:sz w:val="20"/>
          <w:szCs w:val="20"/>
          <w:color w:val="auto"/>
        </w:rPr>
      </w:pPr>
    </w:p>
    <w:p>
      <w:pPr>
        <w:ind w:left="660" w:hanging="328"/>
        <w:spacing w:after="0" w:line="30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5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5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25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OWNERSHIP OF SECURITIES</w:t>
      </w:r>
    </w:p>
    <w:p>
      <w:pPr>
        <w:spacing w:after="0" w:line="256"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Holders</w:t>
      </w:r>
    </w:p>
    <w:p>
      <w:pPr>
        <w:sectPr>
          <w:pgSz w:w="11900" w:h="16838" w:orient="portrait"/>
          <w:cols w:equalWidth="0" w:num="1">
            <w:col w:w="11240"/>
          </w:cols>
          <w:pgMar w:left="320" w:top="962"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962" w:right="339" w:bottom="1440" w:gutter="0" w:footer="0" w:header="0"/>
          <w:type w:val="continuous"/>
        </w:sectPr>
      </w:pPr>
    </w:p>
    <w:bookmarkStart w:id="22" w:name="page23"/>
    <w:bookmarkEnd w:id="22"/>
    <w:p>
      <w:pPr>
        <w:jc w:val="both"/>
        <w:ind w:firstLine="324"/>
        <w:spacing w:after="0" w:line="290"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8"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7"/>
          <w:szCs w:val="17"/>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73"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Street Name Holders</w:t>
      </w:r>
    </w:p>
    <w:p>
      <w:pPr>
        <w:spacing w:after="0" w:line="256"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4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Holders</w:t>
      </w:r>
    </w:p>
    <w:p>
      <w:pPr>
        <w:spacing w:after="0" w:line="256"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4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25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or in street name, you should check with your own institution to find out:</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962" w:right="339" w:bottom="1440" w:gutter="0" w:footer="0" w:header="0"/>
        </w:sectPr>
      </w:pPr>
    </w:p>
    <w:bookmarkStart w:id="23" w:name="page24"/>
    <w:bookmarkEnd w:id="23"/>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whether and how you can instruct it to send you securities registered in your own name so you can be a holder, if that is permitted in the future;</w:t>
      </w:r>
    </w:p>
    <w:p>
      <w:pPr>
        <w:spacing w:after="0" w:line="167" w:lineRule="exact"/>
        <w:rPr>
          <w:rFonts w:ascii="Arial" w:cs="Arial" w:eastAsia="Arial" w:hAnsi="Arial"/>
          <w:sz w:val="16"/>
          <w:szCs w:val="16"/>
          <w:color w:val="auto"/>
        </w:rPr>
      </w:pPr>
    </w:p>
    <w:p>
      <w:pPr>
        <w:ind w:left="660" w:right="20" w:hanging="328"/>
        <w:spacing w:after="0" w:line="30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securities are in book-entry form, how the depositary’s rules and procedures will affect these matters.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71"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8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its nominee or a successor depositary, unless special termination situations arise. We describe those situations below under the section entitled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90" w:lineRule="exact"/>
        <w:rPr>
          <w:sz w:val="20"/>
          <w:szCs w:val="20"/>
          <w:color w:val="auto"/>
        </w:rPr>
      </w:pPr>
    </w:p>
    <w:p>
      <w:pPr>
        <w:jc w:val="both"/>
        <w:ind w:firstLine="324"/>
        <w:spacing w:after="0" w:line="319" w:lineRule="auto"/>
        <w:rPr>
          <w:sz w:val="20"/>
          <w:szCs w:val="20"/>
          <w:color w:val="auto"/>
        </w:rPr>
      </w:pPr>
      <w:r>
        <w:rPr>
          <w:rFonts w:ascii="Arial" w:cs="Arial" w:eastAsia="Arial" w:hAnsi="Arial"/>
          <w:sz w:val="17"/>
          <w:szCs w:val="17"/>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256" w:lineRule="exact"/>
        <w:rPr>
          <w:sz w:val="20"/>
          <w:szCs w:val="20"/>
          <w:color w:val="auto"/>
        </w:rPr>
      </w:pPr>
    </w:p>
    <w:p>
      <w:pPr>
        <w:jc w:val="both"/>
        <w:ind w:right="20" w:firstLine="324"/>
        <w:spacing w:after="0" w:line="295" w:lineRule="auto"/>
        <w:rPr>
          <w:sz w:val="20"/>
          <w:szCs w:val="20"/>
          <w:color w:val="auto"/>
        </w:rPr>
      </w:pPr>
      <w:r>
        <w:rPr>
          <w:rFonts w:ascii="Arial" w:cs="Arial" w:eastAsia="Arial" w:hAnsi="Arial"/>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securities are issued only in the form of a global security, an investor should be aware of the following:</w:t>
      </w:r>
    </w:p>
    <w:p>
      <w:pPr>
        <w:spacing w:after="0" w:line="252" w:lineRule="exact"/>
        <w:rPr>
          <w:sz w:val="20"/>
          <w:szCs w:val="20"/>
          <w:color w:val="auto"/>
        </w:rPr>
      </w:pPr>
    </w:p>
    <w:p>
      <w:pPr>
        <w:ind w:left="660" w:hanging="328"/>
        <w:spacing w:after="0" w:line="30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securities to some insurance companies and to other institutions that are required by law to own their securities in non-book-entry form;</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a global security;</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962" w:right="339" w:bottom="1440" w:gutter="0" w:footer="0" w:header="0"/>
        </w:sectPr>
      </w:pPr>
    </w:p>
    <w:bookmarkStart w:id="24" w:name="page25"/>
    <w:bookmarkEnd w:id="24"/>
    <w:p>
      <w:pPr>
        <w:ind w:left="660" w:hanging="328"/>
        <w:spacing w:after="0" w:line="30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6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8"/>
          <w:szCs w:val="18"/>
          <w:color w:val="auto"/>
        </w:rPr>
        <w:t>There may be more than one financial intermediary in the chain of ownership for an investor. We do not monitor and are not responsible for the actions of any of those intermediaries.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25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Unless we provide otherwise in the applicable prospectus supplement, the global security will terminate when the following special situations occur:</w:t>
      </w:r>
    </w:p>
    <w:p>
      <w:pPr>
        <w:spacing w:after="0" w:line="275" w:lineRule="exact"/>
        <w:rPr>
          <w:sz w:val="20"/>
          <w:szCs w:val="20"/>
          <w:color w:val="auto"/>
        </w:rPr>
      </w:pPr>
    </w:p>
    <w:p>
      <w:pPr>
        <w:ind w:left="660" w:hanging="328"/>
        <w:spacing w:after="0" w:line="308"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securities represented by that global security and has not been cured or waived.</w:t>
      </w:r>
    </w:p>
    <w:p>
      <w:pPr>
        <w:spacing w:after="0" w:line="144" w:lineRule="exact"/>
        <w:rPr>
          <w:sz w:val="20"/>
          <w:szCs w:val="20"/>
          <w:color w:val="auto"/>
        </w:rPr>
      </w:pPr>
    </w:p>
    <w:p>
      <w:pPr>
        <w:jc w:val="both"/>
        <w:ind w:right="20" w:firstLine="324"/>
        <w:spacing w:after="0" w:line="295"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962" w:right="339" w:bottom="1440" w:gutter="0" w:footer="0" w:header="0"/>
        </w:sectPr>
      </w:pPr>
    </w:p>
    <w:bookmarkStart w:id="25" w:name="page26"/>
    <w:bookmarkEnd w:id="25"/>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SELLING SECURITYHOLDERS</w:t>
      </w:r>
    </w:p>
    <w:p>
      <w:pPr>
        <w:spacing w:after="0" w:line="25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7"/>
          <w:szCs w:val="17"/>
          <w:color w:val="auto"/>
        </w:rPr>
        <w:t>Selling securityholders are persons or entities that, directly or indirectly, have acquired or will from time to time acquire from us, our securities. If the registration statement of which this prospectus forms a part is used by selling securityholders for the resale of any securities registered thereunder pursuant to a registration rights agreement between us and such selling securityholders or otherwise, information about such selling securityholders, their beneficial ownership of our securities and their relationship with us will be set forth in a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320" w:top="1440" w:right="41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We or the selling securityholders may sell the securities from time to time pursuant to underwritten public offerings, direct sales to the public, negotiated transactions, block trades or a combination of these methods. We or the selling securityholders may sell the securities to or through underwriters or dealers, through agents, or directly to one or more purchasers. We or the selling securityholders may distribute securities from time to time in one or more transactions:</w:t>
      </w:r>
    </w:p>
    <w:p>
      <w:pPr>
        <w:spacing w:after="0" w:line="199"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44" w:lineRule="exact"/>
        <w:rPr>
          <w:sz w:val="20"/>
          <w:szCs w:val="20"/>
          <w:color w:val="auto"/>
        </w:rPr>
      </w:pPr>
    </w:p>
    <w:p>
      <w:pPr>
        <w:ind w:right="20" w:firstLine="324"/>
        <w:spacing w:after="0" w:line="308" w:lineRule="auto"/>
        <w:rPr>
          <w:sz w:val="20"/>
          <w:szCs w:val="20"/>
          <w:color w:val="auto"/>
        </w:rPr>
      </w:pPr>
      <w:r>
        <w:rPr>
          <w:rFonts w:ascii="Arial" w:cs="Arial" w:eastAsia="Arial" w:hAnsi="Arial"/>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7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 or names of the underwriters, if any;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purchase price of the securities or other consideration therefor, and the proceeds, if any, we will receive from the sale;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Only underwriters named in the prospectus supplement will be underwriters of the securities offered by the prospectus supplement.</w:t>
      </w:r>
    </w:p>
    <w:p>
      <w:pPr>
        <w:spacing w:after="0" w:line="23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7"/>
          <w:szCs w:val="17"/>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the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or the selling securityholders may use underwriters with whom we have a material relationship. We will describe in the prospectus supplement, naming the underwriter, the nature of any such relationship.</w:t>
      </w:r>
    </w:p>
    <w:p>
      <w:pPr>
        <w:spacing w:after="0" w:line="203"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color w:val="auto"/>
        </w:rPr>
        <w:t>We or the selling securityholders may sell securities directly or through agents we designate from time to time. We will name any agent involved in the offering and sale of securities and we will describe any commissions we or the selling securityholders will pay the agent in the prospectus supplement. Unless the prospectus supplement states otherwise, our or the selling securityholders’ agent will act on a best-efforts basis for the period of its appointment.</w:t>
      </w:r>
    </w:p>
    <w:p>
      <w:pPr>
        <w:spacing w:after="0" w:line="16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6"/>
          <w:szCs w:val="16"/>
          <w:color w:val="auto"/>
        </w:rPr>
        <w:t>We or the selling securityholders may authorize agents or underwriters to solicit offers by certain types of institutional investors to purchase securities from us or the selling securityholders at the public offering price set forth in the prospectus supplement pursuant to delayed delivery contracts providing for</w:t>
      </w:r>
    </w:p>
    <w:p>
      <w:pPr>
        <w:jc w:val="both"/>
        <w:spacing w:after="0" w:line="276" w:lineRule="auto"/>
        <w:rPr>
          <w:sz w:val="20"/>
          <w:szCs w:val="20"/>
          <w:color w:val="auto"/>
        </w:rPr>
      </w:pPr>
      <w:r>
        <w:rPr>
          <w:rFonts w:ascii="Arial" w:cs="Arial" w:eastAsia="Arial" w:hAnsi="Arial"/>
          <w:sz w:val="18"/>
          <w:szCs w:val="18"/>
          <w:color w:val="auto"/>
        </w:rPr>
        <w:t>payment and delivery on a specified date in the future. We will describe the conditions to these contracts and the commissions we or the selling securityholders must pay for solicitation of these contracts in the prospectus supplement.</w:t>
      </w:r>
    </w:p>
    <w:p>
      <w:pPr>
        <w:spacing w:after="0" w:line="185"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7"/>
          <w:szCs w:val="17"/>
          <w:color w:val="auto"/>
        </w:rPr>
        <w:t>We or the selling securityholders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or the selling securityholders in the ordinary course of business.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945" w:right="339" w:bottom="1440" w:gutter="0" w:footer="0" w:header="0"/>
        </w:sectPr>
      </w:pPr>
    </w:p>
    <w:bookmarkStart w:id="27" w:name="page28"/>
    <w:bookmarkEnd w:id="27"/>
    <w:p>
      <w:pPr>
        <w:jc w:val="both"/>
        <w:ind w:firstLine="324"/>
        <w:spacing w:after="0" w:line="279" w:lineRule="auto"/>
        <w:rPr>
          <w:sz w:val="20"/>
          <w:szCs w:val="20"/>
          <w:color w:val="auto"/>
        </w:rPr>
      </w:pPr>
      <w:r>
        <w:rPr>
          <w:rFonts w:ascii="Arial" w:cs="Arial" w:eastAsia="Arial" w:hAnsi="Arial"/>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83" w:lineRule="exact"/>
        <w:rPr>
          <w:sz w:val="20"/>
          <w:szCs w:val="20"/>
          <w:color w:val="auto"/>
        </w:rPr>
      </w:pPr>
    </w:p>
    <w:p>
      <w:pPr>
        <w:jc w:val="both"/>
        <w:ind w:firstLine="324"/>
        <w:spacing w:after="0" w:line="315" w:lineRule="auto"/>
        <w:rPr>
          <w:sz w:val="20"/>
          <w:szCs w:val="20"/>
          <w:color w:val="auto"/>
        </w:rPr>
      </w:pPr>
      <w:r>
        <w:rPr>
          <w:rFonts w:ascii="Arial" w:cs="Arial" w:eastAsia="Arial" w:hAnsi="Arial"/>
          <w:sz w:val="16"/>
          <w:szCs w:val="16"/>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7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6"/>
          <w:szCs w:val="16"/>
          <w:color w:val="auto"/>
        </w:rPr>
        <w:t>Any underwriters or agents that are qualified market makers on the Nasdaq Global Market may engage in passive market making transactions in the common stock on the Nasdaq Global Market in accordance with Regulation M under the Exchange Act, during the business day prior to the pricing of the</w:t>
      </w:r>
    </w:p>
    <w:p>
      <w:pPr>
        <w:jc w:val="both"/>
        <w:spacing w:after="0" w:line="288" w:lineRule="auto"/>
        <w:rPr>
          <w:sz w:val="20"/>
          <w:szCs w:val="20"/>
          <w:color w:val="auto"/>
        </w:rPr>
      </w:pPr>
      <w:r>
        <w:rPr>
          <w:rFonts w:ascii="Arial" w:cs="Arial" w:eastAsia="Arial" w:hAnsi="Arial"/>
          <w:sz w:val="17"/>
          <w:szCs w:val="17"/>
          <w:color w:val="auto"/>
        </w:rPr>
        <w:t>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76"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In compliance with guidelines of the Financial Industry Regulatory Authority, or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56"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Cooley LLP will pass upon the validity of the securities offered by this prospectus, and any supplement thereto, unless otherwise indicated in the applicable prospectus supplement. Additional legal matters may be passed upon for us or any underwriters, dealers or agents, by counsel that we will name in the applicable prospectus supplement.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97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EXPERTS</w:t>
      </w:r>
    </w:p>
    <w:p>
      <w:pPr>
        <w:spacing w:after="0" w:line="2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2020, have been so incorporated in reliance on the report of PricewaterhouseCoopers LLP, an independent registered public accounting firm, given on the authority of said firm as experts in auditing and accounting.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001-38701):</w:t>
      </w:r>
    </w:p>
    <w:p>
      <w:pPr>
        <w:spacing w:after="0" w:line="19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w:t>
      </w:r>
      <w:hyperlink r:id="rId23">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FF"/>
          </w:rPr>
          <w:t>for</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FF"/>
          </w:rPr>
          <w:t>the year ended December 31, 2020</w:t>
        </w:r>
      </w:hyperlink>
      <w:r>
        <w:rPr>
          <w:rFonts w:ascii="Arial" w:cs="Arial" w:eastAsia="Arial" w:hAnsi="Arial"/>
          <w:sz w:val="18"/>
          <w:szCs w:val="18"/>
          <w:color w:val="auto"/>
        </w:rPr>
        <w:t>, filed with the SEC on March 10, 2021;</w:t>
      </w:r>
    </w:p>
    <w:p>
      <w:pPr>
        <w:spacing w:after="0" w:line="225"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24">
        <w:r>
          <w:rPr>
            <w:rFonts w:ascii="Arial" w:cs="Arial" w:eastAsia="Arial" w:hAnsi="Arial"/>
            <w:sz w:val="18"/>
            <w:szCs w:val="18"/>
            <w:u w:val="single" w:color="auto"/>
            <w:color w:val="0000FF"/>
          </w:rPr>
          <w:t>January 7,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the information in Item 2.02, Item 7.01, and related Exhibits 99.1 and 99.2), </w:t>
      </w:r>
      <w:hyperlink r:id="rId25">
        <w:r>
          <w:rPr>
            <w:rFonts w:ascii="Arial" w:cs="Arial" w:eastAsia="Arial" w:hAnsi="Arial"/>
            <w:sz w:val="18"/>
            <w:szCs w:val="18"/>
            <w:u w:val="single" w:color="auto"/>
            <w:color w:val="0000FF"/>
          </w:rPr>
          <w:t>March 8,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Item 2.02 and related exhibit), and</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26">
        <w:r>
          <w:rPr>
            <w:rFonts w:ascii="Arial" w:cs="Arial" w:eastAsia="Arial" w:hAnsi="Arial"/>
            <w:sz w:val="18"/>
            <w:szCs w:val="18"/>
            <w:u w:val="single" w:color="auto"/>
            <w:color w:val="0000FF"/>
          </w:rPr>
          <w:t>Form 8-A, filed with the SEC on October 11, 2018</w:t>
        </w:r>
      </w:hyperlink>
      <w:r>
        <w:rPr>
          <w:rFonts w:ascii="Arial" w:cs="Arial" w:eastAsia="Arial" w:hAnsi="Arial"/>
          <w:sz w:val="18"/>
          <w:szCs w:val="18"/>
          <w:color w:val="auto"/>
        </w:rPr>
        <w:t>, including any amendment or report filed for the purpose of updating such description.</w:t>
      </w:r>
    </w:p>
    <w:p>
      <w:pPr>
        <w:spacing w:after="0" w:line="292" w:lineRule="exact"/>
        <w:rPr>
          <w:rFonts w:ascii="Arial" w:cs="Arial" w:eastAsia="Arial" w:hAnsi="Arial"/>
          <w:sz w:val="18"/>
          <w:szCs w:val="18"/>
          <w:color w:val="auto"/>
        </w:rPr>
      </w:pPr>
    </w:p>
    <w:p>
      <w:pPr>
        <w:jc w:val="both"/>
        <w:ind w:firstLine="324"/>
        <w:spacing w:after="0" w:line="253" w:lineRule="auto"/>
        <w:rPr>
          <w:sz w:val="20"/>
          <w:szCs w:val="20"/>
          <w:color w:val="auto"/>
        </w:rPr>
      </w:pPr>
      <w:r>
        <w:rPr>
          <w:rFonts w:ascii="Arial" w:cs="Arial" w:eastAsia="Arial" w:hAnsi="Arial"/>
          <w:sz w:val="17"/>
          <w:szCs w:val="17"/>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spacing w:after="0" w:line="18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SI-BONE,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471 El Camino Real, Suite 101</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Santa Clara, California 95050</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8"/>
          <w:szCs w:val="18"/>
          <w:color w:val="auto"/>
        </w:rPr>
      </w:pPr>
    </w:p>
    <w:p>
      <w:pPr>
        <w:ind w:left="5500" w:hanging="438"/>
        <w:spacing w:after="0" w:line="207" w:lineRule="exact"/>
        <w:tabs>
          <w:tab w:leader="none" w:pos="5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207</w:t>
      </w:r>
      <w:r>
        <w:rPr>
          <w:rFonts w:ascii="MS PGothic" w:cs="MS PGothic" w:eastAsia="MS PGothic" w:hAnsi="MS PGothic"/>
          <w:sz w:val="18"/>
          <w:szCs w:val="18"/>
          <w:color w:val="auto"/>
        </w:rPr>
        <w:t>‑</w:t>
      </w:r>
      <w:r>
        <w:rPr>
          <w:rFonts w:ascii="Arial" w:cs="Arial" w:eastAsia="Arial" w:hAnsi="Arial"/>
          <w:sz w:val="18"/>
          <w:szCs w:val="18"/>
          <w:color w:val="auto"/>
        </w:rPr>
        <w:t>0700</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24</w:t>
      </w:r>
    </w:p>
    <w:p>
      <w:pPr>
        <w:sectPr>
          <w:pgSz w:w="11900" w:h="16838" w:orient="portrait"/>
          <w:cols w:equalWidth="0" w:num="1">
            <w:col w:w="11240"/>
          </w:cols>
          <w:pgMar w:left="320" w:top="95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ind w:firstLine="324"/>
        <w:spacing w:after="0" w:line="377" w:lineRule="auto"/>
        <w:rPr>
          <w:sz w:val="20"/>
          <w:szCs w:val="20"/>
          <w:color w:val="auto"/>
        </w:rPr>
      </w:pPr>
      <w:r>
        <w:rPr>
          <w:rFonts w:ascii="Arial" w:cs="Arial" w:eastAsia="Arial" w:hAnsi="Arial"/>
          <w:sz w:val="16"/>
          <w:szCs w:val="16"/>
          <w:color w:val="auto"/>
        </w:rPr>
        <w:t>The following table sets forth an estimate of the fees and expenses, other than the underwriting discounts and commissions, payable by the registrant in connection with the issuance and distribution of the securities being registered. All the amounts shown are estimates, except for the SEC registration fee.</w:t>
      </w:r>
    </w:p>
    <w:p>
      <w:pPr>
        <w:spacing w:after="0" w:line="143" w:lineRule="exact"/>
        <w:rPr>
          <w:sz w:val="20"/>
          <w:szCs w:val="20"/>
          <w:color w:val="auto"/>
        </w:rPr>
      </w:pPr>
    </w:p>
    <w:tbl>
      <w:tblPr>
        <w:tblLayout w:type="fixed"/>
        <w:tblInd w:w="172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1000" w:type="dxa"/>
            <w:vAlign w:val="bottom"/>
          </w:tcPr>
          <w:p>
            <w:pPr>
              <w:jc w:val="right"/>
              <w:ind w:right="152"/>
              <w:spacing w:after="0"/>
              <w:rPr>
                <w:sz w:val="20"/>
                <w:szCs w:val="20"/>
                <w:color w:val="auto"/>
              </w:rPr>
            </w:pPr>
            <w:r>
              <w:rPr>
                <w:rFonts w:ascii="Arial" w:cs="Arial" w:eastAsia="Arial" w:hAnsi="Arial"/>
                <w:sz w:val="14"/>
                <w:szCs w:val="14"/>
                <w:b w:val="1"/>
                <w:bCs w:val="1"/>
                <w:color w:val="auto"/>
              </w:rPr>
              <w:t>Amount</w:t>
            </w:r>
          </w:p>
        </w:tc>
      </w:tr>
      <w:tr>
        <w:trPr>
          <w:trHeight w:val="235"/>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The Nasdaq Global Market listing fee</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FINRA filing fee (if applicable)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Transfer agent and registrar fees and expenses</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Printing and miscellaneous fees and expenses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800" w:type="dxa"/>
            <w:vAlign w:val="bottom"/>
          </w:tcPr>
          <w:p>
            <w:pPr>
              <w:ind w:left="26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w:t>
            </w:r>
          </w:p>
        </w:tc>
      </w:tr>
      <w:tr>
        <w:trPr>
          <w:trHeight w:val="20"/>
        </w:trPr>
        <w:tc>
          <w:tcPr>
            <w:tcW w:w="6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0" w:right="400" w:hanging="354"/>
        <w:spacing w:after="0" w:line="261"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accordance with Rules 456(b) and 457(r), the registrant is deferring payment of all applicable registration fees for the securities offered by this prospectus.</w:t>
      </w:r>
    </w:p>
    <w:p>
      <w:pPr>
        <w:spacing w:after="0" w:line="35" w:lineRule="exact"/>
        <w:rPr>
          <w:rFonts w:ascii="Arial" w:cs="Arial" w:eastAsia="Arial" w:hAnsi="Arial"/>
          <w:sz w:val="18"/>
          <w:szCs w:val="18"/>
          <w:color w:val="auto"/>
        </w:rPr>
      </w:pPr>
    </w:p>
    <w:p>
      <w:pPr>
        <w:ind w:left="380" w:right="160" w:hanging="354"/>
        <w:spacing w:after="0" w:line="324" w:lineRule="auto"/>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w:t>
      </w:r>
    </w:p>
    <w:p>
      <w:pPr>
        <w:spacing w:after="0" w:line="3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20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or the Securities Act.</w:t>
      </w:r>
    </w:p>
    <w:p>
      <w:pPr>
        <w:spacing w:after="0" w:line="18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spacing w:after="0" w:line="32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respect of unlawful payments of dividends or unlawful stock repurchases or redemptions as provided in Section 174 of the Delaware General Corporation Law;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any improper personal benefit.</w:t>
      </w:r>
    </w:p>
    <w:p>
      <w:pPr>
        <w:spacing w:after="0" w:line="22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3"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958" w:right="339" w:bottom="1440" w:gutter="0" w:footer="0" w:header="0"/>
        </w:sectPr>
      </w:pPr>
    </w:p>
    <w:bookmarkStart w:id="30" w:name="page31"/>
    <w:bookmarkEnd w:id="30"/>
    <w:p>
      <w:pPr>
        <w:jc w:val="both"/>
        <w:spacing w:after="0" w:line="308" w:lineRule="auto"/>
        <w:rPr>
          <w:sz w:val="20"/>
          <w:szCs w:val="20"/>
          <w:color w:val="auto"/>
        </w:rPr>
      </w:pPr>
      <w:r>
        <w:rPr>
          <w:rFonts w:ascii="Arial" w:cs="Arial" w:eastAsia="Arial" w:hAnsi="Arial"/>
          <w:sz w:val="18"/>
          <w:szCs w:val="18"/>
          <w:color w:val="auto"/>
        </w:rPr>
        <w:t>officer, employee, or other enterprise agent for any liability arising out of his or her action in that capacity, whether or not Delaware law would otherwise permit indemnification.</w:t>
      </w:r>
    </w:p>
    <w:p>
      <w:pPr>
        <w:spacing w:after="0" w:line="157"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We have entered into, and intend to continue to enter into, indemnification agreements with each of our directors and executive officers and certain other key employees. The form of our indemnification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6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Section 1.9 of our amended and restated investors’ rights agreement, or IRA, provides for indemnification of certain of our stockholders against liabilities described in our IRA.</w:t>
      </w:r>
    </w:p>
    <w:p>
      <w:pPr>
        <w:spacing w:after="0" w:line="17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under the Securities Act and the Exchange Act of 1934, as amended, that might be incurred by any director or officer in his or her capacity as such.</w:t>
      </w:r>
    </w:p>
    <w:p>
      <w:pPr>
        <w:spacing w:after="0" w:line="184" w:lineRule="exact"/>
        <w:rPr>
          <w:sz w:val="20"/>
          <w:szCs w:val="20"/>
          <w:color w:val="auto"/>
        </w:rPr>
      </w:pPr>
    </w:p>
    <w:p>
      <w:pPr>
        <w:jc w:val="both"/>
        <w:ind w:firstLine="324"/>
        <w:spacing w:after="0" w:line="341" w:lineRule="auto"/>
        <w:rPr>
          <w:sz w:val="20"/>
          <w:szCs w:val="20"/>
          <w:color w:val="auto"/>
        </w:rPr>
      </w:pPr>
      <w:r>
        <w:rPr>
          <w:rFonts w:ascii="Arial" w:cs="Arial" w:eastAsia="Arial" w:hAnsi="Arial"/>
          <w:sz w:val="17"/>
          <w:szCs w:val="17"/>
          <w:color w:val="auto"/>
        </w:rPr>
        <w:t>The underwriting agreement that we may enter into (Exhibit 1.1) may provide for indemnification by any underwriters of SI-BONE, its directors, its officers who sign the registration statement and SI-BONE’s controlling persons for some liabilities, including liabilities arising under the Securities Act.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962" w:right="339" w:bottom="1440" w:gutter="0" w:footer="0" w:header="0"/>
        </w:sectPr>
      </w:pPr>
    </w:p>
    <w:bookmarkStart w:id="31" w:name="page32"/>
    <w:bookmarkEnd w:id="31"/>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Incorporation by Reference</w:t>
            </w: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Appendix</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208"/>
        </w:trPr>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00" w:type="dxa"/>
            <w:vAlign w:val="bottom"/>
            <w:gridSpan w:val="10"/>
          </w:tcPr>
          <w:p>
            <w:pPr>
              <w:ind w:left="160"/>
              <w:spacing w:after="0"/>
              <w:rPr>
                <w:sz w:val="20"/>
                <w:szCs w:val="20"/>
                <w:color w:val="auto"/>
              </w:rPr>
            </w:pPr>
            <w:r>
              <w:rPr>
                <w:rFonts w:ascii="Arial" w:cs="Arial" w:eastAsia="Arial" w:hAnsi="Arial"/>
                <w:sz w:val="14"/>
                <w:szCs w:val="14"/>
                <w:b w:val="1"/>
                <w:bCs w:val="1"/>
                <w:color w:val="auto"/>
              </w:rPr>
              <w:t>Exhibit Description</w:t>
            </w: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Form</w:t>
            </w:r>
          </w:p>
        </w:tc>
        <w:tc>
          <w:tcPr>
            <w:tcW w:w="1480" w:type="dxa"/>
            <w:vAlign w:val="bottom"/>
            <w:gridSpan w:val="2"/>
          </w:tcPr>
          <w:p>
            <w:pPr>
              <w:ind w:left="280"/>
              <w:spacing w:after="0"/>
              <w:rPr>
                <w:sz w:val="20"/>
                <w:szCs w:val="20"/>
                <w:color w:val="auto"/>
              </w:rPr>
            </w:pPr>
            <w:r>
              <w:rPr>
                <w:rFonts w:ascii="Arial" w:cs="Arial" w:eastAsia="Arial" w:hAnsi="Arial"/>
                <w:sz w:val="14"/>
                <w:szCs w:val="14"/>
                <w:b w:val="1"/>
                <w:bCs w:val="1"/>
                <w:color w:val="auto"/>
              </w:rPr>
              <w:t>File Number</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Reference</w:t>
            </w:r>
          </w:p>
        </w:tc>
        <w:tc>
          <w:tcPr>
            <w:tcW w:w="1260" w:type="dxa"/>
            <w:vAlign w:val="bottom"/>
          </w:tcPr>
          <w:p>
            <w:pPr>
              <w:ind w:left="280"/>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28"/>
        </w:trPr>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1.1*</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58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Form of Underwriting Agreement.</w:t>
            </w:r>
          </w:p>
        </w:tc>
        <w:tc>
          <w:tcPr>
            <w:tcW w:w="14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80" w:type="dxa"/>
            <w:vAlign w:val="bottom"/>
          </w:tcPr>
          <w:p>
            <w:pPr>
              <w:jc w:val="center"/>
              <w:spacing w:after="0" w:line="190" w:lineRule="exact"/>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20" w:type="dxa"/>
            <w:vAlign w:val="bottom"/>
            <w:gridSpan w:val="11"/>
          </w:tcPr>
          <w:p>
            <w:pPr>
              <w:spacing w:after="0" w:line="190" w:lineRule="exact"/>
              <w:rPr>
                <w:rFonts w:ascii="Arial" w:cs="Arial" w:eastAsia="Arial" w:hAnsi="Arial"/>
                <w:sz w:val="18"/>
                <w:szCs w:val="18"/>
                <w:color w:val="0000FF"/>
              </w:rPr>
            </w:pPr>
            <w:hyperlink r:id="rId27">
              <w:r>
                <w:rPr>
                  <w:rFonts w:ascii="Arial" w:cs="Arial" w:eastAsia="Arial" w:hAnsi="Arial"/>
                  <w:sz w:val="18"/>
                  <w:szCs w:val="18"/>
                  <w:color w:val="0000FF"/>
                </w:rPr>
                <w:t>Amended and Restated Certificate of</w:t>
              </w:r>
            </w:hyperlink>
          </w:p>
        </w:tc>
        <w:tc>
          <w:tcPr>
            <w:tcW w:w="1340" w:type="dxa"/>
            <w:vAlign w:val="bottom"/>
            <w:gridSpan w:val="2"/>
          </w:tcPr>
          <w:p>
            <w:pPr>
              <w:jc w:val="center"/>
              <w:ind w:right="140"/>
              <w:spacing w:after="0" w:line="190"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190" w:lineRule="exact"/>
              <w:rPr>
                <w:sz w:val="20"/>
                <w:szCs w:val="20"/>
                <w:color w:val="auto"/>
              </w:rPr>
            </w:pPr>
            <w:r>
              <w:rPr>
                <w:rFonts w:ascii="Arial" w:cs="Arial" w:eastAsia="Arial" w:hAnsi="Arial"/>
                <w:sz w:val="18"/>
                <w:szCs w:val="18"/>
                <w:color w:val="auto"/>
                <w:w w:val="90"/>
              </w:rPr>
              <w:t>001-38701</w:t>
            </w:r>
          </w:p>
        </w:tc>
        <w:tc>
          <w:tcPr>
            <w:tcW w:w="140" w:type="dxa"/>
            <w:vAlign w:val="bottom"/>
          </w:tcPr>
          <w:p>
            <w:pPr>
              <w:spacing w:after="0"/>
              <w:rPr>
                <w:sz w:val="16"/>
                <w:szCs w:val="16"/>
                <w:color w:val="auto"/>
              </w:rPr>
            </w:pPr>
          </w:p>
        </w:tc>
        <w:tc>
          <w:tcPr>
            <w:tcW w:w="1220" w:type="dxa"/>
            <w:vAlign w:val="bottom"/>
          </w:tcPr>
          <w:p>
            <w:pPr>
              <w:jc w:val="center"/>
              <w:spacing w:after="0" w:line="190" w:lineRule="exact"/>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6"/>
                <w:szCs w:val="16"/>
                <w:color w:val="auto"/>
              </w:rPr>
            </w:pPr>
          </w:p>
        </w:tc>
        <w:tc>
          <w:tcPr>
            <w:tcW w:w="1260" w:type="dxa"/>
            <w:vAlign w:val="bottom"/>
          </w:tcPr>
          <w:p>
            <w:pPr>
              <w:jc w:val="center"/>
              <w:spacing w:after="0" w:line="190" w:lineRule="exact"/>
              <w:rPr>
                <w:sz w:val="20"/>
                <w:szCs w:val="20"/>
                <w:color w:val="auto"/>
              </w:rPr>
            </w:pPr>
            <w:r>
              <w:rPr>
                <w:rFonts w:ascii="Arial" w:cs="Arial" w:eastAsia="Arial" w:hAnsi="Arial"/>
                <w:sz w:val="18"/>
                <w:szCs w:val="18"/>
                <w:color w:val="auto"/>
                <w:w w:val="90"/>
              </w:rPr>
              <w:t>10/19/2018</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8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27">
              <w:r>
                <w:rPr>
                  <w:rFonts w:ascii="Arial" w:cs="Arial" w:eastAsia="Arial" w:hAnsi="Arial"/>
                  <w:sz w:val="18"/>
                  <w:szCs w:val="18"/>
                  <w:color w:val="0000FF"/>
                </w:rPr>
                <w:t>Incorporation.</w:t>
              </w:r>
            </w:hyperlink>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1"/>
          </w:tcPr>
          <w:p>
            <w:pPr>
              <w:spacing w:after="0"/>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Amended and Restated Bylaws</w:t>
              </w:r>
            </w:hyperlink>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20" w:type="dxa"/>
            <w:vAlign w:val="bottom"/>
            <w:gridSpan w:val="11"/>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27">
              <w:r>
                <w:rPr>
                  <w:rFonts w:ascii="Arial" w:cs="Arial" w:eastAsia="Arial" w:hAnsi="Arial"/>
                  <w:sz w:val="18"/>
                  <w:szCs w:val="18"/>
                  <w:u w:val="single" w:color="auto"/>
                  <w:color w:val="0000FF"/>
                </w:rPr>
                <w:t>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8">
              <w:r>
                <w:rPr>
                  <w:rFonts w:ascii="Arial" w:cs="Arial" w:eastAsia="Arial" w:hAnsi="Arial"/>
                  <w:sz w:val="18"/>
                  <w:szCs w:val="18"/>
                  <w:u w:val="single" w:color="auto"/>
                  <w:color w:val="0000FF"/>
                </w:rPr>
                <w:t>3.2</w:t>
              </w:r>
            </w:hyperlink>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20" w:type="dxa"/>
            <w:vAlign w:val="bottom"/>
            <w:gridSpan w:val="11"/>
          </w:tcPr>
          <w:p>
            <w:pPr>
              <w:spacing w:after="0"/>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Form of Common Stock Certificate</w:t>
              </w:r>
            </w:hyperlink>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99"/>
              </w:rPr>
              <w:t>4.3*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20" w:type="dxa"/>
            <w:vAlign w:val="bottom"/>
            <w:gridSpan w:val="11"/>
          </w:tcPr>
          <w:p>
            <w:pPr>
              <w:spacing w:after="0" w:line="176" w:lineRule="exact"/>
              <w:rPr>
                <w:sz w:val="20"/>
                <w:szCs w:val="20"/>
                <w:color w:val="auto"/>
              </w:rPr>
            </w:pPr>
            <w:r>
              <w:rPr>
                <w:rFonts w:ascii="Arial" w:cs="Arial" w:eastAsia="Arial" w:hAnsi="Arial"/>
                <w:sz w:val="18"/>
                <w:szCs w:val="18"/>
                <w:color w:val="auto"/>
                <w:w w:val="97"/>
              </w:rPr>
              <w:t>Specimen Preferred Stock Certificate and Form</w:t>
            </w: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20" w:type="dxa"/>
            <w:vAlign w:val="bottom"/>
            <w:gridSpan w:val="11"/>
          </w:tcPr>
          <w:p>
            <w:pPr>
              <w:spacing w:after="0"/>
              <w:rPr>
                <w:sz w:val="20"/>
                <w:szCs w:val="20"/>
                <w:color w:val="auto"/>
              </w:rPr>
            </w:pPr>
            <w:r>
              <w:rPr>
                <w:rFonts w:ascii="Arial" w:cs="Arial" w:eastAsia="Arial" w:hAnsi="Arial"/>
                <w:sz w:val="18"/>
                <w:szCs w:val="18"/>
                <w:color w:val="auto"/>
                <w:w w:val="99"/>
              </w:rPr>
              <w:t>of Certificate of Designation of Preferred Stock</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20" w:type="dxa"/>
            <w:vAlign w:val="bottom"/>
            <w:gridSpan w:val="11"/>
          </w:tcPr>
          <w:p>
            <w:pPr>
              <w:spacing w:after="0"/>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Form of Debt Indenture</w:t>
              </w:r>
            </w:hyperlink>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S-3</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11/13/2019</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20" w:type="dxa"/>
            <w:vAlign w:val="bottom"/>
            <w:gridSpan w:val="11"/>
          </w:tcPr>
          <w:p>
            <w:pPr>
              <w:spacing w:after="0"/>
              <w:rPr>
                <w:sz w:val="20"/>
                <w:szCs w:val="20"/>
                <w:color w:val="auto"/>
              </w:rPr>
            </w:pPr>
            <w:r>
              <w:rPr>
                <w:rFonts w:ascii="Arial" w:cs="Arial" w:eastAsia="Arial" w:hAnsi="Arial"/>
                <w:sz w:val="18"/>
                <w:szCs w:val="18"/>
                <w:color w:val="auto"/>
              </w:rPr>
              <w:t>Form of Debt Securities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80" w:type="dxa"/>
            <w:vAlign w:val="bottom"/>
          </w:tcPr>
          <w:p>
            <w:pPr>
              <w:jc w:val="center"/>
              <w:spacing w:after="0" w:line="190" w:lineRule="exact"/>
              <w:rPr>
                <w:sz w:val="20"/>
                <w:szCs w:val="20"/>
                <w:color w:val="auto"/>
              </w:rPr>
            </w:pPr>
            <w:r>
              <w:rPr>
                <w:rFonts w:ascii="Arial" w:cs="Arial" w:eastAsia="Arial" w:hAnsi="Arial"/>
                <w:sz w:val="18"/>
                <w:szCs w:val="18"/>
                <w:color w:val="auto"/>
                <w:w w:val="95"/>
              </w:rPr>
              <w:t>4.6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20" w:type="dxa"/>
            <w:vAlign w:val="bottom"/>
            <w:gridSpan w:val="11"/>
          </w:tcPr>
          <w:p>
            <w:pPr>
              <w:spacing w:after="0" w:line="190" w:lineRule="exact"/>
              <w:rPr>
                <w:rFonts w:ascii="Arial" w:cs="Arial" w:eastAsia="Arial" w:hAnsi="Arial"/>
                <w:sz w:val="18"/>
                <w:szCs w:val="18"/>
                <w:color w:val="0000FF"/>
              </w:rPr>
            </w:pPr>
            <w:hyperlink r:id="rId31">
              <w:r>
                <w:rPr>
                  <w:rFonts w:ascii="Arial" w:cs="Arial" w:eastAsia="Arial" w:hAnsi="Arial"/>
                  <w:sz w:val="18"/>
                  <w:szCs w:val="18"/>
                  <w:color w:val="0000FF"/>
                </w:rPr>
                <w:t>Form of Common Stock Warrant Agreement</w:t>
              </w:r>
            </w:hyperlink>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5"/>
              </w:rPr>
              <w:t>S-3</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6"/>
                <w:szCs w:val="16"/>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7"/>
              </w:rPr>
              <w:t>4.6</w:t>
            </w:r>
          </w:p>
        </w:tc>
        <w:tc>
          <w:tcPr>
            <w:tcW w:w="14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0"/>
              </w:rPr>
              <w:t>11/13/2019</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31">
              <w:r>
                <w:rPr>
                  <w:rFonts w:ascii="Arial" w:cs="Arial" w:eastAsia="Arial" w:hAnsi="Arial"/>
                  <w:sz w:val="18"/>
                  <w:szCs w:val="18"/>
                  <w:color w:val="0000FF"/>
                </w:rPr>
                <w:t>and Warrant Certificate</w:t>
              </w:r>
            </w:hyperlink>
          </w:p>
        </w:tc>
        <w:tc>
          <w:tcPr>
            <w:tcW w:w="2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gridSpan w:val="11"/>
          </w:tcPr>
          <w:p>
            <w:pPr>
              <w:spacing w:after="0"/>
              <w:rPr>
                <w:rFonts w:ascii="Arial" w:cs="Arial" w:eastAsia="Arial" w:hAnsi="Arial"/>
                <w:sz w:val="18"/>
                <w:szCs w:val="18"/>
                <w:color w:val="0000FF"/>
              </w:rPr>
            </w:pPr>
            <w:hyperlink r:id="rId32">
              <w:r>
                <w:rPr>
                  <w:rFonts w:ascii="Arial" w:cs="Arial" w:eastAsia="Arial" w:hAnsi="Arial"/>
                  <w:sz w:val="18"/>
                  <w:szCs w:val="18"/>
                  <w:color w:val="0000FF"/>
                </w:rPr>
                <w:t>Form of Preferred Stock Warrant Agreement</w:t>
              </w:r>
            </w:hyperlink>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5"/>
              </w:rPr>
              <w:t>S-3</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7"/>
              </w:rPr>
              <w:t>4.7</w:t>
            </w:r>
          </w:p>
        </w:tc>
        <w:tc>
          <w:tcPr>
            <w:tcW w:w="140" w:type="dxa"/>
            <w:vAlign w:val="bottom"/>
          </w:tcPr>
          <w:p>
            <w:pPr>
              <w:spacing w:after="0"/>
              <w:rPr>
                <w:sz w:val="18"/>
                <w:szCs w:val="18"/>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0"/>
              </w:rPr>
              <w:t>11/13/2019</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32">
              <w:r>
                <w:rPr>
                  <w:rFonts w:ascii="Arial" w:cs="Arial" w:eastAsia="Arial" w:hAnsi="Arial"/>
                  <w:sz w:val="18"/>
                  <w:szCs w:val="18"/>
                  <w:color w:val="0000FF"/>
                </w:rPr>
                <w:t>and Warrant Certificate</w:t>
              </w:r>
            </w:hyperlink>
          </w:p>
        </w:tc>
        <w:tc>
          <w:tcPr>
            <w:tcW w:w="28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jc w:val="center"/>
              <w:spacing w:after="0"/>
              <w:rPr>
                <w:sz w:val="20"/>
                <w:szCs w:val="20"/>
                <w:color w:val="auto"/>
              </w:rPr>
            </w:pPr>
            <w:r>
              <w:rPr>
                <w:rFonts w:ascii="Arial" w:cs="Arial" w:eastAsia="Arial" w:hAnsi="Arial"/>
                <w:sz w:val="18"/>
                <w:szCs w:val="18"/>
                <w:color w:val="auto"/>
                <w:w w:val="95"/>
              </w:rPr>
              <w:t>4.8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gridSpan w:val="11"/>
          </w:tcPr>
          <w:p>
            <w:pPr>
              <w:spacing w:after="0"/>
              <w:rPr>
                <w:rFonts w:ascii="Arial" w:cs="Arial" w:eastAsia="Arial" w:hAnsi="Arial"/>
                <w:sz w:val="18"/>
                <w:szCs w:val="18"/>
                <w:color w:val="0000FF"/>
                <w:w w:val="95"/>
              </w:rPr>
            </w:pPr>
            <w:hyperlink r:id="rId33">
              <w:r>
                <w:rPr>
                  <w:rFonts w:ascii="Arial" w:cs="Arial" w:eastAsia="Arial" w:hAnsi="Arial"/>
                  <w:sz w:val="18"/>
                  <w:szCs w:val="18"/>
                  <w:color w:val="0000FF"/>
                  <w:w w:val="95"/>
                </w:rPr>
                <w:t>Form of Debt Securities Warrant Agreement and</w:t>
              </w:r>
            </w:hyperlink>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5"/>
              </w:rPr>
              <w:t>S-3</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7"/>
              </w:rPr>
              <w:t>4.8</w:t>
            </w:r>
          </w:p>
        </w:tc>
        <w:tc>
          <w:tcPr>
            <w:tcW w:w="140" w:type="dxa"/>
            <w:vAlign w:val="bottom"/>
          </w:tcPr>
          <w:p>
            <w:pPr>
              <w:spacing w:after="0"/>
              <w:rPr>
                <w:sz w:val="18"/>
                <w:szCs w:val="18"/>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0"/>
              </w:rPr>
              <w:t>11/13/2019</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33">
              <w:r>
                <w:rPr>
                  <w:rFonts w:ascii="Arial" w:cs="Arial" w:eastAsia="Arial" w:hAnsi="Arial"/>
                  <w:sz w:val="18"/>
                  <w:szCs w:val="18"/>
                  <w:color w:val="0000FF"/>
                </w:rPr>
                <w:t>Warrant Certificate</w:t>
              </w:r>
            </w:hyperlink>
          </w:p>
        </w:tc>
        <w:tc>
          <w:tcPr>
            <w:tcW w:w="220" w:type="dxa"/>
            <w:vAlign w:val="bottom"/>
            <w:gridSpan w:val="2"/>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80" w:type="dxa"/>
            <w:vAlign w:val="bottom"/>
          </w:tcPr>
          <w:p>
            <w:pPr>
              <w:jc w:val="center"/>
              <w:spacing w:after="0"/>
              <w:rPr>
                <w:sz w:val="20"/>
                <w:szCs w:val="20"/>
                <w:color w:val="auto"/>
              </w:rPr>
            </w:pPr>
            <w:r>
              <w:rPr>
                <w:rFonts w:ascii="Arial" w:cs="Arial" w:eastAsia="Arial" w:hAnsi="Arial"/>
                <w:sz w:val="18"/>
                <w:szCs w:val="18"/>
                <w:color w:val="auto"/>
                <w:w w:val="95"/>
              </w:rPr>
              <w:t>5.1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1"/>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Opinion of Cooley LLP</w:t>
              </w:r>
            </w:hyperlink>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0"/>
        </w:trPr>
        <w:tc>
          <w:tcPr>
            <w:tcW w:w="880" w:type="dxa"/>
            <w:vAlign w:val="bottom"/>
          </w:tcPr>
          <w:p>
            <w:pPr>
              <w:jc w:val="center"/>
              <w:spacing w:after="0" w:line="190" w:lineRule="exact"/>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20" w:type="dxa"/>
            <w:vAlign w:val="bottom"/>
            <w:gridSpan w:val="11"/>
          </w:tcPr>
          <w:p>
            <w:pPr>
              <w:spacing w:after="0" w:line="190" w:lineRule="exact"/>
              <w:rPr>
                <w:rFonts w:ascii="Arial" w:cs="Arial" w:eastAsia="Arial" w:hAnsi="Arial"/>
                <w:sz w:val="18"/>
                <w:szCs w:val="18"/>
                <w:color w:val="0000FF"/>
              </w:rPr>
            </w:pPr>
            <w:hyperlink w:anchor="page39">
              <w:r>
                <w:rPr>
                  <w:rFonts w:ascii="Arial" w:cs="Arial" w:eastAsia="Arial" w:hAnsi="Arial"/>
                  <w:sz w:val="18"/>
                  <w:szCs w:val="18"/>
                  <w:color w:val="0000FF"/>
                </w:rPr>
                <w:t>Consent of Independent Registered Public</w:t>
              </w:r>
            </w:hyperlink>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w:anchor="page39">
              <w:r>
                <w:rPr>
                  <w:rFonts w:ascii="Arial" w:cs="Arial" w:eastAsia="Arial" w:hAnsi="Arial"/>
                  <w:sz w:val="18"/>
                  <w:szCs w:val="18"/>
                  <w:color w:val="0000FF"/>
                  <w:w w:val="93"/>
                </w:rPr>
                <w:t>Accounting Firm</w:t>
              </w:r>
            </w:hyperlink>
          </w:p>
        </w:tc>
        <w:tc>
          <w:tcPr>
            <w:tcW w:w="1800" w:type="dxa"/>
            <w:vAlign w:val="bottom"/>
            <w:tcBorders>
              <w:top w:val="single" w:sz="8" w:color="0000FF"/>
            </w:tcBorders>
            <w:gridSpan w:val="4"/>
          </w:tcPr>
          <w:p>
            <w:pPr>
              <w:spacing w:after="0"/>
              <w:rPr>
                <w:sz w:val="13"/>
                <w:szCs w:val="13"/>
                <w:color w:val="auto"/>
              </w:rPr>
            </w:pPr>
          </w:p>
        </w:tc>
        <w:tc>
          <w:tcPr>
            <w:tcW w:w="680" w:type="dxa"/>
            <w:vAlign w:val="bottom"/>
            <w:gridSpan w:val="5"/>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88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1"/>
          </w:tcPr>
          <w:p>
            <w:pPr>
              <w:spacing w:after="0"/>
              <w:rPr>
                <w:rFonts w:ascii="Arial" w:cs="Arial" w:eastAsia="Arial" w:hAnsi="Arial"/>
                <w:sz w:val="18"/>
                <w:szCs w:val="18"/>
                <w:color w:val="0000FF"/>
              </w:rPr>
            </w:pPr>
            <w:hyperlink w:anchor="page36">
              <w:r>
                <w:rPr>
                  <w:rFonts w:ascii="Arial" w:cs="Arial" w:eastAsia="Arial" w:hAnsi="Arial"/>
                  <w:sz w:val="18"/>
                  <w:szCs w:val="18"/>
                  <w:u w:val="single" w:color="auto"/>
                  <w:color w:val="0000FF"/>
                </w:rPr>
                <w:t>Consent of Cooley LLP</w:t>
              </w:r>
              <w:r>
                <w:rPr>
                  <w:rFonts w:ascii="Arial" w:cs="Arial" w:eastAsia="Arial" w:hAnsi="Arial"/>
                  <w:sz w:val="18"/>
                  <w:szCs w:val="18"/>
                  <w:color w:val="0000FF"/>
                </w:rPr>
                <w:t xml:space="preserve"> </w:t>
              </w:r>
            </w:hyperlink>
            <w:r>
              <w:rPr>
                <w:rFonts w:ascii="Arial" w:cs="Arial" w:eastAsia="Arial" w:hAnsi="Arial"/>
                <w:sz w:val="18"/>
                <w:szCs w:val="18"/>
                <w:color w:val="000000"/>
              </w:rPr>
              <w:t>(See</w:t>
            </w:r>
            <w:r>
              <w:rPr>
                <w:rFonts w:ascii="Arial" w:cs="Arial" w:eastAsia="Arial" w:hAnsi="Arial"/>
                <w:sz w:val="18"/>
                <w:szCs w:val="18"/>
                <w:color w:val="0000FF"/>
              </w:rPr>
              <w:t xml:space="preserve"> </w:t>
            </w:r>
            <w:r>
              <w:rPr>
                <w:rFonts w:ascii="Arial" w:cs="Arial" w:eastAsia="Arial" w:hAnsi="Arial"/>
                <w:sz w:val="18"/>
                <w:szCs w:val="18"/>
                <w:color w:val="000000"/>
              </w:rPr>
              <w:t>Exhibit 5.1)</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88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20" w:type="dxa"/>
            <w:vAlign w:val="bottom"/>
            <w:gridSpan w:val="11"/>
          </w:tcPr>
          <w:p>
            <w:pPr>
              <w:spacing w:after="0"/>
              <w:rPr>
                <w:rFonts w:ascii="Arial" w:cs="Arial" w:eastAsia="Arial" w:hAnsi="Arial"/>
                <w:sz w:val="18"/>
                <w:szCs w:val="18"/>
                <w:color w:val="0000FF"/>
              </w:rPr>
            </w:pPr>
            <w:hyperlink w:anchor="page34">
              <w:r>
                <w:rPr>
                  <w:rFonts w:ascii="Arial" w:cs="Arial" w:eastAsia="Arial" w:hAnsi="Arial"/>
                  <w:sz w:val="18"/>
                  <w:szCs w:val="18"/>
                  <w:u w:val="single" w:color="auto"/>
                  <w:color w:val="0000FF"/>
                </w:rPr>
                <w:t>Power of Attorney</w:t>
              </w:r>
              <w:r>
                <w:rPr>
                  <w:rFonts w:ascii="Arial" w:cs="Arial" w:eastAsia="Arial" w:hAnsi="Arial"/>
                  <w:sz w:val="18"/>
                  <w:szCs w:val="18"/>
                  <w:color w:val="0000FF"/>
                </w:rPr>
                <w:t xml:space="preserve"> </w:t>
              </w:r>
            </w:hyperlink>
            <w:r>
              <w:rPr>
                <w:rFonts w:ascii="Arial" w:cs="Arial" w:eastAsia="Arial" w:hAnsi="Arial"/>
                <w:sz w:val="18"/>
                <w:szCs w:val="18"/>
                <w:color w:val="000000"/>
              </w:rPr>
              <w:t>(See</w:t>
            </w:r>
            <w:r>
              <w:rPr>
                <w:rFonts w:ascii="Arial" w:cs="Arial" w:eastAsia="Arial" w:hAnsi="Arial"/>
                <w:sz w:val="18"/>
                <w:szCs w:val="18"/>
                <w:color w:val="0000FF"/>
              </w:rPr>
              <w:t xml:space="preserve"> </w:t>
            </w:r>
            <w:r>
              <w:rPr>
                <w:rFonts w:ascii="Arial" w:cs="Arial" w:eastAsia="Arial" w:hAnsi="Arial"/>
                <w:sz w:val="18"/>
                <w:szCs w:val="18"/>
                <w:color w:val="000000"/>
              </w:rPr>
              <w:t>signature page)</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80" w:type="dxa"/>
            <w:vAlign w:val="bottom"/>
          </w:tcPr>
          <w:p>
            <w:pPr>
              <w:jc w:val="center"/>
              <w:spacing w:after="0"/>
              <w:rPr>
                <w:sz w:val="20"/>
                <w:szCs w:val="20"/>
                <w:color w:val="auto"/>
              </w:rPr>
            </w:pPr>
            <w:r>
              <w:rPr>
                <w:rFonts w:ascii="Arial" w:cs="Arial" w:eastAsia="Arial" w:hAnsi="Arial"/>
                <w:sz w:val="18"/>
                <w:szCs w:val="18"/>
                <w:color w:val="auto"/>
                <w:w w:val="95"/>
              </w:rPr>
              <w:t>25.1*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720" w:type="dxa"/>
            <w:vAlign w:val="bottom"/>
            <w:gridSpan w:val="11"/>
          </w:tcPr>
          <w:p>
            <w:pPr>
              <w:spacing w:after="0"/>
              <w:rPr>
                <w:sz w:val="20"/>
                <w:szCs w:val="20"/>
                <w:color w:val="auto"/>
              </w:rPr>
            </w:pPr>
            <w:r>
              <w:rPr>
                <w:rFonts w:ascii="Arial" w:cs="Arial" w:eastAsia="Arial" w:hAnsi="Arial"/>
                <w:sz w:val="18"/>
                <w:szCs w:val="18"/>
                <w:color w:val="auto"/>
              </w:rPr>
              <w:t>Statement of Eligibility of Trustee under the</w:t>
            </w: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gridSpan w:val="11"/>
          </w:tcPr>
          <w:p>
            <w:pPr>
              <w:spacing w:after="0"/>
              <w:rPr>
                <w:sz w:val="20"/>
                <w:szCs w:val="20"/>
                <w:color w:val="auto"/>
              </w:rPr>
            </w:pPr>
            <w:r>
              <w:rPr>
                <w:rFonts w:ascii="Arial" w:cs="Arial" w:eastAsia="Arial" w:hAnsi="Arial"/>
                <w:sz w:val="18"/>
                <w:szCs w:val="18"/>
                <w:color w:val="auto"/>
                <w:w w:val="98"/>
              </w:rPr>
              <w:t>Debt Indenture (to be filed separately under the</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1"/>
          </w:tcPr>
          <w:p>
            <w:pPr>
              <w:spacing w:after="0"/>
              <w:rPr>
                <w:sz w:val="20"/>
                <w:szCs w:val="20"/>
                <w:color w:val="auto"/>
              </w:rPr>
            </w:pPr>
            <w:r>
              <w:rPr>
                <w:rFonts w:ascii="Arial" w:cs="Arial" w:eastAsia="Arial" w:hAnsi="Arial"/>
                <w:sz w:val="18"/>
                <w:szCs w:val="18"/>
                <w:color w:val="auto"/>
              </w:rPr>
              <w:t>electronic form type 305B2, if applicable)</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1741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294"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To be filed by amendment or as an exhibit to a Current Report on Form 8-K and incorporated herein by reference, if applicable.</w:t>
      </w:r>
    </w:p>
    <w:p>
      <w:pPr>
        <w:spacing w:after="0" w:line="200" w:lineRule="exact"/>
        <w:rPr>
          <w:sz w:val="20"/>
          <w:szCs w:val="20"/>
          <w:color w:val="auto"/>
        </w:rPr>
      </w:pPr>
    </w:p>
    <w:p>
      <w:pPr>
        <w:spacing w:after="0" w:line="2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252" w:lineRule="exact"/>
        <w:rPr>
          <w:sz w:val="20"/>
          <w:szCs w:val="20"/>
          <w:color w:val="auto"/>
        </w:rPr>
      </w:pPr>
    </w:p>
    <w:p>
      <w:pPr>
        <w:ind w:left="720" w:hanging="388"/>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52" w:lineRule="exact"/>
        <w:rPr>
          <w:rFonts w:ascii="Arial" w:cs="Arial" w:eastAsia="Arial" w:hAnsi="Arial"/>
          <w:sz w:val="18"/>
          <w:szCs w:val="18"/>
          <w:color w:val="auto"/>
        </w:rPr>
      </w:pPr>
    </w:p>
    <w:p>
      <w:pPr>
        <w:ind w:left="1000" w:hanging="344"/>
        <w:spacing w:after="0"/>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jc w:val="both"/>
        <w:ind w:firstLine="656"/>
        <w:spacing w:after="0" w:line="288" w:lineRule="auto"/>
        <w:tabs>
          <w:tab w:leader="none" w:pos="1079"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945" w:right="339" w:bottom="1440" w:gutter="0" w:footer="0" w:header="0"/>
        </w:sectPr>
      </w:pPr>
    </w:p>
    <w:bookmarkStart w:id="32" w:name="page33"/>
    <w:bookmarkEnd w:id="32"/>
    <w:p>
      <w:pPr>
        <w:ind w:right="20"/>
        <w:spacing w:after="0" w:line="308" w:lineRule="auto"/>
        <w:rPr>
          <w:sz w:val="20"/>
          <w:szCs w:val="20"/>
          <w:color w:val="auto"/>
        </w:rPr>
      </w:pPr>
      <w:r>
        <w:rPr>
          <w:rFonts w:ascii="Arial" w:cs="Arial" w:eastAsia="Arial" w:hAnsi="Arial"/>
          <w:sz w:val="18"/>
          <w:szCs w:val="18"/>
          <w:color w:val="auto"/>
        </w:rPr>
        <w:t>Rule 424(b) if, in the aggregate, the changes in volume and price represent no more than a 20% change in the maximum aggregate offering price set forth in the “Calculation of Registration Fee” table in the effective registration statement; and</w:t>
      </w:r>
    </w:p>
    <w:p>
      <w:pPr>
        <w:spacing w:after="0" w:line="171" w:lineRule="exact"/>
        <w:rPr>
          <w:sz w:val="20"/>
          <w:szCs w:val="20"/>
          <w:color w:val="auto"/>
        </w:rPr>
      </w:pPr>
    </w:p>
    <w:p>
      <w:pPr>
        <w:ind w:firstLine="656"/>
        <w:spacing w:after="0" w:line="308" w:lineRule="auto"/>
        <w:tabs>
          <w:tab w:leader="none" w:pos="117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(1)(i), (1)(ii) and (1)(iii)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Commission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188" w:lineRule="exact"/>
        <w:rPr>
          <w:sz w:val="20"/>
          <w:szCs w:val="20"/>
          <w:color w:val="auto"/>
        </w:rPr>
      </w:pPr>
    </w:p>
    <w:p>
      <w:pPr>
        <w:jc w:val="both"/>
        <w:ind w:firstLine="332"/>
        <w:spacing w:after="0" w:line="295" w:lineRule="auto"/>
        <w:tabs>
          <w:tab w:leader="none" w:pos="7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firstLine="332"/>
        <w:spacing w:after="0" w:line="308" w:lineRule="auto"/>
        <w:tabs>
          <w:tab w:leader="none" w:pos="85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720" w:hanging="388"/>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52" w:lineRule="exact"/>
        <w:rPr>
          <w:rFonts w:ascii="Arial" w:cs="Arial" w:eastAsia="Arial" w:hAnsi="Arial"/>
          <w:sz w:val="18"/>
          <w:szCs w:val="18"/>
          <w:color w:val="auto"/>
        </w:rPr>
      </w:pPr>
    </w:p>
    <w:p>
      <w:pPr>
        <w:ind w:firstLine="737"/>
        <w:spacing w:after="0" w:line="308" w:lineRule="auto"/>
        <w:tabs>
          <w:tab w:leader="none" w:pos="1102" w:val="left"/>
        </w:tabs>
        <w:numPr>
          <w:ilvl w:val="2"/>
          <w:numId w:val="3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jc w:val="both"/>
        <w:ind w:firstLine="737"/>
        <w:spacing w:after="0" w:line="302" w:lineRule="auto"/>
        <w:tabs>
          <w:tab w:leader="none" w:pos="1135" w:val="left"/>
        </w:tabs>
        <w:numPr>
          <w:ilvl w:val="2"/>
          <w:numId w:val="38"/>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3" w:lineRule="exact"/>
        <w:rPr>
          <w:rFonts w:ascii="Arial" w:cs="Arial" w:eastAsia="Arial" w:hAnsi="Arial"/>
          <w:sz w:val="17"/>
          <w:szCs w:val="17"/>
          <w:color w:val="auto"/>
        </w:rPr>
      </w:pPr>
    </w:p>
    <w:p>
      <w:pPr>
        <w:jc w:val="both"/>
        <w:ind w:firstLine="332"/>
        <w:spacing w:after="0" w:line="288" w:lineRule="auto"/>
        <w:tabs>
          <w:tab w:leader="none" w:pos="7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9" w:lineRule="exact"/>
        <w:rPr>
          <w:rFonts w:ascii="Arial" w:cs="Arial" w:eastAsia="Arial" w:hAnsi="Arial"/>
          <w:sz w:val="18"/>
          <w:szCs w:val="18"/>
          <w:color w:val="auto"/>
        </w:rPr>
      </w:pPr>
    </w:p>
    <w:p>
      <w:pPr>
        <w:ind w:left="1000" w:hanging="344"/>
        <w:spacing w:after="0"/>
        <w:tabs>
          <w:tab w:leader="none" w:pos="10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63" w:lineRule="exact"/>
        <w:rPr>
          <w:rFonts w:ascii="Arial" w:cs="Arial" w:eastAsia="Arial" w:hAnsi="Arial"/>
          <w:sz w:val="17"/>
          <w:szCs w:val="17"/>
          <w:color w:val="auto"/>
        </w:rPr>
      </w:pPr>
    </w:p>
    <w:p>
      <w:pPr>
        <w:ind w:right="20" w:firstLine="656"/>
        <w:spacing w:after="0" w:line="308" w:lineRule="auto"/>
        <w:tabs>
          <w:tab w:leader="none" w:pos="1116"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firstLine="656"/>
        <w:spacing w:after="0" w:line="308" w:lineRule="auto"/>
        <w:tabs>
          <w:tab w:leader="none" w:pos="1116"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080" w:hanging="424"/>
        <w:spacing w:after="0"/>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962" w:right="339" w:bottom="1440" w:gutter="0" w:footer="0" w:header="0"/>
        </w:sectPr>
      </w:pPr>
    </w:p>
    <w:bookmarkStart w:id="33" w:name="page34"/>
    <w:bookmarkEnd w:id="33"/>
    <w:p>
      <w:pPr>
        <w:jc w:val="both"/>
        <w:ind w:firstLine="332"/>
        <w:spacing w:after="0" w:line="288" w:lineRule="auto"/>
        <w:tabs>
          <w:tab w:leader="none" w:pos="7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75" w:lineRule="exact"/>
        <w:rPr>
          <w:rFonts w:ascii="Arial" w:cs="Arial" w:eastAsia="Arial" w:hAnsi="Arial"/>
          <w:sz w:val="18"/>
          <w:szCs w:val="18"/>
          <w:color w:val="auto"/>
        </w:rPr>
      </w:pPr>
    </w:p>
    <w:p>
      <w:pPr>
        <w:jc w:val="both"/>
        <w:ind w:firstLine="332"/>
        <w:spacing w:after="0" w:line="275" w:lineRule="auto"/>
        <w:tabs>
          <w:tab w:leader="none" w:pos="746"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That, for purposes of determining any liability under the Securities Act, (i) the information omitted from the form of prospectus filed as part of the registration statement in reliance upon Rule 430A and contained in the form of prospectus filed by the registrant pursuant to Rule 424(b)(l) or (4) or 497(h) under the Securities Act shall be deemed to be a part of the registration statement as of the time it was declared effective; and (ii)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2" w:lineRule="exact"/>
        <w:rPr>
          <w:rFonts w:ascii="Arial" w:cs="Arial" w:eastAsia="Arial" w:hAnsi="Arial"/>
          <w:sz w:val="17"/>
          <w:szCs w:val="17"/>
          <w:color w:val="auto"/>
        </w:rPr>
      </w:pPr>
    </w:p>
    <w:p>
      <w:pPr>
        <w:ind w:firstLine="332"/>
        <w:spacing w:after="0" w:line="308" w:lineRule="auto"/>
        <w:tabs>
          <w:tab w:leader="none" w:pos="76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962"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Santa Clara, State of California, on March 10, 2021.</w:t>
      </w:r>
    </w:p>
    <w:p>
      <w:pPr>
        <w:spacing w:after="0" w:line="97"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tbl>
      <w:tblPr>
        <w:tblLayout w:type="fixed"/>
        <w:tblInd w:w="6660" w:type="dxa"/>
        <w:tblCellMar>
          <w:top w:w="0" w:type="dxa"/>
          <w:left w:w="0" w:type="dxa"/>
          <w:bottom w:w="0" w:type="dxa"/>
          <w:right w:w="0" w:type="dxa"/>
        </w:tblCellMar>
      </w:tblPr>
      <w:tr>
        <w:trPr>
          <w:trHeight w:val="22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Dunn</w:t>
            </w:r>
          </w:p>
        </w:tc>
      </w:tr>
      <w:tr>
        <w:trPr>
          <w:trHeight w:val="222"/>
        </w:trPr>
        <w:tc>
          <w:tcPr>
            <w:tcW w:w="6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Jeffrey W. Dunn</w:t>
            </w:r>
          </w:p>
        </w:tc>
      </w:tr>
      <w:tr>
        <w:trPr>
          <w:trHeight w:val="230"/>
        </w:trPr>
        <w:tc>
          <w:tcPr>
            <w:tcW w:w="6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3"/>
              </w:rPr>
              <w:t>President and Chief Executive Officer and Chairman</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44"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constitutes and appoints Jeffrey W. Dunn, Laura</w:t>
      </w:r>
      <w:r>
        <w:rPr>
          <w:rFonts w:ascii="Arial" w:cs="Arial" w:eastAsia="Arial" w:hAnsi="Arial"/>
          <w:sz w:val="17"/>
          <w:szCs w:val="17"/>
          <w:b w:val="1"/>
          <w:bCs w:val="1"/>
          <w:color w:val="auto"/>
        </w:rPr>
        <w:t xml:space="preserve"> </w:t>
      </w:r>
      <w:r>
        <w:rPr>
          <w:rFonts w:ascii="Arial" w:cs="Arial" w:eastAsia="Arial" w:hAnsi="Arial"/>
          <w:sz w:val="17"/>
          <w:szCs w:val="17"/>
          <w:color w:val="auto"/>
        </w:rPr>
        <w:t>Francis and Michael A. Pisetsky, and each of them, as her or his true and lawful attorneys-in-fact and agents, with full powers of substitution and resubstitution, for her or him and in her or his name, place and stead, in any and all capacities, to sign any and all amendments (including post-effective amendments) to this registration statement, and to file the same, with all exhibits thereto, and other documents in connection therewith, with the SEC, and generally to do all such things in her or his name and behalf in her or his capacities as officers and directors to enable the SI-BONE, Inc. to comply with the provisions of the Securities Act of 1933 and all requirements of the SEC,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her or his substitutes or substitute, may lawfully do or cause to be done by virtue hereof.</w:t>
      </w:r>
    </w:p>
    <w:p>
      <w:pPr>
        <w:spacing w:after="0" w:line="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1240"/>
          </w:cols>
          <w:pgMar w:left="320" w:top="702" w:right="339" w:bottom="1440" w:gutter="0" w:footer="0" w:header="0"/>
        </w:sectPr>
      </w:pPr>
    </w:p>
    <w:p>
      <w:pPr>
        <w:spacing w:after="0" w:line="7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513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9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1513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Jeffrey W. Dunn</w:t>
      </w:r>
    </w:p>
    <w:p>
      <w:pPr>
        <w:spacing w:after="0" w:line="15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21513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Laura A. Francis</w:t>
      </w:r>
    </w:p>
    <w:p>
      <w:pPr>
        <w:spacing w:after="0" w:line="320"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/s/ Timothy E.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21513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8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Timothy E. Davis, Jr.</w:t>
      </w:r>
    </w:p>
    <w:p>
      <w:pPr>
        <w:spacing w:after="0" w:line="15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Mark J.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1513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7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Mark J. Foley</w:t>
      </w:r>
    </w:p>
    <w:p>
      <w:pPr>
        <w:spacing w:after="0" w:line="14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John G. 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1513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John G. Freund, M.D.</w:t>
      </w:r>
    </w:p>
    <w:p>
      <w:pPr>
        <w:spacing w:after="0" w:line="18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/s/ Gregory K.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21513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6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Gregory K. Hinckley</w:t>
      </w:r>
    </w:p>
    <w:p>
      <w:pPr>
        <w:spacing w:after="0" w:line="15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Karen A. Licitra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1513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8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Karen A. Licitra</w:t>
      </w:r>
    </w:p>
    <w:p>
      <w:pPr>
        <w:spacing w:after="0" w:line="19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Keith C.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1513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5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Keith C. Valentine</w:t>
      </w:r>
    </w:p>
    <w:p>
      <w:pPr>
        <w:spacing w:after="0" w:line="18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Mika Nishimura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1513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5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Mika Nishimura</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Borders>
              <w:bottom w:val="single" w:sz="8" w:color="auto"/>
            </w:tcBorders>
          </w:tcPr>
          <w:p>
            <w:pPr>
              <w:ind w:left="2260"/>
              <w:spacing w:after="0"/>
              <w:rPr>
                <w:sz w:val="20"/>
                <w:szCs w:val="20"/>
                <w:color w:val="auto"/>
              </w:rPr>
            </w:pPr>
            <w:r>
              <w:rPr>
                <w:rFonts w:ascii="Arial" w:cs="Arial" w:eastAsia="Arial" w:hAnsi="Arial"/>
                <w:sz w:val="18"/>
                <w:szCs w:val="18"/>
                <w:b w:val="1"/>
                <w:bCs w:val="1"/>
                <w:color w:val="auto"/>
              </w:rPr>
              <w:t>Title</w:t>
            </w:r>
          </w:p>
        </w:tc>
        <w:tc>
          <w:tcPr>
            <w:tcW w:w="320" w:type="dxa"/>
            <w:vAlign w:val="bottom"/>
          </w:tcPr>
          <w:p>
            <w:pPr>
              <w:spacing w:after="0"/>
              <w:rPr>
                <w:sz w:val="20"/>
                <w:szCs w:val="20"/>
                <w:color w:val="auto"/>
              </w:rPr>
            </w:pPr>
          </w:p>
        </w:tc>
        <w:tc>
          <w:tcPr>
            <w:tcW w:w="236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47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 and Chairman</w:t>
            </w:r>
          </w:p>
        </w:tc>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March 10, 2021</w:t>
            </w:r>
          </w:p>
        </w:tc>
        <w:tc>
          <w:tcPr>
            <w:tcW w:w="0" w:type="dxa"/>
            <w:vAlign w:val="bottom"/>
          </w:tcPr>
          <w:p>
            <w:pPr>
              <w:spacing w:after="0"/>
              <w:rPr>
                <w:sz w:val="1"/>
                <w:szCs w:val="1"/>
                <w:color w:val="auto"/>
              </w:rPr>
            </w:pPr>
          </w:p>
        </w:tc>
      </w:tr>
      <w:tr>
        <w:trPr>
          <w:trHeight w:val="149"/>
        </w:trPr>
        <w:tc>
          <w:tcPr>
            <w:tcW w:w="52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2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200" w:type="dxa"/>
            <w:vAlign w:val="bottom"/>
            <w:gridSpan w:val="2"/>
            <w:vMerge w:val="continue"/>
          </w:tcPr>
          <w:p>
            <w:pPr>
              <w:spacing w:after="0"/>
              <w:rPr>
                <w:sz w:val="7"/>
                <w:szCs w:val="7"/>
                <w:color w:val="auto"/>
              </w:rPr>
            </w:pPr>
          </w:p>
        </w:tc>
        <w:tc>
          <w:tcPr>
            <w:tcW w:w="2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Chief Operating Officer and Chief Financial Officer</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20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c>
          <w:tcPr>
            <w:tcW w:w="2360" w:type="dxa"/>
            <w:vAlign w:val="bottom"/>
          </w:tcPr>
          <w:p>
            <w:pPr>
              <w:ind w:left="20"/>
              <w:spacing w:after="0"/>
              <w:rPr>
                <w:sz w:val="20"/>
                <w:szCs w:val="20"/>
                <w:color w:val="auto"/>
              </w:rPr>
            </w:pPr>
            <w:r>
              <w:rPr>
                <w:rFonts w:ascii="Arial" w:cs="Arial" w:eastAsia="Arial" w:hAnsi="Arial"/>
                <w:sz w:val="18"/>
                <w:szCs w:val="18"/>
                <w:color w:val="auto"/>
              </w:rPr>
              <w:t>March 10, 2021</w:t>
            </w:r>
          </w:p>
        </w:tc>
        <w:tc>
          <w:tcPr>
            <w:tcW w:w="0" w:type="dxa"/>
            <w:vAlign w:val="bottom"/>
          </w:tcPr>
          <w:p>
            <w:pPr>
              <w:spacing w:after="0"/>
              <w:rPr>
                <w:sz w:val="1"/>
                <w:szCs w:val="1"/>
                <w:color w:val="auto"/>
              </w:rPr>
            </w:pPr>
          </w:p>
        </w:tc>
      </w:tr>
      <w:tr>
        <w:trPr>
          <w:trHeight w:val="81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Lead Independent Director, Director</w:t>
            </w:r>
          </w:p>
        </w:tc>
        <w:tc>
          <w:tcPr>
            <w:tcW w:w="2360" w:type="dxa"/>
            <w:vAlign w:val="bottom"/>
          </w:tcPr>
          <w:p>
            <w:pPr>
              <w:ind w:left="20"/>
              <w:spacing w:after="0"/>
              <w:rPr>
                <w:sz w:val="20"/>
                <w:szCs w:val="20"/>
                <w:color w:val="auto"/>
              </w:rPr>
            </w:pPr>
            <w:r>
              <w:rPr>
                <w:rFonts w:ascii="Arial" w:cs="Arial" w:eastAsia="Arial" w:hAnsi="Arial"/>
                <w:sz w:val="18"/>
                <w:szCs w:val="18"/>
                <w:color w:val="auto"/>
              </w:rPr>
              <w:t>March 10, 2021</w:t>
            </w:r>
          </w:p>
        </w:tc>
        <w:tc>
          <w:tcPr>
            <w:tcW w:w="0" w:type="dxa"/>
            <w:vAlign w:val="bottom"/>
          </w:tcPr>
          <w:p>
            <w:pPr>
              <w:spacing w:after="0"/>
              <w:rPr>
                <w:sz w:val="1"/>
                <w:szCs w:val="1"/>
                <w:color w:val="auto"/>
              </w:rPr>
            </w:pPr>
          </w:p>
        </w:tc>
      </w:tr>
      <w:tr>
        <w:trPr>
          <w:trHeight w:val="648"/>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60" w:type="dxa"/>
            <w:vAlign w:val="bottom"/>
          </w:tcPr>
          <w:p>
            <w:pPr>
              <w:ind w:left="20"/>
              <w:spacing w:after="0"/>
              <w:rPr>
                <w:sz w:val="20"/>
                <w:szCs w:val="20"/>
                <w:color w:val="auto"/>
              </w:rPr>
            </w:pPr>
            <w:r>
              <w:rPr>
                <w:rFonts w:ascii="Arial" w:cs="Arial" w:eastAsia="Arial" w:hAnsi="Arial"/>
                <w:sz w:val="18"/>
                <w:szCs w:val="18"/>
                <w:color w:val="auto"/>
              </w:rPr>
              <w:t>March 10, 2021</w:t>
            </w:r>
          </w:p>
        </w:tc>
        <w:tc>
          <w:tcPr>
            <w:tcW w:w="0" w:type="dxa"/>
            <w:vAlign w:val="bottom"/>
          </w:tcPr>
          <w:p>
            <w:pPr>
              <w:spacing w:after="0"/>
              <w:rPr>
                <w:sz w:val="1"/>
                <w:szCs w:val="1"/>
                <w:color w:val="auto"/>
              </w:rPr>
            </w:pPr>
          </w:p>
        </w:tc>
      </w:tr>
      <w:tr>
        <w:trPr>
          <w:trHeight w:val="648"/>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60" w:type="dxa"/>
            <w:vAlign w:val="bottom"/>
          </w:tcPr>
          <w:p>
            <w:pPr>
              <w:ind w:left="20"/>
              <w:spacing w:after="0"/>
              <w:rPr>
                <w:sz w:val="20"/>
                <w:szCs w:val="20"/>
                <w:color w:val="auto"/>
              </w:rPr>
            </w:pPr>
            <w:r>
              <w:rPr>
                <w:rFonts w:ascii="Arial" w:cs="Arial" w:eastAsia="Arial" w:hAnsi="Arial"/>
                <w:sz w:val="18"/>
                <w:szCs w:val="18"/>
                <w:color w:val="auto"/>
              </w:rPr>
              <w:t>March 10, 2021</w:t>
            </w:r>
          </w:p>
        </w:tc>
        <w:tc>
          <w:tcPr>
            <w:tcW w:w="0" w:type="dxa"/>
            <w:vAlign w:val="bottom"/>
          </w:tcPr>
          <w:p>
            <w:pPr>
              <w:spacing w:after="0"/>
              <w:rPr>
                <w:sz w:val="1"/>
                <w:szCs w:val="1"/>
                <w:color w:val="auto"/>
              </w:rPr>
            </w:pPr>
          </w:p>
        </w:tc>
      </w:tr>
      <w:tr>
        <w:trPr>
          <w:trHeight w:val="662"/>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60" w:type="dxa"/>
            <w:vAlign w:val="bottom"/>
          </w:tcPr>
          <w:p>
            <w:pPr>
              <w:ind w:left="20"/>
              <w:spacing w:after="0"/>
              <w:rPr>
                <w:sz w:val="20"/>
                <w:szCs w:val="20"/>
                <w:color w:val="auto"/>
              </w:rPr>
            </w:pPr>
            <w:r>
              <w:rPr>
                <w:rFonts w:ascii="Arial" w:cs="Arial" w:eastAsia="Arial" w:hAnsi="Arial"/>
                <w:sz w:val="18"/>
                <w:szCs w:val="18"/>
                <w:color w:val="auto"/>
              </w:rPr>
              <w:t>March 10, 2021</w:t>
            </w:r>
          </w:p>
        </w:tc>
        <w:tc>
          <w:tcPr>
            <w:tcW w:w="0" w:type="dxa"/>
            <w:vAlign w:val="bottom"/>
          </w:tcPr>
          <w:p>
            <w:pPr>
              <w:spacing w:after="0"/>
              <w:rPr>
                <w:sz w:val="1"/>
                <w:szCs w:val="1"/>
                <w:color w:val="auto"/>
              </w:rPr>
            </w:pPr>
          </w:p>
        </w:tc>
      </w:tr>
      <w:tr>
        <w:trPr>
          <w:trHeight w:val="688"/>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60" w:type="dxa"/>
            <w:vAlign w:val="bottom"/>
          </w:tcPr>
          <w:p>
            <w:pPr>
              <w:ind w:left="20"/>
              <w:spacing w:after="0"/>
              <w:rPr>
                <w:sz w:val="20"/>
                <w:szCs w:val="20"/>
                <w:color w:val="auto"/>
              </w:rPr>
            </w:pPr>
            <w:r>
              <w:rPr>
                <w:rFonts w:ascii="Arial" w:cs="Arial" w:eastAsia="Arial" w:hAnsi="Arial"/>
                <w:sz w:val="18"/>
                <w:szCs w:val="18"/>
                <w:color w:val="auto"/>
              </w:rPr>
              <w:t>March 10, 2021</w:t>
            </w:r>
          </w:p>
        </w:tc>
        <w:tc>
          <w:tcPr>
            <w:tcW w:w="0" w:type="dxa"/>
            <w:vAlign w:val="bottom"/>
          </w:tcPr>
          <w:p>
            <w:pPr>
              <w:spacing w:after="0"/>
              <w:rPr>
                <w:sz w:val="1"/>
                <w:szCs w:val="1"/>
                <w:color w:val="auto"/>
              </w:rPr>
            </w:pPr>
          </w:p>
        </w:tc>
      </w:tr>
      <w:tr>
        <w:trPr>
          <w:trHeight w:val="675"/>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60" w:type="dxa"/>
            <w:vAlign w:val="bottom"/>
          </w:tcPr>
          <w:p>
            <w:pPr>
              <w:ind w:left="20"/>
              <w:spacing w:after="0"/>
              <w:rPr>
                <w:sz w:val="20"/>
                <w:szCs w:val="20"/>
                <w:color w:val="auto"/>
              </w:rPr>
            </w:pPr>
            <w:r>
              <w:rPr>
                <w:rFonts w:ascii="Arial" w:cs="Arial" w:eastAsia="Arial" w:hAnsi="Arial"/>
                <w:sz w:val="18"/>
                <w:szCs w:val="18"/>
                <w:color w:val="auto"/>
              </w:rPr>
              <w:t>March 10, 2021</w:t>
            </w:r>
          </w:p>
        </w:tc>
        <w:tc>
          <w:tcPr>
            <w:tcW w:w="0" w:type="dxa"/>
            <w:vAlign w:val="bottom"/>
          </w:tcPr>
          <w:p>
            <w:pPr>
              <w:spacing w:after="0"/>
              <w:rPr>
                <w:sz w:val="1"/>
                <w:szCs w:val="1"/>
                <w:color w:val="auto"/>
              </w:rPr>
            </w:pPr>
          </w:p>
        </w:tc>
      </w:tr>
      <w:tr>
        <w:trPr>
          <w:trHeight w:val="675"/>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60" w:type="dxa"/>
            <w:vAlign w:val="bottom"/>
          </w:tcPr>
          <w:p>
            <w:pPr>
              <w:ind w:left="20"/>
              <w:spacing w:after="0"/>
              <w:rPr>
                <w:sz w:val="20"/>
                <w:szCs w:val="20"/>
                <w:color w:val="auto"/>
              </w:rPr>
            </w:pPr>
            <w:r>
              <w:rPr>
                <w:rFonts w:ascii="Arial" w:cs="Arial" w:eastAsia="Arial" w:hAnsi="Arial"/>
                <w:sz w:val="18"/>
                <w:szCs w:val="18"/>
                <w:color w:val="auto"/>
              </w:rPr>
              <w:t>March 10, 2021</w:t>
            </w:r>
          </w:p>
        </w:tc>
        <w:tc>
          <w:tcPr>
            <w:tcW w:w="0" w:type="dxa"/>
            <w:vAlign w:val="bottom"/>
          </w:tcPr>
          <w:p>
            <w:pPr>
              <w:spacing w:after="0"/>
              <w:rPr>
                <w:sz w:val="1"/>
                <w:szCs w:val="1"/>
                <w:color w:val="auto"/>
              </w:rPr>
            </w:pPr>
          </w:p>
        </w:tc>
      </w:tr>
    </w:tbl>
    <w:p>
      <w:pPr>
        <w:spacing w:after="0" w:line="325" w:lineRule="exact"/>
        <w:rPr>
          <w:sz w:val="20"/>
          <w:szCs w:val="20"/>
          <w:color w:val="auto"/>
        </w:rPr>
      </w:pPr>
    </w:p>
    <w:p>
      <w:pPr>
        <w:sectPr>
          <w:pgSz w:w="11900" w:h="16838" w:orient="portrait"/>
          <w:cols w:equalWidth="0" w:num="2">
            <w:col w:w="2940" w:space="720"/>
            <w:col w:w="7580"/>
          </w:cols>
          <w:pgMar w:left="320" w:top="702"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320" w:top="702" w:right="33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139825" cy="428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13982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Matthew B. Hemington</w:t>
      </w:r>
    </w:p>
    <w:p>
      <w:pPr>
        <w:spacing w:after="0" w:line="13" w:lineRule="exact"/>
        <w:rPr>
          <w:sz w:val="20"/>
          <w:szCs w:val="20"/>
          <w:color w:val="auto"/>
        </w:rPr>
      </w:pPr>
    </w:p>
    <w:p>
      <w:pPr>
        <w:ind w:right="9640" w:firstLine="8"/>
        <w:spacing w:after="0" w:line="293" w:lineRule="auto"/>
        <w:tabs>
          <w:tab w:leader="none" w:pos="157" w:val="left"/>
        </w:tabs>
        <w:numPr>
          <w:ilvl w:val="0"/>
          <w:numId w:val="40"/>
        </w:numPr>
        <w:rPr>
          <w:rFonts w:ascii="Arial" w:cs="Arial" w:eastAsia="Arial" w:hAnsi="Arial"/>
          <w:sz w:val="13"/>
          <w:szCs w:val="13"/>
          <w:color w:val="auto"/>
        </w:rPr>
      </w:pPr>
      <w:r>
        <w:rPr>
          <w:rFonts w:ascii="Arial" w:cs="Arial" w:eastAsia="Arial" w:hAnsi="Arial"/>
          <w:sz w:val="13"/>
          <w:szCs w:val="13"/>
          <w:color w:val="auto"/>
        </w:rPr>
        <w:t>+1 650 843 5062 hemingtonmb@cooley.com</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471 El Camino Real, Suite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have acted as counsel to SI-BONE,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of a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by the Company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The Registration Statement includes a prospectus (the “</w:t>
      </w:r>
      <w:r>
        <w:rPr>
          <w:rFonts w:ascii="Arial" w:cs="Arial" w:eastAsia="Arial" w:hAnsi="Arial"/>
          <w:sz w:val="18"/>
          <w:szCs w:val="18"/>
          <w:b w:val="1"/>
          <w:bCs w:val="1"/>
          <w:i w:val="1"/>
          <w:iCs w:val="1"/>
          <w:color w:val="auto"/>
        </w:rPr>
        <w:t>Base Prospectus</w:t>
      </w:r>
      <w:r>
        <w:rPr>
          <w:rFonts w:ascii="Arial" w:cs="Arial" w:eastAsia="Arial" w:hAnsi="Arial"/>
          <w:sz w:val="18"/>
          <w:szCs w:val="18"/>
          <w:color w:val="auto"/>
        </w:rPr>
        <w:t>”) that provides it will be supplemented in the future by one or more prospectus supplements (each, a “</w:t>
      </w:r>
      <w:r>
        <w:rPr>
          <w:rFonts w:ascii="Arial" w:cs="Arial" w:eastAsia="Arial" w:hAnsi="Arial"/>
          <w:sz w:val="18"/>
          <w:szCs w:val="18"/>
          <w:b w:val="1"/>
          <w:bCs w:val="1"/>
          <w:i w:val="1"/>
          <w:iCs w:val="1"/>
          <w:color w:val="auto"/>
        </w:rPr>
        <w:t>Prospectus Supplement</w:t>
      </w:r>
      <w:r>
        <w:rPr>
          <w:rFonts w:ascii="Arial" w:cs="Arial" w:eastAsia="Arial" w:hAnsi="Arial"/>
          <w:sz w:val="18"/>
          <w:szCs w:val="18"/>
          <w:color w:val="auto"/>
        </w:rPr>
        <w:t>”). The Registration Statement, including the Base Prospectus (as supplemented from time to time by one or more Prospectus Supplements), will provide for the registration by the Company of:</w:t>
      </w:r>
    </w:p>
    <w:p>
      <w:pPr>
        <w:spacing w:after="0" w:line="205"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shares of common stock, par value $0.0001 per share, of the Company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shares of preferred stock, par value $0.0001 per share, of the Company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jc w:val="both"/>
        <w:ind w:left="300" w:hanging="292"/>
        <w:spacing w:after="0" w:line="259" w:lineRule="auto"/>
        <w:tabs>
          <w:tab w:leader="none" w:pos="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debt securities, in one or more series (the “</w:t>
      </w:r>
      <w:r>
        <w:rPr>
          <w:rFonts w:ascii="Arial" w:cs="Arial" w:eastAsia="Arial" w:hAnsi="Arial"/>
          <w:sz w:val="18"/>
          <w:szCs w:val="18"/>
          <w:b w:val="1"/>
          <w:bCs w:val="1"/>
          <w:i w:val="1"/>
          <w:iCs w:val="1"/>
          <w:color w:val="auto"/>
        </w:rPr>
        <w:t>Debt Securities</w:t>
      </w:r>
      <w:r>
        <w:rPr>
          <w:rFonts w:ascii="Arial" w:cs="Arial" w:eastAsia="Arial" w:hAnsi="Arial"/>
          <w:sz w:val="18"/>
          <w:szCs w:val="18"/>
          <w:color w:val="auto"/>
        </w:rPr>
        <w:t>”), which may be issued pursuant to an indenture to be dated on or about the date of the first issuance of Debt Securities thereunder, by and between a trustee to be selected by the Company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and the Company, in the form filed as Exhibit 4.5 to the Registration Statement and one or more indentures supplemental thereto with respect to any particular series of Debt Securities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and</w:t>
      </w:r>
    </w:p>
    <w:p>
      <w:pPr>
        <w:spacing w:after="0" w:line="24" w:lineRule="exact"/>
        <w:rPr>
          <w:rFonts w:ascii="Arial" w:cs="Arial" w:eastAsia="Arial" w:hAnsi="Arial"/>
          <w:sz w:val="18"/>
          <w:szCs w:val="18"/>
          <w:color w:val="auto"/>
        </w:rPr>
      </w:pPr>
    </w:p>
    <w:p>
      <w:pPr>
        <w:jc w:val="both"/>
        <w:ind w:left="300" w:hanging="292"/>
        <w:spacing w:after="0" w:line="259" w:lineRule="auto"/>
        <w:tabs>
          <w:tab w:leader="none" w:pos="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or Debt Securities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which may be issued under one or more warrant agreements, to be dated on or about the date of the first issuance of the Warrants thereunder, by and between a warrant agent to be selected by the Company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 and the Company, in the forms filed as Exhibits 4.6, 4.7 and 4.8 to the Registration Statement, respectively (each, a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Common Stock, the Preferred Stock, the Debt Securities and the Warrants are collectively referred to herein as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The Securities are being registered for offer and sale from time to time pursuant to Rule 415 under the Securities Act.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this opinion, we have examined and relied upon originals, or copies certified to our satisfaction, of such records, documents, certificates, opinions, memoranda and other instruments as in our judgment are necessary or appropriate to enable us to render the opinion expressed below. As to certain factual matters, we have relied upon a certificate of an officer of the Company and have not independently verified such matters.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rendering this opinion, we have assumed the genuineness and authenticity of all signatures on original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of such documents.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Cooley LLP 3175 Hanover Street Palo Alto, CA 94304-1130</w:t>
      </w:r>
    </w:p>
    <w:p>
      <w:pPr>
        <w:jc w:val="center"/>
        <w:spacing w:after="0"/>
        <w:rPr>
          <w:sz w:val="20"/>
          <w:szCs w:val="20"/>
          <w:color w:val="auto"/>
        </w:rPr>
      </w:pPr>
      <w:r>
        <w:rPr>
          <w:rFonts w:ascii="Arial" w:cs="Arial" w:eastAsia="Arial" w:hAnsi="Arial"/>
          <w:sz w:val="13"/>
          <w:szCs w:val="13"/>
          <w:color w:val="auto"/>
        </w:rPr>
        <w:t>t: (650) 843-5000 f: (650) 849-7400 cooley.com</w:t>
      </w:r>
    </w:p>
    <w:p>
      <w:pPr>
        <w:sectPr>
          <w:pgSz w:w="11900" w:h="16838" w:orient="portrait"/>
          <w:cols w:equalWidth="0" w:num="1">
            <w:col w:w="11240"/>
          </w:cols>
          <w:pgMar w:left="320" w:top="769" w:right="339" w:bottom="1440" w:gutter="0" w:footer="0" w:header="0"/>
        </w:sectPr>
      </w:pPr>
    </w:p>
    <w:bookmarkStart w:id="36" w:name="page37"/>
    <w:bookmarkEnd w:id="36"/>
    <w:p>
      <w:pPr>
        <w:jc w:val="both"/>
        <w:spacing w:after="0" w:line="268" w:lineRule="auto"/>
        <w:rPr>
          <w:sz w:val="20"/>
          <w:szCs w:val="20"/>
          <w:color w:val="auto"/>
        </w:rPr>
      </w:pPr>
      <w:r>
        <w:rPr>
          <w:rFonts w:ascii="Arial" w:cs="Arial" w:eastAsia="Arial" w:hAnsi="Arial"/>
          <w:sz w:val="17"/>
          <w:szCs w:val="17"/>
          <w:color w:val="auto"/>
        </w:rPr>
        <w:t>With respect to our opinion as to the Common Stock, we have assumed that, at the time of issuance and sale, a sufficient number of shares of Common Stock will be authorized and available for issuance and that the consideration for the issuance and sale of the Common Stock (or Preferred Stock or Debt Securities convertible into, or Warrants exercisable for, Common Stock) will be in an amount that is not less than the par value of the Common Stock. With respect to our opinion as to the Preferred Stock, we have assumed that, at the time of issuance and sale, a sufficient number of shares of Preferred Stock will be authorized, designated and available for issuance and that the consideration for the issuance and sale of the Preferred Stock (or Debt Securities convertible into, or Warrants exercisable for, Preferred Stock) will be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such convertible Debt Securities or Warrants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opinion herein is expressed solely with respect to the General Corporation Law of the State of Delaware and, as to the Debt Securities and the Warrants constituting valid and legally binding obligations of the Company, the laws of the State of New York. Our opinion is based on these laws as in effect on the date hereof. We express no opinion to the extent that any other laws are applicable to the subject matter hereof, and we express no opinion and provide no assurance as to compliance with any federal or state securities law, rule or regulation.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foregoing and in reliance thereon, and subject to the qualifications herein stated, we are of the opinion that:</w:t>
      </w:r>
    </w:p>
    <w:p>
      <w:pPr>
        <w:spacing w:after="0" w:line="225" w:lineRule="exact"/>
        <w:rPr>
          <w:sz w:val="20"/>
          <w:szCs w:val="20"/>
          <w:color w:val="auto"/>
        </w:rPr>
      </w:pPr>
    </w:p>
    <w:p>
      <w:pPr>
        <w:jc w:val="both"/>
        <w:ind w:firstLine="8"/>
        <w:spacing w:after="0" w:line="269" w:lineRule="auto"/>
        <w:tabs>
          <w:tab w:leader="none" w:pos="451" w:val="left"/>
        </w:tabs>
        <w:numPr>
          <w:ilvl w:val="0"/>
          <w:numId w:val="42"/>
        </w:numPr>
        <w:rPr>
          <w:rFonts w:ascii="Arial" w:cs="Arial" w:eastAsia="Arial" w:hAnsi="Arial"/>
          <w:sz w:val="17"/>
          <w:szCs w:val="17"/>
          <w:b w:val="1"/>
          <w:bCs w:val="1"/>
          <w:color w:val="auto"/>
        </w:rPr>
      </w:pPr>
      <w:r>
        <w:rPr>
          <w:rFonts w:ascii="Arial" w:cs="Arial" w:eastAsia="Arial" w:hAnsi="Arial"/>
          <w:sz w:val="17"/>
          <w:szCs w:val="17"/>
          <w:color w:val="auto"/>
        </w:rPr>
        <w:t>With respect to the Common Stock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issuance of the Common Stock has been duly authorized by all necessary corporate action on the part of the Company; (iii) the issuance and sale of the Common Stock do not violate any applicable law, are in conformity with the Company’s then operative certificate of incorporation (the “</w:t>
      </w:r>
      <w:r>
        <w:rPr>
          <w:rFonts w:ascii="Arial" w:cs="Arial" w:eastAsia="Arial" w:hAnsi="Arial"/>
          <w:sz w:val="17"/>
          <w:szCs w:val="17"/>
          <w:b w:val="1"/>
          <w:bCs w:val="1"/>
          <w:i w:val="1"/>
          <w:iCs w:val="1"/>
          <w:color w:val="auto"/>
        </w:rPr>
        <w:t>Certificate of Incorporation</w:t>
      </w:r>
      <w:r>
        <w:rPr>
          <w:rFonts w:ascii="Arial" w:cs="Arial" w:eastAsia="Arial" w:hAnsi="Arial"/>
          <w:sz w:val="17"/>
          <w:szCs w:val="17"/>
          <w:color w:val="auto"/>
        </w:rPr>
        <w:t>”) and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do not result in a default under or breach of any agreement or instrument binding upon the Company and comply with any applicable requirement or restriction imposed by any court or governmental body having jurisdiction over the Company; and (iv) the certificates, if any, for the Common Stock have been duly executed by the Company, countersigned by the transfer agent therefor and duly delivered to the purchasers thereof against payment therefor, then the Common Stock, when issued and sold as contemplated in the Registration Statement, the Base Prospectus and the related Prospectus Supplement(s), and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will be validly issued, fully paid and nonassessable.</w:t>
      </w:r>
    </w:p>
    <w:p>
      <w:pPr>
        <w:spacing w:after="0" w:line="178" w:lineRule="exact"/>
        <w:rPr>
          <w:rFonts w:ascii="Arial" w:cs="Arial" w:eastAsia="Arial" w:hAnsi="Arial"/>
          <w:sz w:val="17"/>
          <w:szCs w:val="17"/>
          <w:b w:val="1"/>
          <w:bCs w:val="1"/>
          <w:color w:val="auto"/>
        </w:rPr>
      </w:pPr>
    </w:p>
    <w:p>
      <w:pPr>
        <w:jc w:val="both"/>
        <w:ind w:firstLine="8"/>
        <w:spacing w:after="0" w:line="287" w:lineRule="auto"/>
        <w:tabs>
          <w:tab w:leader="none" w:pos="451"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With respect to the Preferred Stock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terms and issuance of the Preferred Stock have been duly authorized by all necessary corporate action on the part of the Company; (iii) the terms of the shares of Preferred Stock and their issuance and sale do not violate any applicable law, are in conformity with the Certificate of Incorporation and the Bylaws, do not result in a default under or breach of any agreement or instrument binding upon the Company and comply with any applicable requirement or restriction imposed by any court or governmental body having jurisdiction over the Company; and (iv) the certificates, if any, for the Preferred Stock have been duly executed by the Company, countersigned by the transfer agent therefor and duly delivered to the purchasers thereof against payment therefor, then the Preferred Stock, when issued and sold as contemplated in the Registration Statement, the Base Prospectus and the related Prospectus Supplement(s) and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Cooley LLP 3175 Hanover Street Palo Alto, CA 94304-1130</w:t>
      </w:r>
    </w:p>
    <w:p>
      <w:pPr>
        <w:jc w:val="center"/>
        <w:spacing w:after="0"/>
        <w:rPr>
          <w:sz w:val="20"/>
          <w:szCs w:val="20"/>
          <w:color w:val="auto"/>
        </w:rPr>
      </w:pPr>
      <w:r>
        <w:rPr>
          <w:rFonts w:ascii="Arial" w:cs="Arial" w:eastAsia="Arial" w:hAnsi="Arial"/>
          <w:sz w:val="13"/>
          <w:szCs w:val="13"/>
          <w:color w:val="auto"/>
        </w:rPr>
        <w:t>t: (650) 843-5000 f: (650) 849-7400 cooley.com</w:t>
      </w:r>
    </w:p>
    <w:p>
      <w:pPr>
        <w:sectPr>
          <w:pgSz w:w="11900" w:h="16838" w:orient="portrait"/>
          <w:cols w:equalWidth="0" w:num="1">
            <w:col w:w="11240"/>
          </w:cols>
          <w:pgMar w:left="320" w:top="773" w:right="339" w:bottom="1440" w:gutter="0" w:footer="0" w:header="0"/>
        </w:sectPr>
      </w:pPr>
    </w:p>
    <w:bookmarkStart w:id="37" w:name="page38"/>
    <w:bookmarkEnd w:id="37"/>
    <w:p>
      <w:pPr>
        <w:jc w:val="both"/>
        <w:ind w:firstLine="8"/>
        <w:spacing w:after="0" w:line="268" w:lineRule="auto"/>
        <w:tabs>
          <w:tab w:leader="none" w:pos="470" w:val="left"/>
        </w:tabs>
        <w:numPr>
          <w:ilvl w:val="0"/>
          <w:numId w:val="43"/>
        </w:numPr>
        <w:rPr>
          <w:rFonts w:ascii="Arial" w:cs="Arial" w:eastAsia="Arial" w:hAnsi="Arial"/>
          <w:sz w:val="17"/>
          <w:szCs w:val="17"/>
          <w:b w:val="1"/>
          <w:bCs w:val="1"/>
          <w:color w:val="auto"/>
        </w:rPr>
      </w:pPr>
      <w:r>
        <w:rPr>
          <w:rFonts w:ascii="Arial" w:cs="Arial" w:eastAsia="Arial" w:hAnsi="Arial"/>
          <w:sz w:val="17"/>
          <w:szCs w:val="17"/>
          <w:color w:val="auto"/>
        </w:rPr>
        <w:t>With respect to any series of the Debt Securities issued under the Indenture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Indenture has been duly authorized by the Company and the Trustee by all necessary corporate action; (iii) the Indenture in substantially the form filed as an exhibit to the Registration Statement, has been duly executed and delivered by the Company and the Trustee and has been qualified under the Trust Indenture Act of 1939, as amended; (iv) the issuance and terms of the Debt Securities have been duly authorized by the Company by all necessary corporate action; (v)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Bylaws, and so as to comply with any requirement or restriction imposed by any court or governmental body having jurisdiction over the Company; and (vi)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valid and legally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81" w:lineRule="exact"/>
        <w:rPr>
          <w:rFonts w:ascii="Arial" w:cs="Arial" w:eastAsia="Arial" w:hAnsi="Arial"/>
          <w:sz w:val="17"/>
          <w:szCs w:val="17"/>
          <w:b w:val="1"/>
          <w:bCs w:val="1"/>
          <w:color w:val="auto"/>
        </w:rPr>
      </w:pPr>
    </w:p>
    <w:p>
      <w:pPr>
        <w:jc w:val="both"/>
        <w:ind w:firstLine="8"/>
        <w:spacing w:after="0" w:line="286" w:lineRule="auto"/>
        <w:tabs>
          <w:tab w:leader="none" w:pos="426"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t>With respect to the Warrants issued under the Warrant Agreements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applicable Warrant Agreement has been duly authorized by the Company and the Warrant Agent by all necessary corporate action; (iii) the applicable Warrant Agreement has been duly executed and delivered by the Company and the Warrant Agent; (iv) the issuance and terms of the Warrants have been duly authorized by the Company by all necessary corporate action; (v) the terms of the Warrants 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(vi) the Warrants have been duly executed and delivered by the Company and authenticated by the Warrant Agent pursuant to the applicable Warrant Agreement and delivered against payment therefor, then the Warrants, when issued and sold as contemplated in the Registration Statement, the Base Prospectus and the Prospectus Supplement(s) and in accordance with the applicable Warrant Agreement and a duly authorized, executed and delivered purchase, underwriting or similar agreement, will be valid and legally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firm under the caption “Legal Matters” in the Base Prospectus.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opinion set forth above is limited to the matters expressly set forth in this letter, and no opinion is implied or may be inferred beyond the matters expressly stated. This opinion speaks only as to law and facts in effect or existing as of the date hereof, and we undertake no obligation or responsibility to update or supplement this opinion to reflect any facts or circumstances that may hereafter come to our attention or any changes in law that may hereafter occur.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Cooley LLP</w:t>
      </w:r>
    </w:p>
    <w:p>
      <w:pPr>
        <w:spacing w:after="0" w:line="270"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B. Hemington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14605</wp:posOffset>
            </wp:positionV>
            <wp:extent cx="24942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Matthew B. Hemington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Cooley LLP 3175 Hanover Street Palo Alto, CA 94304-1130</w:t>
      </w:r>
    </w:p>
    <w:p>
      <w:pPr>
        <w:jc w:val="center"/>
        <w:spacing w:after="0"/>
        <w:rPr>
          <w:sz w:val="20"/>
          <w:szCs w:val="20"/>
          <w:color w:val="auto"/>
        </w:rPr>
      </w:pPr>
      <w:r>
        <w:rPr>
          <w:rFonts w:ascii="Arial" w:cs="Arial" w:eastAsia="Arial" w:hAnsi="Arial"/>
          <w:sz w:val="13"/>
          <w:szCs w:val="13"/>
          <w:color w:val="auto"/>
        </w:rPr>
        <w:t>t: (650) 843-5000 f: (650) 849-7400 cooley.com</w:t>
      </w:r>
    </w:p>
    <w:p>
      <w:pPr>
        <w:sectPr>
          <w:pgSz w:w="11900" w:h="16838" w:orient="portrait"/>
          <w:cols w:equalWidth="0" w:num="1">
            <w:col w:w="11240"/>
          </w:cols>
          <w:pgMar w:left="320" w:top="773"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S-3 of SI-BONE, Inc. of our report dated March 10, 2021, relating to the financial statements, which appears in SI-BONE, Inc.'s Annual Report on Form 10-K for the year ended December 31, 2020. We also consent to the reference to us under the heading “Experts” in such Registration Statement.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12, 2021</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decimal"/>
      <w:start w:val="408"/>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lvl w:ilvl="1">
      <w:lvlJc w:val="left"/>
      <w:lvlText w:val="(%2)"/>
      <w:numFmt w:val="lowerRoman"/>
      <w:start w:val="1"/>
    </w:lvl>
  </w:abstractNum>
  <w:abstractNum w:abstractNumId="36">
    <w:nsid w:val="2D517796"/>
    <w:multiLevelType w:val="hybridMultilevel"/>
    <w:lvl w:ilvl="0">
      <w:lvlJc w:val="left"/>
      <w:lvlText w:val="(%1)"/>
      <w:numFmt w:val="lowerRoman"/>
      <w:start w:val="3"/>
    </w:lvl>
  </w:abstractNum>
  <w:abstractNum w:abstractNumId="37">
    <w:nsid w:val="580BD78F"/>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1"/>
    </w:lvl>
  </w:abstractNum>
  <w:abstractNum w:abstractNumId="38">
    <w:nsid w:val="153EA438"/>
    <w:multiLevelType w:val="hybridMultilevel"/>
    <w:lvl w:ilvl="0">
      <w:lvlJc w:val="left"/>
      <w:lvlText w:val="(%1)"/>
      <w:numFmt w:val="decimal"/>
      <w:start w:val="6"/>
    </w:lvl>
  </w:abstractNum>
  <w:abstractNum w:abstractNumId="39">
    <w:nsid w:val="3855585C"/>
    <w:multiLevelType w:val="hybridMultilevel"/>
    <w:lvl w:ilvl="0">
      <w:lvlJc w:val="left"/>
      <w:lvlText w:val="%1:"/>
      <w:numFmt w:val="upperLetter"/>
      <w:start w:val="20"/>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jpeg"/><Relationship Id="rId46" Type="http://schemas.openxmlformats.org/officeDocument/2006/relationships/image" Target="media/image28.png"/><Relationship Id="rId23" Type="http://schemas.openxmlformats.org/officeDocument/2006/relationships/hyperlink" Target="http://www.sec.gov/Archives/edgar/data/1459839/000145983921000012/0001459839-21-000012-index.htm" TargetMode="External"/><Relationship Id="rId24" Type="http://schemas.openxmlformats.org/officeDocument/2006/relationships/hyperlink" Target="http://www.sec.gov/ix?doc=/Archives/edgar/data/1459839/000145983921000003/sibn-20210105.htm" TargetMode="External"/><Relationship Id="rId25" Type="http://schemas.openxmlformats.org/officeDocument/2006/relationships/hyperlink" Target="http://www.sec.gov/Archives/edgar/data/1459839/000145983921000009/0001459839-21-000009-index.htm" TargetMode="External"/><Relationship Id="rId26" Type="http://schemas.openxmlformats.org/officeDocument/2006/relationships/hyperlink" Target="http://www.sec.gov/Archives/edgar/data/1459839/000119312518297571/d486750d8a12b.htm" TargetMode="External"/><Relationship Id="rId27" Type="http://schemas.openxmlformats.org/officeDocument/2006/relationships/hyperlink" Target="http://www.sec.gov/Archives/edgar/data/1459839/000119312518303020/d641574dex31.htm" TargetMode="External"/><Relationship Id="rId28" Type="http://schemas.openxmlformats.org/officeDocument/2006/relationships/hyperlink" Target="http://www.sec.gov/Archives/edgar/data/1459839/000119312518293978/d452987dex34.htm" TargetMode="External"/><Relationship Id="rId29" Type="http://schemas.openxmlformats.org/officeDocument/2006/relationships/hyperlink" Target="http://www.sec.gov/Archives/edgar/data/1459839/000119312518293978/d452987dex41.htm" TargetMode="External"/><Relationship Id="rId30" Type="http://schemas.openxmlformats.org/officeDocument/2006/relationships/hyperlink" Target="http://www.sec.gov/Archives/edgar/data/1459839/000145983919000048/exhibit44formofdebtindentu.htm" TargetMode="External"/><Relationship Id="rId31" Type="http://schemas.openxmlformats.org/officeDocument/2006/relationships/hyperlink" Target="http://www.sec.gov/Archives/edgar/data/1459839/000145983919000048/exhibit46formofcommonstock.htm" TargetMode="External"/><Relationship Id="rId32" Type="http://schemas.openxmlformats.org/officeDocument/2006/relationships/hyperlink" Target="http://www.sec.gov/Archives/edgar/data/1459839/000145983919000048/exhibit47formofpreferredst.htm" TargetMode="External"/><Relationship Id="rId33" Type="http://schemas.openxmlformats.org/officeDocument/2006/relationships/hyperlink" Target="http://www.sec.gov/Archives/edgar/data/1459839/000145983919000048/exhibit48formofdebtsecur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2021-03-12T15:23:21Z</dcterms:created>
  <dcterms:modified xsi:type="dcterms:W3CDTF">2021-03-12T15:23:21Z</dcterms:modified>
</cp:coreProperties>
</file>