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139700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rPr>
          <w:sz w:val="20"/>
          <w:szCs w:val="20"/>
          <w:color w:val="auto"/>
        </w:rPr>
      </w:pPr>
      <w:r>
        <w:rPr>
          <w:rFonts w:ascii="Arial" w:cs="Arial" w:eastAsia="Arial" w:hAnsi="Arial"/>
          <w:sz w:val="18"/>
          <w:szCs w:val="18"/>
          <w:color w:val="auto"/>
        </w:rPr>
        <w:t>Santa Clara, California 95050</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April 14, 2023</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Email and Edgar</w:t>
      </w:r>
    </w:p>
    <w:p>
      <w:pPr>
        <w:spacing w:after="0" w:line="234"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Mail Stop 3720</w:t>
      </w:r>
    </w:p>
    <w:p>
      <w:pPr>
        <w:spacing w:after="0" w:line="235"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Attn: Michael Fay or Brian Cascio, Accounting Branch Chief</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SI-BONE, Inc.</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234" w:lineRule="auto"/>
        <w:rPr>
          <w:sz w:val="20"/>
          <w:szCs w:val="20"/>
          <w:color w:val="auto"/>
        </w:rPr>
      </w:pPr>
      <w:r>
        <w:rPr>
          <w:rFonts w:ascii="Arial" w:cs="Arial" w:eastAsia="Arial" w:hAnsi="Arial"/>
          <w:sz w:val="18"/>
          <w:szCs w:val="18"/>
          <w:b w:val="1"/>
          <w:bCs w:val="1"/>
          <w:color w:val="auto"/>
        </w:rPr>
        <w:t>Filed March 2, 2023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001-38701</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5"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 xml:space="preserve">SI-BONE, Inc. (the “ </w:t>
      </w:r>
      <w:r>
        <w:rPr>
          <w:rFonts w:ascii="Arial" w:cs="Arial" w:eastAsia="Arial" w:hAnsi="Arial"/>
          <w:sz w:val="18"/>
          <w:szCs w:val="18"/>
          <w:b w:val="1"/>
          <w:bCs w:val="1"/>
          <w:color w:val="auto"/>
        </w:rPr>
        <w:t>Company</w:t>
      </w:r>
      <w:r>
        <w:rPr>
          <w:rFonts w:ascii="Arial" w:cs="Arial" w:eastAsia="Arial" w:hAnsi="Arial"/>
          <w:sz w:val="18"/>
          <w:szCs w:val="18"/>
          <w:color w:val="auto"/>
        </w:rPr>
        <w:t>”) is hereby responding to the letter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xml:space="preserve"> ”)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to the Company dated March 31, 2023 regarding its Form 10-K for the Fiscal Year Ended December 31, 2022 filed on March 2, 2023 (the “</w:t>
      </w:r>
      <w:r>
        <w:rPr>
          <w:rFonts w:ascii="Arial" w:cs="Arial" w:eastAsia="Arial" w:hAnsi="Arial"/>
          <w:sz w:val="18"/>
          <w:szCs w:val="18"/>
          <w:b w:val="1"/>
          <w:bCs w:val="1"/>
          <w:color w:val="auto"/>
        </w:rPr>
        <w:t>Comment Letter</w:t>
      </w:r>
      <w:r>
        <w:rPr>
          <w:rFonts w:ascii="Arial" w:cs="Arial" w:eastAsia="Arial" w:hAnsi="Arial"/>
          <w:sz w:val="18"/>
          <w:szCs w:val="18"/>
          <w:color w:val="auto"/>
        </w:rPr>
        <w:t>”). Set forth below are the Staff’s comments (in bold italics) and the Company’s responses thereto following the order in the Comment Letter.</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rPr>
          <w:sz w:val="20"/>
          <w:szCs w:val="20"/>
          <w:color w:val="auto"/>
        </w:rPr>
      </w:pPr>
      <w:r>
        <w:rPr>
          <w:rFonts w:ascii="Arial" w:cs="Arial" w:eastAsia="Arial" w:hAnsi="Arial"/>
          <w:sz w:val="18"/>
          <w:szCs w:val="18"/>
          <w:b w:val="1"/>
          <w:bCs w:val="1"/>
          <w:color w:val="auto"/>
        </w:rPr>
        <w:t>Property and Equipment, net, page 88</w:t>
      </w:r>
    </w:p>
    <w:p>
      <w:pPr>
        <w:spacing w:after="0" w:line="223"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note references throughout your filing to instruments used by surgeons to implant your products. Please address the following as it relates to these instruments: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1. Describe to us your full accounting for these instruments including initial recognition, replacement, impairment, etc.;</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The Company’s surgical instruments facilitate access to the sacropelvic anatomy and implantation of the Company’s products by the operating surgeon. A standardized selection of individual instruments is combined to create an instrument tray according to the tray’s bill of materials. The Company purchases its instruments from third-party contract manufacturers based on proprietary designs provided by the Company. The Company first records all the costs incurred to bring the individual instruments to the condition and location required for the instruments to operate as intended to the Construction In Progress (“</w:t>
      </w:r>
      <w:r>
        <w:rPr>
          <w:rFonts w:ascii="Arial" w:cs="Arial" w:eastAsia="Arial" w:hAnsi="Arial"/>
          <w:sz w:val="17"/>
          <w:szCs w:val="17"/>
          <w:b w:val="1"/>
          <w:bCs w:val="1"/>
          <w:color w:val="auto"/>
        </w:rPr>
        <w:t>CIP</w:t>
      </w:r>
      <w:r>
        <w:rPr>
          <w:rFonts w:ascii="Arial" w:cs="Arial" w:eastAsia="Arial" w:hAnsi="Arial"/>
          <w:sz w:val="17"/>
          <w:szCs w:val="17"/>
          <w:color w:val="auto"/>
        </w:rPr>
        <w:t>”) account based on the purchase cost from the third-party suppliers. The Company deploys instrument trays to its employed sales representatives or independent sales agents who are contractors and under the direction of the Company (“</w:t>
      </w:r>
      <w:r>
        <w:rPr>
          <w:rFonts w:ascii="Arial" w:cs="Arial" w:eastAsia="Arial" w:hAnsi="Arial"/>
          <w:sz w:val="17"/>
          <w:szCs w:val="17"/>
          <w:b w:val="1"/>
          <w:bCs w:val="1"/>
          <w:color w:val="auto"/>
        </w:rPr>
        <w:t>Sales Representatives</w:t>
      </w:r>
      <w:r>
        <w:rPr>
          <w:rFonts w:ascii="Arial" w:cs="Arial" w:eastAsia="Arial" w:hAnsi="Arial"/>
          <w:sz w:val="17"/>
          <w:szCs w:val="17"/>
          <w:color w:val="auto"/>
        </w:rPr>
        <w:t>”) in order for them to furnish the instruments to the surgeon at the place and time of the surgical procedure. The Company’s general practice is to have its Sales Representative present at customer facilities during surgical procedures to provide verbal technical assistance in the use of the Company’s products and to furnish the instrument trays for the surgeon’s use.</w:t>
      </w:r>
    </w:p>
    <w:p>
      <w:pPr>
        <w:spacing w:after="0" w:line="212"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The Company considers the instrument tray to be placed into service upon the first time it is sent to its Sales Representative or in limited circumstances, a customer facility for the attention and control of a Sales</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43" w:lineRule="auto"/>
        <w:rPr>
          <w:sz w:val="20"/>
          <w:szCs w:val="20"/>
          <w:color w:val="auto"/>
        </w:rPr>
      </w:pPr>
      <w:r>
        <w:rPr>
          <w:rFonts w:ascii="Arial" w:cs="Arial" w:eastAsia="Arial" w:hAnsi="Arial"/>
          <w:sz w:val="18"/>
          <w:szCs w:val="18"/>
          <w:color w:val="auto"/>
        </w:rPr>
        <w:t>Representative, for prospective use in surgery. When an instrument tray is placed into service, the Company reclassifies the underlying asset from the CIP account to the Machinery and Equipment account within property and equipment and commences depreciation. The Company accounts for the instruments as property and equipment on its balance sheet because it possesses the instruments and generally does not sell them. Additionally, instrument trays can be re-used in multiple surgeries by multiple different customers over several years.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an instrument tray requires replacement, the Company sends out a replacement instrument tray to the Sales Representative and it is accounted for as a new instrument tray placed into service for the first time.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reviews instrument trays as an asset group for impairment on an annual basis or whenever the condition of the instrument tray indicates that the carrying amount of the asset may not be recoverable. When impairment is identified, the net book value is removed from the consolidated balance sheet and a corresponding loss on the disposal is recognized as a component of the cost of goods sold in the consolidated statements of operations and comprehensive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Tell us how you have considered the guidance in ASC 842;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considered the guidance under ASC 842 and determined that the furnishing of the instrument tray to the customer during the period of the surgery creates an embedded operating lease. However, the Company determined that the overall arrangement is accounted for as a revenue contract with the customer under standard ASC 606.</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general, there is no separate contractual agreement with the Company’s customers that creates rights and obligations other than the Purchase Order for the implants consumed in each surgery. The Company receives payment for only the implant used during the surgery and does not receive additional or separate consideration for the use of the instrument tray. The Company has its Sales Representative present at customer facilities during each surgical procedure. However, based on the surgeon’s ability to make decisions about how and when the instrument trays are used during the surgical procedures, the Company assessed the lease classification using the criteria outlined in ASC 842-10-25-2 and ASC 842-10-25-3, and determined</w:t>
      </w:r>
    </w:p>
    <w:p>
      <w:pPr>
        <w:spacing w:after="0" w:line="17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Ownership of the instruments does not transfer to the customers.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purchase option for the instrument trays.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instrument tray is utilized by the surgeon only during the surgery time which is deemed a de minimis portion of the economic life of the instrument.</w:t>
      </w:r>
    </w:p>
    <w:p>
      <w:pPr>
        <w:spacing w:after="0" w:line="1"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instrument trays are distinctly designed by the Company solely for use with the Company’s implants and can be re-used in multiple surgeries by multiple different customers over several years.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Based on the assessment above, the Company determined that the stand-alone lease component would be classified as an operating lease if accounted for separately. However, the Company determined that the non-lease component is qualitatively predominant per ASC 842-10-15-42A because the customer is reasonably expected to ascribe more value to the non-lease component(s) - in this case the implants used during surgery – than to the instrument trays used to facilitate access and implantation of the Company’s products during surgery. As such, the Company elected the practical expedient for lessors described in ASC 842-10-15-42A to not separate the lease and non-lease components. The Company believes this arrangement qualifies for use of the practical expedient because the timing and pattern of transfer for the non-lease component and the associated lease component are the same and the stand-alone lease component(s) would be classified as an operating lease if accounted for separately. Therefore, the overall arrangement is accounted for as a revenue contract with a customer under ASC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Describe to us where these instruments are physically located, and how they are physically tracked;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individual instruments and instrument trays that have yet to be sent to Sales Representatives or customer facilities, or have previously been returned, are maintained in the Company's building in Santa Clara, CA. They are tracked by item and lot numbers and are subject to regular cycle counting. The instrument trays that are sent to the</w:t>
      </w:r>
    </w:p>
    <w:p>
      <w:pPr>
        <w:sectPr>
          <w:pgSz w:w="11900" w:h="16838" w:orient="portrait"/>
          <w:cols w:equalWidth="0" w:num="1">
            <w:col w:w="11240"/>
          </w:cols>
          <w:pgMar w:left="320" w:top="1408" w:right="339" w:bottom="1440" w:gutter="0" w:footer="0" w:header="0"/>
        </w:sectPr>
      </w:pPr>
    </w:p>
    <w:bookmarkStart w:id="2" w:name="page3"/>
    <w:bookmarkEnd w:id="2"/>
    <w:p>
      <w:pPr>
        <w:jc w:val="both"/>
        <w:spacing w:after="0" w:line="248" w:lineRule="auto"/>
        <w:rPr>
          <w:sz w:val="20"/>
          <w:szCs w:val="20"/>
          <w:color w:val="auto"/>
        </w:rPr>
      </w:pPr>
      <w:r>
        <w:rPr>
          <w:rFonts w:ascii="Arial" w:cs="Arial" w:eastAsia="Arial" w:hAnsi="Arial"/>
          <w:sz w:val="18"/>
          <w:szCs w:val="18"/>
          <w:color w:val="auto"/>
        </w:rPr>
        <w:t>Sales Representatives or customer facilities have asset tags attached or are laser-marked with an asset number. Each Sales Representative and customer facility is given a unique location identifier in the Company’s ERP system; therefore, if the instrument tray is physically moved from one Sales Representative to another Sales Representative, the Company reflects the move in its ERP system.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Tell us the amounts and classifications of the different types of instruments that are recorded on your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being placed in service, individual instruments are recorded in the CIP account within property and equipment. As of December 31, 2022, this amounted to $5.0 million. After being placed into service, instrument trays are transferred from CIP to Machinery and Equipment within property and equipment. As of December 31, 2022, this amounted to a gross value $12.9 million and net value of $5.8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Describe to us any contracts between you and the doctors and hospitals regarding these instruments;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mentioned in response #2, in general, for the Company’s arrangements with its customers, there is no separate contractual agreement providing for the use of the Company’s instrument trays. The instruments are furnished by the Sales Representative to the facility shortly before the procedure for sterilization and are received back by the Sales Representative shortly after their use and re-sterilization. The customer facility provides the Company with a purchase order for the implants consumed in each completed surgery, and the Company’s general terms of sale include, but are not limited to, (i) the Company’s standard payment terms for the price of the implants, (ii) inclusion of the right to use of the instrument trays with the purchase of the implants, and (iii) limitation of use of the instrument trays to procedures involving the Company’s implants.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 limited basis, the Company enters into consignment agreements with customer facilities for its instrument trays, pursuant to which the Company consigns the instrument trays and/or implants to the facility for use prospectively in future procedures. The Company maintains title to the instruments, and there is no purchase obligation or any minimum purchase commitments for the customer facility. In addition to the fact that the Company’s instrument trays are physically compatible only with its proprietary implants, the use of instrument trays consigned to a facility is strictly limited to procedures involving the Company’s implants. Instrument trays consigned to facilities are replaced as needed by the Company. As of December 31, 2022, the Company’s consigned instrument trays amounted to $0.3 million which is considered immaterial.</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6. Describe to us the circumstances regarding the loss on sale and disposal of property and equipment referred to in your statements of cash flows;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loss on sale and disposal of property and equipment line item disclosed in the statement of cash flows of $0.15 million reflects the disposal of property and equipment when it is determined to be no longer usable or is lost. This includes the impairment or disposal of instrument trays and individual replacement instruments within an instrument tray. When an impairment or disposal occurs, the net book value is removed from the consolidated balance sheet and a corresponding loss on the disposal is recognized as a component of cost of goods sold in the consolidated statements of operations and comprehensive loss.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Revise MD&amp;A in future filings to include insight and analysis regarding your future cash investment in instruments;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acknowledges the Staff’s comment and confirms that is will include insight and analysis regarding the Company’s cash investment in instruments in future filings.</w:t>
      </w:r>
    </w:p>
    <w:p>
      <w:pPr>
        <w:spacing w:after="0" w:line="198" w:lineRule="exact"/>
        <w:rPr>
          <w:sz w:val="20"/>
          <w:szCs w:val="20"/>
          <w:color w:val="auto"/>
        </w:rPr>
      </w:pPr>
    </w:p>
    <w:p>
      <w:pPr>
        <w:ind w:firstLine="8"/>
        <w:spacing w:after="0" w:line="261" w:lineRule="auto"/>
        <w:tabs>
          <w:tab w:leader="none" w:pos="197"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future filings, provide an accounting policy related to these instruments in the notes to your financial statements. Please provide us with your proposed policy.</w:t>
      </w:r>
    </w:p>
    <w:p>
      <w:pPr>
        <w:sectPr>
          <w:pgSz w:w="11900" w:h="16838" w:orient="portrait"/>
          <w:cols w:equalWidth="0" w:num="1">
            <w:col w:w="11240"/>
          </w:cols>
          <w:pgMar w:left="320" w:top="1408" w:right="339" w:bottom="1440" w:gutter="0" w:footer="0" w:header="0"/>
        </w:sectPr>
      </w:pPr>
    </w:p>
    <w:bookmarkStart w:id="3" w:name="page4"/>
    <w:bookmarkEnd w:id="3"/>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acknowledges the Staff’s comment and confirms that it will provide an accounting policy related to the instruments in the notes to its financial statements. Specifically, the Company intends to add the underlined sections to its existing property and equipment and revenue paragraphs within the “Summary of Significant Accounting Policies” footnote to further clarify its accounting policies: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and Equipment</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Construction in progress includes assets that have not yet been placed into service including the cost of individual components of an instrument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tray. Once an instrument tray is placed into service, the Company transfers its carrying value into machinery and equipment and begins depreciating the cost of the instrument tray over its useful life</w:t>
      </w:r>
      <w:r>
        <w:rPr>
          <w:rFonts w:ascii="Arial" w:cs="Arial" w:eastAsia="Arial" w:hAnsi="Arial"/>
          <w:sz w:val="16"/>
          <w:szCs w:val="16"/>
          <w:color w:val="auto"/>
        </w:rPr>
        <w:t>. Leasehold improvements are amortized over the lesser of their useful lives or the life of the lease. 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“The Company’s revenue is derived from the sale of its products to medical groups and hospitals through its direct sales force and distributors throughout the U.S. and Europe. </w:t>
      </w:r>
      <w:r>
        <w:rPr>
          <w:rFonts w:ascii="Arial" w:cs="Arial" w:eastAsia="Arial" w:hAnsi="Arial"/>
          <w:sz w:val="16"/>
          <w:szCs w:val="16"/>
          <w:u w:val="single" w:color="auto"/>
          <w:color w:val="auto"/>
        </w:rPr>
        <w:t>The Company receives payment for its implants consumed during the surgery and does not receive additional or separate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consideration for the use of the instrument tray furnished by the Company for the surgeon’s use. The Company identifies the instrument trays as a </w:t>
      </w:r>
      <w:r>
        <w:rPr>
          <w:rFonts w:ascii="Arial" w:cs="Arial" w:eastAsia="Arial" w:hAnsi="Arial"/>
          <w:sz w:val="16"/>
          <w:szCs w:val="16"/>
          <w:u w:val="single" w:color="auto"/>
          <w:color w:val="auto"/>
          <w:highlight w:val="white"/>
        </w:rPr>
        <w:t>lease</w:t>
      </w:r>
      <w:r>
        <w:rPr>
          <w:rFonts w:ascii="Arial" w:cs="Arial" w:eastAsia="Arial" w:hAnsi="Arial"/>
          <w:sz w:val="16"/>
          <w:szCs w:val="16"/>
          <w:u w:val="single" w:color="auto"/>
          <w:color w:val="auto"/>
        </w:rPr>
        <w:t xml:space="preserve"> component</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implants as a</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non-lease component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its</w:t>
      </w:r>
      <w:r>
        <w:rPr>
          <w:rFonts w:ascii="Arial" w:cs="Arial" w:eastAsia="Arial" w:hAnsi="Arial"/>
          <w:sz w:val="16"/>
          <w:szCs w:val="16"/>
          <w:color w:val="auto"/>
        </w:rPr>
        <w:t xml:space="preserve"> </w:t>
      </w:r>
      <w:r>
        <w:rPr>
          <w:rFonts w:ascii="Arial" w:cs="Arial" w:eastAsia="Arial" w:hAnsi="Arial"/>
          <w:sz w:val="16"/>
          <w:szCs w:val="16"/>
          <w:color w:val="auto"/>
          <w:highlight w:val="white"/>
        </w:rPr>
        <w:t>arrangements</w:t>
      </w:r>
      <w:r>
        <w:rPr>
          <w:rFonts w:ascii="Arial" w:cs="Arial" w:eastAsia="Arial" w:hAnsi="Arial"/>
          <w:sz w:val="16"/>
          <w:szCs w:val="16"/>
          <w:color w:val="auto"/>
        </w:rPr>
        <w:t xml:space="preserve"> with its customers. The Company determines that the non-lease component is </w:t>
      </w:r>
      <w:r>
        <w:rPr>
          <w:rFonts w:ascii="Arial" w:cs="Arial" w:eastAsia="Arial" w:hAnsi="Arial"/>
          <w:sz w:val="16"/>
          <w:szCs w:val="16"/>
          <w:u w:val="single" w:color="auto"/>
          <w:color w:val="auto"/>
        </w:rPr>
        <w:t>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-408940</wp:posOffset>
            </wp:positionV>
            <wp:extent cx="430974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09745" cy="12890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or comments, please do contact me at any time. Thank you for your time in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Anshul Maheshwari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2023-06-05T23:11:31Z</dcterms:created>
  <dcterms:modified xsi:type="dcterms:W3CDTF">2023-06-05T23:11:31Z</dcterms:modified>
</cp:coreProperties>
</file>