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00"/>
        <w:spacing w:after="0"/>
        <w:rPr>
          <w:sz w:val="20"/>
          <w:szCs w:val="20"/>
          <w:color w:val="auto"/>
        </w:rPr>
      </w:pPr>
      <w:r>
        <w:rPr>
          <w:rFonts w:ascii="Arial" w:cs="Arial" w:eastAsia="Arial" w:hAnsi="Arial"/>
          <w:sz w:val="21"/>
          <w:szCs w:val="21"/>
          <w:b w:val="1"/>
          <w:bCs w:val="1"/>
          <w:color w:val="auto"/>
        </w:rPr>
        <w:t>UNITED STATES</w:t>
      </w:r>
    </w:p>
    <w:p>
      <w:pPr>
        <w:spacing w:after="0" w:line="91" w:lineRule="exact"/>
        <w:rPr>
          <w:sz w:val="24"/>
          <w:szCs w:val="24"/>
          <w:color w:val="auto"/>
        </w:rPr>
      </w:pPr>
    </w:p>
    <w:p>
      <w:pPr>
        <w:ind w:left="3340"/>
        <w:spacing w:after="0"/>
        <w:rPr>
          <w:sz w:val="20"/>
          <w:szCs w:val="20"/>
          <w:color w:val="auto"/>
        </w:rPr>
      </w:pPr>
      <w:r>
        <w:rPr>
          <w:rFonts w:ascii="Arial" w:cs="Arial" w:eastAsia="Arial" w:hAnsi="Arial"/>
          <w:sz w:val="21"/>
          <w:szCs w:val="21"/>
          <w:b w:val="1"/>
          <w:bCs w:val="1"/>
          <w:color w:val="auto"/>
        </w:rPr>
        <w:t>SECURITIES AND EXCHANGE COMMISSION</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2582545</wp:posOffset>
            </wp:positionH>
            <wp:positionV relativeFrom="paragraph">
              <wp:posOffset>43180</wp:posOffset>
            </wp:positionV>
            <wp:extent cx="19862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6280" cy="17145"/>
                    </a:xfrm>
                    <a:prstGeom prst="rect">
                      <a:avLst/>
                    </a:prstGeom>
                    <a:noFill/>
                  </pic:spPr>
                </pic:pic>
              </a:graphicData>
            </a:graphic>
          </wp:anchor>
        </w:drawing>
      </w:r>
    </w:p>
    <w:p>
      <w:pPr>
        <w:spacing w:after="0" w:line="38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2582545</wp:posOffset>
            </wp:positionH>
            <wp:positionV relativeFrom="paragraph">
              <wp:posOffset>127635</wp:posOffset>
            </wp:positionV>
            <wp:extent cx="19862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6280" cy="1714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(Mark one)</w:t>
      </w:r>
    </w:p>
    <w:p>
      <w:pPr>
        <w:spacing w:after="0" w:line="30" w:lineRule="exact"/>
        <w:rPr>
          <w:sz w:val="24"/>
          <w:szCs w:val="24"/>
          <w:color w:val="auto"/>
        </w:rPr>
      </w:pPr>
    </w:p>
    <w:p>
      <w:pPr>
        <w:ind w:left="1660" w:hanging="200"/>
        <w:spacing w:after="0"/>
        <w:tabs>
          <w:tab w:leader="none" w:pos="16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4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For the quarterly period ended September 30, 2022</w:t>
      </w: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269" w:lineRule="exact"/>
        <w:rPr>
          <w:sz w:val="24"/>
          <w:szCs w:val="24"/>
          <w:color w:val="auto"/>
        </w:rPr>
      </w:pPr>
    </w:p>
    <w:p>
      <w:pPr>
        <w:ind w:left="1660" w:hanging="206"/>
        <w:spacing w:after="0"/>
        <w:tabs>
          <w:tab w:leader="none" w:pos="16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8" w:lineRule="exact"/>
        <w:rPr>
          <w:rFonts w:ascii="MS PGothic" w:cs="MS PGothic" w:eastAsia="MS PGothic" w:hAnsi="MS PGothic"/>
          <w:sz w:val="18"/>
          <w:szCs w:val="18"/>
          <w:color w:val="auto"/>
        </w:rPr>
      </w:pPr>
    </w:p>
    <w:p>
      <w:pPr>
        <w:ind w:left="3880"/>
        <w:spacing w:after="0"/>
        <w:rPr>
          <w:rFonts w:ascii="MS PGothic" w:cs="MS PGothic" w:eastAsia="MS PGothic" w:hAnsi="MS PGothic"/>
          <w:sz w:val="18"/>
          <w:szCs w:val="18"/>
          <w:color w:val="auto"/>
        </w:rPr>
      </w:pPr>
      <w:r>
        <w:rPr>
          <w:rFonts w:ascii="Arial" w:cs="Arial" w:eastAsia="Arial" w:hAnsi="Arial"/>
          <w:sz w:val="14"/>
          <w:szCs w:val="14"/>
          <w:b w:val="1"/>
          <w:bCs w:val="1"/>
          <w:color w:val="auto"/>
        </w:rPr>
        <w:t>For the transition period from __________ to __________</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001-38701</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SI-BONE, INC.</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2582545</wp:posOffset>
            </wp:positionH>
            <wp:positionV relativeFrom="paragraph">
              <wp:posOffset>86995</wp:posOffset>
            </wp:positionV>
            <wp:extent cx="19862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6280" cy="1714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820" w:type="dxa"/>
            <w:vAlign w:val="bottom"/>
            <w:gridSpan w:val="4"/>
          </w:tcPr>
          <w:p>
            <w:pPr>
              <w:jc w:val="center"/>
              <w:ind w:left="67"/>
              <w:spacing w:after="0"/>
              <w:rPr>
                <w:sz w:val="20"/>
                <w:szCs w:val="20"/>
                <w:color w:val="auto"/>
              </w:rPr>
            </w:pPr>
            <w:r>
              <w:rPr>
                <w:rFonts w:ascii="Arial" w:cs="Arial" w:eastAsia="Arial" w:hAnsi="Arial"/>
                <w:sz w:val="16"/>
                <w:szCs w:val="16"/>
                <w:b w:val="1"/>
                <w:bCs w:val="1"/>
                <w:color w:val="auto"/>
                <w:w w:val="91"/>
              </w:rPr>
              <w:t>Delaware</w:t>
            </w: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40" w:type="dxa"/>
            <w:vAlign w:val="bottom"/>
            <w:gridSpan w:val="2"/>
          </w:tcPr>
          <w:p>
            <w:pPr>
              <w:jc w:val="center"/>
              <w:ind w:left="700"/>
              <w:spacing w:after="0"/>
              <w:rPr>
                <w:sz w:val="20"/>
                <w:szCs w:val="20"/>
                <w:color w:val="auto"/>
              </w:rPr>
            </w:pPr>
            <w:r>
              <w:rPr>
                <w:rFonts w:ascii="Arial" w:cs="Arial" w:eastAsia="Arial" w:hAnsi="Arial"/>
                <w:sz w:val="16"/>
                <w:szCs w:val="16"/>
                <w:b w:val="1"/>
                <w:bCs w:val="1"/>
                <w:color w:val="auto"/>
                <w:w w:val="88"/>
              </w:rPr>
              <w:t>26-2216351</w:t>
            </w:r>
          </w:p>
        </w:tc>
      </w:tr>
      <w:tr>
        <w:trPr>
          <w:trHeight w:val="142"/>
        </w:trPr>
        <w:tc>
          <w:tcPr>
            <w:tcW w:w="4820" w:type="dxa"/>
            <w:vAlign w:val="bottom"/>
            <w:gridSpan w:val="4"/>
          </w:tcPr>
          <w:p>
            <w:pPr>
              <w:jc w:val="center"/>
              <w:ind w:left="67"/>
              <w:spacing w:after="0" w:line="143" w:lineRule="exact"/>
              <w:rPr>
                <w:sz w:val="20"/>
                <w:szCs w:val="20"/>
                <w:color w:val="auto"/>
              </w:rPr>
            </w:pPr>
            <w:r>
              <w:rPr>
                <w:rFonts w:ascii="Arial" w:cs="Arial" w:eastAsia="Arial" w:hAnsi="Arial"/>
                <w:sz w:val="14"/>
                <w:szCs w:val="14"/>
                <w:b w:val="1"/>
                <w:bCs w:val="1"/>
                <w:color w:val="auto"/>
                <w:w w:val="92"/>
              </w:rPr>
              <w:t>(State or Other Jurisdiction of</w:t>
            </w: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jc w:val="center"/>
              <w:ind w:left="609"/>
              <w:spacing w:after="0" w:line="143" w:lineRule="exact"/>
              <w:rPr>
                <w:sz w:val="20"/>
                <w:szCs w:val="20"/>
                <w:color w:val="auto"/>
              </w:rPr>
            </w:pPr>
            <w:r>
              <w:rPr>
                <w:rFonts w:ascii="Arial" w:cs="Arial" w:eastAsia="Arial" w:hAnsi="Arial"/>
                <w:sz w:val="14"/>
                <w:szCs w:val="14"/>
                <w:b w:val="1"/>
                <w:bCs w:val="1"/>
                <w:color w:val="auto"/>
                <w:w w:val="96"/>
              </w:rPr>
              <w:t>(I.R.S. Employer</w:t>
            </w:r>
          </w:p>
        </w:tc>
      </w:tr>
      <w:tr>
        <w:trPr>
          <w:trHeight w:val="184"/>
        </w:trPr>
        <w:tc>
          <w:tcPr>
            <w:tcW w:w="4820" w:type="dxa"/>
            <w:vAlign w:val="bottom"/>
            <w:gridSpan w:val="4"/>
          </w:tcPr>
          <w:p>
            <w:pPr>
              <w:jc w:val="center"/>
              <w:ind w:left="67"/>
              <w:spacing w:after="0"/>
              <w:rPr>
                <w:sz w:val="20"/>
                <w:szCs w:val="20"/>
                <w:color w:val="auto"/>
              </w:rPr>
            </w:pPr>
            <w:r>
              <w:rPr>
                <w:rFonts w:ascii="Arial" w:cs="Arial" w:eastAsia="Arial" w:hAnsi="Arial"/>
                <w:sz w:val="14"/>
                <w:szCs w:val="14"/>
                <w:b w:val="1"/>
                <w:bCs w:val="1"/>
                <w:color w:val="auto"/>
                <w:w w:val="94"/>
              </w:rPr>
              <w:t>Incorporation or Organization)</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Pr>
          <w:p>
            <w:pPr>
              <w:jc w:val="center"/>
              <w:ind w:left="609"/>
              <w:spacing w:after="0"/>
              <w:rPr>
                <w:sz w:val="20"/>
                <w:szCs w:val="20"/>
                <w:color w:val="auto"/>
              </w:rPr>
            </w:pPr>
            <w:r>
              <w:rPr>
                <w:rFonts w:ascii="Arial" w:cs="Arial" w:eastAsia="Arial" w:hAnsi="Arial"/>
                <w:sz w:val="14"/>
                <w:szCs w:val="14"/>
                <w:b w:val="1"/>
                <w:bCs w:val="1"/>
                <w:color w:val="auto"/>
                <w:w w:val="94"/>
              </w:rPr>
              <w:t>Identification Number)</w:t>
            </w:r>
          </w:p>
        </w:tc>
      </w:tr>
      <w:tr>
        <w:trPr>
          <w:trHeight w:val="325"/>
        </w:trPr>
        <w:tc>
          <w:tcPr>
            <w:tcW w:w="4820" w:type="dxa"/>
            <w:vAlign w:val="bottom"/>
            <w:gridSpan w:val="4"/>
          </w:tcPr>
          <w:p>
            <w:pPr>
              <w:jc w:val="center"/>
              <w:ind w:left="67"/>
              <w:spacing w:after="0"/>
              <w:rPr>
                <w:sz w:val="20"/>
                <w:szCs w:val="20"/>
                <w:color w:val="auto"/>
              </w:rPr>
            </w:pPr>
            <w:r>
              <w:rPr>
                <w:rFonts w:ascii="Arial" w:cs="Arial" w:eastAsia="Arial" w:hAnsi="Arial"/>
                <w:sz w:val="16"/>
                <w:szCs w:val="16"/>
                <w:b w:val="1"/>
                <w:bCs w:val="1"/>
                <w:color w:val="auto"/>
                <w:w w:val="92"/>
              </w:rPr>
              <w:t>471 El Camino Real, Suite 101, Santa Clara, California</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40" w:type="dxa"/>
            <w:vAlign w:val="bottom"/>
            <w:gridSpan w:val="2"/>
          </w:tcPr>
          <w:p>
            <w:pPr>
              <w:jc w:val="right"/>
              <w:ind w:right="689"/>
              <w:spacing w:after="0"/>
              <w:rPr>
                <w:sz w:val="20"/>
                <w:szCs w:val="20"/>
                <w:color w:val="auto"/>
              </w:rPr>
            </w:pPr>
            <w:r>
              <w:rPr>
                <w:rFonts w:ascii="Arial" w:cs="Arial" w:eastAsia="Arial" w:hAnsi="Arial"/>
                <w:sz w:val="16"/>
                <w:szCs w:val="16"/>
                <w:b w:val="1"/>
                <w:bCs w:val="1"/>
                <w:color w:val="auto"/>
              </w:rPr>
              <w:t>95050</w:t>
            </w:r>
          </w:p>
        </w:tc>
      </w:tr>
      <w:tr>
        <w:trPr>
          <w:trHeight w:val="184"/>
        </w:trPr>
        <w:tc>
          <w:tcPr>
            <w:tcW w:w="4820" w:type="dxa"/>
            <w:vAlign w:val="bottom"/>
            <w:gridSpan w:val="4"/>
          </w:tcPr>
          <w:p>
            <w:pPr>
              <w:jc w:val="center"/>
              <w:ind w:left="67"/>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Pr>
          <w:p>
            <w:pPr>
              <w:jc w:val="center"/>
              <w:ind w:left="669"/>
              <w:spacing w:after="0"/>
              <w:rPr>
                <w:sz w:val="20"/>
                <w:szCs w:val="20"/>
                <w:color w:val="auto"/>
              </w:rPr>
            </w:pPr>
            <w:r>
              <w:rPr>
                <w:rFonts w:ascii="Arial" w:cs="Arial" w:eastAsia="Arial" w:hAnsi="Arial"/>
                <w:sz w:val="14"/>
                <w:szCs w:val="14"/>
                <w:b w:val="1"/>
                <w:bCs w:val="1"/>
                <w:color w:val="auto"/>
                <w:w w:val="95"/>
              </w:rPr>
              <w:t>(Zip Code)</w:t>
            </w:r>
          </w:p>
        </w:tc>
      </w:tr>
      <w:tr>
        <w:trPr>
          <w:trHeight w:val="319"/>
        </w:trPr>
        <w:tc>
          <w:tcPr>
            <w:tcW w:w="2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540" w:type="dxa"/>
            <w:vAlign w:val="bottom"/>
            <w:gridSpan w:val="7"/>
          </w:tcPr>
          <w:p>
            <w:pPr>
              <w:ind w:left="220"/>
              <w:spacing w:after="0"/>
              <w:rPr>
                <w:sz w:val="20"/>
                <w:szCs w:val="20"/>
                <w:color w:val="auto"/>
              </w:rPr>
            </w:pPr>
            <w:r>
              <w:rPr>
                <w:rFonts w:ascii="Arial" w:cs="Arial" w:eastAsia="Arial" w:hAnsi="Arial"/>
                <w:sz w:val="14"/>
                <w:szCs w:val="14"/>
                <w:b w:val="1"/>
                <w:bCs w:val="1"/>
                <w:color w:val="auto"/>
              </w:rPr>
              <w:t>Registrant's telephone number, including area code</w:t>
            </w:r>
            <w:r>
              <w:rPr>
                <w:rFonts w:ascii="Arial" w:cs="Arial" w:eastAsia="Arial" w:hAnsi="Arial"/>
                <w:sz w:val="14"/>
                <w:szCs w:val="14"/>
                <w:color w:val="auto"/>
              </w:rPr>
              <w:t>:</w:t>
            </w:r>
            <w:r>
              <w:rPr>
                <w:rFonts w:ascii="Arial" w:cs="Arial" w:eastAsia="Arial" w:hAnsi="Arial"/>
                <w:sz w:val="14"/>
                <w:szCs w:val="14"/>
                <w:b w:val="1"/>
                <w:bCs w:val="1"/>
                <w:color w:val="auto"/>
              </w:rPr>
              <w:t xml:space="preserve"> (408) 207-0700</w:t>
            </w:r>
          </w:p>
        </w:tc>
      </w:tr>
      <w:tr>
        <w:trPr>
          <w:trHeight w:val="124"/>
        </w:trPr>
        <w:tc>
          <w:tcPr>
            <w:tcW w:w="2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40" w:type="dxa"/>
            <w:vAlign w:val="bottom"/>
          </w:tcPr>
          <w:p>
            <w:pPr>
              <w:spacing w:after="0"/>
              <w:rPr>
                <w:sz w:val="10"/>
                <w:szCs w:val="10"/>
                <w:color w:val="auto"/>
              </w:rPr>
            </w:pPr>
          </w:p>
        </w:tc>
      </w:tr>
      <w:tr>
        <w:trPr>
          <w:trHeight w:val="348"/>
        </w:trPr>
        <w:tc>
          <w:tcPr>
            <w:tcW w:w="482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91"/>
        </w:trPr>
        <w:tc>
          <w:tcPr>
            <w:tcW w:w="2320" w:type="dxa"/>
            <w:vAlign w:val="bottom"/>
          </w:tcPr>
          <w:p>
            <w:pPr>
              <w:spacing w:after="0"/>
              <w:rPr>
                <w:sz w:val="24"/>
                <w:szCs w:val="24"/>
                <w:color w:val="auto"/>
              </w:rPr>
            </w:pPr>
          </w:p>
        </w:tc>
        <w:tc>
          <w:tcPr>
            <w:tcW w:w="250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87"/>
              </w:rPr>
              <w:t>Title of each class</w:t>
            </w:r>
          </w:p>
        </w:tc>
        <w:tc>
          <w:tcPr>
            <w:tcW w:w="23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Trading Symbol(s)</w:t>
            </w:r>
          </w:p>
        </w:tc>
        <w:tc>
          <w:tcPr>
            <w:tcW w:w="10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2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r>
      <w:tr>
        <w:trPr>
          <w:trHeight w:val="208"/>
        </w:trPr>
        <w:tc>
          <w:tcPr>
            <w:tcW w:w="4820" w:type="dxa"/>
            <w:vAlign w:val="bottom"/>
            <w:gridSpan w:val="4"/>
          </w:tcPr>
          <w:p>
            <w:pPr>
              <w:jc w:val="center"/>
              <w:ind w:left="807"/>
              <w:spacing w:after="0"/>
              <w:rPr>
                <w:sz w:val="20"/>
                <w:szCs w:val="20"/>
                <w:color w:val="auto"/>
              </w:rPr>
            </w:pPr>
            <w:r>
              <w:rPr>
                <w:rFonts w:ascii="Arial" w:cs="Arial" w:eastAsia="Arial" w:hAnsi="Arial"/>
                <w:sz w:val="14"/>
                <w:szCs w:val="14"/>
                <w:color w:val="auto"/>
                <w:w w:val="91"/>
              </w:rPr>
              <w:t>Common Stock, par value $0.0001 per share</w:t>
            </w:r>
          </w:p>
        </w:tc>
        <w:tc>
          <w:tcPr>
            <w:tcW w:w="440" w:type="dxa"/>
            <w:vAlign w:val="bottom"/>
          </w:tcPr>
          <w:p>
            <w:pPr>
              <w:spacing w:after="0"/>
              <w:rPr>
                <w:sz w:val="18"/>
                <w:szCs w:val="18"/>
                <w:color w:val="auto"/>
              </w:rPr>
            </w:pPr>
          </w:p>
        </w:tc>
        <w:tc>
          <w:tcPr>
            <w:tcW w:w="1920" w:type="dxa"/>
            <w:vAlign w:val="bottom"/>
            <w:gridSpan w:val="2"/>
          </w:tcPr>
          <w:p>
            <w:pPr>
              <w:jc w:val="center"/>
              <w:ind w:right="780"/>
              <w:spacing w:after="0"/>
              <w:rPr>
                <w:sz w:val="20"/>
                <w:szCs w:val="20"/>
                <w:color w:val="auto"/>
              </w:rPr>
            </w:pPr>
            <w:r>
              <w:rPr>
                <w:rFonts w:ascii="Arial" w:cs="Arial" w:eastAsia="Arial" w:hAnsi="Arial"/>
                <w:sz w:val="14"/>
                <w:szCs w:val="14"/>
                <w:color w:val="auto"/>
              </w:rPr>
              <w:t>SIBN</w:t>
            </w:r>
          </w:p>
        </w:tc>
        <w:tc>
          <w:tcPr>
            <w:tcW w:w="1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4"/>
                <w:szCs w:val="14"/>
                <w:color w:val="auto"/>
                <w:w w:val="92"/>
              </w:rPr>
              <w:t>The Nasdaq Global Market</w:t>
            </w:r>
          </w:p>
        </w:tc>
      </w:tr>
    </w:tbl>
    <w:p>
      <w:pPr>
        <w:spacing w:after="0" w:line="200" w:lineRule="exact"/>
        <w:rPr>
          <w:sz w:val="24"/>
          <w:szCs w:val="24"/>
          <w:color w:val="auto"/>
        </w:rPr>
      </w:pPr>
    </w:p>
    <w:p>
      <w:pPr>
        <w:spacing w:after="0" w:line="245" w:lineRule="exact"/>
        <w:rPr>
          <w:sz w:val="24"/>
          <w:szCs w:val="24"/>
          <w:color w:val="auto"/>
        </w:rPr>
      </w:pPr>
    </w:p>
    <w:p>
      <w:pPr>
        <w:jc w:val="center"/>
        <w:ind w:left="360"/>
        <w:spacing w:after="0" w:line="30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42" w:lineRule="exact"/>
        <w:rPr>
          <w:sz w:val="24"/>
          <w:szCs w:val="24"/>
          <w:color w:val="auto"/>
        </w:rPr>
      </w:pPr>
    </w:p>
    <w:p>
      <w:pPr>
        <w:jc w:val="center"/>
        <w:ind w:left="380" w:right="80"/>
        <w:spacing w:after="0" w:line="306"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5" w:lineRule="exact"/>
        <w:rPr>
          <w:sz w:val="24"/>
          <w:szCs w:val="24"/>
          <w:color w:val="auto"/>
        </w:rPr>
      </w:pPr>
    </w:p>
    <w:p>
      <w:pPr>
        <w:jc w:val="center"/>
        <w:ind w:left="380" w:right="260"/>
        <w:spacing w:after="0" w:line="32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1720" w:type="dxa"/>
        <w:tblCellMar>
          <w:top w:w="0" w:type="dxa"/>
          <w:left w:w="0" w:type="dxa"/>
          <w:bottom w:w="0" w:type="dxa"/>
          <w:right w:w="0" w:type="dxa"/>
        </w:tblCellMar>
      </w:tblPr>
      <w:tr>
        <w:trPr>
          <w:trHeight w:val="200"/>
        </w:trPr>
        <w:tc>
          <w:tcPr>
            <w:tcW w:w="1740" w:type="dxa"/>
            <w:vAlign w:val="bottom"/>
          </w:tcPr>
          <w:p>
            <w:pPr>
              <w:jc w:val="center"/>
              <w:ind w:right="109"/>
              <w:spacing w:after="0"/>
              <w:rPr>
                <w:sz w:val="20"/>
                <w:szCs w:val="20"/>
                <w:color w:val="auto"/>
              </w:rPr>
            </w:pPr>
            <w:r>
              <w:rPr>
                <w:rFonts w:ascii="Arial" w:cs="Arial" w:eastAsia="Arial" w:hAnsi="Arial"/>
                <w:sz w:val="14"/>
                <w:szCs w:val="14"/>
                <w:color w:val="auto"/>
                <w:w w:val="92"/>
              </w:rPr>
              <w:t>Large accelerated filer</w:t>
            </w:r>
          </w:p>
        </w:tc>
        <w:tc>
          <w:tcPr>
            <w:tcW w:w="7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200" w:type="dxa"/>
            <w:vAlign w:val="bottom"/>
          </w:tcPr>
          <w:p>
            <w:pPr>
              <w:jc w:val="center"/>
              <w:ind w:left="209"/>
              <w:spacing w:after="0"/>
              <w:rPr>
                <w:sz w:val="20"/>
                <w:szCs w:val="20"/>
                <w:color w:val="auto"/>
              </w:rPr>
            </w:pPr>
            <w:r>
              <w:rPr>
                <w:rFonts w:ascii="Arial" w:cs="Arial" w:eastAsia="Arial" w:hAnsi="Arial"/>
                <w:sz w:val="14"/>
                <w:szCs w:val="14"/>
                <w:color w:val="auto"/>
                <w:w w:val="95"/>
              </w:rPr>
              <w:t>Accelerated filer</w:t>
            </w:r>
          </w:p>
        </w:tc>
        <w:tc>
          <w:tcPr>
            <w:tcW w:w="88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tcPr>
          <w:p>
            <w:pPr>
              <w:ind w:left="560"/>
              <w:spacing w:after="0"/>
              <w:rPr>
                <w:sz w:val="20"/>
                <w:szCs w:val="20"/>
                <w:color w:val="auto"/>
              </w:rPr>
            </w:pPr>
            <w:r>
              <w:rPr>
                <w:rFonts w:ascii="Arial" w:cs="Arial" w:eastAsia="Arial" w:hAnsi="Arial"/>
                <w:sz w:val="14"/>
                <w:szCs w:val="14"/>
                <w:color w:val="auto"/>
              </w:rPr>
              <w:t>Non-accelerated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9"/>
        </w:trPr>
        <w:tc>
          <w:tcPr>
            <w:tcW w:w="1740" w:type="dxa"/>
            <w:vAlign w:val="bottom"/>
          </w:tcPr>
          <w:p>
            <w:pPr>
              <w:jc w:val="center"/>
              <w:ind w:right="129"/>
              <w:spacing w:after="0"/>
              <w:rPr>
                <w:sz w:val="20"/>
                <w:szCs w:val="20"/>
                <w:color w:val="auto"/>
              </w:rPr>
            </w:pPr>
            <w:r>
              <w:rPr>
                <w:rFonts w:ascii="Arial" w:cs="Arial" w:eastAsia="Arial" w:hAnsi="Arial"/>
                <w:sz w:val="14"/>
                <w:szCs w:val="14"/>
                <w:color w:val="auto"/>
                <w:w w:val="92"/>
              </w:rPr>
              <w:t>Smaller reporting company</w:t>
            </w:r>
          </w:p>
        </w:tc>
        <w:tc>
          <w:tcPr>
            <w:tcW w:w="7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200" w:type="dxa"/>
            <w:vAlign w:val="bottom"/>
          </w:tcPr>
          <w:p>
            <w:pPr>
              <w:jc w:val="center"/>
              <w:ind w:left="209"/>
              <w:spacing w:after="0"/>
              <w:rPr>
                <w:sz w:val="20"/>
                <w:szCs w:val="20"/>
                <w:color w:val="auto"/>
              </w:rPr>
            </w:pPr>
            <w:r>
              <w:rPr>
                <w:rFonts w:ascii="Arial" w:cs="Arial" w:eastAsia="Arial" w:hAnsi="Arial"/>
                <w:sz w:val="14"/>
                <w:szCs w:val="14"/>
                <w:color w:val="auto"/>
                <w:w w:val="93"/>
              </w:rPr>
              <w:t>Emerging growth company</w:t>
            </w:r>
          </w:p>
        </w:tc>
        <w:tc>
          <w:tcPr>
            <w:tcW w:w="88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tcPr>
          <w:p>
            <w:pPr>
              <w:spacing w:after="0"/>
              <w:rPr>
                <w:sz w:val="22"/>
                <w:szCs w:val="22"/>
                <w:color w:val="auto"/>
              </w:rPr>
            </w:pPr>
          </w:p>
        </w:tc>
        <w:tc>
          <w:tcPr>
            <w:tcW w:w="400" w:type="dxa"/>
            <w:vAlign w:val="bottom"/>
          </w:tcPr>
          <w:p>
            <w:pPr>
              <w:spacing w:after="0"/>
              <w:rPr>
                <w:sz w:val="22"/>
                <w:szCs w:val="22"/>
                <w:color w:val="auto"/>
              </w:rPr>
            </w:pPr>
          </w:p>
        </w:tc>
      </w:tr>
    </w:tbl>
    <w:p>
      <w:pPr>
        <w:spacing w:after="0" w:line="206" w:lineRule="exact"/>
        <w:rPr>
          <w:sz w:val="24"/>
          <w:szCs w:val="24"/>
          <w:color w:val="auto"/>
        </w:rPr>
      </w:pPr>
    </w:p>
    <w:p>
      <w:pPr>
        <w:jc w:val="center"/>
        <w:ind w:left="360" w:right="40"/>
        <w:spacing w:after="0" w:line="18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72" w:lineRule="exact"/>
        <w:rPr>
          <w:sz w:val="24"/>
          <w:szCs w:val="24"/>
          <w:color w:val="auto"/>
        </w:rPr>
      </w:pPr>
    </w:p>
    <w:p>
      <w:pPr>
        <w:jc w:val="center"/>
        <w:ind w:right="-39"/>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The number of shares outstanding of the registrant’s Common Stock was 34,496,345 as of October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480060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937"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5"/>
        </w:trPr>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140" w:type="dxa"/>
            <w:vAlign w:val="bottom"/>
            <w:gridSpan w:val="16"/>
            <w:vMerge w:val="restart"/>
          </w:tcPr>
          <w:p>
            <w:pPr>
              <w:jc w:val="center"/>
              <w:ind w:right="2300"/>
              <w:spacing w:after="0"/>
              <w:rPr>
                <w:sz w:val="20"/>
                <w:szCs w:val="20"/>
                <w:color w:val="auto"/>
              </w:rPr>
            </w:pPr>
            <w:r>
              <w:rPr>
                <w:rFonts w:ascii="Arial" w:cs="Arial" w:eastAsia="Arial" w:hAnsi="Arial"/>
                <w:sz w:val="18"/>
                <w:szCs w:val="18"/>
                <w:b w:val="1"/>
                <w:bCs w:val="1"/>
                <w:color w:val="auto"/>
              </w:rPr>
              <w:t>PART I-FINANCIAL INFORMATION</w:t>
            </w: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140" w:type="dxa"/>
            <w:vAlign w:val="bottom"/>
            <w:gridSpan w:val="16"/>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260" w:type="dxa"/>
            <w:vAlign w:val="bottom"/>
            <w:gridSpan w:val="4"/>
          </w:tcPr>
          <w:p>
            <w:pPr>
              <w:spacing w:after="0" w:line="188" w:lineRule="exact"/>
              <w:rPr>
                <w:sz w:val="20"/>
                <w:szCs w:val="20"/>
                <w:color w:val="auto"/>
              </w:rPr>
            </w:pPr>
            <w:r>
              <w:rPr>
                <w:rFonts w:ascii="Arial" w:cs="Arial" w:eastAsia="Arial" w:hAnsi="Arial"/>
                <w:sz w:val="18"/>
                <w:szCs w:val="18"/>
                <w:color w:val="0000FF"/>
              </w:rPr>
              <w:t>Item 1.</w:t>
            </w:r>
          </w:p>
        </w:tc>
        <w:tc>
          <w:tcPr>
            <w:tcW w:w="9440" w:type="dxa"/>
            <w:vAlign w:val="bottom"/>
            <w:gridSpan w:val="23"/>
          </w:tcPr>
          <w:p>
            <w:pPr>
              <w:spacing w:after="0" w:line="188" w:lineRule="exact"/>
              <w:rPr>
                <w:sz w:val="20"/>
                <w:szCs w:val="20"/>
                <w:color w:val="auto"/>
              </w:rPr>
            </w:pPr>
            <w:r>
              <w:rPr>
                <w:rFonts w:ascii="Arial" w:cs="Arial" w:eastAsia="Arial" w:hAnsi="Arial"/>
                <w:sz w:val="18"/>
                <w:szCs w:val="18"/>
                <w:color w:val="0000FF"/>
              </w:rPr>
              <w:t>Financial Statements</w:t>
            </w:r>
          </w:p>
        </w:tc>
        <w:tc>
          <w:tcPr>
            <w:tcW w:w="520" w:type="dxa"/>
            <w:vAlign w:val="bottom"/>
            <w:gridSpan w:val="4"/>
          </w:tcPr>
          <w:p>
            <w:pPr>
              <w:jc w:val="right"/>
              <w:ind w:right="20"/>
              <w:spacing w:after="0" w:line="188" w:lineRule="exact"/>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20" w:type="dxa"/>
            <w:vAlign w:val="bottom"/>
            <w:gridSpan w:val="22"/>
          </w:tcPr>
          <w:p>
            <w:pPr>
              <w:spacing w:after="0"/>
              <w:rPr>
                <w:sz w:val="20"/>
                <w:szCs w:val="20"/>
                <w:color w:val="auto"/>
              </w:rPr>
            </w:pPr>
            <w:r>
              <w:rPr>
                <w:rFonts w:ascii="Arial" w:cs="Arial" w:eastAsia="Arial" w:hAnsi="Arial"/>
                <w:sz w:val="18"/>
                <w:szCs w:val="18"/>
                <w:color w:val="0000FF"/>
              </w:rPr>
              <w:t>Condensed Consolidated Balance Sheets (Unaudited)</w:t>
            </w: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2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Operations and Comprehensive Loss (Unaudited)</w:t>
            </w: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2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Changes in Stockholders' Equity (Unaudited)</w:t>
            </w: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gridSpan w:val="16"/>
          </w:tcPr>
          <w:p>
            <w:pPr>
              <w:spacing w:after="0"/>
              <w:rPr>
                <w:sz w:val="20"/>
                <w:szCs w:val="20"/>
                <w:color w:val="auto"/>
              </w:rPr>
            </w:pPr>
            <w:r>
              <w:rPr>
                <w:rFonts w:ascii="Arial" w:cs="Arial" w:eastAsia="Arial" w:hAnsi="Arial"/>
                <w:sz w:val="18"/>
                <w:szCs w:val="18"/>
                <w:color w:val="0000FF"/>
                <w:w w:val="99"/>
              </w:rPr>
              <w:t>Condensed Consolidated Statements of Cash Flows (Unaudited)</w:t>
            </w:r>
          </w:p>
        </w:tc>
        <w:tc>
          <w:tcPr>
            <w:tcW w:w="40" w:type="dxa"/>
            <w:vAlign w:val="bottom"/>
          </w:tcPr>
          <w:p>
            <w:pPr>
              <w:spacing w:after="0"/>
              <w:rPr>
                <w:sz w:val="17"/>
                <w:szCs w:val="17"/>
                <w:color w:val="auto"/>
              </w:rPr>
            </w:pPr>
          </w:p>
        </w:tc>
        <w:tc>
          <w:tcPr>
            <w:tcW w:w="860" w:type="dxa"/>
            <w:vAlign w:val="bottom"/>
            <w:gridSpan w:val="3"/>
          </w:tcPr>
          <w:p>
            <w:pPr>
              <w:spacing w:after="0"/>
              <w:rPr>
                <w:sz w:val="17"/>
                <w:szCs w:val="17"/>
                <w:color w:val="auto"/>
              </w:rPr>
            </w:pPr>
          </w:p>
        </w:tc>
        <w:tc>
          <w:tcPr>
            <w:tcW w:w="3060" w:type="dxa"/>
            <w:vAlign w:val="bottom"/>
            <w:gridSpan w:val="2"/>
          </w:tcPr>
          <w:p>
            <w:pPr>
              <w:spacing w:after="0"/>
              <w:rPr>
                <w:sz w:val="17"/>
                <w:szCs w:val="17"/>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20" w:type="dxa"/>
            <w:vAlign w:val="bottom"/>
            <w:gridSpan w:val="22"/>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gridSpan w:val="4"/>
          </w:tcPr>
          <w:p>
            <w:pPr>
              <w:spacing w:after="0"/>
              <w:rPr>
                <w:sz w:val="20"/>
                <w:szCs w:val="20"/>
                <w:color w:val="auto"/>
              </w:rPr>
            </w:pPr>
            <w:r>
              <w:rPr>
                <w:rFonts w:ascii="Arial" w:cs="Arial" w:eastAsia="Arial" w:hAnsi="Arial"/>
                <w:sz w:val="18"/>
                <w:szCs w:val="18"/>
                <w:color w:val="0000FF"/>
              </w:rPr>
              <w:t>Item 2.</w:t>
            </w:r>
          </w:p>
        </w:tc>
        <w:tc>
          <w:tcPr>
            <w:tcW w:w="9440" w:type="dxa"/>
            <w:vAlign w:val="bottom"/>
            <w:gridSpan w:val="2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00" w:type="dxa"/>
            <w:vAlign w:val="bottom"/>
            <w:gridSpan w:val="3"/>
          </w:tcPr>
          <w:p>
            <w:pPr>
              <w:jc w:val="right"/>
              <w:spacing w:after="0"/>
              <w:rPr>
                <w:sz w:val="20"/>
                <w:szCs w:val="20"/>
                <w:color w:val="auto"/>
              </w:rPr>
            </w:pPr>
            <w:r>
              <w:rPr>
                <w:rFonts w:ascii="Arial" w:cs="Arial" w:eastAsia="Arial" w:hAnsi="Arial"/>
                <w:sz w:val="18"/>
                <w:szCs w:val="18"/>
                <w:color w:val="0000FF"/>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gridSpan w:val="4"/>
          </w:tcPr>
          <w:p>
            <w:pPr>
              <w:spacing w:after="0"/>
              <w:rPr>
                <w:sz w:val="20"/>
                <w:szCs w:val="20"/>
                <w:color w:val="auto"/>
              </w:rPr>
            </w:pPr>
            <w:r>
              <w:rPr>
                <w:rFonts w:ascii="Arial" w:cs="Arial" w:eastAsia="Arial" w:hAnsi="Arial"/>
                <w:sz w:val="18"/>
                <w:szCs w:val="18"/>
                <w:color w:val="0000FF"/>
              </w:rPr>
              <w:t>Item 3.</w:t>
            </w:r>
          </w:p>
        </w:tc>
        <w:tc>
          <w:tcPr>
            <w:tcW w:w="9440" w:type="dxa"/>
            <w:vAlign w:val="bottom"/>
            <w:gridSpan w:val="2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500" w:type="dxa"/>
            <w:vAlign w:val="bottom"/>
            <w:gridSpan w:val="3"/>
          </w:tcPr>
          <w:p>
            <w:pPr>
              <w:jc w:val="right"/>
              <w:spacing w:after="0"/>
              <w:rPr>
                <w:sz w:val="20"/>
                <w:szCs w:val="20"/>
                <w:color w:val="auto"/>
              </w:rPr>
            </w:pPr>
            <w:r>
              <w:rPr>
                <w:rFonts w:ascii="Arial" w:cs="Arial" w:eastAsia="Arial" w:hAnsi="Arial"/>
                <w:sz w:val="18"/>
                <w:szCs w:val="18"/>
                <w:color w:val="0000FF"/>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9440" w:type="dxa"/>
            <w:vAlign w:val="bottom"/>
            <w:gridSpan w:val="23"/>
          </w:tcPr>
          <w:p>
            <w:pPr>
              <w:spacing w:after="0"/>
              <w:rPr>
                <w:sz w:val="20"/>
                <w:szCs w:val="20"/>
                <w:color w:val="auto"/>
              </w:rPr>
            </w:pPr>
            <w:r>
              <w:rPr>
                <w:rFonts w:ascii="Arial" w:cs="Arial" w:eastAsia="Arial" w:hAnsi="Arial"/>
                <w:sz w:val="18"/>
                <w:szCs w:val="18"/>
                <w:color w:val="0000FF"/>
              </w:rPr>
              <w:t>Controls and Procedures</w:t>
            </w:r>
          </w:p>
        </w:tc>
        <w:tc>
          <w:tcPr>
            <w:tcW w:w="500" w:type="dxa"/>
            <w:vAlign w:val="bottom"/>
            <w:gridSpan w:val="3"/>
          </w:tcPr>
          <w:p>
            <w:pPr>
              <w:jc w:val="right"/>
              <w:spacing w:after="0"/>
              <w:rPr>
                <w:sz w:val="20"/>
                <w:szCs w:val="20"/>
                <w:color w:val="auto"/>
              </w:rPr>
            </w:pPr>
            <w:r>
              <w:rPr>
                <w:rFonts w:ascii="Arial" w:cs="Arial" w:eastAsia="Arial" w:hAnsi="Arial"/>
                <w:sz w:val="18"/>
                <w:szCs w:val="18"/>
                <w:color w:val="0000FF"/>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1"/>
        </w:trPr>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80" w:type="dxa"/>
            <w:vAlign w:val="bottom"/>
            <w:gridSpan w:val="14"/>
          </w:tcPr>
          <w:p>
            <w:pPr>
              <w:jc w:val="center"/>
              <w:ind w:right="3280"/>
              <w:spacing w:after="0"/>
              <w:rPr>
                <w:sz w:val="20"/>
                <w:szCs w:val="20"/>
                <w:color w:val="auto"/>
              </w:rPr>
            </w:pPr>
            <w:r>
              <w:rPr>
                <w:rFonts w:ascii="Arial" w:cs="Arial" w:eastAsia="Arial" w:hAnsi="Arial"/>
                <w:sz w:val="18"/>
                <w:szCs w:val="18"/>
                <w:b w:val="1"/>
                <w:bCs w:val="1"/>
                <w:color w:val="auto"/>
              </w:rPr>
              <w:t>PART II-OTHER INFORMATION</w:t>
            </w:r>
          </w:p>
        </w:tc>
        <w:tc>
          <w:tcPr>
            <w:tcW w:w="3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60" w:type="dxa"/>
            <w:vAlign w:val="bottom"/>
            <w:gridSpan w:val="4"/>
          </w:tcPr>
          <w:p>
            <w:pPr>
              <w:spacing w:after="0" w:line="188" w:lineRule="exact"/>
              <w:rPr>
                <w:sz w:val="20"/>
                <w:szCs w:val="20"/>
                <w:color w:val="auto"/>
              </w:rPr>
            </w:pPr>
            <w:r>
              <w:rPr>
                <w:rFonts w:ascii="Arial" w:cs="Arial" w:eastAsia="Arial" w:hAnsi="Arial"/>
                <w:sz w:val="18"/>
                <w:szCs w:val="18"/>
                <w:color w:val="0000FF"/>
              </w:rPr>
              <w:t>Item 1.</w:t>
            </w:r>
          </w:p>
        </w:tc>
        <w:tc>
          <w:tcPr>
            <w:tcW w:w="9440" w:type="dxa"/>
            <w:vAlign w:val="bottom"/>
            <w:gridSpan w:val="23"/>
          </w:tcPr>
          <w:p>
            <w:pPr>
              <w:spacing w:after="0" w:line="188" w:lineRule="exact"/>
              <w:rPr>
                <w:sz w:val="20"/>
                <w:szCs w:val="20"/>
                <w:color w:val="auto"/>
              </w:rPr>
            </w:pPr>
            <w:r>
              <w:rPr>
                <w:rFonts w:ascii="Arial" w:cs="Arial" w:eastAsia="Arial" w:hAnsi="Arial"/>
                <w:sz w:val="18"/>
                <w:szCs w:val="18"/>
                <w:color w:val="0000FF"/>
              </w:rPr>
              <w:t>Legal Proceedings</w:t>
            </w:r>
          </w:p>
        </w:tc>
        <w:tc>
          <w:tcPr>
            <w:tcW w:w="500" w:type="dxa"/>
            <w:vAlign w:val="bottom"/>
            <w:gridSpan w:val="3"/>
          </w:tcPr>
          <w:p>
            <w:pPr>
              <w:jc w:val="right"/>
              <w:spacing w:after="0" w:line="188" w:lineRule="exact"/>
              <w:rPr>
                <w:sz w:val="20"/>
                <w:szCs w:val="20"/>
                <w:color w:val="auto"/>
              </w:rPr>
            </w:pPr>
            <w:r>
              <w:rPr>
                <w:rFonts w:ascii="Arial" w:cs="Arial" w:eastAsia="Arial" w:hAnsi="Arial"/>
                <w:sz w:val="18"/>
                <w:szCs w:val="18"/>
                <w:color w:val="0000FF"/>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40" w:type="dxa"/>
            <w:vAlign w:val="bottom"/>
            <w:gridSpan w:val="2"/>
          </w:tcPr>
          <w:p>
            <w:pPr>
              <w:spacing w:after="0"/>
              <w:rPr>
                <w:sz w:val="20"/>
                <w:szCs w:val="20"/>
                <w:color w:val="auto"/>
              </w:rPr>
            </w:pPr>
            <w:r>
              <w:rPr>
                <w:rFonts w:ascii="Arial" w:cs="Arial" w:eastAsia="Arial" w:hAnsi="Arial"/>
                <w:sz w:val="18"/>
                <w:szCs w:val="18"/>
                <w:color w:val="0000FF"/>
                <w:w w:val="92"/>
              </w:rPr>
              <w:t>Item 1A.</w:t>
            </w:r>
          </w:p>
        </w:tc>
        <w:tc>
          <w:tcPr>
            <w:tcW w:w="620" w:type="dxa"/>
            <w:vAlign w:val="bottom"/>
            <w:gridSpan w:val="2"/>
          </w:tcPr>
          <w:p>
            <w:pPr>
              <w:spacing w:after="0"/>
              <w:rPr>
                <w:sz w:val="17"/>
                <w:szCs w:val="17"/>
                <w:color w:val="auto"/>
              </w:rPr>
            </w:pPr>
          </w:p>
        </w:tc>
        <w:tc>
          <w:tcPr>
            <w:tcW w:w="9440" w:type="dxa"/>
            <w:vAlign w:val="bottom"/>
            <w:gridSpan w:val="23"/>
          </w:tcPr>
          <w:p>
            <w:pPr>
              <w:spacing w:after="0"/>
              <w:rPr>
                <w:sz w:val="20"/>
                <w:szCs w:val="20"/>
                <w:color w:val="auto"/>
              </w:rPr>
            </w:pPr>
            <w:r>
              <w:rPr>
                <w:rFonts w:ascii="Arial" w:cs="Arial" w:eastAsia="Arial" w:hAnsi="Arial"/>
                <w:sz w:val="18"/>
                <w:szCs w:val="18"/>
                <w:color w:val="0000FF"/>
              </w:rPr>
              <w:t>Risk Factors</w:t>
            </w:r>
          </w:p>
        </w:tc>
        <w:tc>
          <w:tcPr>
            <w:tcW w:w="500" w:type="dxa"/>
            <w:vAlign w:val="bottom"/>
            <w:gridSpan w:val="3"/>
          </w:tcPr>
          <w:p>
            <w:pPr>
              <w:jc w:val="right"/>
              <w:spacing w:after="0"/>
              <w:rPr>
                <w:sz w:val="20"/>
                <w:szCs w:val="20"/>
                <w:color w:val="auto"/>
              </w:rPr>
            </w:pPr>
            <w:r>
              <w:rPr>
                <w:rFonts w:ascii="Arial" w:cs="Arial" w:eastAsia="Arial" w:hAnsi="Arial"/>
                <w:sz w:val="18"/>
                <w:szCs w:val="18"/>
                <w:color w:val="0000FF"/>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514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620" w:type="dxa"/>
            <w:vAlign w:val="bottom"/>
            <w:gridSpan w:val="2"/>
          </w:tcPr>
          <w:p>
            <w:pPr>
              <w:spacing w:after="0"/>
              <w:rPr>
                <w:sz w:val="17"/>
                <w:szCs w:val="17"/>
                <w:color w:val="auto"/>
              </w:rPr>
            </w:pPr>
          </w:p>
        </w:tc>
        <w:tc>
          <w:tcPr>
            <w:tcW w:w="9440" w:type="dxa"/>
            <w:vAlign w:val="bottom"/>
            <w:gridSpan w:val="23"/>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500" w:type="dxa"/>
            <w:vAlign w:val="bottom"/>
            <w:gridSpan w:val="3"/>
          </w:tcPr>
          <w:p>
            <w:pPr>
              <w:jc w:val="right"/>
              <w:spacing w:after="0"/>
              <w:rPr>
                <w:sz w:val="20"/>
                <w:szCs w:val="20"/>
                <w:color w:val="auto"/>
              </w:rPr>
            </w:pPr>
            <w:r>
              <w:rPr>
                <w:rFonts w:ascii="Arial" w:cs="Arial" w:eastAsia="Arial" w:hAnsi="Arial"/>
                <w:sz w:val="18"/>
                <w:szCs w:val="18"/>
                <w:color w:val="0000FF"/>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gridSpan w:val="4"/>
          </w:tcPr>
          <w:p>
            <w:pPr>
              <w:spacing w:after="0"/>
              <w:rPr>
                <w:sz w:val="20"/>
                <w:szCs w:val="20"/>
                <w:color w:val="auto"/>
              </w:rPr>
            </w:pPr>
            <w:r>
              <w:rPr>
                <w:rFonts w:ascii="Arial" w:cs="Arial" w:eastAsia="Arial" w:hAnsi="Arial"/>
                <w:sz w:val="18"/>
                <w:szCs w:val="18"/>
                <w:color w:val="0000FF"/>
              </w:rPr>
              <w:t>Item 3.</w:t>
            </w:r>
          </w:p>
        </w:tc>
        <w:tc>
          <w:tcPr>
            <w:tcW w:w="9440" w:type="dxa"/>
            <w:vAlign w:val="bottom"/>
            <w:gridSpan w:val="23"/>
          </w:tcPr>
          <w:p>
            <w:pPr>
              <w:spacing w:after="0"/>
              <w:rPr>
                <w:sz w:val="20"/>
                <w:szCs w:val="20"/>
                <w:color w:val="auto"/>
              </w:rPr>
            </w:pPr>
            <w:r>
              <w:rPr>
                <w:rFonts w:ascii="Arial" w:cs="Arial" w:eastAsia="Arial" w:hAnsi="Arial"/>
                <w:sz w:val="18"/>
                <w:szCs w:val="18"/>
                <w:color w:val="0000FF"/>
              </w:rPr>
              <w:t>Defaults Upon Senior Securities</w:t>
            </w:r>
          </w:p>
        </w:tc>
        <w:tc>
          <w:tcPr>
            <w:tcW w:w="500" w:type="dxa"/>
            <w:vAlign w:val="bottom"/>
            <w:gridSpan w:val="3"/>
          </w:tcPr>
          <w:p>
            <w:pPr>
              <w:jc w:val="right"/>
              <w:spacing w:after="0"/>
              <w:rPr>
                <w:sz w:val="20"/>
                <w:szCs w:val="20"/>
                <w:color w:val="auto"/>
              </w:rPr>
            </w:pPr>
            <w:r>
              <w:rPr>
                <w:rFonts w:ascii="Arial" w:cs="Arial" w:eastAsia="Arial" w:hAnsi="Arial"/>
                <w:sz w:val="18"/>
                <w:szCs w:val="18"/>
                <w:color w:val="0000FF"/>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9440" w:type="dxa"/>
            <w:vAlign w:val="bottom"/>
            <w:gridSpan w:val="23"/>
          </w:tcPr>
          <w:p>
            <w:pPr>
              <w:spacing w:after="0"/>
              <w:rPr>
                <w:sz w:val="20"/>
                <w:szCs w:val="20"/>
                <w:color w:val="auto"/>
              </w:rPr>
            </w:pPr>
            <w:r>
              <w:rPr>
                <w:rFonts w:ascii="Arial" w:cs="Arial" w:eastAsia="Arial" w:hAnsi="Arial"/>
                <w:sz w:val="18"/>
                <w:szCs w:val="18"/>
                <w:color w:val="0000FF"/>
              </w:rPr>
              <w:t>Mine Safety Disclosures</w:t>
            </w:r>
          </w:p>
        </w:tc>
        <w:tc>
          <w:tcPr>
            <w:tcW w:w="500" w:type="dxa"/>
            <w:vAlign w:val="bottom"/>
            <w:gridSpan w:val="3"/>
          </w:tcPr>
          <w:p>
            <w:pPr>
              <w:jc w:val="right"/>
              <w:spacing w:after="0"/>
              <w:rPr>
                <w:sz w:val="20"/>
                <w:szCs w:val="20"/>
                <w:color w:val="auto"/>
              </w:rPr>
            </w:pPr>
            <w:r>
              <w:rPr>
                <w:rFonts w:ascii="Arial" w:cs="Arial" w:eastAsia="Arial" w:hAnsi="Arial"/>
                <w:sz w:val="18"/>
                <w:szCs w:val="18"/>
                <w:color w:val="0000FF"/>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680" w:type="dxa"/>
            <w:vAlign w:val="bottom"/>
            <w:gridSpan w:val="1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gridSpan w:val="4"/>
          </w:tcPr>
          <w:p>
            <w:pPr>
              <w:spacing w:after="0"/>
              <w:rPr>
                <w:sz w:val="20"/>
                <w:szCs w:val="20"/>
                <w:color w:val="auto"/>
              </w:rPr>
            </w:pPr>
            <w:r>
              <w:rPr>
                <w:rFonts w:ascii="Arial" w:cs="Arial" w:eastAsia="Arial" w:hAnsi="Arial"/>
                <w:sz w:val="18"/>
                <w:szCs w:val="18"/>
                <w:color w:val="0000FF"/>
              </w:rPr>
              <w:t>Item 5.</w:t>
            </w:r>
          </w:p>
        </w:tc>
        <w:tc>
          <w:tcPr>
            <w:tcW w:w="9440" w:type="dxa"/>
            <w:vAlign w:val="bottom"/>
            <w:gridSpan w:val="23"/>
          </w:tcPr>
          <w:p>
            <w:pPr>
              <w:spacing w:after="0"/>
              <w:rPr>
                <w:sz w:val="20"/>
                <w:szCs w:val="20"/>
                <w:color w:val="auto"/>
              </w:rPr>
            </w:pPr>
            <w:r>
              <w:rPr>
                <w:rFonts w:ascii="Arial" w:cs="Arial" w:eastAsia="Arial" w:hAnsi="Arial"/>
                <w:sz w:val="18"/>
                <w:szCs w:val="18"/>
                <w:color w:val="0000FF"/>
              </w:rPr>
              <w:t>Other Information</w:t>
            </w:r>
          </w:p>
        </w:tc>
        <w:tc>
          <w:tcPr>
            <w:tcW w:w="500" w:type="dxa"/>
            <w:vAlign w:val="bottom"/>
            <w:gridSpan w:val="3"/>
          </w:tcPr>
          <w:p>
            <w:pPr>
              <w:jc w:val="right"/>
              <w:spacing w:after="0"/>
              <w:rPr>
                <w:sz w:val="20"/>
                <w:szCs w:val="20"/>
                <w:color w:val="auto"/>
              </w:rPr>
            </w:pPr>
            <w:r>
              <w:rPr>
                <w:rFonts w:ascii="Arial" w:cs="Arial" w:eastAsia="Arial" w:hAnsi="Arial"/>
                <w:sz w:val="18"/>
                <w:szCs w:val="18"/>
                <w:color w:val="0000FF"/>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40" w:type="dxa"/>
            <w:vAlign w:val="bottom"/>
            <w:gridSpan w:val="1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gridSpan w:val="4"/>
          </w:tcPr>
          <w:p>
            <w:pPr>
              <w:spacing w:after="0"/>
              <w:rPr>
                <w:sz w:val="20"/>
                <w:szCs w:val="20"/>
                <w:color w:val="auto"/>
              </w:rPr>
            </w:pPr>
            <w:r>
              <w:rPr>
                <w:rFonts w:ascii="Arial" w:cs="Arial" w:eastAsia="Arial" w:hAnsi="Arial"/>
                <w:sz w:val="18"/>
                <w:szCs w:val="18"/>
                <w:color w:val="0000FF"/>
              </w:rPr>
              <w:t>Item 6.</w:t>
            </w:r>
          </w:p>
        </w:tc>
        <w:tc>
          <w:tcPr>
            <w:tcW w:w="9440" w:type="dxa"/>
            <w:vAlign w:val="bottom"/>
            <w:gridSpan w:val="23"/>
          </w:tcPr>
          <w:p>
            <w:pPr>
              <w:spacing w:after="0"/>
              <w:rPr>
                <w:sz w:val="20"/>
                <w:szCs w:val="20"/>
                <w:color w:val="auto"/>
              </w:rPr>
            </w:pPr>
            <w:r>
              <w:rPr>
                <w:rFonts w:ascii="Arial" w:cs="Arial" w:eastAsia="Arial" w:hAnsi="Arial"/>
                <w:sz w:val="18"/>
                <w:szCs w:val="18"/>
                <w:color w:val="0000FF"/>
              </w:rPr>
              <w:t>Exhibits</w:t>
            </w:r>
          </w:p>
        </w:tc>
        <w:tc>
          <w:tcPr>
            <w:tcW w:w="500" w:type="dxa"/>
            <w:vAlign w:val="bottom"/>
            <w:gridSpan w:val="3"/>
          </w:tcPr>
          <w:p>
            <w:pPr>
              <w:jc w:val="right"/>
              <w:spacing w:after="0"/>
              <w:rPr>
                <w:sz w:val="20"/>
                <w:szCs w:val="20"/>
                <w:color w:val="auto"/>
              </w:rPr>
            </w:pPr>
            <w:r>
              <w:rPr>
                <w:rFonts w:ascii="Arial" w:cs="Arial" w:eastAsia="Arial" w:hAnsi="Arial"/>
                <w:sz w:val="18"/>
                <w:szCs w:val="18"/>
                <w:color w:val="0000FF"/>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126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0000FF"/>
              </w:rPr>
              <w:t>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2" w:lineRule="exact"/>
        <w:rPr>
          <w:sz w:val="20"/>
          <w:szCs w:val="20"/>
          <w:color w:val="auto"/>
        </w:rPr>
      </w:pPr>
    </w:p>
    <w:p>
      <w:pPr>
        <w:jc w:val="both"/>
        <w:ind w:firstLine="479"/>
        <w:spacing w:after="0" w:line="253" w:lineRule="auto"/>
        <w:rPr>
          <w:sz w:val="20"/>
          <w:szCs w:val="20"/>
          <w:color w:val="auto"/>
        </w:rPr>
      </w:pPr>
      <w:r>
        <w:rPr>
          <w:rFonts w:ascii="Arial" w:cs="Arial" w:eastAsia="Arial" w:hAnsi="Arial"/>
          <w:sz w:val="18"/>
          <w:szCs w:val="18"/>
          <w:color w:val="auto"/>
        </w:rPr>
        <w:t>This Quarterly Report on Form 10-Q contains forward-looking statements. All statements other than statements of historical facts contained in this Quarterly Report, including statements regarding our future results of operations and financial position, business strategy, prospective products and product candidates, sales force expansion, surgeon adoption, reimbursement determinations, clinical trial results, and U.S. Food and Drug Administration ("FDA") approvals, are forward-looking statements.</w:t>
      </w:r>
    </w:p>
    <w:p>
      <w:pPr>
        <w:spacing w:after="0" w:line="219" w:lineRule="exact"/>
        <w:rPr>
          <w:sz w:val="20"/>
          <w:szCs w:val="20"/>
          <w:color w:val="auto"/>
        </w:rPr>
      </w:pPr>
    </w:p>
    <w:p>
      <w:pPr>
        <w:jc w:val="both"/>
        <w:ind w:firstLine="479"/>
        <w:spacing w:after="0" w:line="330" w:lineRule="auto"/>
        <w:rPr>
          <w:sz w:val="20"/>
          <w:szCs w:val="20"/>
          <w:color w:val="auto"/>
        </w:rPr>
      </w:pPr>
      <w:r>
        <w:rPr>
          <w:rFonts w:ascii="Arial" w:cs="Arial" w:eastAsia="Arial" w:hAnsi="Arial"/>
          <w:sz w:val="16"/>
          <w:szCs w:val="16"/>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0" w:lineRule="exact"/>
        <w:rPr>
          <w:sz w:val="20"/>
          <w:szCs w:val="20"/>
          <w:color w:val="auto"/>
        </w:rPr>
      </w:pPr>
    </w:p>
    <w:p>
      <w:pPr>
        <w:jc w:val="both"/>
        <w:ind w:firstLine="479"/>
        <w:spacing w:after="0" w:line="250"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Quarterly Report and are subject to a number of risks, uncertainties and assumptions, including those described under the sections in this Quarterly Report entitled “Risk Factors” and “Management’s Discussion and Analysis of Financial Condition and Results of Operations.” These forward-looking statements include, but are not limited to, statements about the following:</w:t>
      </w:r>
    </w:p>
    <w:p>
      <w:pPr>
        <w:spacing w:after="0" w:line="197" w:lineRule="exact"/>
        <w:rPr>
          <w:sz w:val="20"/>
          <w:szCs w:val="20"/>
          <w:color w:val="auto"/>
        </w:rPr>
      </w:pPr>
    </w:p>
    <w:p>
      <w:pPr>
        <w:jc w:val="both"/>
        <w:ind w:left="640" w:hanging="314"/>
        <w:spacing w:after="0" w:line="303" w:lineRule="auto"/>
        <w:tabs>
          <w:tab w:leader="none" w:pos="63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the COVID-19 pandemic and governmental actions taken to combat the COVID-19 pandemic will have on us, including our operations, financial results, liquidity and capital resources, the ability and desire of patients and physicians to undergo and perform such procedures, the duration and any potential resurgence of the COVID-19 pandemic, and whether the COVID-19 pandemic will recur in the future;</w:t>
      </w:r>
    </w:p>
    <w:p>
      <w:pPr>
        <w:spacing w:after="0" w:line="155" w:lineRule="exact"/>
        <w:rPr>
          <w:rFonts w:ascii="Arial" w:cs="Arial" w:eastAsia="Arial" w:hAnsi="Arial"/>
          <w:sz w:val="16"/>
          <w:szCs w:val="16"/>
          <w:color w:val="auto"/>
        </w:rPr>
      </w:pPr>
    </w:p>
    <w:p>
      <w:pPr>
        <w:ind w:left="640" w:hanging="314"/>
        <w:spacing w:after="0" w:line="26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the COVID-19 pandemic has on the global supply chain and our third-party manufacturers and suppliers, which could adversely impact the availability or cost of materials, which could disrupt our supply chain related to implants and instruments;</w:t>
      </w:r>
    </w:p>
    <w:p>
      <w:pPr>
        <w:spacing w:after="0" w:line="126"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 healthy workforce in light of the ongoing COVID-19 pandemic;</w:t>
      </w:r>
    </w:p>
    <w:p>
      <w:pPr>
        <w:spacing w:after="0" w:line="205"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a significant portion of our revenues will be derived from sales of the iFuse Implant System, or iFuse;</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additional revenue opportunities, including new indications for use and new devices;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grow our sales team based on the demand for our products;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train, and retain surgeons to perform procedures using our products;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favorable coverage and reimbursement determinations from third-party payors;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scope of protection from intellectual property rights covering our products;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and results from clinical and other trials;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marketing clearances and authorization from the FDA and regulators in other jurisdictions;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regulatory filings and feedback;</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our products;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our products;</w:t>
      </w:r>
    </w:p>
    <w:p>
      <w:pPr>
        <w:spacing w:after="0" w:line="165" w:lineRule="exact"/>
        <w:rPr>
          <w:rFonts w:ascii="Arial" w:cs="Arial" w:eastAsia="Arial" w:hAnsi="Arial"/>
          <w:sz w:val="18"/>
          <w:szCs w:val="18"/>
          <w:color w:val="auto"/>
        </w:rPr>
      </w:pPr>
    </w:p>
    <w:p>
      <w:pPr>
        <w:ind w:left="640" w:hanging="314"/>
        <w:spacing w:after="0" w:line="26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impacting the supply chains we rely on, including the availability of raw materials and skilled labor serving our suppliers, and the cost of these factors of production which may in turn impact the prices we pay for our devices;</w:t>
      </w:r>
    </w:p>
    <w:p>
      <w:pPr>
        <w:spacing w:after="0" w:line="126"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a limited number of suppliers, including sole source suppliers, which may impact the availability of instruments and materials;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 w:name="page4"/>
    <w:bookmarkEnd w:id="3"/>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sustain or increase demand for our products;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expansion;</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ability to retain and recruit key personnel;</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employees, including those with specialized skills and experience;</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access capital markets;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165"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46" w:lineRule="exact"/>
        <w:rPr>
          <w:sz w:val="20"/>
          <w:szCs w:val="20"/>
          <w:color w:val="auto"/>
        </w:rPr>
      </w:pPr>
    </w:p>
    <w:p>
      <w:pPr>
        <w:jc w:val="both"/>
        <w:ind w:firstLine="479"/>
        <w:spacing w:after="0" w:line="283" w:lineRule="auto"/>
        <w:rPr>
          <w:sz w:val="20"/>
          <w:szCs w:val="20"/>
          <w:color w:val="auto"/>
        </w:rPr>
      </w:pPr>
      <w:r>
        <w:rPr>
          <w:rFonts w:ascii="Arial" w:cs="Arial" w:eastAsia="Arial" w:hAnsi="Arial"/>
          <w:sz w:val="16"/>
          <w:szCs w:val="16"/>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jc w:val="both"/>
        <w:ind w:firstLine="479"/>
        <w:spacing w:after="0" w:line="295" w:lineRule="auto"/>
        <w:rPr>
          <w:sz w:val="20"/>
          <w:szCs w:val="20"/>
          <w:color w:val="auto"/>
        </w:rPr>
      </w:pPr>
      <w:r>
        <w:rPr>
          <w:rFonts w:ascii="Arial" w:cs="Arial" w:eastAsia="Arial" w:hAnsi="Arial"/>
          <w:sz w:val="16"/>
          <w:szCs w:val="16"/>
          <w:color w:val="auto"/>
        </w:rPr>
        <w:t>Factors that may cause actual results to differ materially from current expectations include, among other things, those listed under “Risk Factors” and elsewhere in this report.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SI-BONE,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0"/>
              </w:rPr>
              <w:t>December 31, 2021</w:t>
            </w:r>
          </w:p>
        </w:tc>
        <w:tc>
          <w:tcPr>
            <w:tcW w:w="0" w:type="dxa"/>
            <w:vAlign w:val="bottom"/>
          </w:tcPr>
          <w:p>
            <w:pPr>
              <w:spacing w:after="0"/>
              <w:rPr>
                <w:sz w:val="1"/>
                <w:szCs w:val="1"/>
                <w:color w:val="auto"/>
              </w:rPr>
            </w:pPr>
          </w:p>
        </w:tc>
      </w:tr>
      <w:tr>
        <w:trPr>
          <w:trHeight w:val="211"/>
        </w:trPr>
        <w:tc>
          <w:tcPr>
            <w:tcW w:w="8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63,419</w:t>
            </w:r>
          </w:p>
        </w:tc>
        <w:tc>
          <w:tcPr>
            <w:tcW w:w="0" w:type="dxa"/>
            <w:vAlign w:val="bottom"/>
          </w:tcPr>
          <w:p>
            <w:pPr>
              <w:spacing w:after="0"/>
              <w:rPr>
                <w:sz w:val="1"/>
                <w:szCs w:val="1"/>
                <w:color w:val="auto"/>
              </w:rPr>
            </w:pPr>
          </w:p>
        </w:tc>
      </w:tr>
      <w:tr>
        <w:trPr>
          <w:trHeight w:val="226"/>
        </w:trPr>
        <w:tc>
          <w:tcPr>
            <w:tcW w:w="834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77,785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83,560</w:t>
            </w:r>
          </w:p>
        </w:tc>
        <w:tc>
          <w:tcPr>
            <w:tcW w:w="0" w:type="dxa"/>
            <w:vAlign w:val="bottom"/>
          </w:tcPr>
          <w:p>
            <w:pPr>
              <w:spacing w:after="0"/>
              <w:rPr>
                <w:sz w:val="1"/>
                <w:szCs w:val="1"/>
                <w:color w:val="auto"/>
              </w:rPr>
            </w:pPr>
          </w:p>
        </w:tc>
      </w:tr>
      <w:tr>
        <w:trPr>
          <w:trHeight w:val="227"/>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 for doubtful accounts of $305 and $264, respectively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14,246</w:t>
            </w:r>
          </w:p>
        </w:tc>
        <w:tc>
          <w:tcPr>
            <w:tcW w:w="0" w:type="dxa"/>
            <w:vAlign w:val="bottom"/>
          </w:tcPr>
          <w:p>
            <w:pPr>
              <w:spacing w:after="0"/>
              <w:rPr>
                <w:sz w:val="1"/>
                <w:szCs w:val="1"/>
                <w:color w:val="auto"/>
              </w:rPr>
            </w:pPr>
          </w:p>
        </w:tc>
      </w:tr>
      <w:tr>
        <w:trPr>
          <w:trHeight w:val="226"/>
        </w:trPr>
        <w:tc>
          <w:tcPr>
            <w:tcW w:w="834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11,498</w:t>
            </w:r>
          </w:p>
        </w:tc>
        <w:tc>
          <w:tcPr>
            <w:tcW w:w="0" w:type="dxa"/>
            <w:vAlign w:val="bottom"/>
          </w:tcPr>
          <w:p>
            <w:pPr>
              <w:spacing w:after="0"/>
              <w:rPr>
                <w:sz w:val="1"/>
                <w:szCs w:val="1"/>
                <w:color w:val="auto"/>
              </w:rPr>
            </w:pPr>
          </w:p>
        </w:tc>
      </w:tr>
      <w:tr>
        <w:trPr>
          <w:trHeight w:val="227"/>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19"/>
        </w:trPr>
        <w:tc>
          <w:tcPr>
            <w:tcW w:w="8340" w:type="dxa"/>
            <w:vAlign w:val="bottom"/>
          </w:tcPr>
          <w:p>
            <w:pPr>
              <w:ind w:left="660"/>
              <w:spacing w:after="0" w:line="205" w:lineRule="exact"/>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139,180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175,866</w:t>
            </w:r>
          </w:p>
        </w:tc>
        <w:tc>
          <w:tcPr>
            <w:tcW w:w="0" w:type="dxa"/>
            <w:vAlign w:val="bottom"/>
          </w:tcPr>
          <w:p>
            <w:pPr>
              <w:spacing w:after="0"/>
              <w:rPr>
                <w:sz w:val="1"/>
                <w:szCs w:val="1"/>
                <w:color w:val="auto"/>
              </w:rPr>
            </w:pPr>
          </w:p>
        </w:tc>
      </w:tr>
      <w:tr>
        <w:trPr>
          <w:trHeight w:val="227"/>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0" w:type="dxa"/>
            <w:vAlign w:val="bottom"/>
          </w:tcPr>
          <w:p>
            <w:pPr>
              <w:spacing w:after="0"/>
              <w:rPr>
                <w:sz w:val="1"/>
                <w:szCs w:val="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27"/>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9"/>
        </w:trPr>
        <w:tc>
          <w:tcPr>
            <w:tcW w:w="8340" w:type="dxa"/>
            <w:vAlign w:val="bottom"/>
          </w:tcPr>
          <w:p>
            <w:pPr>
              <w:ind w:left="660"/>
              <w:spacing w:after="0" w:line="205" w:lineRule="exact"/>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158,265</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190,506</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60"/>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4,613</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3,198</w:t>
            </w:r>
          </w:p>
        </w:tc>
        <w:tc>
          <w:tcPr>
            <w:tcW w:w="0" w:type="dxa"/>
            <w:vAlign w:val="bottom"/>
          </w:tcPr>
          <w:p>
            <w:pPr>
              <w:spacing w:after="0"/>
              <w:rPr>
                <w:sz w:val="1"/>
                <w:szCs w:val="1"/>
                <w:color w:val="auto"/>
              </w:rPr>
            </w:pPr>
          </w:p>
        </w:tc>
      </w:tr>
      <w:tr>
        <w:trPr>
          <w:trHeight w:val="227"/>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and other</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w:t>
            </w:r>
          </w:p>
        </w:tc>
        <w:tc>
          <w:tcPr>
            <w:tcW w:w="0" w:type="dxa"/>
            <w:vAlign w:val="bottom"/>
          </w:tcPr>
          <w:p>
            <w:pPr>
              <w:spacing w:after="0"/>
              <w:rPr>
                <w:sz w:val="1"/>
                <w:szCs w:val="1"/>
                <w:color w:val="auto"/>
              </w:rPr>
            </w:pPr>
          </w:p>
        </w:tc>
      </w:tr>
      <w:tr>
        <w:trPr>
          <w:trHeight w:val="226"/>
        </w:trPr>
        <w:tc>
          <w:tcPr>
            <w:tcW w:w="8340" w:type="dxa"/>
            <w:vAlign w:val="bottom"/>
          </w:tcPr>
          <w:p>
            <w:pPr>
              <w:ind w:left="340"/>
              <w:spacing w:after="0"/>
              <w:rPr>
                <w:sz w:val="20"/>
                <w:szCs w:val="20"/>
                <w:color w:val="auto"/>
              </w:rPr>
            </w:pPr>
            <w:r>
              <w:rPr>
                <w:rFonts w:ascii="Arial" w:cs="Arial" w:eastAsia="Arial" w:hAnsi="Arial"/>
                <w:sz w:val="18"/>
                <w:szCs w:val="18"/>
                <w:color w:val="auto"/>
              </w:rPr>
              <w:t>Current portion of long-term borrowings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 current portion</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19"/>
        </w:trPr>
        <w:tc>
          <w:tcPr>
            <w:tcW w:w="8340" w:type="dxa"/>
            <w:vAlign w:val="bottom"/>
          </w:tcPr>
          <w:p>
            <w:pPr>
              <w:ind w:left="660"/>
              <w:spacing w:after="0" w:line="205" w:lineRule="exact"/>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16,890</w:t>
            </w:r>
          </w:p>
        </w:tc>
        <w:tc>
          <w:tcPr>
            <w:tcW w:w="0" w:type="dxa"/>
            <w:vAlign w:val="bottom"/>
          </w:tcPr>
          <w:p>
            <w:pPr>
              <w:spacing w:after="0"/>
              <w:rPr>
                <w:sz w:val="1"/>
                <w:szCs w:val="1"/>
                <w:color w:val="auto"/>
              </w:rPr>
            </w:pPr>
          </w:p>
        </w:tc>
      </w:tr>
      <w:tr>
        <w:trPr>
          <w:trHeight w:val="227"/>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34,973</w:t>
            </w:r>
          </w:p>
        </w:tc>
        <w:tc>
          <w:tcPr>
            <w:tcW w:w="0" w:type="dxa"/>
            <w:vAlign w:val="bottom"/>
          </w:tcPr>
          <w:p>
            <w:pPr>
              <w:spacing w:after="0"/>
              <w:rPr>
                <w:sz w:val="1"/>
                <w:szCs w:val="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4,166</w:t>
            </w:r>
          </w:p>
        </w:tc>
        <w:tc>
          <w:tcPr>
            <w:tcW w:w="0" w:type="dxa"/>
            <w:vAlign w:val="bottom"/>
          </w:tcPr>
          <w:p>
            <w:pPr>
              <w:spacing w:after="0"/>
              <w:rPr>
                <w:sz w:val="1"/>
                <w:szCs w:val="1"/>
                <w:color w:val="auto"/>
              </w:rPr>
            </w:pPr>
          </w:p>
        </w:tc>
      </w:tr>
      <w:tr>
        <w:trPr>
          <w:trHeight w:val="227"/>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9"/>
        </w:trPr>
        <w:tc>
          <w:tcPr>
            <w:tcW w:w="8340" w:type="dxa"/>
            <w:vAlign w:val="bottom"/>
            <w:tcBorders>
              <w:bottom w:val="single" w:sz="8" w:color="CCEEFF"/>
            </w:tcBorders>
          </w:tcPr>
          <w:p>
            <w:pPr>
              <w:ind w:left="660"/>
              <w:spacing w:after="0" w:line="205" w:lineRule="exact"/>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56,086</w:t>
            </w: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60"/>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6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$0.0001 par value; 5,000,000 shares authorized; no shares issued and outstanding</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8340" w:type="dxa"/>
            <w:vAlign w:val="bottom"/>
          </w:tcPr>
          <w:p>
            <w:pPr>
              <w:ind w:left="20"/>
              <w:spacing w:after="0" w:line="174" w:lineRule="exact"/>
              <w:rPr>
                <w:sz w:val="20"/>
                <w:szCs w:val="20"/>
                <w:color w:val="auto"/>
              </w:rPr>
            </w:pPr>
            <w:r>
              <w:rPr>
                <w:rFonts w:ascii="Arial" w:cs="Arial" w:eastAsia="Arial" w:hAnsi="Arial"/>
                <w:sz w:val="18"/>
                <w:szCs w:val="18"/>
                <w:color w:val="auto"/>
                <w:w w:val="90"/>
              </w:rPr>
              <w:t>Common stock, $0.0001 par value; 100,000,000 shares authorized; 34,439,309 and 33,674,085 shares issued and</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340" w:type="dxa"/>
            <w:vAlign w:val="bottom"/>
          </w:tcPr>
          <w:p>
            <w:pPr>
              <w:ind w:left="340"/>
              <w:spacing w:after="0"/>
              <w:rPr>
                <w:sz w:val="20"/>
                <w:szCs w:val="20"/>
                <w:color w:val="auto"/>
              </w:rPr>
            </w:pPr>
            <w:r>
              <w:rPr>
                <w:rFonts w:ascii="Arial" w:cs="Arial" w:eastAsia="Arial" w:hAnsi="Arial"/>
                <w:sz w:val="18"/>
                <w:szCs w:val="18"/>
                <w:color w:val="auto"/>
              </w:rPr>
              <w:t>outstanding, respectively</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7"/>
        </w:trPr>
        <w:tc>
          <w:tcPr>
            <w:tcW w:w="8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429,914</w:t>
            </w:r>
          </w:p>
        </w:tc>
        <w:tc>
          <w:tcPr>
            <w:tcW w:w="0" w:type="dxa"/>
            <w:vAlign w:val="bottom"/>
          </w:tcPr>
          <w:p>
            <w:pPr>
              <w:spacing w:after="0"/>
              <w:rPr>
                <w:sz w:val="1"/>
                <w:szCs w:val="1"/>
                <w:color w:val="auto"/>
              </w:rPr>
            </w:pPr>
          </w:p>
        </w:tc>
      </w:tr>
      <w:tr>
        <w:trPr>
          <w:trHeight w:val="226"/>
        </w:trPr>
        <w:tc>
          <w:tcPr>
            <w:tcW w:w="8340" w:type="dxa"/>
            <w:vAlign w:val="bottom"/>
          </w:tcPr>
          <w:p>
            <w:pPr>
              <w:ind w:left="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7"/>
        </w:trPr>
        <w:tc>
          <w:tcPr>
            <w:tcW w:w="8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(295,849)</w:t>
            </w:r>
          </w:p>
        </w:tc>
        <w:tc>
          <w:tcPr>
            <w:tcW w:w="0" w:type="dxa"/>
            <w:vAlign w:val="bottom"/>
          </w:tcPr>
          <w:p>
            <w:pPr>
              <w:spacing w:after="0"/>
              <w:rPr>
                <w:sz w:val="1"/>
                <w:szCs w:val="1"/>
                <w:color w:val="auto"/>
              </w:rPr>
            </w:pPr>
          </w:p>
        </w:tc>
      </w:tr>
      <w:tr>
        <w:trPr>
          <w:trHeight w:val="219"/>
        </w:trPr>
        <w:tc>
          <w:tcPr>
            <w:tcW w:w="8340" w:type="dxa"/>
            <w:vAlign w:val="bottom"/>
            <w:tcBorders>
              <w:bottom w:val="single" w:sz="8" w:color="CCEEFF"/>
            </w:tcBorders>
          </w:tcPr>
          <w:p>
            <w:pPr>
              <w:ind w:left="680"/>
              <w:spacing w:after="0" w:line="205" w:lineRule="exact"/>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134,420</w:t>
            </w:r>
          </w:p>
        </w:tc>
        <w:tc>
          <w:tcPr>
            <w:tcW w:w="0" w:type="dxa"/>
            <w:vAlign w:val="bottom"/>
          </w:tcPr>
          <w:p>
            <w:pPr>
              <w:spacing w:after="0"/>
              <w:rPr>
                <w:sz w:val="1"/>
                <w:szCs w:val="1"/>
                <w:color w:val="auto"/>
              </w:rPr>
            </w:pPr>
          </w:p>
        </w:tc>
      </w:tr>
      <w:tr>
        <w:trPr>
          <w:trHeight w:val="245"/>
        </w:trPr>
        <w:tc>
          <w:tcPr>
            <w:tcW w:w="8340" w:type="dxa"/>
            <w:vAlign w:val="bottom"/>
            <w:tcBorders>
              <w:bottom w:val="single" w:sz="8" w:color="CCEEFF"/>
            </w:tcBorders>
            <w:shd w:val="clear" w:color="auto" w:fill="CCEEFF"/>
          </w:tcPr>
          <w:p>
            <w:pPr>
              <w:ind w:left="660"/>
              <w:spacing w:after="0" w:line="206" w:lineRule="exact"/>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158,265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190,506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760"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580" w:type="dxa"/>
            <w:vAlign w:val="bottom"/>
            <w:gridSpan w:val="4"/>
            <w:vMerge w:val="restart"/>
          </w:tcPr>
          <w:p>
            <w:pPr>
              <w:jc w:val="right"/>
              <w:ind w:right="72"/>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211"/>
        </w:trPr>
        <w:tc>
          <w:tcPr>
            <w:tcW w:w="5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7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2"/>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64,922</w:t>
            </w:r>
          </w:p>
        </w:tc>
        <w:tc>
          <w:tcPr>
            <w:tcW w:w="0" w:type="dxa"/>
            <w:vAlign w:val="bottom"/>
          </w:tcPr>
          <w:p>
            <w:pPr>
              <w:spacing w:after="0"/>
              <w:rPr>
                <w:sz w:val="1"/>
                <w:szCs w:val="1"/>
                <w:color w:val="auto"/>
              </w:rPr>
            </w:pPr>
          </w:p>
        </w:tc>
      </w:tr>
      <w:tr>
        <w:trPr>
          <w:trHeight w:val="226"/>
        </w:trPr>
        <w:tc>
          <w:tcPr>
            <w:tcW w:w="57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7,053</w:t>
            </w:r>
          </w:p>
        </w:tc>
        <w:tc>
          <w:tcPr>
            <w:tcW w:w="0" w:type="dxa"/>
            <w:vAlign w:val="bottom"/>
          </w:tcPr>
          <w:p>
            <w:pPr>
              <w:spacing w:after="0"/>
              <w:rPr>
                <w:sz w:val="1"/>
                <w:szCs w:val="1"/>
                <w:color w:val="auto"/>
              </w:rPr>
            </w:pPr>
          </w:p>
        </w:tc>
      </w:tr>
      <w:tr>
        <w:trPr>
          <w:trHeight w:val="220"/>
        </w:trPr>
        <w:tc>
          <w:tcPr>
            <w:tcW w:w="5700" w:type="dxa"/>
            <w:vAlign w:val="bottom"/>
            <w:shd w:val="clear" w:color="auto" w:fill="CCEEFF"/>
          </w:tcPr>
          <w:p>
            <w:pPr>
              <w:ind w:left="460"/>
              <w:spacing w:after="0" w:line="206" w:lineRule="exact"/>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63,840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57,869</w:t>
            </w:r>
          </w:p>
        </w:tc>
        <w:tc>
          <w:tcPr>
            <w:tcW w:w="0" w:type="dxa"/>
            <w:vAlign w:val="bottom"/>
          </w:tcPr>
          <w:p>
            <w:pPr>
              <w:spacing w:after="0"/>
              <w:rPr>
                <w:sz w:val="1"/>
                <w:szCs w:val="1"/>
                <w:color w:val="auto"/>
              </w:rPr>
            </w:pPr>
          </w:p>
        </w:tc>
      </w:tr>
      <w:tr>
        <w:trPr>
          <w:trHeight w:val="206"/>
        </w:trPr>
        <w:tc>
          <w:tcPr>
            <w:tcW w:w="5700" w:type="dxa"/>
            <w:vAlign w:val="bottom"/>
          </w:tcPr>
          <w:p>
            <w:pPr>
              <w:ind w:left="60"/>
              <w:spacing w:after="0" w:line="205" w:lineRule="exact"/>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67,531</w:t>
            </w:r>
          </w:p>
        </w:tc>
        <w:tc>
          <w:tcPr>
            <w:tcW w:w="0" w:type="dxa"/>
            <w:vAlign w:val="bottom"/>
          </w:tcPr>
          <w:p>
            <w:pPr>
              <w:spacing w:after="0"/>
              <w:rPr>
                <w:sz w:val="1"/>
                <w:szCs w:val="1"/>
                <w:color w:val="auto"/>
              </w:rPr>
            </w:pPr>
          </w:p>
        </w:tc>
      </w:tr>
      <w:tr>
        <w:trPr>
          <w:trHeight w:val="226"/>
        </w:trPr>
        <w:tc>
          <w:tcPr>
            <w:tcW w:w="5700" w:type="dxa"/>
            <w:vAlign w:val="bottom"/>
          </w:tcPr>
          <w:p>
            <w:pPr>
              <w:ind w:left="4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9,392</w:t>
            </w:r>
          </w:p>
        </w:tc>
        <w:tc>
          <w:tcPr>
            <w:tcW w:w="0" w:type="dxa"/>
            <w:vAlign w:val="bottom"/>
          </w:tcPr>
          <w:p>
            <w:pPr>
              <w:spacing w:after="0"/>
              <w:rPr>
                <w:sz w:val="1"/>
                <w:szCs w:val="1"/>
                <w:color w:val="auto"/>
              </w:rPr>
            </w:pPr>
          </w:p>
        </w:tc>
      </w:tr>
      <w:tr>
        <w:trPr>
          <w:trHeight w:val="227"/>
        </w:trPr>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18,685</w:t>
            </w:r>
          </w:p>
        </w:tc>
        <w:tc>
          <w:tcPr>
            <w:tcW w:w="0" w:type="dxa"/>
            <w:vAlign w:val="bottom"/>
          </w:tcPr>
          <w:p>
            <w:pPr>
              <w:spacing w:after="0"/>
              <w:rPr>
                <w:sz w:val="1"/>
                <w:szCs w:val="1"/>
                <w:color w:val="auto"/>
              </w:rPr>
            </w:pPr>
          </w:p>
        </w:tc>
      </w:tr>
      <w:tr>
        <w:trPr>
          <w:trHeight w:val="219"/>
        </w:trPr>
        <w:tc>
          <w:tcPr>
            <w:tcW w:w="5700" w:type="dxa"/>
            <w:vAlign w:val="bottom"/>
            <w:tcBorders>
              <w:bottom w:val="single" w:sz="8" w:color="CCEEFF"/>
            </w:tcBorders>
          </w:tcPr>
          <w:p>
            <w:pPr>
              <w:ind w:left="60"/>
              <w:spacing w:after="0" w:line="205" w:lineRule="exact"/>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112,155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95,608</w:t>
            </w:r>
          </w:p>
        </w:tc>
        <w:tc>
          <w:tcPr>
            <w:tcW w:w="0" w:type="dxa"/>
            <w:vAlign w:val="bottom"/>
          </w:tcPr>
          <w:p>
            <w:pPr>
              <w:spacing w:after="0"/>
              <w:rPr>
                <w:sz w:val="1"/>
                <w:szCs w:val="1"/>
                <w:color w:val="auto"/>
              </w:rPr>
            </w:pPr>
          </w:p>
        </w:tc>
      </w:tr>
      <w:tr>
        <w:trPr>
          <w:trHeight w:val="220"/>
        </w:trPr>
        <w:tc>
          <w:tcPr>
            <w:tcW w:w="5700" w:type="dxa"/>
            <w:vAlign w:val="bottom"/>
            <w:shd w:val="clear" w:color="auto" w:fill="CCEEFF"/>
          </w:tcPr>
          <w:p>
            <w:pPr>
              <w:ind w:left="60"/>
              <w:spacing w:after="0" w:line="206" w:lineRule="exact"/>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(37,739)</w:t>
            </w:r>
          </w:p>
        </w:tc>
        <w:tc>
          <w:tcPr>
            <w:tcW w:w="0" w:type="dxa"/>
            <w:vAlign w:val="bottom"/>
          </w:tcPr>
          <w:p>
            <w:pPr>
              <w:spacing w:after="0"/>
              <w:rPr>
                <w:sz w:val="1"/>
                <w:szCs w:val="1"/>
                <w:color w:val="auto"/>
              </w:rPr>
            </w:pPr>
          </w:p>
        </w:tc>
      </w:tr>
      <w:tr>
        <w:trPr>
          <w:trHeight w:val="226"/>
        </w:trPr>
        <w:tc>
          <w:tcPr>
            <w:tcW w:w="5700" w:type="dxa"/>
            <w:vAlign w:val="bottom"/>
          </w:tcPr>
          <w:p>
            <w:pPr>
              <w:ind w:left="60"/>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6"/>
        </w:trPr>
        <w:tc>
          <w:tcPr>
            <w:tcW w:w="570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227"/>
        </w:trPr>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9"/>
        </w:trPr>
        <w:tc>
          <w:tcPr>
            <w:tcW w:w="5700" w:type="dxa"/>
            <w:vAlign w:val="bottom"/>
          </w:tcPr>
          <w:p>
            <w:pPr>
              <w:ind w:left="60"/>
              <w:spacing w:after="0" w:line="205" w:lineRule="exact"/>
              <w:rPr>
                <w:sz w:val="20"/>
                <w:szCs w:val="20"/>
                <w:color w:val="auto"/>
              </w:rPr>
            </w:pPr>
            <w:r>
              <w:rPr>
                <w:rFonts w:ascii="Arial" w:cs="Arial" w:eastAsia="Arial" w:hAnsi="Arial"/>
                <w:sz w:val="18"/>
                <w:szCs w:val="18"/>
                <w:color w:val="auto"/>
              </w:rPr>
              <w:t>Net loss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(14,158)</w:t>
            </w:r>
          </w:p>
        </w:tc>
        <w:tc>
          <w:tcPr>
            <w:tcW w:w="100" w:type="dxa"/>
            <w:vAlign w:val="bottom"/>
          </w:tcPr>
          <w:p>
            <w:pPr>
              <w:spacing w:after="0"/>
              <w:rPr>
                <w:sz w:val="19"/>
                <w:szCs w:val="19"/>
                <w:color w:val="auto"/>
              </w:rPr>
            </w:pPr>
          </w:p>
        </w:tc>
        <w:tc>
          <w:tcPr>
            <w:tcW w:w="440" w:type="dxa"/>
            <w:vAlign w:val="bottom"/>
          </w:tcPr>
          <w:p>
            <w:pPr>
              <w:jc w:val="right"/>
              <w:ind w:right="23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(15,872)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(50,081)</w:t>
            </w:r>
          </w:p>
        </w:tc>
        <w:tc>
          <w:tcPr>
            <w:tcW w:w="8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(42,095)</w:t>
            </w:r>
          </w:p>
        </w:tc>
        <w:tc>
          <w:tcPr>
            <w:tcW w:w="0" w:type="dxa"/>
            <w:vAlign w:val="bottom"/>
          </w:tcPr>
          <w:p>
            <w:pPr>
              <w:spacing w:after="0"/>
              <w:rPr>
                <w:sz w:val="1"/>
                <w:szCs w:val="1"/>
                <w:color w:val="auto"/>
              </w:rPr>
            </w:pPr>
          </w:p>
        </w:tc>
      </w:tr>
      <w:tr>
        <w:trPr>
          <w:trHeight w:val="227"/>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comprehensive income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00" w:type="dxa"/>
            <w:vAlign w:val="bottom"/>
          </w:tcPr>
          <w:p>
            <w:pPr>
              <w:ind w:left="500"/>
              <w:spacing w:after="0"/>
              <w:rPr>
                <w:sz w:val="20"/>
                <w:szCs w:val="20"/>
                <w:color w:val="auto"/>
              </w:rPr>
            </w:pPr>
            <w:r>
              <w:rPr>
                <w:rFonts w:ascii="Arial" w:cs="Arial" w:eastAsia="Arial" w:hAnsi="Arial"/>
                <w:sz w:val="18"/>
                <w:szCs w:val="18"/>
                <w:color w:val="auto"/>
              </w:rPr>
              <w:t>Changes in foreign currency translation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7"/>
        </w:trPr>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Unrealized gain (loss) on marketable securities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9"/>
        </w:trPr>
        <w:tc>
          <w:tcPr>
            <w:tcW w:w="5700" w:type="dxa"/>
            <w:vAlign w:val="bottom"/>
          </w:tcPr>
          <w:p>
            <w:pPr>
              <w:ind w:left="60"/>
              <w:spacing w:after="0" w:line="205" w:lineRule="exact"/>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(50,276)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(42,193)</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700" w:type="dxa"/>
            <w:vAlign w:val="bottom"/>
          </w:tcPr>
          <w:p>
            <w:pPr>
              <w:ind w:left="6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700" w:type="dxa"/>
            <w:vAlign w:val="bottom"/>
          </w:tcPr>
          <w:p>
            <w:pPr>
              <w:ind w:left="60"/>
              <w:spacing w:after="0" w:line="174" w:lineRule="exact"/>
              <w:rPr>
                <w:sz w:val="20"/>
                <w:szCs w:val="20"/>
                <w:color w:val="auto"/>
              </w:rPr>
            </w:pPr>
            <w:r>
              <w:rPr>
                <w:rFonts w:ascii="Arial" w:cs="Arial" w:eastAsia="Arial" w:hAnsi="Arial"/>
                <w:sz w:val="18"/>
                <w:szCs w:val="18"/>
                <w:color w:val="auto"/>
                <w:w w:val="95"/>
              </w:rPr>
              <w:t>Weighted-average number of common shares used to compute basic and</w:t>
            </w: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34,356,850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88"/>
              </w:rPr>
              <w:t>33,340,093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34,069,357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33,005,904</w:t>
            </w:r>
          </w:p>
        </w:tc>
        <w:tc>
          <w:tcPr>
            <w:tcW w:w="0" w:type="dxa"/>
            <w:vAlign w:val="bottom"/>
          </w:tcPr>
          <w:p>
            <w:pPr>
              <w:spacing w:after="0"/>
              <w:rPr>
                <w:sz w:val="1"/>
                <w:szCs w:val="1"/>
                <w:color w:val="auto"/>
              </w:rPr>
            </w:pPr>
          </w:p>
        </w:tc>
      </w:tr>
      <w:tr>
        <w:trPr>
          <w:trHeight w:val="212"/>
        </w:trPr>
        <w:tc>
          <w:tcPr>
            <w:tcW w:w="5700" w:type="dxa"/>
            <w:vAlign w:val="bottom"/>
          </w:tcPr>
          <w:p>
            <w:pPr>
              <w:ind w:left="220"/>
              <w:spacing w:after="0"/>
              <w:rPr>
                <w:sz w:val="20"/>
                <w:szCs w:val="20"/>
                <w:color w:val="auto"/>
              </w:rPr>
            </w:pPr>
            <w:r>
              <w:rPr>
                <w:rFonts w:ascii="Arial" w:cs="Arial" w:eastAsia="Arial" w:hAnsi="Arial"/>
                <w:sz w:val="18"/>
                <w:szCs w:val="18"/>
                <w:color w:val="auto"/>
              </w:rPr>
              <w:t>diluted net loss per share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 w:name="page7"/>
    <w:bookmarkEnd w:id="6"/>
    <w:p>
      <w:pPr>
        <w:ind w:left="5000"/>
        <w:spacing w:after="0"/>
        <w:rPr>
          <w:sz w:val="20"/>
          <w:szCs w:val="20"/>
          <w:color w:val="auto"/>
        </w:rPr>
      </w:pPr>
      <w:r>
        <w:rPr>
          <w:rFonts w:ascii="Arial" w:cs="Arial" w:eastAsia="Arial" w:hAnsi="Arial"/>
          <w:sz w:val="18"/>
          <w:szCs w:val="18"/>
          <w:b w:val="1"/>
          <w:bCs w:val="1"/>
          <w:color w:val="auto"/>
        </w:rPr>
        <w:t>SI-BONE, INC.</w:t>
      </w:r>
    </w:p>
    <w:p>
      <w:pPr>
        <w:spacing w:after="0" w:line="9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(In thousands, except share amounts)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4"/>
              </w:rPr>
              <w:t>Additional</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Accumulated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020" w:type="dxa"/>
            <w:vAlign w:val="bottom"/>
          </w:tcPr>
          <w:p>
            <w:pPr>
              <w:spacing w:after="0"/>
              <w:rPr>
                <w:sz w:val="16"/>
                <w:szCs w:val="16"/>
                <w:color w:val="auto"/>
              </w:rPr>
            </w:pPr>
          </w:p>
        </w:tc>
        <w:tc>
          <w:tcPr>
            <w:tcW w:w="1840" w:type="dxa"/>
            <w:vAlign w:val="bottom"/>
            <w:gridSpan w:val="4"/>
            <w:vMerge w:val="restart"/>
          </w:tcPr>
          <w:p>
            <w:pPr>
              <w:jc w:val="right"/>
              <w:ind w:right="312"/>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center"/>
              <w:ind w:right="112"/>
              <w:spacing w:after="0"/>
              <w:rPr>
                <w:sz w:val="20"/>
                <w:szCs w:val="20"/>
                <w:color w:val="auto"/>
              </w:rPr>
            </w:pPr>
            <w:r>
              <w:rPr>
                <w:rFonts w:ascii="Arial" w:cs="Arial" w:eastAsia="Arial" w:hAnsi="Arial"/>
                <w:sz w:val="16"/>
                <w:szCs w:val="16"/>
                <w:b w:val="1"/>
                <w:bCs w:val="1"/>
                <w:color w:val="auto"/>
                <w:w w:val="98"/>
              </w:rPr>
              <w:t>Other</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5"/>
        </w:trPr>
        <w:tc>
          <w:tcPr>
            <w:tcW w:w="5020" w:type="dxa"/>
            <w:vAlign w:val="bottom"/>
          </w:tcPr>
          <w:p>
            <w:pPr>
              <w:spacing w:after="0"/>
              <w:rPr>
                <w:sz w:val="17"/>
                <w:szCs w:val="17"/>
                <w:color w:val="auto"/>
              </w:rPr>
            </w:pPr>
          </w:p>
        </w:tc>
        <w:tc>
          <w:tcPr>
            <w:tcW w:w="1840" w:type="dxa"/>
            <w:vAlign w:val="bottom"/>
            <w:tcBorders>
              <w:bottom w:val="single" w:sz="8" w:color="auto"/>
            </w:tcBorders>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240"/>
              <w:spacing w:after="0" w:line="180" w:lineRule="exact"/>
              <w:rPr>
                <w:sz w:val="20"/>
                <w:szCs w:val="20"/>
                <w:color w:val="auto"/>
              </w:rPr>
            </w:pPr>
            <w:r>
              <w:rPr>
                <w:rFonts w:ascii="Arial" w:cs="Arial" w:eastAsia="Arial" w:hAnsi="Arial"/>
                <w:sz w:val="16"/>
                <w:szCs w:val="16"/>
                <w:b w:val="1"/>
                <w:bCs w:val="1"/>
                <w:color w:val="auto"/>
                <w:w w:val="93"/>
              </w:rPr>
              <w:t>Paid-in</w:t>
            </w:r>
          </w:p>
        </w:tc>
        <w:tc>
          <w:tcPr>
            <w:tcW w:w="110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auto"/>
                <w:w w:val="88"/>
              </w:rPr>
              <w:t>Comprehensive</w:t>
            </w:r>
          </w:p>
        </w:tc>
        <w:tc>
          <w:tcPr>
            <w:tcW w:w="80" w:type="dxa"/>
            <w:vAlign w:val="bottom"/>
          </w:tcPr>
          <w:p>
            <w:pPr>
              <w:spacing w:after="0"/>
              <w:rPr>
                <w:sz w:val="17"/>
                <w:szCs w:val="17"/>
                <w:color w:val="auto"/>
              </w:rPr>
            </w:pPr>
          </w:p>
        </w:tc>
        <w:tc>
          <w:tcPr>
            <w:tcW w:w="960" w:type="dxa"/>
            <w:vAlign w:val="bottom"/>
            <w:gridSpan w:val="2"/>
          </w:tcPr>
          <w:p>
            <w:pPr>
              <w:ind w:left="20"/>
              <w:spacing w:after="0" w:line="180" w:lineRule="exact"/>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7"/>
                <w:szCs w:val="17"/>
                <w:color w:val="auto"/>
              </w:rPr>
            </w:pPr>
          </w:p>
        </w:tc>
        <w:tc>
          <w:tcPr>
            <w:tcW w:w="980" w:type="dxa"/>
            <w:vAlign w:val="bottom"/>
            <w:gridSpan w:val="2"/>
          </w:tcPr>
          <w:p>
            <w:pPr>
              <w:ind w:left="20"/>
              <w:spacing w:after="0" w:line="180"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p>
        </w:tc>
        <w:tc>
          <w:tcPr>
            <w:tcW w:w="880" w:type="dxa"/>
            <w:vAlign w:val="bottom"/>
          </w:tcPr>
          <w:p>
            <w:pPr>
              <w:jc w:val="right"/>
              <w:ind w:right="132"/>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72"/>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200" w:type="dxa"/>
            <w:vAlign w:val="bottom"/>
          </w:tcPr>
          <w:p>
            <w:pPr>
              <w:spacing w:after="0"/>
              <w:rPr>
                <w:sz w:val="20"/>
                <w:szCs w:val="20"/>
                <w:color w:val="auto"/>
              </w:rPr>
            </w:pPr>
          </w:p>
        </w:tc>
        <w:tc>
          <w:tcPr>
            <w:tcW w:w="90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Income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72"/>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7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2"/>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33,674,085</w:t>
            </w:r>
          </w:p>
        </w:tc>
        <w:tc>
          <w:tcPr>
            <w:tcW w:w="80" w:type="dxa"/>
            <w:vAlign w:val="bottom"/>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429,914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(295,849)</w:t>
            </w:r>
          </w:p>
        </w:tc>
        <w:tc>
          <w:tcPr>
            <w:tcW w:w="80" w:type="dxa"/>
            <w:vAlign w:val="bottom"/>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134,420</w:t>
            </w:r>
          </w:p>
        </w:tc>
        <w:tc>
          <w:tcPr>
            <w:tcW w:w="0" w:type="dxa"/>
            <w:vAlign w:val="bottom"/>
          </w:tcPr>
          <w:p>
            <w:pPr>
              <w:spacing w:after="0"/>
              <w:rPr>
                <w:sz w:val="1"/>
                <w:szCs w:val="1"/>
                <w:color w:val="auto"/>
              </w:rPr>
            </w:pPr>
          </w:p>
        </w:tc>
      </w:tr>
      <w:tr>
        <w:trPr>
          <w:trHeight w:val="174"/>
        </w:trPr>
        <w:tc>
          <w:tcPr>
            <w:tcW w:w="5020" w:type="dxa"/>
            <w:vAlign w:val="bottom"/>
          </w:tcPr>
          <w:p>
            <w:pPr>
              <w:ind w:left="20"/>
              <w:spacing w:after="0" w:line="174" w:lineRule="exact"/>
              <w:rPr>
                <w:sz w:val="20"/>
                <w:szCs w:val="20"/>
                <w:color w:val="auto"/>
              </w:rPr>
            </w:pPr>
            <w:r>
              <w:rPr>
                <w:rFonts w:ascii="Arial" w:cs="Arial" w:eastAsia="Arial" w:hAnsi="Arial"/>
                <w:sz w:val="18"/>
                <w:szCs w:val="18"/>
                <w:color w:val="auto"/>
                <w:w w:val="96"/>
              </w:rPr>
              <w:t>Issuance of common stock upon exercise of stock options, net of</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Arial" w:cs="Arial" w:eastAsia="Arial" w:hAnsi="Arial"/>
                <w:sz w:val="18"/>
                <w:szCs w:val="18"/>
                <w:color w:val="auto"/>
              </w:rPr>
              <w:t>shares withheld</w:t>
            </w:r>
          </w:p>
        </w:tc>
        <w:tc>
          <w:tcPr>
            <w:tcW w:w="880" w:type="dxa"/>
            <w:vAlign w:val="bottom"/>
          </w:tcPr>
          <w:p>
            <w:pPr>
              <w:jc w:val="right"/>
              <w:spacing w:after="0"/>
              <w:rPr>
                <w:sz w:val="20"/>
                <w:szCs w:val="20"/>
                <w:color w:val="auto"/>
              </w:rPr>
            </w:pPr>
            <w:r>
              <w:rPr>
                <w:rFonts w:ascii="Arial" w:cs="Arial" w:eastAsia="Arial" w:hAnsi="Arial"/>
                <w:sz w:val="18"/>
                <w:szCs w:val="18"/>
                <w:color w:val="auto"/>
              </w:rPr>
              <w:t>34,798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Issuance of common stock upon vesting of restricted stock units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163,480</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2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loss on marketable securities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(17,410)</w:t>
            </w:r>
          </w:p>
        </w:tc>
        <w:tc>
          <w:tcPr>
            <w:tcW w:w="0" w:type="dxa"/>
            <w:vAlign w:val="bottom"/>
          </w:tcPr>
          <w:p>
            <w:pPr>
              <w:spacing w:after="0"/>
              <w:rPr>
                <w:sz w:val="1"/>
                <w:szCs w:val="1"/>
                <w:color w:val="auto"/>
              </w:rPr>
            </w:pPr>
          </w:p>
        </w:tc>
      </w:tr>
      <w:tr>
        <w:trPr>
          <w:trHeight w:val="22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2022</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33,872,363</w:t>
            </w:r>
          </w:p>
        </w:tc>
        <w:tc>
          <w:tcPr>
            <w:tcW w:w="80" w:type="dxa"/>
            <w:vAlign w:val="bottom"/>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435,590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80" w:type="dxa"/>
            <w:vAlign w:val="bottom"/>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(313,259)</w:t>
            </w:r>
          </w:p>
        </w:tc>
        <w:tc>
          <w:tcPr>
            <w:tcW w:w="80" w:type="dxa"/>
            <w:vAlign w:val="bottom"/>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122,438</w:t>
            </w:r>
          </w:p>
        </w:tc>
        <w:tc>
          <w:tcPr>
            <w:tcW w:w="0" w:type="dxa"/>
            <w:vAlign w:val="bottom"/>
          </w:tcPr>
          <w:p>
            <w:pPr>
              <w:spacing w:after="0"/>
              <w:rPr>
                <w:sz w:val="1"/>
                <w:szCs w:val="1"/>
                <w:color w:val="auto"/>
              </w:rPr>
            </w:pPr>
          </w:p>
        </w:tc>
      </w:tr>
      <w:tr>
        <w:trPr>
          <w:trHeight w:val="174"/>
        </w:trPr>
        <w:tc>
          <w:tcPr>
            <w:tcW w:w="5020" w:type="dxa"/>
            <w:vAlign w:val="bottom"/>
          </w:tcPr>
          <w:p>
            <w:pPr>
              <w:ind w:left="20"/>
              <w:spacing w:after="0" w:line="174" w:lineRule="exact"/>
              <w:rPr>
                <w:sz w:val="20"/>
                <w:szCs w:val="20"/>
                <w:color w:val="auto"/>
              </w:rPr>
            </w:pPr>
            <w:r>
              <w:rPr>
                <w:rFonts w:ascii="Arial" w:cs="Arial" w:eastAsia="Arial" w:hAnsi="Arial"/>
                <w:sz w:val="18"/>
                <w:szCs w:val="18"/>
                <w:color w:val="auto"/>
                <w:w w:val="96"/>
              </w:rPr>
              <w:t>Issuance of common stock upon exercise of stock options, net of</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Arial" w:cs="Arial" w:eastAsia="Arial" w:hAnsi="Arial"/>
                <w:sz w:val="18"/>
                <w:szCs w:val="18"/>
                <w:color w:val="auto"/>
              </w:rPr>
              <w:t>shares withheld</w:t>
            </w:r>
          </w:p>
        </w:tc>
        <w:tc>
          <w:tcPr>
            <w:tcW w:w="880" w:type="dxa"/>
            <w:vAlign w:val="bottom"/>
          </w:tcPr>
          <w:p>
            <w:pPr>
              <w:jc w:val="right"/>
              <w:spacing w:after="0"/>
              <w:rPr>
                <w:sz w:val="20"/>
                <w:szCs w:val="20"/>
                <w:color w:val="auto"/>
              </w:rPr>
            </w:pPr>
            <w:r>
              <w:rPr>
                <w:rFonts w:ascii="Arial" w:cs="Arial" w:eastAsia="Arial" w:hAnsi="Arial"/>
                <w:sz w:val="18"/>
                <w:szCs w:val="18"/>
                <w:color w:val="auto"/>
              </w:rPr>
              <w:t>4,469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Issuance of common stock related to employee stock purchase plan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112,773</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Arial" w:cs="Arial" w:eastAsia="Arial" w:hAnsi="Arial"/>
                <w:sz w:val="18"/>
                <w:szCs w:val="18"/>
                <w:color w:val="auto"/>
                <w:w w:val="97"/>
              </w:rPr>
              <w:t>Issuance of common stock upon vesting of restricted stock units</w:t>
            </w:r>
          </w:p>
        </w:tc>
        <w:tc>
          <w:tcPr>
            <w:tcW w:w="880" w:type="dxa"/>
            <w:vAlign w:val="bottom"/>
          </w:tcPr>
          <w:p>
            <w:pPr>
              <w:jc w:val="right"/>
              <w:spacing w:after="0"/>
              <w:rPr>
                <w:sz w:val="20"/>
                <w:szCs w:val="20"/>
                <w:color w:val="auto"/>
              </w:rPr>
            </w:pPr>
            <w:r>
              <w:rPr>
                <w:rFonts w:ascii="Arial" w:cs="Arial" w:eastAsia="Arial" w:hAnsi="Arial"/>
                <w:sz w:val="18"/>
                <w:szCs w:val="18"/>
                <w:color w:val="auto"/>
              </w:rPr>
              <w:t>232,009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loss on marketable securities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(18,513)</w:t>
            </w:r>
          </w:p>
        </w:tc>
        <w:tc>
          <w:tcPr>
            <w:tcW w:w="0" w:type="dxa"/>
            <w:vAlign w:val="bottom"/>
          </w:tcPr>
          <w:p>
            <w:pPr>
              <w:spacing w:after="0"/>
              <w:rPr>
                <w:sz w:val="1"/>
                <w:szCs w:val="1"/>
                <w:color w:val="auto"/>
              </w:rPr>
            </w:pPr>
          </w:p>
        </w:tc>
      </w:tr>
      <w:tr>
        <w:trPr>
          <w:trHeight w:val="22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2022</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34,221,614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442,570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(331,772)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110,833</w:t>
            </w:r>
          </w:p>
        </w:tc>
        <w:tc>
          <w:tcPr>
            <w:tcW w:w="0" w:type="dxa"/>
            <w:vAlign w:val="bottom"/>
          </w:tcPr>
          <w:p>
            <w:pPr>
              <w:spacing w:after="0"/>
              <w:rPr>
                <w:sz w:val="1"/>
                <w:szCs w:val="1"/>
                <w:color w:val="auto"/>
              </w:rPr>
            </w:pPr>
          </w:p>
        </w:tc>
      </w:tr>
      <w:tr>
        <w:trPr>
          <w:trHeight w:val="174"/>
        </w:trPr>
        <w:tc>
          <w:tcPr>
            <w:tcW w:w="5020" w:type="dxa"/>
            <w:vAlign w:val="bottom"/>
          </w:tcPr>
          <w:p>
            <w:pPr>
              <w:ind w:left="20"/>
              <w:spacing w:after="0" w:line="174" w:lineRule="exact"/>
              <w:rPr>
                <w:sz w:val="20"/>
                <w:szCs w:val="20"/>
                <w:color w:val="auto"/>
              </w:rPr>
            </w:pPr>
            <w:r>
              <w:rPr>
                <w:rFonts w:ascii="Arial" w:cs="Arial" w:eastAsia="Arial" w:hAnsi="Arial"/>
                <w:sz w:val="18"/>
                <w:szCs w:val="18"/>
                <w:color w:val="auto"/>
                <w:w w:val="96"/>
              </w:rPr>
              <w:t>Issuance of common stock upon exercise of stock options, net of</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Arial" w:cs="Arial" w:eastAsia="Arial" w:hAnsi="Arial"/>
                <w:sz w:val="18"/>
                <w:szCs w:val="18"/>
                <w:color w:val="auto"/>
              </w:rPr>
              <w:t>shares withheld</w:t>
            </w:r>
          </w:p>
        </w:tc>
        <w:tc>
          <w:tcPr>
            <w:tcW w:w="880" w:type="dxa"/>
            <w:vAlign w:val="bottom"/>
          </w:tcPr>
          <w:p>
            <w:pPr>
              <w:jc w:val="right"/>
              <w:spacing w:after="0"/>
              <w:rPr>
                <w:sz w:val="20"/>
                <w:szCs w:val="20"/>
                <w:color w:val="auto"/>
              </w:rPr>
            </w:pPr>
            <w:r>
              <w:rPr>
                <w:rFonts w:ascii="Arial" w:cs="Arial" w:eastAsia="Arial" w:hAnsi="Arial"/>
                <w:sz w:val="18"/>
                <w:szCs w:val="18"/>
                <w:color w:val="auto"/>
              </w:rPr>
              <w:t>24,944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Issuance of common stock upon vesting of restricted stock units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5,922</w:t>
            </w:r>
          </w:p>
        </w:tc>
        <w:tc>
          <w:tcPr>
            <w:tcW w:w="0" w:type="dxa"/>
            <w:vAlign w:val="bottom"/>
          </w:tcPr>
          <w:p>
            <w:pPr>
              <w:spacing w:after="0"/>
              <w:rPr>
                <w:sz w:val="1"/>
                <w:szCs w:val="1"/>
                <w:color w:val="auto"/>
              </w:rPr>
            </w:pPr>
          </w:p>
        </w:tc>
      </w:tr>
      <w:tr>
        <w:trPr>
          <w:trHeight w:val="22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Arial" w:cs="Arial" w:eastAsia="Arial" w:hAnsi="Arial"/>
                <w:sz w:val="18"/>
                <w:szCs w:val="18"/>
                <w:color w:val="auto"/>
              </w:rPr>
              <w:t>Net unrealized gain on marketable securities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(14,158)</w:t>
            </w:r>
          </w:p>
        </w:tc>
        <w:tc>
          <w:tcPr>
            <w:tcW w:w="0" w:type="dxa"/>
            <w:vAlign w:val="bottom"/>
          </w:tcPr>
          <w:p>
            <w:pPr>
              <w:spacing w:after="0"/>
              <w:rPr>
                <w:sz w:val="1"/>
                <w:szCs w:val="1"/>
                <w:color w:val="auto"/>
              </w:rPr>
            </w:pPr>
          </w:p>
        </w:tc>
      </w:tr>
      <w:tr>
        <w:trPr>
          <w:trHeight w:val="22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Balance as of September 30, 2022</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34,439,309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448,598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(345,930)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102,828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66675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60" w:top="813" w:right="3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Accumulated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020" w:type="dxa"/>
            <w:vAlign w:val="bottom"/>
          </w:tcPr>
          <w:p>
            <w:pPr>
              <w:spacing w:after="0"/>
              <w:rPr>
                <w:sz w:val="17"/>
                <w:szCs w:val="17"/>
                <w:color w:val="auto"/>
              </w:rPr>
            </w:pPr>
          </w:p>
        </w:tc>
        <w:tc>
          <w:tcPr>
            <w:tcW w:w="1840" w:type="dxa"/>
            <w:vAlign w:val="bottom"/>
            <w:gridSpan w:val="4"/>
            <w:vMerge w:val="restart"/>
          </w:tcPr>
          <w:p>
            <w:pPr>
              <w:jc w:val="right"/>
              <w:ind w:right="312"/>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7"/>
                <w:szCs w:val="17"/>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4"/>
              </w:rPr>
              <w:t>Additional</w:t>
            </w:r>
          </w:p>
        </w:tc>
        <w:tc>
          <w:tcPr>
            <w:tcW w:w="20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2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1"/>
        </w:trPr>
        <w:tc>
          <w:tcPr>
            <w:tcW w:w="5020" w:type="dxa"/>
            <w:vAlign w:val="bottom"/>
          </w:tcPr>
          <w:p>
            <w:pPr>
              <w:spacing w:after="0"/>
              <w:rPr>
                <w:sz w:val="16"/>
                <w:szCs w:val="16"/>
                <w:color w:val="auto"/>
              </w:rPr>
            </w:pPr>
          </w:p>
        </w:tc>
        <w:tc>
          <w:tcPr>
            <w:tcW w:w="184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center"/>
              <w:ind w:right="240"/>
              <w:spacing w:after="0" w:line="167" w:lineRule="exact"/>
              <w:rPr>
                <w:sz w:val="20"/>
                <w:szCs w:val="20"/>
                <w:color w:val="auto"/>
              </w:rPr>
            </w:pPr>
            <w:r>
              <w:rPr>
                <w:rFonts w:ascii="Arial" w:cs="Arial" w:eastAsia="Arial" w:hAnsi="Arial"/>
                <w:sz w:val="16"/>
                <w:szCs w:val="16"/>
                <w:b w:val="1"/>
                <w:bCs w:val="1"/>
                <w:color w:val="auto"/>
                <w:w w:val="93"/>
              </w:rPr>
              <w:t>Paid-in</w:t>
            </w:r>
          </w:p>
        </w:tc>
        <w:tc>
          <w:tcPr>
            <w:tcW w:w="1180" w:type="dxa"/>
            <w:vAlign w:val="bottom"/>
            <w:gridSpan w:val="3"/>
          </w:tcPr>
          <w:p>
            <w:pPr>
              <w:jc w:val="center"/>
              <w:ind w:right="80"/>
              <w:spacing w:after="0" w:line="167" w:lineRule="exact"/>
              <w:rPr>
                <w:sz w:val="20"/>
                <w:szCs w:val="20"/>
                <w:color w:val="auto"/>
              </w:rPr>
            </w:pPr>
            <w:r>
              <w:rPr>
                <w:rFonts w:ascii="Arial" w:cs="Arial" w:eastAsia="Arial" w:hAnsi="Arial"/>
                <w:sz w:val="16"/>
                <w:szCs w:val="16"/>
                <w:b w:val="1"/>
                <w:bCs w:val="1"/>
                <w:color w:val="auto"/>
                <w:w w:val="88"/>
              </w:rPr>
              <w:t>Comprehensive</w:t>
            </w:r>
          </w:p>
        </w:tc>
        <w:tc>
          <w:tcPr>
            <w:tcW w:w="1040" w:type="dxa"/>
            <w:vAlign w:val="bottom"/>
            <w:gridSpan w:val="3"/>
          </w:tcPr>
          <w:p>
            <w:pPr>
              <w:ind w:left="20"/>
              <w:spacing w:after="0" w:line="167" w:lineRule="exact"/>
              <w:rPr>
                <w:sz w:val="20"/>
                <w:szCs w:val="20"/>
                <w:color w:val="auto"/>
              </w:rPr>
            </w:pPr>
            <w:r>
              <w:rPr>
                <w:rFonts w:ascii="Arial" w:cs="Arial" w:eastAsia="Arial" w:hAnsi="Arial"/>
                <w:sz w:val="16"/>
                <w:szCs w:val="16"/>
                <w:b w:val="1"/>
                <w:bCs w:val="1"/>
                <w:color w:val="auto"/>
                <w:w w:val="99"/>
              </w:rPr>
              <w:t>Accumulated</w:t>
            </w:r>
          </w:p>
        </w:tc>
        <w:tc>
          <w:tcPr>
            <w:tcW w:w="980" w:type="dxa"/>
            <w:vAlign w:val="bottom"/>
            <w:gridSpan w:val="2"/>
          </w:tcPr>
          <w:p>
            <w:pPr>
              <w:ind w:left="20"/>
              <w:spacing w:after="0" w:line="167"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p>
        </w:tc>
        <w:tc>
          <w:tcPr>
            <w:tcW w:w="960" w:type="dxa"/>
            <w:vAlign w:val="bottom"/>
            <w:gridSpan w:val="2"/>
          </w:tcPr>
          <w:p>
            <w:pPr>
              <w:ind w:left="20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20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Income</w:t>
            </w:r>
          </w:p>
        </w:tc>
        <w:tc>
          <w:tcPr>
            <w:tcW w:w="18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20"/>
                <w:szCs w:val="20"/>
                <w:color w:val="auto"/>
              </w:rPr>
            </w:pPr>
          </w:p>
        </w:tc>
        <w:tc>
          <w:tcPr>
            <w:tcW w:w="800" w:type="dxa"/>
            <w:vAlign w:val="bottom"/>
          </w:tcPr>
          <w:p>
            <w:pPr>
              <w:jc w:val="right"/>
              <w:ind w:right="17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2"/>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32,583,220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408,113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(239,277)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169,363</w:t>
            </w:r>
          </w:p>
        </w:tc>
        <w:tc>
          <w:tcPr>
            <w:tcW w:w="0" w:type="dxa"/>
            <w:vAlign w:val="bottom"/>
          </w:tcPr>
          <w:p>
            <w:pPr>
              <w:spacing w:after="0"/>
              <w:rPr>
                <w:sz w:val="1"/>
                <w:szCs w:val="1"/>
                <w:color w:val="auto"/>
              </w:rPr>
            </w:pPr>
          </w:p>
        </w:tc>
      </w:tr>
      <w:tr>
        <w:trPr>
          <w:trHeight w:val="174"/>
        </w:trPr>
        <w:tc>
          <w:tcPr>
            <w:tcW w:w="5020" w:type="dxa"/>
            <w:vAlign w:val="bottom"/>
          </w:tcPr>
          <w:p>
            <w:pPr>
              <w:ind w:left="20"/>
              <w:spacing w:after="0" w:line="174" w:lineRule="exact"/>
              <w:rPr>
                <w:sz w:val="20"/>
                <w:szCs w:val="20"/>
                <w:color w:val="auto"/>
              </w:rPr>
            </w:pPr>
            <w:r>
              <w:rPr>
                <w:rFonts w:ascii="Arial" w:cs="Arial" w:eastAsia="Arial" w:hAnsi="Arial"/>
                <w:sz w:val="18"/>
                <w:szCs w:val="18"/>
                <w:color w:val="auto"/>
                <w:w w:val="96"/>
              </w:rPr>
              <w:t>Issuance of common stock upon exercise of stock options, net of</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Arial" w:cs="Arial" w:eastAsia="Arial" w:hAnsi="Arial"/>
                <w:sz w:val="18"/>
                <w:szCs w:val="18"/>
                <w:color w:val="auto"/>
              </w:rPr>
              <w:t>shares withheld</w:t>
            </w:r>
          </w:p>
        </w:tc>
        <w:tc>
          <w:tcPr>
            <w:tcW w:w="880" w:type="dxa"/>
            <w:vAlign w:val="bottom"/>
          </w:tcPr>
          <w:p>
            <w:pPr>
              <w:jc w:val="right"/>
              <w:spacing w:after="0"/>
              <w:rPr>
                <w:sz w:val="20"/>
                <w:szCs w:val="20"/>
                <w:color w:val="auto"/>
              </w:rPr>
            </w:pPr>
            <w:r>
              <w:rPr>
                <w:rFonts w:ascii="Arial" w:cs="Arial" w:eastAsia="Arial" w:hAnsi="Arial"/>
                <w:sz w:val="18"/>
                <w:szCs w:val="18"/>
                <w:color w:val="auto"/>
              </w:rPr>
              <w:t>93,975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Issuance of common stock upon vesting of restricted stock units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2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of early exercised stock options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gain on marketable securities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(12,242)</w:t>
            </w:r>
          </w:p>
        </w:tc>
        <w:tc>
          <w:tcPr>
            <w:tcW w:w="0" w:type="dxa"/>
            <w:vAlign w:val="bottom"/>
          </w:tcPr>
          <w:p>
            <w:pPr>
              <w:spacing w:after="0"/>
              <w:rPr>
                <w:sz w:val="1"/>
                <w:szCs w:val="1"/>
                <w:color w:val="auto"/>
              </w:rPr>
            </w:pPr>
          </w:p>
        </w:tc>
      </w:tr>
      <w:tr>
        <w:trPr>
          <w:trHeight w:val="22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32,808,534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412,753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(251,519)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161,667</w:t>
            </w:r>
          </w:p>
        </w:tc>
        <w:tc>
          <w:tcPr>
            <w:tcW w:w="0" w:type="dxa"/>
            <w:vAlign w:val="bottom"/>
          </w:tcPr>
          <w:p>
            <w:pPr>
              <w:spacing w:after="0"/>
              <w:rPr>
                <w:sz w:val="1"/>
                <w:szCs w:val="1"/>
                <w:color w:val="auto"/>
              </w:rPr>
            </w:pPr>
          </w:p>
        </w:tc>
      </w:tr>
      <w:tr>
        <w:trPr>
          <w:trHeight w:val="174"/>
        </w:trPr>
        <w:tc>
          <w:tcPr>
            <w:tcW w:w="5020" w:type="dxa"/>
            <w:vAlign w:val="bottom"/>
          </w:tcPr>
          <w:p>
            <w:pPr>
              <w:ind w:left="20"/>
              <w:spacing w:after="0" w:line="174" w:lineRule="exact"/>
              <w:rPr>
                <w:sz w:val="20"/>
                <w:szCs w:val="20"/>
                <w:color w:val="auto"/>
              </w:rPr>
            </w:pPr>
            <w:r>
              <w:rPr>
                <w:rFonts w:ascii="Arial" w:cs="Arial" w:eastAsia="Arial" w:hAnsi="Arial"/>
                <w:sz w:val="18"/>
                <w:szCs w:val="18"/>
                <w:color w:val="auto"/>
                <w:w w:val="96"/>
              </w:rPr>
              <w:t>Issuance of common stock upon exercise of stock options, net of</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Arial" w:cs="Arial" w:eastAsia="Arial" w:hAnsi="Arial"/>
                <w:sz w:val="18"/>
                <w:szCs w:val="18"/>
                <w:color w:val="auto"/>
              </w:rPr>
              <w:t>shares withheld</w:t>
            </w:r>
          </w:p>
        </w:tc>
        <w:tc>
          <w:tcPr>
            <w:tcW w:w="880" w:type="dxa"/>
            <w:vAlign w:val="bottom"/>
          </w:tcPr>
          <w:p>
            <w:pPr>
              <w:jc w:val="right"/>
              <w:spacing w:after="0"/>
              <w:rPr>
                <w:sz w:val="20"/>
                <w:szCs w:val="20"/>
                <w:color w:val="auto"/>
              </w:rPr>
            </w:pPr>
            <w:r>
              <w:rPr>
                <w:rFonts w:ascii="Arial" w:cs="Arial" w:eastAsia="Arial" w:hAnsi="Arial"/>
                <w:sz w:val="18"/>
                <w:szCs w:val="18"/>
                <w:color w:val="auto"/>
              </w:rPr>
              <w:t>140,917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Issuance of common stock related to employee stock purchase plan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Arial" w:cs="Arial" w:eastAsia="Arial" w:hAnsi="Arial"/>
                <w:sz w:val="18"/>
                <w:szCs w:val="18"/>
                <w:color w:val="auto"/>
                <w:w w:val="97"/>
              </w:rPr>
              <w:t>Issuance of common stock upon vesting of restricted stock units</w:t>
            </w:r>
          </w:p>
        </w:tc>
        <w:tc>
          <w:tcPr>
            <w:tcW w:w="880" w:type="dxa"/>
            <w:vAlign w:val="bottom"/>
          </w:tcPr>
          <w:p>
            <w:pPr>
              <w:jc w:val="right"/>
              <w:spacing w:after="0"/>
              <w:rPr>
                <w:sz w:val="20"/>
                <w:szCs w:val="20"/>
                <w:color w:val="auto"/>
              </w:rPr>
            </w:pPr>
            <w:r>
              <w:rPr>
                <w:rFonts w:ascii="Arial" w:cs="Arial" w:eastAsia="Arial" w:hAnsi="Arial"/>
                <w:sz w:val="18"/>
                <w:szCs w:val="18"/>
                <w:color w:val="auto"/>
              </w:rPr>
              <w:t>181,958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Arial" w:cs="Arial" w:eastAsia="Arial" w:hAnsi="Arial"/>
                <w:sz w:val="18"/>
                <w:szCs w:val="18"/>
                <w:color w:val="auto"/>
              </w:rPr>
              <w:t>Vesting of early exercised stock options</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Arial" w:cs="Arial" w:eastAsia="Arial" w:hAnsi="Arial"/>
                <w:sz w:val="18"/>
                <w:szCs w:val="18"/>
                <w:color w:val="auto"/>
              </w:rPr>
              <w:t>Net unrealized loss on marketable securities</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(13,981)</w:t>
            </w:r>
          </w:p>
        </w:tc>
        <w:tc>
          <w:tcPr>
            <w:tcW w:w="0" w:type="dxa"/>
            <w:vAlign w:val="bottom"/>
          </w:tcPr>
          <w:p>
            <w:pPr>
              <w:spacing w:after="0"/>
              <w:rPr>
                <w:sz w:val="1"/>
                <w:szCs w:val="1"/>
                <w:color w:val="auto"/>
              </w:rPr>
            </w:pPr>
          </w:p>
        </w:tc>
      </w:tr>
      <w:tr>
        <w:trPr>
          <w:trHeight w:val="22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Balance as of June 30, 2021</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33,236,270</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419,235</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460</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(265,500)</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154,198</w:t>
            </w:r>
          </w:p>
        </w:tc>
        <w:tc>
          <w:tcPr>
            <w:tcW w:w="0" w:type="dxa"/>
            <w:vAlign w:val="bottom"/>
          </w:tcPr>
          <w:p>
            <w:pPr>
              <w:spacing w:after="0"/>
              <w:rPr>
                <w:sz w:val="1"/>
                <w:szCs w:val="1"/>
                <w:color w:val="auto"/>
              </w:rPr>
            </w:pPr>
          </w:p>
        </w:tc>
      </w:tr>
      <w:tr>
        <w:trPr>
          <w:trHeight w:val="174"/>
        </w:trPr>
        <w:tc>
          <w:tcPr>
            <w:tcW w:w="50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6"/>
              </w:rPr>
              <w:t>Issuance of common stock upon exercise of stock options, net of</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withheld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Arial" w:cs="Arial" w:eastAsia="Arial" w:hAnsi="Arial"/>
                <w:sz w:val="18"/>
                <w:szCs w:val="18"/>
                <w:color w:val="auto"/>
                <w:w w:val="97"/>
              </w:rPr>
              <w:t>Issuance of common stock upon vesting of restricted stock units</w:t>
            </w:r>
          </w:p>
        </w:tc>
        <w:tc>
          <w:tcPr>
            <w:tcW w:w="880" w:type="dxa"/>
            <w:vAlign w:val="bottom"/>
          </w:tcPr>
          <w:p>
            <w:pPr>
              <w:jc w:val="right"/>
              <w:spacing w:after="0"/>
              <w:rPr>
                <w:sz w:val="20"/>
                <w:szCs w:val="20"/>
                <w:color w:val="auto"/>
              </w:rPr>
            </w:pPr>
            <w:r>
              <w:rPr>
                <w:rFonts w:ascii="Arial" w:cs="Arial" w:eastAsia="Arial" w:hAnsi="Arial"/>
                <w:sz w:val="18"/>
                <w:szCs w:val="18"/>
                <w:color w:val="auto"/>
              </w:rPr>
              <w:t>132,616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Arial" w:cs="Arial" w:eastAsia="Arial" w:hAnsi="Arial"/>
                <w:sz w:val="18"/>
                <w:szCs w:val="18"/>
                <w:color w:val="auto"/>
              </w:rPr>
              <w:t>Vesting of early exercised stock options</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6"/>
        </w:trPr>
        <w:tc>
          <w:tcPr>
            <w:tcW w:w="5020" w:type="dxa"/>
            <w:vAlign w:val="bottom"/>
          </w:tcPr>
          <w:p>
            <w:pPr>
              <w:ind w:left="20"/>
              <w:spacing w:after="0"/>
              <w:rPr>
                <w:sz w:val="20"/>
                <w:szCs w:val="20"/>
                <w:color w:val="auto"/>
              </w:rPr>
            </w:pPr>
            <w:r>
              <w:rPr>
                <w:rFonts w:ascii="Arial" w:cs="Arial" w:eastAsia="Arial" w:hAnsi="Arial"/>
                <w:sz w:val="18"/>
                <w:szCs w:val="18"/>
                <w:color w:val="auto"/>
              </w:rPr>
              <w:t>Net unrealized loss on marketable securities</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w:t>
            </w:r>
          </w:p>
        </w:tc>
        <w:tc>
          <w:tcPr>
            <w:tcW w:w="0" w:type="dxa"/>
            <w:vAlign w:val="bottom"/>
          </w:tcPr>
          <w:p>
            <w:pPr>
              <w:spacing w:after="0"/>
              <w:rPr>
                <w:sz w:val="1"/>
                <w:szCs w:val="1"/>
                <w:color w:val="auto"/>
              </w:rPr>
            </w:pPr>
          </w:p>
        </w:tc>
      </w:tr>
      <w:tr>
        <w:trPr>
          <w:trHeight w:val="22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Balance as of September 30, 2021</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33,450,995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424,561</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(281,372)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143,618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66675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60" w:top="844" w:right="3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Nine Months Ended</w:t>
      </w:r>
    </w:p>
    <w:p>
      <w:pPr>
        <w:jc w:val="center"/>
        <w:ind w:left="8040"/>
        <w:spacing w:after="0"/>
        <w:rPr>
          <w:sz w:val="20"/>
          <w:szCs w:val="20"/>
          <w:color w:val="auto"/>
        </w:rPr>
      </w:pPr>
      <w:r>
        <w:rPr>
          <w:rFonts w:ascii="Arial" w:cs="Arial" w:eastAsia="Arial" w:hAnsi="Arial"/>
          <w:sz w:val="16"/>
          <w:szCs w:val="16"/>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5"/>
        </w:trPr>
        <w:tc>
          <w:tcPr>
            <w:tcW w:w="806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60" w:type="dxa"/>
            <w:vAlign w:val="bottom"/>
          </w:tcPr>
          <w:p>
            <w:pPr>
              <w:ind w:left="6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(50,081)</w:t>
            </w:r>
          </w:p>
        </w:tc>
        <w:tc>
          <w:tcPr>
            <w:tcW w:w="120" w:type="dxa"/>
            <w:vAlign w:val="bottom"/>
          </w:tcPr>
          <w:p>
            <w:pPr>
              <w:spacing w:after="0"/>
              <w:rPr>
                <w:sz w:val="18"/>
                <w:szCs w:val="18"/>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(42,095)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12,528</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210"/>
        </w:trPr>
        <w:tc>
          <w:tcPr>
            <w:tcW w:w="8060" w:type="dxa"/>
            <w:vAlign w:val="bottom"/>
          </w:tcPr>
          <w:p>
            <w:pPr>
              <w:ind w:left="320"/>
              <w:spacing w:after="0"/>
              <w:rPr>
                <w:sz w:val="20"/>
                <w:szCs w:val="20"/>
                <w:color w:val="auto"/>
              </w:rPr>
            </w:pPr>
            <w:r>
              <w:rPr>
                <w:rFonts w:ascii="Arial" w:cs="Arial" w:eastAsia="Arial" w:hAnsi="Arial"/>
                <w:sz w:val="16"/>
                <w:szCs w:val="16"/>
                <w:color w:val="auto"/>
              </w:rPr>
              <w:t>Accounts receivable credit losses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Accretion of discount on marketable securities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210"/>
        </w:trPr>
        <w:tc>
          <w:tcPr>
            <w:tcW w:w="8060" w:type="dxa"/>
            <w:vAlign w:val="bottom"/>
          </w:tcPr>
          <w:p>
            <w:pPr>
              <w:ind w:left="34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on extinguishment of debt</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0" w:type="dxa"/>
            <w:vAlign w:val="bottom"/>
          </w:tcPr>
          <w:p>
            <w:pPr>
              <w:spacing w:after="0"/>
              <w:rPr>
                <w:sz w:val="1"/>
                <w:szCs w:val="1"/>
                <w:color w:val="auto"/>
              </w:rPr>
            </w:pPr>
          </w:p>
        </w:tc>
      </w:tr>
      <w:tr>
        <w:trPr>
          <w:trHeight w:val="210"/>
        </w:trPr>
        <w:tc>
          <w:tcPr>
            <w:tcW w:w="8060" w:type="dxa"/>
            <w:vAlign w:val="bottom"/>
          </w:tcPr>
          <w:p>
            <w:pPr>
              <w:ind w:left="340"/>
              <w:spacing w:after="0"/>
              <w:rPr>
                <w:sz w:val="20"/>
                <w:szCs w:val="20"/>
                <w:color w:val="auto"/>
              </w:rPr>
            </w:pPr>
            <w:r>
              <w:rPr>
                <w:rFonts w:ascii="Arial" w:cs="Arial" w:eastAsia="Arial" w:hAnsi="Arial"/>
                <w:sz w:val="16"/>
                <w:szCs w:val="16"/>
                <w:color w:val="auto"/>
              </w:rPr>
              <w:t>Loss on sale and disposal of property and equipment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Inventory</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(4,545)</w:t>
            </w:r>
          </w:p>
        </w:tc>
        <w:tc>
          <w:tcPr>
            <w:tcW w:w="0" w:type="dxa"/>
            <w:vAlign w:val="bottom"/>
          </w:tcPr>
          <w:p>
            <w:pPr>
              <w:spacing w:after="0"/>
              <w:rPr>
                <w:sz w:val="1"/>
                <w:szCs w:val="1"/>
                <w:color w:val="auto"/>
              </w:rPr>
            </w:pPr>
          </w:p>
        </w:tc>
      </w:tr>
      <w:tr>
        <w:trPr>
          <w:trHeight w:val="210"/>
        </w:trPr>
        <w:tc>
          <w:tcPr>
            <w:tcW w:w="8060" w:type="dxa"/>
            <w:vAlign w:val="bottom"/>
          </w:tcPr>
          <w:p>
            <w:pPr>
              <w:ind w:left="34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10"/>
        </w:trPr>
        <w:tc>
          <w:tcPr>
            <w:tcW w:w="80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Accrued liabilities and other</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(34,880)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(26,819)</w:t>
            </w:r>
          </w:p>
        </w:tc>
        <w:tc>
          <w:tcPr>
            <w:tcW w:w="0" w:type="dxa"/>
            <w:vAlign w:val="bottom"/>
          </w:tcPr>
          <w:p>
            <w:pPr>
              <w:spacing w:after="0"/>
              <w:rPr>
                <w:sz w:val="1"/>
                <w:szCs w:val="1"/>
                <w:color w:val="auto"/>
              </w:rPr>
            </w:pPr>
          </w:p>
        </w:tc>
      </w:tr>
      <w:tr>
        <w:trPr>
          <w:trHeight w:val="191"/>
        </w:trPr>
        <w:tc>
          <w:tcPr>
            <w:tcW w:w="8060" w:type="dxa"/>
            <w:vAlign w:val="bottom"/>
          </w:tcPr>
          <w:p>
            <w:pPr>
              <w:ind w:left="6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Maturities of marketable securities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107,494</w:t>
            </w:r>
          </w:p>
        </w:tc>
        <w:tc>
          <w:tcPr>
            <w:tcW w:w="0" w:type="dxa"/>
            <w:vAlign w:val="bottom"/>
          </w:tcPr>
          <w:p>
            <w:pPr>
              <w:spacing w:after="0"/>
              <w:rPr>
                <w:sz w:val="1"/>
                <w:szCs w:val="1"/>
                <w:color w:val="auto"/>
              </w:rPr>
            </w:pPr>
          </w:p>
        </w:tc>
      </w:tr>
      <w:tr>
        <w:trPr>
          <w:trHeight w:val="210"/>
        </w:trPr>
        <w:tc>
          <w:tcPr>
            <w:tcW w:w="8060" w:type="dxa"/>
            <w:vAlign w:val="bottom"/>
          </w:tcPr>
          <w:p>
            <w:pPr>
              <w:ind w:left="120"/>
              <w:spacing w:after="0"/>
              <w:rPr>
                <w:sz w:val="20"/>
                <w:szCs w:val="20"/>
                <w:color w:val="auto"/>
              </w:rPr>
            </w:pPr>
            <w:r>
              <w:rPr>
                <w:rFonts w:ascii="Arial" w:cs="Arial" w:eastAsia="Arial" w:hAnsi="Arial"/>
                <w:sz w:val="16"/>
                <w:szCs w:val="16"/>
                <w:color w:val="auto"/>
              </w:rPr>
              <w:t>Purchases of marketable securities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(85,257)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(66,678)</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(4,614)</w:t>
            </w:r>
          </w:p>
        </w:tc>
        <w:tc>
          <w:tcPr>
            <w:tcW w:w="0" w:type="dxa"/>
            <w:vAlign w:val="bottom"/>
          </w:tcPr>
          <w:p>
            <w:pPr>
              <w:spacing w:after="0"/>
              <w:rPr>
                <w:sz w:val="1"/>
                <w:szCs w:val="1"/>
                <w:color w:val="auto"/>
              </w:rPr>
            </w:pPr>
          </w:p>
        </w:tc>
      </w:tr>
      <w:tr>
        <w:trPr>
          <w:trHeight w:val="204"/>
        </w:trPr>
        <w:tc>
          <w:tcPr>
            <w:tcW w:w="806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provided by (used in) investing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36,202</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60" w:type="dxa"/>
            <w:vAlign w:val="bottom"/>
          </w:tcPr>
          <w:p>
            <w:pPr>
              <w:ind w:left="120"/>
              <w:spacing w:after="0"/>
              <w:rPr>
                <w:sz w:val="20"/>
                <w:szCs w:val="20"/>
                <w:color w:val="auto"/>
              </w:rPr>
            </w:pPr>
            <w:r>
              <w:rPr>
                <w:rFonts w:ascii="Arial" w:cs="Arial" w:eastAsia="Arial" w:hAnsi="Arial"/>
                <w:sz w:val="16"/>
                <w:szCs w:val="16"/>
                <w:color w:val="auto"/>
              </w:rPr>
              <w:t>Proceeds from debt financing</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35,000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of debt financing</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(41,000)</w:t>
            </w:r>
          </w:p>
        </w:tc>
        <w:tc>
          <w:tcPr>
            <w:tcW w:w="0" w:type="dxa"/>
            <w:vAlign w:val="bottom"/>
          </w:tcPr>
          <w:p>
            <w:pPr>
              <w:spacing w:after="0"/>
              <w:rPr>
                <w:sz w:val="1"/>
                <w:szCs w:val="1"/>
                <w:color w:val="auto"/>
              </w:rPr>
            </w:pPr>
          </w:p>
        </w:tc>
      </w:tr>
      <w:tr>
        <w:trPr>
          <w:trHeight w:val="210"/>
        </w:trPr>
        <w:tc>
          <w:tcPr>
            <w:tcW w:w="8060" w:type="dxa"/>
            <w:vAlign w:val="bottom"/>
          </w:tcPr>
          <w:p>
            <w:pPr>
              <w:ind w:left="120"/>
              <w:spacing w:after="0"/>
              <w:rPr>
                <w:sz w:val="20"/>
                <w:szCs w:val="20"/>
                <w:color w:val="auto"/>
              </w:rPr>
            </w:pPr>
            <w:r>
              <w:rPr>
                <w:rFonts w:ascii="Arial" w:cs="Arial" w:eastAsia="Arial" w:hAnsi="Arial"/>
                <w:sz w:val="16"/>
                <w:szCs w:val="16"/>
                <w:color w:val="auto"/>
              </w:rPr>
              <w:t>Payments of debt issuance costs</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prepayment penalty and lender fees</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10"/>
        </w:trPr>
        <w:tc>
          <w:tcPr>
            <w:tcW w:w="8060" w:type="dxa"/>
            <w:vAlign w:val="bottom"/>
          </w:tcPr>
          <w:p>
            <w:pPr>
              <w:ind w:left="12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1,566</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the exercise of stock options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2,327</w:t>
            </w:r>
          </w:p>
        </w:tc>
        <w:tc>
          <w:tcPr>
            <w:tcW w:w="0" w:type="dxa"/>
            <w:vAlign w:val="bottom"/>
          </w:tcPr>
          <w:p>
            <w:pPr>
              <w:spacing w:after="0"/>
              <w:rPr>
                <w:sz w:val="1"/>
                <w:szCs w:val="1"/>
                <w:color w:val="auto"/>
              </w:rPr>
            </w:pPr>
          </w:p>
        </w:tc>
      </w:tr>
      <w:tr>
        <w:trPr>
          <w:trHeight w:val="204"/>
        </w:trPr>
        <w:tc>
          <w:tcPr>
            <w:tcW w:w="806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(2,726)</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04"/>
        </w:trPr>
        <w:tc>
          <w:tcPr>
            <w:tcW w:w="8060" w:type="dxa"/>
            <w:vAlign w:val="bottom"/>
          </w:tcPr>
          <w:p>
            <w:pPr>
              <w:ind w:left="64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(37,120)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6,282</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Cash and cash equivalents at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Beginning of period</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53,581</w:t>
            </w:r>
          </w:p>
        </w:tc>
        <w:tc>
          <w:tcPr>
            <w:tcW w:w="0" w:type="dxa"/>
            <w:vAlign w:val="bottom"/>
          </w:tcPr>
          <w:p>
            <w:pPr>
              <w:spacing w:after="0"/>
              <w:rPr>
                <w:sz w:val="1"/>
                <w:szCs w:val="1"/>
                <w:color w:val="auto"/>
              </w:rPr>
            </w:pPr>
          </w:p>
        </w:tc>
      </w:tr>
      <w:tr>
        <w:trPr>
          <w:trHeight w:val="207"/>
        </w:trPr>
        <w:tc>
          <w:tcPr>
            <w:tcW w:w="8060" w:type="dxa"/>
            <w:vAlign w:val="bottom"/>
            <w:tcBorders>
              <w:bottom w:val="single" w:sz="8" w:color="CCEEFF"/>
            </w:tcBorders>
            <w:shd w:val="clear" w:color="auto" w:fill="CCEEFF"/>
          </w:tcPr>
          <w:p>
            <w:pPr>
              <w:ind w:left="60"/>
              <w:spacing w:after="0" w:line="182" w:lineRule="exact"/>
              <w:rPr>
                <w:sz w:val="20"/>
                <w:szCs w:val="20"/>
                <w:color w:val="auto"/>
              </w:rPr>
            </w:pPr>
            <w:r>
              <w:rPr>
                <w:rFonts w:ascii="Arial" w:cs="Arial" w:eastAsia="Arial" w:hAnsi="Arial"/>
                <w:sz w:val="16"/>
                <w:szCs w:val="16"/>
                <w:color w:val="auto"/>
              </w:rPr>
              <w:t>End of period</w:t>
            </w: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26,299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59,863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6"/>
                <w:szCs w:val="16"/>
                <w:b w:val="1"/>
                <w:bCs w:val="1"/>
                <w:color w:val="auto"/>
              </w:rPr>
              <w:t>Supplemental disclosure of non-cash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8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Vesting of early exercised stock options</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8"/>
        </w:trPr>
        <w:tc>
          <w:tcPr>
            <w:tcW w:w="8060" w:type="dxa"/>
            <w:vAlign w:val="bottom"/>
          </w:tcPr>
          <w:p>
            <w:pPr>
              <w:ind w:left="60"/>
              <w:spacing w:after="0"/>
              <w:rPr>
                <w:sz w:val="20"/>
                <w:szCs w:val="20"/>
                <w:color w:val="auto"/>
              </w:rPr>
            </w:pPr>
            <w:r>
              <w:rPr>
                <w:rFonts w:ascii="Arial" w:cs="Arial" w:eastAsia="Arial" w:hAnsi="Arial"/>
                <w:sz w:val="16"/>
                <w:szCs w:val="16"/>
                <w:color w:val="auto"/>
              </w:rPr>
              <w:t>Unpaid purchases of property and equipment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bl>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218440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20"/>
          </w:cols>
          <w:pgMar w:left="540" w:top="840" w:right="5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Business</w:t>
      </w:r>
    </w:p>
    <w:p>
      <w:pPr>
        <w:spacing w:after="0" w:line="252"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musculoskeletal disorders of the sacropelvic anatomy. The Company introduced its first generation iFuse implant in 2009 in the U.S., in 2010 in certain countries in the European Union, and in 2015 in certain countries in the rest of the world.</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19" w:lineRule="exact"/>
        <w:rPr>
          <w:sz w:val="20"/>
          <w:szCs w:val="20"/>
          <w:color w:val="auto"/>
        </w:rPr>
      </w:pPr>
    </w:p>
    <w:p>
      <w:pPr>
        <w:jc w:val="both"/>
        <w:ind w:firstLine="439"/>
        <w:spacing w:after="0" w:line="270" w:lineRule="auto"/>
        <w:rPr>
          <w:sz w:val="20"/>
          <w:szCs w:val="20"/>
          <w:color w:val="auto"/>
        </w:rPr>
      </w:pPr>
      <w:r>
        <w:rPr>
          <w:rFonts w:ascii="Arial" w:cs="Arial" w:eastAsia="Arial" w:hAnsi="Arial"/>
          <w:sz w:val="16"/>
          <w:szCs w:val="16"/>
          <w:color w:val="auto"/>
        </w:rPr>
        <w:t>The Company is subject to continuing risk and uncertainties as a result of the COVID-19 pandemic, and is closely monitoring the impact of the pandemic on all aspects of its business, including the impacts on its customers, patients that would benefit from procedures involving the Company's products, employees, suppliers, vendors, business partners and distribution channels. Economies worldwide continue to be negatively impacted by the COVID-19 pandemic, in particular with recurrent mutations of the virus, despite advances in vaccines, and the Company anticipates these disruptions will continue. Certain of the Company’s third-party suppliers have faced delays, product shortages and rising costs resulting from disruptions in the global supply chain, related to instruments and shop capacity issues impacting lead-times and quantities of implants available. As a result, the Company is continuing to work closely with its manufacturing partners and suppliers, as well as determining alternative sourcing strategies to enable the Company to source key components and maintain appropriate inventory levels to meet customer demand. As such the Company's future results of operations and liquidity could be adversely impacted by a variety of factors related to the COVID-19 pandemic and global supply chain issues, including those discussed in the section entitled "Risk Factors" in this report. As of the date of issuance of these condensed consolidated financial statements, the extent to which the COVID-19 pandemic and global supply chain issues may materially impact the Company's financial condition, liquidity, or results of operations remains uncertain.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19" w:lineRule="exact"/>
        <w:rPr>
          <w:sz w:val="20"/>
          <w:szCs w:val="20"/>
          <w:color w:val="auto"/>
        </w:rPr>
      </w:pPr>
    </w:p>
    <w:p>
      <w:pPr>
        <w:jc w:val="both"/>
        <w:ind w:firstLine="479"/>
        <w:spacing w:after="0" w:line="26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December 31, 2021 has been derived from the audited consolidated financial statements at that date but does not include all of the information required by GAAP for complete financial statements. These unaudited interim condensed consolidated financial statements have been prepared on the same basis as the Company’s annual financial statements and, in the opinion of management, reflect all adjustments that are necessary for a fair statement of the Company’s consolidated financial information. The results of operations for the three and nine months ended September 30, 2022 are not necessarily indicative of the results to be expected for the year ending December 31, 2022 or for any other interim period or for any other future year.</w:t>
      </w:r>
    </w:p>
    <w:p>
      <w:pPr>
        <w:spacing w:after="0" w:line="187" w:lineRule="exact"/>
        <w:rPr>
          <w:sz w:val="20"/>
          <w:szCs w:val="20"/>
          <w:color w:val="auto"/>
        </w:rPr>
      </w:pPr>
    </w:p>
    <w:p>
      <w:pPr>
        <w:jc w:val="both"/>
        <w:ind w:firstLine="439"/>
        <w:spacing w:after="0" w:line="330" w:lineRule="auto"/>
        <w:rPr>
          <w:sz w:val="20"/>
          <w:szCs w:val="20"/>
          <w:color w:val="auto"/>
        </w:rPr>
      </w:pPr>
      <w:r>
        <w:rPr>
          <w:rFonts w:ascii="Arial" w:cs="Arial" w:eastAsia="Arial" w:hAnsi="Arial"/>
          <w:sz w:val="16"/>
          <w:szCs w:val="16"/>
          <w:color w:val="auto"/>
        </w:rPr>
        <w:t>The accompanying condensed consolidated financial statements should be read in conjunction with the audited financial statements and related notes thereto for the year ended December 31, 2021 contained in the Company’s Annual Report on Form 10-K filed with the SEC on March 1, 2022.</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9" w:lineRule="exact"/>
        <w:rPr>
          <w:sz w:val="20"/>
          <w:szCs w:val="20"/>
          <w:color w:val="auto"/>
        </w:rPr>
      </w:pPr>
    </w:p>
    <w:p>
      <w:pPr>
        <w:jc w:val="both"/>
        <w:ind w:firstLine="439"/>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condensed consolidated financial statements primarily includes the fair value of performance-based restricted stock unit awards. Estimates are based on historical experience, where applicable and other assumptions believed to be reasonable by the management. Actual results could differ from those estimates.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19" w:lineRule="exact"/>
        <w:rPr>
          <w:sz w:val="20"/>
          <w:szCs w:val="20"/>
          <w:color w:val="auto"/>
        </w:rPr>
      </w:pPr>
    </w:p>
    <w:p>
      <w:pPr>
        <w:jc w:val="both"/>
        <w:ind w:firstLine="399"/>
        <w:spacing w:after="0" w:line="279" w:lineRule="auto"/>
        <w:rPr>
          <w:sz w:val="20"/>
          <w:szCs w:val="20"/>
          <w:color w:val="auto"/>
        </w:rPr>
      </w:pPr>
      <w:r>
        <w:rPr>
          <w:rFonts w:ascii="Arial" w:cs="Arial" w:eastAsia="Arial" w:hAnsi="Arial"/>
          <w:sz w:val="17"/>
          <w:szCs w:val="17"/>
          <w:color w:val="auto"/>
        </w:rPr>
        <w:t>The Company’s significant accounting policies are disclosed in the Company’s Annual Report on Form 10-K for the year ended December 31, 2021. There have been no material changes to these accounting policies, except for the accounting policy related to performance-based restricted stock unit awards noted below that was added to the Company’s significant accounting policies in the first quarter of 2022.</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Performance-Based Restricted Stock Unit Award</w:t>
      </w:r>
      <w:r>
        <w:rPr>
          <w:rFonts w:ascii="Arial" w:cs="Arial" w:eastAsia="Arial" w:hAnsi="Arial"/>
          <w:sz w:val="18"/>
          <w:szCs w:val="18"/>
          <w:i w:val="1"/>
          <w:iCs w:val="1"/>
          <w:color w:val="auto"/>
        </w:rPr>
        <w:t>s</w:t>
      </w:r>
    </w:p>
    <w:p>
      <w:pPr>
        <w:spacing w:after="0" w:line="219" w:lineRule="exact"/>
        <w:rPr>
          <w:sz w:val="20"/>
          <w:szCs w:val="20"/>
          <w:color w:val="auto"/>
        </w:rPr>
      </w:pPr>
    </w:p>
    <w:p>
      <w:pPr>
        <w:jc w:val="both"/>
        <w:ind w:firstLine="320"/>
        <w:spacing w:after="0" w:line="268" w:lineRule="auto"/>
        <w:rPr>
          <w:sz w:val="20"/>
          <w:szCs w:val="20"/>
          <w:color w:val="auto"/>
        </w:rPr>
      </w:pPr>
      <w:r>
        <w:rPr>
          <w:rFonts w:ascii="Arial" w:cs="Arial" w:eastAsia="Arial" w:hAnsi="Arial"/>
          <w:sz w:val="17"/>
          <w:szCs w:val="17"/>
          <w:color w:val="auto"/>
        </w:rPr>
        <w:t>The Company grants restricted stock unit awards subject to market and service vesting conditions to certain executive officers. This type of grant consists of the right to receive shares of common stock, subject to achievement of time-based criteria and certain market-related performance goals over a specified period, as established by the Compensation Committee of the Company’s Board of Directors. For these awards that are subject to market-related performance, the fair value is determined based on the number of shares granted and a Monte Carlo valuation model, which incorporates the probability of the achievement of the market-related performance goals as part of the grant date fair value. If such performance goals are not ultimately met, the expense is not reversed. Stock-based compensation expense is recognized ratably over the requisite service period.</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Segments</w:t>
      </w:r>
    </w:p>
    <w:p>
      <w:pPr>
        <w:spacing w:after="0" w:line="219" w:lineRule="exact"/>
        <w:rPr>
          <w:sz w:val="20"/>
          <w:szCs w:val="20"/>
          <w:color w:val="auto"/>
        </w:rPr>
      </w:pPr>
    </w:p>
    <w:p>
      <w:pPr>
        <w:jc w:val="both"/>
        <w:ind w:firstLine="439"/>
        <w:spacing w:after="0" w:line="321" w:lineRule="auto"/>
        <w:rPr>
          <w:sz w:val="20"/>
          <w:szCs w:val="20"/>
          <w:color w:val="auto"/>
        </w:rPr>
      </w:pPr>
      <w:r>
        <w:rPr>
          <w:rFonts w:ascii="Arial" w:cs="Arial" w:eastAsia="Arial" w:hAnsi="Arial"/>
          <w:sz w:val="14"/>
          <w:szCs w:val="14"/>
          <w:color w:val="auto"/>
        </w:rPr>
        <w:t>The Company's chief operating decision makers are the Chief Executive Officer (“CEO”) and Chief Financial Officer (“CFO”). The CEO and the CFO review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segment structure</w:t>
      </w:r>
      <w:r>
        <w:rPr>
          <w:rFonts w:ascii="Arial" w:cs="Arial" w:eastAsia="Arial" w:hAnsi="Arial"/>
          <w:sz w:val="21"/>
          <w:szCs w:val="21"/>
          <w:color w:val="008080"/>
        </w:rPr>
        <w:t>.</w:t>
      </w:r>
    </w:p>
    <w:p>
      <w:pPr>
        <w:spacing w:after="0" w:line="213"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The Company derives substantially all of its revenue from sales to customers in the U.S. Revenue by geography is based on billing address of the customer. International revenue accounted for less than 10% of the total revenue during the periods presented. Long-lived assets held outside the U.S. are immaterial. Following table summarizes the Company's revenue by geography:</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4820" w:type="dxa"/>
            <w:vAlign w:val="bottom"/>
          </w:tcPr>
          <w:p>
            <w:pPr>
              <w:spacing w:after="0"/>
              <w:rPr>
                <w:sz w:val="18"/>
                <w:szCs w:val="18"/>
                <w:color w:val="auto"/>
              </w:rPr>
            </w:pPr>
          </w:p>
        </w:tc>
        <w:tc>
          <w:tcPr>
            <w:tcW w:w="2740" w:type="dxa"/>
            <w:vAlign w:val="bottom"/>
            <w:gridSpan w:val="6"/>
          </w:tcPr>
          <w:p>
            <w:pPr>
              <w:ind w:left="60"/>
              <w:spacing w:after="0"/>
              <w:rPr>
                <w:sz w:val="20"/>
                <w:szCs w:val="20"/>
                <w:color w:val="auto"/>
              </w:rPr>
            </w:pPr>
            <w:r>
              <w:rPr>
                <w:rFonts w:ascii="Arial" w:cs="Arial" w:eastAsia="Arial" w:hAnsi="Arial"/>
                <w:sz w:val="16"/>
                <w:szCs w:val="16"/>
                <w:b w:val="1"/>
                <w:bCs w:val="1"/>
                <w:color w:val="auto"/>
                <w:w w:val="97"/>
              </w:rPr>
              <w:t>Three Months Ended September 30,</w:t>
            </w:r>
          </w:p>
        </w:tc>
        <w:tc>
          <w:tcPr>
            <w:tcW w:w="2580" w:type="dxa"/>
            <w:vAlign w:val="bottom"/>
            <w:gridSpan w:val="5"/>
          </w:tcPr>
          <w:p>
            <w:pPr>
              <w:jc w:val="right"/>
              <w:ind w:right="13"/>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07"/>
        </w:trPr>
        <w:tc>
          <w:tcPr>
            <w:tcW w:w="48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r>
      <w:tr>
        <w:trPr>
          <w:trHeight w:val="206"/>
        </w:trPr>
        <w:tc>
          <w:tcPr>
            <w:tcW w:w="4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20,392</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59,391</w:t>
            </w:r>
          </w:p>
        </w:tc>
      </w:tr>
      <w:tr>
        <w:trPr>
          <w:trHeight w:val="226"/>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5,531</w:t>
            </w:r>
          </w:p>
        </w:tc>
      </w:tr>
      <w:tr>
        <w:trPr>
          <w:trHeight w:val="245"/>
        </w:trPr>
        <w:tc>
          <w:tcPr>
            <w:tcW w:w="48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22,286</w:t>
            </w: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64,922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19"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In February 2016, the Financial Accounting Standards Board (“FASB”) issued Accounting Standards Update (“ASU”) ASU No. 2016-02, Leases (Topic 842) (ASU 2016-02), which requires the lessee to recognize a lease right-of-use asset and a lease liability for operating leases, initially measured at the present value of lease payments, in its consolidated balance sheet. In the fourth quarter of 2021, the Company adopted ASU 2016-02 using the modified retrospective method with the effective date of January 1, 2021. As a result, the Company has retrospectively changed its previously issued condensed consolidated financial statements as of September 30, 2021 and for the three and nine months ended September 30, 2021 as presented in its September 30, 2021 Quarterly Report on Form 10-Q to reflect the adoption of Topic 842 on January 1, 2021. The condensed consolidated financial statements for the three and nine months ended September 30, 2021 presented herein differ from the Company’s condensed consolidated financial statements included in its September 30, 2021 Quarterly Report on Form 10-Q, as those financial statements were prepared using the former accounting standard referred to as ASC Topic 840, Leases.</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the effect of the adoption of Topic 842 on the condensed consolidated balance sheet as of January 1, 2021:</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218440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234"/>
              <w:spacing w:after="0"/>
              <w:rPr>
                <w:sz w:val="20"/>
                <w:szCs w:val="20"/>
                <w:color w:val="auto"/>
              </w:rPr>
            </w:pPr>
            <w:r>
              <w:rPr>
                <w:rFonts w:ascii="Arial" w:cs="Arial" w:eastAsia="Arial" w:hAnsi="Arial"/>
                <w:sz w:val="16"/>
                <w:szCs w:val="16"/>
                <w:b w:val="1"/>
                <w:bCs w:val="1"/>
                <w:color w:val="auto"/>
                <w:w w:val="94"/>
              </w:rPr>
              <w:t>As Previously</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Impact of Topic 842</w:t>
            </w:r>
          </w:p>
        </w:tc>
        <w:tc>
          <w:tcPr>
            <w:tcW w:w="280" w:type="dxa"/>
            <w:vAlign w:val="bottom"/>
          </w:tcPr>
          <w:p>
            <w:pPr>
              <w:spacing w:after="0"/>
              <w:rPr>
                <w:sz w:val="16"/>
                <w:szCs w:val="16"/>
                <w:color w:val="auto"/>
              </w:rPr>
            </w:pPr>
          </w:p>
        </w:tc>
        <w:tc>
          <w:tcPr>
            <w:tcW w:w="124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w w:val="98"/>
              </w:rPr>
              <w:t>As Adjusted</w:t>
            </w:r>
          </w:p>
        </w:tc>
        <w:tc>
          <w:tcPr>
            <w:tcW w:w="0" w:type="dxa"/>
            <w:vAlign w:val="bottom"/>
          </w:tcPr>
          <w:p>
            <w:pPr>
              <w:spacing w:after="0"/>
              <w:rPr>
                <w:sz w:val="1"/>
                <w:szCs w:val="1"/>
                <w:color w:val="auto"/>
              </w:rPr>
            </w:pPr>
          </w:p>
        </w:tc>
      </w:tr>
      <w:tr>
        <w:trPr>
          <w:trHeight w:val="211"/>
        </w:trPr>
        <w:tc>
          <w:tcPr>
            <w:tcW w:w="4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Reported</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74"/>
              <w:spacing w:after="0"/>
              <w:rPr>
                <w:sz w:val="20"/>
                <w:szCs w:val="20"/>
                <w:color w:val="auto"/>
              </w:rPr>
            </w:pPr>
            <w:r>
              <w:rPr>
                <w:rFonts w:ascii="Arial" w:cs="Arial" w:eastAsia="Arial" w:hAnsi="Arial"/>
                <w:sz w:val="16"/>
                <w:szCs w:val="16"/>
                <w:b w:val="1"/>
                <w:bCs w:val="1"/>
                <w:color w:val="auto"/>
                <w:w w:val="91"/>
              </w:rPr>
              <w:t>Adoption</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center"/>
              <w:ind w:right="174"/>
              <w:spacing w:after="0"/>
              <w:rPr>
                <w:sz w:val="20"/>
                <w:szCs w:val="20"/>
                <w:color w:val="auto"/>
              </w:rPr>
            </w:pPr>
            <w:r>
              <w:rPr>
                <w:rFonts w:ascii="Arial" w:cs="Arial" w:eastAsia="Arial" w:hAnsi="Arial"/>
                <w:sz w:val="16"/>
                <w:szCs w:val="16"/>
                <w:b w:val="1"/>
                <w:bCs w:val="1"/>
                <w:color w:val="auto"/>
                <w:w w:val="87"/>
              </w:rPr>
              <w:t>(in thousands)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3,507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67"/>
        </w:trPr>
        <w:tc>
          <w:tcPr>
            <w:tcW w:w="4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482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current portion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852</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26"/>
        </w:trPr>
        <w:tc>
          <w:tcPr>
            <w:tcW w:w="482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2,933</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27"/>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 and other</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10,199</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(345)</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9,854</w:t>
            </w: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(239,277)</w:t>
            </w:r>
          </w:p>
        </w:tc>
        <w:tc>
          <w:tcPr>
            <w:tcW w:w="26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(239,209)</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adoption of Topic 842 did not have any other material impact on the condensed consolidated financial statements as of September 30, 2021 and for the three and nine months ended September 30, 2021.</w:t>
      </w:r>
    </w:p>
    <w:p>
      <w:pPr>
        <w:spacing w:after="0" w:line="180" w:lineRule="exact"/>
        <w:rPr>
          <w:sz w:val="20"/>
          <w:szCs w:val="20"/>
          <w:color w:val="auto"/>
        </w:rPr>
      </w:pPr>
    </w:p>
    <w:p>
      <w:pPr>
        <w:jc w:val="both"/>
        <w:ind w:firstLine="399"/>
        <w:spacing w:after="0" w:line="283" w:lineRule="auto"/>
        <w:rPr>
          <w:sz w:val="20"/>
          <w:szCs w:val="20"/>
          <w:color w:val="auto"/>
        </w:rPr>
      </w:pPr>
      <w:r>
        <w:rPr>
          <w:rFonts w:ascii="Arial" w:cs="Arial" w:eastAsia="Arial" w:hAnsi="Arial"/>
          <w:sz w:val="16"/>
          <w:szCs w:val="16"/>
          <w:color w:val="auto"/>
        </w:rPr>
        <w:t>In August 2020, the FASB issued ASU 2020-06, Debt - Debt with Conversion and Other Options (ASC 470-20) and Derivatives and Hedging - Contracts in Entity’s Own Equity (Subtopic 815-40). ASU 2020-06 simplifies the accounting for convertible instruments by removing the beneficial conversion and cash conversion accounting models for convertible instruments and removes certain settlement conditions that are required for contracts to qualify for equity classification. This new standard also simplifies the diluted earnings per share calculations by requiring that an entity use the if-converted method for convertible instruments and requires that the effect of potential share settlement be included in diluted earnings per share calculations when an instrument may be settled in cash or shares. The new standard requires entities to provide expanded disclosures about the terms and features of convertible instruments, how the instruments have been reported in the entity’s financial statements, and information about events, conditions, and circumstances that can affect how to assess the amount or timing of an entity’s future cash flows related to those instruments. The ASU is effective for public companies, excluding entities eligible to be smaller reporting companies, for fiscal years beginning after December 15, 2021. The new standard went effective on January 1, 2022, and it did not impact the Company's consolidated financial statements and related disclosures.</w:t>
      </w:r>
    </w:p>
    <w:p>
      <w:pPr>
        <w:spacing w:after="0" w:line="173" w:lineRule="exact"/>
        <w:rPr>
          <w:sz w:val="20"/>
          <w:szCs w:val="20"/>
          <w:color w:val="auto"/>
        </w:rPr>
      </w:pPr>
    </w:p>
    <w:p>
      <w:pPr>
        <w:jc w:val="both"/>
        <w:ind w:firstLine="399"/>
        <w:spacing w:after="0" w:line="282" w:lineRule="auto"/>
        <w:rPr>
          <w:sz w:val="20"/>
          <w:szCs w:val="20"/>
          <w:color w:val="auto"/>
        </w:rPr>
      </w:pPr>
      <w:r>
        <w:rPr>
          <w:rFonts w:ascii="Arial" w:cs="Arial" w:eastAsia="Arial" w:hAnsi="Arial"/>
          <w:sz w:val="16"/>
          <w:szCs w:val="16"/>
          <w:color w:val="auto"/>
        </w:rPr>
        <w:t>In May 2021, the FASB issued ASU 2021-04 “Earnings Per Share (Topic 260), Debt—Modifications and Extinguishments (Subtopic 470-50), Compensation— Stock Compensation (Topic 718), and Derivatives and Hedging—Contracts in Entity’s Own Equity (Subtopic 815- 40) Issuer’s Accounting for Certain Modifications or Exchanges of Freestanding Equity-Classified Written Call Options” ("ASU 2021-04") which clarifies and reduces diversity in an issuer’s accounting for modifications or exchanges of freestanding equity-classified written call options that remain equity classified after modification or exchange. An entity should measure the effect of a modification or an exchange of a freestanding equity-classified written call option that remains equity classified after modification or exchange as follows: i) for a modification or an exchange that is a part of or directly related to a modification or an exchange of an existing debt instrument or line-of-credit or revolving-debt arrangements (hereinafter, referred to as a “debt” or “debt instrument”), as the difference between the fair value of the modified or exchanged written call option and the fair value of that written call option immediately before it is modified or exchanged; ii) for all other modifications or exchanges, as the excess, if any, of the fair value of the modified or exchanged written call option over the fair value of that written call option immediately before it is modified or exchanged. The amendments in this update are effective for all entities for fiscal years beginning after December 15, 2021, including interim periods within those fiscal years. An entity should apply the amendments prospectively to modifications or exchanges occurring on or after the effective date of the amendments. The new standard went effective on January 1, 2022, and it did not impact the Company's consolidated financial statements and related disclosures.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Accounting Standards Not Yet Effective</w:t>
      </w:r>
    </w:p>
    <w:p>
      <w:pPr>
        <w:spacing w:after="0" w:line="219" w:lineRule="exact"/>
        <w:rPr>
          <w:sz w:val="20"/>
          <w:szCs w:val="20"/>
          <w:color w:val="auto"/>
        </w:rPr>
      </w:pPr>
    </w:p>
    <w:p>
      <w:pPr>
        <w:jc w:val="both"/>
        <w:ind w:firstLine="439"/>
        <w:spacing w:after="0" w:line="288" w:lineRule="auto"/>
        <w:rPr>
          <w:sz w:val="20"/>
          <w:szCs w:val="20"/>
          <w:color w:val="auto"/>
        </w:rPr>
      </w:pPr>
      <w:r>
        <w:rPr>
          <w:rFonts w:ascii="Arial" w:cs="Arial" w:eastAsia="Arial" w:hAnsi="Arial"/>
          <w:sz w:val="16"/>
          <w:szCs w:val="16"/>
          <w:color w:val="auto"/>
        </w:rPr>
        <w:t>In March 2022, the FASB issued ASU 2022-02, Financial Instruments - Credit Losses (Topic 326), Troubled Debt Restructurings (“TDRs”) and Vintage Disclosures. ASU 2022-02 eliminates the accounting guidance for TDRs in ASC 310-40, Receivables - Troubled Debt Restructurings by Creditors. In addition, ASU 2022-02 also requires that public business entities disclose current-period gross write-offs by year of origination for financing receivables and net investments in leases within the scope of Subtopic 326-20, Financial Instruments—Credit Losses—Measured at Amortized Cost. The ASU is effective for public companies, excluding entities eligible to be smaller reporting companies, for fiscal years beginning after December 15, 2022. The standard is not expected to have a material impact to the Company’s consolidated financial statements and related disclosures.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52" w:lineRule="exact"/>
        <w:rPr>
          <w:sz w:val="20"/>
          <w:szCs w:val="20"/>
          <w:color w:val="auto"/>
        </w:rPr>
      </w:pPr>
    </w:p>
    <w:p>
      <w:pPr>
        <w:jc w:val="both"/>
        <w:ind w:firstLine="479"/>
        <w:spacing w:after="0" w:line="253" w:lineRule="auto"/>
        <w:rPr>
          <w:sz w:val="20"/>
          <w:szCs w:val="20"/>
          <w:color w:val="auto"/>
        </w:rPr>
      </w:pPr>
      <w:r>
        <w:rPr>
          <w:rFonts w:ascii="Arial" w:cs="Arial" w:eastAsia="Arial" w:hAnsi="Arial"/>
          <w:sz w:val="18"/>
          <w:szCs w:val="18"/>
          <w:color w:val="auto"/>
        </w:rPr>
        <w:t>All of the Company's marketable securities were available-for-sale and were classified based on their maturities. Marketable securities with remaining maturities at the date of purchase of three months or less are classified as cash equivalents. Short-term investments are securities that original maturity or remaining maturity is greater than three months and not more than twelve months. Long-term investments are securities for which the original maturity or remaining maturity is greater than twelve months.</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table below summarizes the marketable securities:</w:t>
      </w:r>
    </w:p>
    <w:p>
      <w:pPr>
        <w:spacing w:after="0" w:line="257" w:lineRule="exact"/>
        <w:rPr>
          <w:sz w:val="20"/>
          <w:szCs w:val="20"/>
          <w:color w:val="auto"/>
        </w:rPr>
      </w:pPr>
    </w:p>
    <w:tbl>
      <w:tblPr>
        <w:tblLayout w:type="fixed"/>
        <w:tblInd w:w="480" w:type="dxa"/>
        <w:tblCellMar>
          <w:top w:w="0" w:type="dxa"/>
          <w:left w:w="0" w:type="dxa"/>
          <w:bottom w:w="0" w:type="dxa"/>
          <w:right w:w="0" w:type="dxa"/>
        </w:tblCellMar>
      </w:tblPr>
      <w:tr>
        <w:trPr>
          <w:trHeight w:val="211"/>
        </w:trPr>
        <w:tc>
          <w:tcPr>
            <w:tcW w:w="2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772"/>
              <w:spacing w:after="0"/>
              <w:rPr>
                <w:sz w:val="20"/>
                <w:szCs w:val="20"/>
                <w:color w:val="auto"/>
              </w:rPr>
            </w:pPr>
            <w:r>
              <w:rPr>
                <w:rFonts w:ascii="Arial" w:cs="Arial" w:eastAsia="Arial" w:hAnsi="Arial"/>
                <w:sz w:val="16"/>
                <w:szCs w:val="16"/>
                <w:b w:val="1"/>
                <w:bCs w:val="1"/>
                <w:color w:val="auto"/>
              </w:rPr>
              <w:t>September 30, 2022</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600" w:type="dxa"/>
            <w:vAlign w:val="bottom"/>
            <w:gridSpan w:val="4"/>
            <w:vMerge w:val="restart"/>
          </w:tcPr>
          <w:p>
            <w:pPr>
              <w:ind w:left="180"/>
              <w:spacing w:after="0"/>
              <w:rPr>
                <w:sz w:val="20"/>
                <w:szCs w:val="20"/>
                <w:color w:val="auto"/>
              </w:rPr>
            </w:pPr>
            <w:r>
              <w:rPr>
                <w:rFonts w:ascii="Arial" w:cs="Arial" w:eastAsia="Arial" w:hAnsi="Arial"/>
                <w:sz w:val="16"/>
                <w:szCs w:val="16"/>
                <w:b w:val="1"/>
                <w:bCs w:val="1"/>
                <w:color w:val="auto"/>
              </w:rPr>
              <w:t>Amortized Cost</w:t>
            </w:r>
          </w:p>
        </w:tc>
        <w:tc>
          <w:tcPr>
            <w:tcW w:w="100" w:type="dxa"/>
            <w:vAlign w:val="bottom"/>
          </w:tcPr>
          <w:p>
            <w:pPr>
              <w:spacing w:after="0"/>
              <w:rPr>
                <w:sz w:val="13"/>
                <w:szCs w:val="13"/>
                <w:color w:val="auto"/>
              </w:rPr>
            </w:pPr>
          </w:p>
        </w:tc>
        <w:tc>
          <w:tcPr>
            <w:tcW w:w="1320" w:type="dxa"/>
            <w:vAlign w:val="bottom"/>
            <w:gridSpan w:val="2"/>
            <w:vMerge w:val="restart"/>
          </w:tcPr>
          <w:p>
            <w:pPr>
              <w:jc w:val="right"/>
              <w:ind w:right="35"/>
              <w:spacing w:after="0"/>
              <w:rPr>
                <w:sz w:val="20"/>
                <w:szCs w:val="20"/>
                <w:color w:val="auto"/>
              </w:rPr>
            </w:pPr>
            <w:r>
              <w:rPr>
                <w:rFonts w:ascii="Arial" w:cs="Arial" w:eastAsia="Arial" w:hAnsi="Arial"/>
                <w:sz w:val="16"/>
                <w:szCs w:val="16"/>
                <w:b w:val="1"/>
                <w:bCs w:val="1"/>
                <w:color w:val="auto"/>
                <w:w w:val="90"/>
              </w:rPr>
              <w:t>Unrealized Gains</w:t>
            </w:r>
          </w:p>
        </w:tc>
        <w:tc>
          <w:tcPr>
            <w:tcW w:w="180" w:type="dxa"/>
            <w:vAlign w:val="bottom"/>
          </w:tcPr>
          <w:p>
            <w:pPr>
              <w:spacing w:after="0"/>
              <w:rPr>
                <w:sz w:val="13"/>
                <w:szCs w:val="13"/>
                <w:color w:val="auto"/>
              </w:rPr>
            </w:pPr>
          </w:p>
        </w:tc>
        <w:tc>
          <w:tcPr>
            <w:tcW w:w="1420" w:type="dxa"/>
            <w:vAlign w:val="bottom"/>
            <w:gridSpan w:val="4"/>
            <w:vMerge w:val="restart"/>
          </w:tcPr>
          <w:p>
            <w:pPr>
              <w:jc w:val="right"/>
              <w:ind w:right="12"/>
              <w:spacing w:after="0"/>
              <w:rPr>
                <w:sz w:val="20"/>
                <w:szCs w:val="20"/>
                <w:color w:val="auto"/>
              </w:rPr>
            </w:pPr>
            <w:r>
              <w:rPr>
                <w:rFonts w:ascii="Arial" w:cs="Arial" w:eastAsia="Arial" w:hAnsi="Arial"/>
                <w:sz w:val="16"/>
                <w:szCs w:val="16"/>
                <w:b w:val="1"/>
                <w:bCs w:val="1"/>
                <w:color w:val="auto"/>
                <w:w w:val="92"/>
              </w:rPr>
              <w:t>Unrealized Losses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right"/>
              <w:ind w:right="113"/>
              <w:spacing w:after="0" w:line="156" w:lineRule="exact"/>
              <w:rPr>
                <w:sz w:val="20"/>
                <w:szCs w:val="20"/>
                <w:color w:val="auto"/>
              </w:rPr>
            </w:pPr>
            <w:r>
              <w:rPr>
                <w:rFonts w:ascii="Arial" w:cs="Arial" w:eastAsia="Arial" w:hAnsi="Arial"/>
                <w:sz w:val="16"/>
                <w:szCs w:val="16"/>
                <w:b w:val="1"/>
                <w:bCs w:val="1"/>
                <w:color w:val="auto"/>
                <w:w w:val="92"/>
              </w:rPr>
              <w:t>Aggregate Fair</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0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Cash equivalents</w:t>
            </w:r>
          </w:p>
        </w:tc>
        <w:tc>
          <w:tcPr>
            <w:tcW w:w="2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18,899</w:t>
            </w:r>
          </w:p>
        </w:tc>
        <w:tc>
          <w:tcPr>
            <w:tcW w:w="1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U.S. treasury securities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52,882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52,646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16,261</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78,027</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77,785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560" w:type="dxa"/>
            <w:vAlign w:val="bottom"/>
            <w:gridSpan w:val="2"/>
          </w:tcPr>
          <w:p>
            <w:pPr>
              <w:ind w:left="20"/>
              <w:spacing w:after="0" w:line="193" w:lineRule="exact"/>
              <w:rPr>
                <w:sz w:val="20"/>
                <w:szCs w:val="20"/>
                <w:color w:val="auto"/>
              </w:rPr>
            </w:pPr>
            <w:r>
              <w:rPr>
                <w:rFonts w:ascii="Arial" w:cs="Arial" w:eastAsia="Arial" w:hAnsi="Arial"/>
                <w:sz w:val="18"/>
                <w:szCs w:val="18"/>
                <w:color w:val="auto"/>
              </w:rPr>
              <w:t>Total marketable securities</w:t>
            </w:r>
          </w:p>
        </w:tc>
        <w:tc>
          <w:tcPr>
            <w:tcW w:w="280" w:type="dxa"/>
            <w:vAlign w:val="bottom"/>
            <w:tcBorders>
              <w:bottom w:val="single" w:sz="8" w:color="auto"/>
            </w:tcBorders>
          </w:tcPr>
          <w:p>
            <w:pPr>
              <w:jc w:val="right"/>
              <w:ind w:right="93"/>
              <w:spacing w:after="0" w:line="193" w:lineRule="exact"/>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96,926</w:t>
            </w:r>
          </w:p>
        </w:tc>
        <w:tc>
          <w:tcPr>
            <w:tcW w:w="18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900"/>
              <w:spacing w:after="0" w:line="19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280" w:type="dxa"/>
            <w:vAlign w:val="bottom"/>
            <w:tcBorders>
              <w:bottom w:val="single" w:sz="8" w:color="auto"/>
            </w:tcBorders>
            <w:gridSpan w:val="2"/>
          </w:tcPr>
          <w:p>
            <w:pPr>
              <w:jc w:val="right"/>
              <w:ind w:right="180"/>
              <w:spacing w:after="0" w:line="193"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(242)</w:t>
            </w:r>
          </w:p>
        </w:tc>
        <w:tc>
          <w:tcPr>
            <w:tcW w:w="14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96,684</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6"/>
        </w:trPr>
        <w:tc>
          <w:tcPr>
            <w:tcW w:w="2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532"/>
              <w:spacing w:after="0"/>
              <w:rPr>
                <w:sz w:val="20"/>
                <w:szCs w:val="20"/>
                <w:color w:val="auto"/>
              </w:rPr>
            </w:pPr>
            <w:r>
              <w:rPr>
                <w:rFonts w:ascii="Arial" w:cs="Arial" w:eastAsia="Arial" w:hAnsi="Arial"/>
                <w:sz w:val="16"/>
                <w:szCs w:val="16"/>
                <w:b w:val="1"/>
                <w:bCs w:val="1"/>
                <w:color w:val="auto"/>
              </w:rPr>
              <w:t>December 31, 2021</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4"/>
              </w:rPr>
              <w:t>Amortized Cost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4"/>
            <w:vMerge w:val="restart"/>
          </w:tcPr>
          <w:p>
            <w:pPr>
              <w:ind w:left="120"/>
              <w:spacing w:after="0"/>
              <w:rPr>
                <w:sz w:val="20"/>
                <w:szCs w:val="20"/>
                <w:color w:val="auto"/>
              </w:rPr>
            </w:pPr>
            <w:r>
              <w:rPr>
                <w:rFonts w:ascii="Arial" w:cs="Arial" w:eastAsia="Arial" w:hAnsi="Arial"/>
                <w:sz w:val="16"/>
                <w:szCs w:val="16"/>
                <w:b w:val="1"/>
                <w:bCs w:val="1"/>
                <w:color w:val="auto"/>
              </w:rPr>
              <w:t>Unrealized Gains</w:t>
            </w:r>
          </w:p>
        </w:tc>
        <w:tc>
          <w:tcPr>
            <w:tcW w:w="100" w:type="dxa"/>
            <w:vAlign w:val="bottom"/>
          </w:tcPr>
          <w:p>
            <w:pPr>
              <w:spacing w:after="0"/>
              <w:rPr>
                <w:sz w:val="13"/>
                <w:szCs w:val="13"/>
                <w:color w:val="auto"/>
              </w:rPr>
            </w:pPr>
          </w:p>
        </w:tc>
        <w:tc>
          <w:tcPr>
            <w:tcW w:w="1340" w:type="dxa"/>
            <w:vAlign w:val="bottom"/>
            <w:gridSpan w:val="3"/>
            <w:vMerge w:val="restart"/>
          </w:tcPr>
          <w:p>
            <w:pPr>
              <w:jc w:val="right"/>
              <w:ind w:right="31"/>
              <w:spacing w:after="0"/>
              <w:rPr>
                <w:sz w:val="20"/>
                <w:szCs w:val="20"/>
                <w:color w:val="auto"/>
              </w:rPr>
            </w:pPr>
            <w:r>
              <w:rPr>
                <w:rFonts w:ascii="Arial" w:cs="Arial" w:eastAsia="Arial" w:hAnsi="Arial"/>
                <w:sz w:val="16"/>
                <w:szCs w:val="16"/>
                <w:b w:val="1"/>
                <w:bCs w:val="1"/>
                <w:color w:val="auto"/>
                <w:w w:val="85"/>
              </w:rPr>
              <w:t>Unrealized Losses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180"/>
              <w:spacing w:after="0" w:line="156" w:lineRule="exact"/>
              <w:rPr>
                <w:sz w:val="20"/>
                <w:szCs w:val="20"/>
                <w:color w:val="auto"/>
              </w:rPr>
            </w:pPr>
            <w:r>
              <w:rPr>
                <w:rFonts w:ascii="Arial" w:cs="Arial" w:eastAsia="Arial" w:hAnsi="Arial"/>
                <w:sz w:val="16"/>
                <w:szCs w:val="16"/>
                <w:b w:val="1"/>
                <w:bCs w:val="1"/>
                <w:color w:val="auto"/>
                <w:w w:val="92"/>
              </w:rPr>
              <w:t>Aggregate Fair</w:t>
            </w: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6"/>
          </w:tcPr>
          <w:p>
            <w:pPr>
              <w:jc w:val="right"/>
              <w:ind w:right="692"/>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57,829</w:t>
            </w:r>
          </w:p>
        </w:tc>
        <w:tc>
          <w:tcPr>
            <w:tcW w:w="1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57,829</w:t>
            </w: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57,829</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57,829</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32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28,064</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3"/>
          </w:tcPr>
          <w:p>
            <w:pPr>
              <w:jc w:val="center"/>
              <w:ind w:left="872"/>
              <w:spacing w:after="0"/>
              <w:rPr>
                <w:sz w:val="20"/>
                <w:szCs w:val="20"/>
                <w:color w:val="auto"/>
              </w:rPr>
            </w:pPr>
            <w:r>
              <w:rPr>
                <w:rFonts w:ascii="Arial" w:cs="Arial" w:eastAsia="Arial" w:hAnsi="Arial"/>
                <w:sz w:val="18"/>
                <w:szCs w:val="18"/>
                <w:color w:val="auto"/>
                <w:w w:val="93"/>
              </w:rPr>
              <w:t>(16)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28,048</w:t>
            </w:r>
          </w:p>
        </w:tc>
        <w:tc>
          <w:tcPr>
            <w:tcW w:w="0" w:type="dxa"/>
            <w:vAlign w:val="bottom"/>
          </w:tcPr>
          <w:p>
            <w:pPr>
              <w:spacing w:after="0"/>
              <w:rPr>
                <w:sz w:val="1"/>
                <w:szCs w:val="1"/>
                <w:color w:val="auto"/>
              </w:rPr>
            </w:pPr>
          </w:p>
        </w:tc>
      </w:tr>
      <w:tr>
        <w:trPr>
          <w:trHeight w:val="227"/>
        </w:trPr>
        <w:tc>
          <w:tcPr>
            <w:tcW w:w="280" w:type="dxa"/>
            <w:vAlign w:val="bottom"/>
          </w:tcPr>
          <w:p>
            <w:pPr>
              <w:spacing w:after="0"/>
              <w:rPr>
                <w:sz w:val="19"/>
                <w:szCs w:val="19"/>
                <w:color w:val="auto"/>
              </w:rPr>
            </w:pPr>
          </w:p>
        </w:tc>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31,558</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center"/>
              <w:ind w:left="872"/>
              <w:spacing w:after="0"/>
              <w:rPr>
                <w:sz w:val="20"/>
                <w:szCs w:val="20"/>
                <w:color w:val="auto"/>
              </w:rPr>
            </w:pPr>
            <w:r>
              <w:rPr>
                <w:rFonts w:ascii="Arial" w:cs="Arial" w:eastAsia="Arial" w:hAnsi="Arial"/>
                <w:sz w:val="18"/>
                <w:szCs w:val="18"/>
                <w:color w:val="auto"/>
                <w:w w:val="93"/>
              </w:rPr>
              <w:t>(23)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31,539</w:t>
            </w: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23,973</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23,973</w:t>
            </w: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32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83,595</w:t>
            </w:r>
          </w:p>
        </w:tc>
        <w:tc>
          <w:tcPr>
            <w:tcW w:w="1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gridSpan w:val="3"/>
            <w:shd w:val="clear" w:color="auto" w:fill="CCEEFF"/>
          </w:tcPr>
          <w:p>
            <w:pPr>
              <w:jc w:val="center"/>
              <w:ind w:left="872"/>
              <w:spacing w:after="0"/>
              <w:rPr>
                <w:sz w:val="20"/>
                <w:szCs w:val="20"/>
                <w:color w:val="auto"/>
              </w:rPr>
            </w:pPr>
            <w:r>
              <w:rPr>
                <w:rFonts w:ascii="Arial" w:cs="Arial" w:eastAsia="Arial" w:hAnsi="Arial"/>
                <w:sz w:val="18"/>
                <w:szCs w:val="18"/>
                <w:color w:val="auto"/>
                <w:w w:val="93"/>
              </w:rPr>
              <w:t>(39)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83,560</w:t>
            </w: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Total marketable securities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141,424</w:t>
            </w:r>
          </w:p>
        </w:tc>
        <w:tc>
          <w:tcPr>
            <w:tcW w:w="1320" w:type="dxa"/>
            <w:vAlign w:val="bottom"/>
            <w:gridSpan w:val="2"/>
          </w:tcPr>
          <w:p>
            <w:pPr>
              <w:jc w:val="right"/>
              <w:ind w:right="955"/>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center"/>
              <w:ind w:left="872"/>
              <w:spacing w:after="0"/>
              <w:rPr>
                <w:sz w:val="20"/>
                <w:szCs w:val="20"/>
                <w:color w:val="auto"/>
              </w:rPr>
            </w:pPr>
            <w:r>
              <w:rPr>
                <w:rFonts w:ascii="Arial" w:cs="Arial" w:eastAsia="Arial" w:hAnsi="Arial"/>
                <w:sz w:val="18"/>
                <w:szCs w:val="18"/>
                <w:color w:val="auto"/>
                <w:w w:val="93"/>
              </w:rPr>
              <w:t>(39)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141,389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both"/>
        <w:ind w:firstLine="439"/>
        <w:spacing w:after="0" w:line="288" w:lineRule="auto"/>
        <w:rPr>
          <w:sz w:val="20"/>
          <w:szCs w:val="20"/>
          <w:color w:val="auto"/>
        </w:rPr>
      </w:pPr>
      <w:r>
        <w:rPr>
          <w:rFonts w:ascii="Arial" w:cs="Arial" w:eastAsia="Arial" w:hAnsi="Arial"/>
          <w:sz w:val="16"/>
          <w:szCs w:val="16"/>
          <w:color w:val="auto"/>
        </w:rPr>
        <w:t>The amortized cost of the Company's available-for-sale securities approximates their fair value. Unrealized losses are generally due to interest rate fluctuations, as opposed to credit quality. However, the Company reviews individual securities that are in an unrealized loss position in order to evaluate whether or not they have experienced or are expected to experience credit losses. During the nine months ended September 30, 2022 and 2021, unrealized gains and losses from the investments were not material and were not the result of a decline in credit quality. As a result, the Company did not recognize any credit losses related to its investments and that all unrealized gains and losses on available-for-sale securities are recorded in accumulated other comprehensive income (loss) on the condensed consolidated balance sheets as of September 30, 2022 and December 31, 2021.</w:t>
      </w:r>
    </w:p>
    <w:p>
      <w:pPr>
        <w:spacing w:after="0" w:line="166"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The Company elected to present accrued interest receivable separately from short-term and long-term investments on its condensed consolidated balance sheets. Accrued interest receivable was $0.3 million as of September 30, 2022, and was recorded in prepaid expenses and other current assets. The Company also elected to exclude accrued interest receivable from the estimation of expected credit losses on its marketable securities and reverse accrued interest receivable through interest income (expense) when amounts are determined to be uncollectible. The Company did not write off any accrued interest receivable as of September 30, 2022 or December 31, 2021.</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225" w:lineRule="exact"/>
        <w:rPr>
          <w:sz w:val="20"/>
          <w:szCs w:val="20"/>
          <w:color w:val="auto"/>
        </w:rPr>
      </w:pPr>
    </w:p>
    <w:p>
      <w:pPr>
        <w:jc w:val="both"/>
        <w:ind w:firstLine="439"/>
        <w:spacing w:after="0" w:line="295" w:lineRule="auto"/>
        <w:rPr>
          <w:sz w:val="20"/>
          <w:szCs w:val="20"/>
          <w:color w:val="auto"/>
        </w:rPr>
      </w:pPr>
      <w:r>
        <w:rPr>
          <w:rFonts w:ascii="Arial" w:cs="Arial" w:eastAsia="Arial" w:hAnsi="Arial"/>
          <w:sz w:val="16"/>
          <w:szCs w:val="16"/>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and liabilities that require fair value hierarchy measurements and disclosures for the periods presented.</w:t>
      </w:r>
    </w:p>
    <w:p>
      <w:pPr>
        <w:spacing w:after="0" w:line="160"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The table below summarizes the fair value of the Company’s marketable securities measured at fair value on a recurring basis based on the three-tier fair value hierarchy:</w:t>
      </w:r>
    </w:p>
    <w:p>
      <w:pPr>
        <w:spacing w:after="0" w:line="219"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4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September 30, 2022</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7"/>
        </w:trPr>
        <w:tc>
          <w:tcPr>
            <w:tcW w:w="4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Total</w:t>
            </w:r>
          </w:p>
        </w:tc>
      </w:tr>
      <w:tr>
        <w:trPr>
          <w:trHeight w:val="206"/>
        </w:trPr>
        <w:tc>
          <w:tcPr>
            <w:tcW w:w="4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9"/>
        </w:trPr>
        <w:tc>
          <w:tcPr>
            <w:tcW w:w="47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Marketable securities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6"/>
        </w:trPr>
        <w:tc>
          <w:tcPr>
            <w:tcW w:w="47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18,899</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18,899</w:t>
            </w:r>
          </w:p>
        </w:tc>
      </w:tr>
      <w:tr>
        <w:trPr>
          <w:trHeight w:val="227"/>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52,646</w:t>
            </w:r>
          </w:p>
        </w:tc>
      </w:tr>
      <w:tr>
        <w:trPr>
          <w:trHeight w:val="226"/>
        </w:trPr>
        <w:tc>
          <w:tcPr>
            <w:tcW w:w="478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8,878</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8,878</w:t>
            </w:r>
          </w:p>
        </w:tc>
      </w:tr>
      <w:tr>
        <w:trPr>
          <w:trHeight w:val="226"/>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16,261</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16,261</w:t>
            </w:r>
          </w:p>
        </w:tc>
      </w:tr>
      <w:tr>
        <w:trPr>
          <w:trHeight w:val="220"/>
        </w:trPr>
        <w:tc>
          <w:tcPr>
            <w:tcW w:w="4780" w:type="dxa"/>
            <w:vAlign w:val="bottom"/>
          </w:tcPr>
          <w:p>
            <w:pPr>
              <w:ind w:left="340"/>
              <w:spacing w:after="0"/>
              <w:rPr>
                <w:sz w:val="20"/>
                <w:szCs w:val="20"/>
                <w:color w:val="auto"/>
              </w:rPr>
            </w:pPr>
            <w:r>
              <w:rPr>
                <w:rFonts w:ascii="Arial" w:cs="Arial" w:eastAsia="Arial" w:hAnsi="Arial"/>
                <w:sz w:val="18"/>
                <w:szCs w:val="18"/>
                <w:color w:val="auto"/>
              </w:rPr>
              <w:t>Total marketable securities</w:t>
            </w: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71,545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25,139</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3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96,684</w:t>
            </w: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83"/>
        </w:trPr>
        <w:tc>
          <w:tcPr>
            <w:tcW w:w="4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 2021</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07"/>
        </w:trPr>
        <w:tc>
          <w:tcPr>
            <w:tcW w:w="4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Total</w:t>
            </w:r>
          </w:p>
        </w:tc>
      </w:tr>
      <w:tr>
        <w:trPr>
          <w:trHeight w:val="206"/>
        </w:trPr>
        <w:tc>
          <w:tcPr>
            <w:tcW w:w="4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9"/>
        </w:trPr>
        <w:tc>
          <w:tcPr>
            <w:tcW w:w="47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Marketable securities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6"/>
        </w:trPr>
        <w:tc>
          <w:tcPr>
            <w:tcW w:w="47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57,829</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57,829</w:t>
            </w:r>
          </w:p>
        </w:tc>
      </w:tr>
      <w:tr>
        <w:trPr>
          <w:trHeight w:val="227"/>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28,048</w:t>
            </w:r>
          </w:p>
        </w:tc>
      </w:tr>
      <w:tr>
        <w:trPr>
          <w:trHeight w:val="226"/>
        </w:trPr>
        <w:tc>
          <w:tcPr>
            <w:tcW w:w="478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31,539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31,539</w:t>
            </w:r>
          </w:p>
        </w:tc>
      </w:tr>
      <w:tr>
        <w:trPr>
          <w:trHeight w:val="226"/>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23,973</w:t>
            </w:r>
          </w:p>
        </w:tc>
      </w:tr>
      <w:tr>
        <w:trPr>
          <w:trHeight w:val="220"/>
        </w:trPr>
        <w:tc>
          <w:tcPr>
            <w:tcW w:w="4780" w:type="dxa"/>
            <w:vAlign w:val="bottom"/>
          </w:tcPr>
          <w:p>
            <w:pPr>
              <w:ind w:left="340"/>
              <w:spacing w:after="0"/>
              <w:rPr>
                <w:sz w:val="20"/>
                <w:szCs w:val="20"/>
                <w:color w:val="auto"/>
              </w:rPr>
            </w:pPr>
            <w:r>
              <w:rPr>
                <w:rFonts w:ascii="Arial" w:cs="Arial" w:eastAsia="Arial" w:hAnsi="Arial"/>
                <w:sz w:val="18"/>
                <w:szCs w:val="18"/>
                <w:color w:val="auto"/>
              </w:rPr>
              <w:t>Total marketable securities</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85,877</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55,512</w:t>
            </w:r>
          </w:p>
        </w:tc>
        <w:tc>
          <w:tcPr>
            <w:tcW w:w="120" w:type="dxa"/>
            <w:vAlign w:val="bottom"/>
          </w:tcPr>
          <w:p>
            <w:pPr>
              <w:spacing w:after="0"/>
              <w:rPr>
                <w:sz w:val="19"/>
                <w:szCs w:val="19"/>
                <w:color w:val="auto"/>
              </w:rPr>
            </w:pP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141,389</w:t>
            </w:r>
          </w:p>
        </w:tc>
      </w:tr>
      <w:tr>
        <w:trPr>
          <w:trHeight w:val="20"/>
        </w:trPr>
        <w:tc>
          <w:tcPr>
            <w:tcW w:w="4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0" w:right="9000" w:hanging="434"/>
        <w:spacing w:after="0" w:line="420" w:lineRule="auto"/>
        <w:tabs>
          <w:tab w:leader="none" w:pos="178"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Balance Sheet Components </w:t>
      </w:r>
      <w:r>
        <w:rPr>
          <w:rFonts w:ascii="Arial" w:cs="Arial" w:eastAsia="Arial" w:hAnsi="Arial"/>
          <w:sz w:val="16"/>
          <w:szCs w:val="16"/>
          <w:b w:val="1"/>
          <w:bCs w:val="1"/>
          <w:i w:val="1"/>
          <w:iCs w:val="1"/>
          <w:color w:val="auto"/>
        </w:rPr>
        <w:t>Inventory</w:t>
      </w:r>
    </w:p>
    <w:p>
      <w:pPr>
        <w:spacing w:after="0" w:line="1" w:lineRule="exact"/>
        <w:rPr>
          <w:sz w:val="20"/>
          <w:szCs w:val="20"/>
          <w:color w:val="auto"/>
        </w:rPr>
      </w:pPr>
    </w:p>
    <w:p>
      <w:pPr>
        <w:ind w:right="360" w:firstLine="439"/>
        <w:spacing w:after="0" w:line="266" w:lineRule="auto"/>
        <w:rPr>
          <w:sz w:val="20"/>
          <w:szCs w:val="20"/>
          <w:color w:val="auto"/>
        </w:rPr>
      </w:pPr>
      <w:r>
        <w:rPr>
          <w:rFonts w:ascii="Arial" w:cs="Arial" w:eastAsia="Arial" w:hAnsi="Arial"/>
          <w:sz w:val="18"/>
          <w:szCs w:val="18"/>
          <w:color w:val="auto"/>
        </w:rPr>
        <w:t>As of September 30, 2022, inventory consisted of finished goods of $16.1 million and work-in-progress of $0.8 million. As of December 31, 2021, inventory consisted of finished goods.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57"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6220" w:type="dxa"/>
            <w:vAlign w:val="bottom"/>
          </w:tcPr>
          <w:p>
            <w:pPr>
              <w:spacing w:after="0"/>
              <w:rPr>
                <w:sz w:val="18"/>
                <w:szCs w:val="18"/>
                <w:color w:val="auto"/>
              </w:rPr>
            </w:pP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September 30, 2022</w:t>
            </w:r>
          </w:p>
        </w:tc>
        <w:tc>
          <w:tcPr>
            <w:tcW w:w="15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6"/>
                <w:szCs w:val="16"/>
                <w:b w:val="1"/>
                <w:bCs w:val="1"/>
                <w:color w:val="auto"/>
                <w:w w:val="95"/>
              </w:rPr>
              <w:t>December 31, 2021</w:t>
            </w:r>
          </w:p>
        </w:tc>
      </w:tr>
      <w:tr>
        <w:trPr>
          <w:trHeight w:val="207"/>
        </w:trPr>
        <w:tc>
          <w:tcPr>
            <w:tcW w:w="6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80" w:type="dxa"/>
            <w:vAlign w:val="bottom"/>
            <w:gridSpan w:val="3"/>
          </w:tcPr>
          <w:p>
            <w:pPr>
              <w:jc w:val="right"/>
              <w:ind w:right="154"/>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7"/>
                <w:szCs w:val="17"/>
                <w:color w:val="auto"/>
              </w:rPr>
            </w:pPr>
          </w:p>
        </w:tc>
      </w:tr>
      <w:tr>
        <w:trPr>
          <w:trHeight w:val="229"/>
        </w:trPr>
        <w:tc>
          <w:tcPr>
            <w:tcW w:w="6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Machinery and equipment</w:t>
            </w: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w:t>
            </w:r>
          </w:p>
        </w:tc>
      </w:tr>
      <w:tr>
        <w:trPr>
          <w:trHeight w:val="226"/>
        </w:trPr>
        <w:tc>
          <w:tcPr>
            <w:tcW w:w="6220" w:type="dxa"/>
            <w:vAlign w:val="bottom"/>
          </w:tcPr>
          <w:p>
            <w:pPr>
              <w:ind w:left="60"/>
              <w:spacing w:after="0"/>
              <w:rPr>
                <w:sz w:val="20"/>
                <w:szCs w:val="20"/>
                <w:color w:val="auto"/>
              </w:rPr>
            </w:pPr>
            <w:r>
              <w:rPr>
                <w:rFonts w:ascii="Arial" w:cs="Arial" w:eastAsia="Arial" w:hAnsi="Arial"/>
                <w:sz w:val="18"/>
                <w:szCs w:val="18"/>
                <w:color w:val="auto"/>
              </w:rPr>
              <w:t>Construction in progress</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6,573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3,657</w:t>
            </w:r>
          </w:p>
        </w:tc>
      </w:tr>
      <w:tr>
        <w:trPr>
          <w:trHeight w:val="227"/>
        </w:trPr>
        <w:tc>
          <w:tcPr>
            <w:tcW w:w="6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Computer and office equipment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226"/>
        </w:trPr>
        <w:tc>
          <w:tcPr>
            <w:tcW w:w="6220" w:type="dxa"/>
            <w:vAlign w:val="bottom"/>
          </w:tcPr>
          <w:p>
            <w:pPr>
              <w:ind w:left="60"/>
              <w:spacing w:after="0"/>
              <w:rPr>
                <w:sz w:val="20"/>
                <w:szCs w:val="20"/>
                <w:color w:val="auto"/>
              </w:rPr>
            </w:pPr>
            <w:r>
              <w:rPr>
                <w:rFonts w:ascii="Arial" w:cs="Arial" w:eastAsia="Arial" w:hAnsi="Arial"/>
                <w:sz w:val="18"/>
                <w:szCs w:val="18"/>
                <w:color w:val="auto"/>
              </w:rPr>
              <w:t>Leasehold improvements</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26"/>
        </w:trPr>
        <w:tc>
          <w:tcPr>
            <w:tcW w:w="6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Furniture and fixtures</w:t>
            </w: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20"/>
        </w:trPr>
        <w:tc>
          <w:tcPr>
            <w:tcW w:w="6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23,646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15,958</w:t>
            </w:r>
          </w:p>
        </w:tc>
      </w:tr>
      <w:tr>
        <w:trPr>
          <w:trHeight w:val="226"/>
        </w:trPr>
        <w:tc>
          <w:tcPr>
            <w:tcW w:w="6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Less: Accumulated depreciation and amortization</w:t>
            </w: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(9,197)</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(6,966)</w:t>
            </w:r>
          </w:p>
        </w:tc>
      </w:tr>
      <w:tr>
        <w:trPr>
          <w:trHeight w:val="220"/>
        </w:trPr>
        <w:tc>
          <w:tcPr>
            <w:tcW w:w="6220" w:type="dxa"/>
            <w:vAlign w:val="bottom"/>
          </w:tcPr>
          <w:p>
            <w:pPr>
              <w:spacing w:after="0"/>
              <w:rPr>
                <w:sz w:val="19"/>
                <w:szCs w:val="19"/>
                <w:color w:val="auto"/>
              </w:rPr>
            </w:pP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14,449</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8,992</w:t>
            </w:r>
          </w:p>
        </w:tc>
      </w:tr>
      <w:tr>
        <w:trPr>
          <w:trHeight w:val="21"/>
        </w:trPr>
        <w:tc>
          <w:tcPr>
            <w:tcW w:w="6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jc w:val="both"/>
        <w:ind w:firstLine="439"/>
        <w:spacing w:after="0" w:line="273" w:lineRule="auto"/>
        <w:rPr>
          <w:sz w:val="20"/>
          <w:szCs w:val="20"/>
          <w:color w:val="auto"/>
        </w:rPr>
      </w:pPr>
      <w:r>
        <w:rPr>
          <w:rFonts w:ascii="Arial" w:cs="Arial" w:eastAsia="Arial" w:hAnsi="Arial"/>
          <w:sz w:val="17"/>
          <w:szCs w:val="17"/>
          <w:color w:val="auto"/>
        </w:rPr>
        <w:t>As of September 30, 2022, construction in progress pertains to the cost of individual components of a custom instrument set used for surgical placement of the Company's products that have not yet been placed into service of $3.7 million and construction costs related to the new lease in Santa Clara and software costs of $2.9 million. Depreciation expense was $0.9 million and $0.6 million for the three months ended September 30, 2022 and 2021, respectively, and $2.4 million and $1.4 million for the nine months ended September 30, 2022 and 2021, respectively.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Accrued Liabilities and Other</w:t>
      </w:r>
      <w:r>
        <w:rPr>
          <w:rFonts w:ascii="Arial" w:cs="Arial" w:eastAsia="Arial" w:hAnsi="Arial"/>
          <w:sz w:val="18"/>
          <w:szCs w:val="18"/>
          <w:color w:val="auto"/>
        </w:rPr>
        <w: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September 30, 2022</w:t>
            </w:r>
          </w:p>
        </w:tc>
        <w:tc>
          <w:tcPr>
            <w:tcW w:w="15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6"/>
                <w:szCs w:val="16"/>
                <w:b w:val="1"/>
                <w:bCs w:val="1"/>
                <w:color w:val="auto"/>
                <w:w w:val="95"/>
              </w:rPr>
              <w:t>December 31, 2021</w:t>
            </w: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80" w:type="dxa"/>
            <w:vAlign w:val="bottom"/>
            <w:gridSpan w:val="3"/>
          </w:tcPr>
          <w:p>
            <w:pPr>
              <w:jc w:val="right"/>
              <w:ind w:right="154"/>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 and related expenses</w:t>
            </w: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w:t>
            </w: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Accrued professional services</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Others</w:t>
            </w: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11,156</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12,353</w:t>
            </w:r>
          </w:p>
        </w:tc>
        <w:tc>
          <w:tcPr>
            <w:tcW w:w="0" w:type="dxa"/>
            <w:vAlign w:val="bottom"/>
          </w:tcPr>
          <w:p>
            <w:pPr>
              <w:spacing w:after="0"/>
              <w:rPr>
                <w:sz w:val="1"/>
                <w:szCs w:val="1"/>
                <w:color w:val="auto"/>
              </w:rPr>
            </w:pPr>
          </w:p>
        </w:tc>
      </w:tr>
      <w:tr>
        <w:trPr>
          <w:trHeight w:val="21"/>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8"/>
        </w:trPr>
        <w:tc>
          <w:tcPr>
            <w:tcW w:w="686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860" w:type="dxa"/>
            <w:vAlign w:val="bottom"/>
            <w:gridSpan w:val="2"/>
          </w:tcPr>
          <w:p>
            <w:pPr>
              <w:ind w:left="440"/>
              <w:spacing w:after="0"/>
              <w:rPr>
                <w:sz w:val="20"/>
                <w:szCs w:val="20"/>
                <w:color w:val="auto"/>
              </w:rPr>
            </w:pPr>
            <w:r>
              <w:rPr>
                <w:rFonts w:ascii="Arial" w:cs="Arial" w:eastAsia="Arial" w:hAnsi="Arial"/>
                <w:sz w:val="18"/>
                <w:szCs w:val="18"/>
                <w:color w:val="auto"/>
              </w:rPr>
              <w:t>The movement in the allowance for credit losses was as follows:</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6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September 30, 2022</w:t>
            </w:r>
          </w:p>
        </w:tc>
        <w:tc>
          <w:tcPr>
            <w:tcW w:w="15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6"/>
                <w:szCs w:val="16"/>
                <w:b w:val="1"/>
                <w:bCs w:val="1"/>
                <w:color w:val="auto"/>
                <w:w w:val="95"/>
              </w:rPr>
              <w:t>December 31, 2021</w:t>
            </w: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62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6220" w:type="dxa"/>
            <w:vAlign w:val="bottom"/>
          </w:tcPr>
          <w:p>
            <w:pPr>
              <w:ind w:left="240"/>
              <w:spacing w:after="0"/>
              <w:rPr>
                <w:sz w:val="20"/>
                <w:szCs w:val="20"/>
                <w:color w:val="auto"/>
              </w:rPr>
            </w:pPr>
            <w:r>
              <w:rPr>
                <w:rFonts w:ascii="Arial" w:cs="Arial" w:eastAsia="Arial" w:hAnsi="Arial"/>
                <w:sz w:val="18"/>
                <w:szCs w:val="18"/>
                <w:color w:val="auto"/>
              </w:rPr>
              <w:t>Provision</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6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Write-offs</w:t>
            </w: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0"/>
        </w:trPr>
        <w:tc>
          <w:tcPr>
            <w:tcW w:w="64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440" w:right="8540" w:hanging="434"/>
        <w:spacing w:after="0" w:line="560" w:lineRule="auto"/>
        <w:tabs>
          <w:tab w:leader="none" w:pos="178"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Commitments and Contingencies </w:t>
      </w:r>
      <w:r>
        <w:rPr>
          <w:rFonts w:ascii="Arial" w:cs="Arial" w:eastAsia="Arial" w:hAnsi="Arial"/>
          <w:sz w:val="14"/>
          <w:szCs w:val="14"/>
          <w:b w:val="1"/>
          <w:bCs w:val="1"/>
          <w:i w:val="1"/>
          <w:iCs w:val="1"/>
          <w:color w:val="auto"/>
        </w:rPr>
        <w:t>Operating Leases</w:t>
      </w:r>
    </w:p>
    <w:p>
      <w:pPr>
        <w:ind w:firstLine="439"/>
        <w:spacing w:after="0" w:line="266" w:lineRule="auto"/>
        <w:rPr>
          <w:sz w:val="20"/>
          <w:szCs w:val="20"/>
          <w:color w:val="auto"/>
        </w:rPr>
      </w:pPr>
      <w:r>
        <w:rPr>
          <w:rFonts w:ascii="Arial" w:cs="Arial" w:eastAsia="Arial" w:hAnsi="Arial"/>
          <w:sz w:val="18"/>
          <w:szCs w:val="18"/>
          <w:color w:val="auto"/>
        </w:rPr>
        <w:t>The Company has a non-cancelable operating lease for an office building space, located in Santa Clara, California which expires in May 2025 and a building used for research and development and warehouse space in Santa Clara, California which expires 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October 2026. The Company also has non-cancelable operating leases for its office building spaces in Gallarate, Italy and Knaresborough, United Kingdom, which expire in August 2027 and December 2025, respectively.</w:t>
      </w:r>
    </w:p>
    <w:p>
      <w:pPr>
        <w:spacing w:after="0" w:line="127" w:lineRule="exact"/>
        <w:rPr>
          <w:sz w:val="20"/>
          <w:szCs w:val="20"/>
          <w:color w:val="auto"/>
        </w:rPr>
      </w:pPr>
    </w:p>
    <w:p>
      <w:pPr>
        <w:ind w:firstLine="439"/>
        <w:spacing w:after="0" w:line="266" w:lineRule="auto"/>
        <w:rPr>
          <w:sz w:val="20"/>
          <w:szCs w:val="20"/>
          <w:color w:val="auto"/>
        </w:rPr>
      </w:pPr>
      <w:r>
        <w:rPr>
          <w:rFonts w:ascii="Arial" w:cs="Arial" w:eastAsia="Arial" w:hAnsi="Arial"/>
          <w:sz w:val="18"/>
          <w:szCs w:val="18"/>
          <w:color w:val="auto"/>
        </w:rPr>
        <w:t>The Company also leases vehicles under operating lease arrangements for certain of its personnel in Europe which expire at various times throughout 2022 to 2027.</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Supplemental information related to lease expense and valuation of the lease assets and lease liabilities are as follows:</w:t>
      </w:r>
    </w:p>
    <w:p>
      <w:pPr>
        <w:spacing w:after="0" w:line="260" w:lineRule="exact"/>
        <w:rPr>
          <w:sz w:val="20"/>
          <w:szCs w:val="20"/>
          <w:color w:val="auto"/>
        </w:rPr>
      </w:pPr>
    </w:p>
    <w:tbl>
      <w:tblPr>
        <w:tblLayout w:type="fixed"/>
        <w:tblInd w:w="128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320" w:type="dxa"/>
            <w:vAlign w:val="bottom"/>
            <w:gridSpan w:val="4"/>
          </w:tcPr>
          <w:p>
            <w:pPr>
              <w:jc w:val="right"/>
              <w:ind w:right="533"/>
              <w:spacing w:after="0"/>
              <w:rPr>
                <w:sz w:val="20"/>
                <w:szCs w:val="20"/>
                <w:color w:val="auto"/>
              </w:rPr>
            </w:pPr>
            <w:r>
              <w:rPr>
                <w:rFonts w:ascii="Arial" w:cs="Arial" w:eastAsia="Arial" w:hAnsi="Arial"/>
                <w:sz w:val="16"/>
                <w:szCs w:val="16"/>
                <w:b w:val="1"/>
                <w:bCs w:val="1"/>
                <w:color w:val="auto"/>
              </w:rPr>
              <w:t>Nine Months Ended</w:t>
            </w:r>
          </w:p>
        </w:tc>
      </w:tr>
      <w:tr>
        <w:trPr>
          <w:trHeight w:val="211"/>
        </w:trPr>
        <w:tc>
          <w:tcPr>
            <w:tcW w:w="3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r>
      <w:tr>
        <w:trPr>
          <w:trHeight w:val="206"/>
        </w:trPr>
        <w:tc>
          <w:tcPr>
            <w:tcW w:w="33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w w:val="95"/>
              </w:rPr>
              <w:t>2021</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w w:val="89"/>
              </w:rPr>
              <w:t>2021</w:t>
            </w:r>
          </w:p>
        </w:tc>
      </w:tr>
      <w:tr>
        <w:trPr>
          <w:trHeight w:val="235"/>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396</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1,202</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809</w:t>
            </w:r>
          </w:p>
        </w:tc>
      </w:tr>
      <w:tr>
        <w:trPr>
          <w:trHeight w:val="252"/>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expense</w:t>
            </w: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118</w:t>
            </w:r>
          </w:p>
        </w:tc>
        <w:tc>
          <w:tcPr>
            <w:tcW w:w="1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65</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341</w:t>
            </w:r>
          </w:p>
        </w:tc>
        <w:tc>
          <w:tcPr>
            <w:tcW w:w="1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171</w:t>
            </w:r>
          </w:p>
        </w:tc>
      </w:tr>
      <w:tr>
        <w:trPr>
          <w:trHeight w:val="245"/>
        </w:trPr>
        <w:tc>
          <w:tcPr>
            <w:tcW w:w="3340" w:type="dxa"/>
            <w:vAlign w:val="bottom"/>
            <w:tcBorders>
              <w:bottom w:val="single" w:sz="8" w:color="CCEEFF"/>
            </w:tcBorders>
            <w:shd w:val="clear" w:color="auto" w:fill="CCEEFF"/>
          </w:tcPr>
          <w:p>
            <w:pPr>
              <w:ind w:left="460"/>
              <w:spacing w:after="0" w:line="206" w:lineRule="exact"/>
              <w:rPr>
                <w:sz w:val="20"/>
                <w:szCs w:val="20"/>
                <w:color w:val="auto"/>
              </w:rPr>
            </w:pPr>
            <w:r>
              <w:rPr>
                <w:rFonts w:ascii="Arial" w:cs="Arial" w:eastAsia="Arial" w:hAnsi="Arial"/>
                <w:sz w:val="18"/>
                <w:szCs w:val="18"/>
                <w:color w:val="auto"/>
              </w:rPr>
              <w:t>Total lease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514</w:t>
            </w:r>
          </w:p>
        </w:tc>
        <w:tc>
          <w:tcPr>
            <w:tcW w:w="1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328</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1,543</w:t>
            </w: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980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3"/>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1"/>
        </w:trPr>
        <w:tc>
          <w:tcPr>
            <w:tcW w:w="33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Cash paid for amounts included in the</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52"/>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measurement of operating lease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396</w:t>
            </w: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1,201</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832</w:t>
            </w:r>
          </w:p>
        </w:tc>
      </w:tr>
      <w:tr>
        <w:trPr>
          <w:trHeight w:val="201"/>
        </w:trPr>
        <w:tc>
          <w:tcPr>
            <w:tcW w:w="3340" w:type="dxa"/>
            <w:vAlign w:val="bottom"/>
          </w:tcPr>
          <w:p>
            <w:pPr>
              <w:ind w:left="20"/>
              <w:spacing w:after="0" w:line="201" w:lineRule="exact"/>
              <w:rPr>
                <w:sz w:val="20"/>
                <w:szCs w:val="20"/>
                <w:color w:val="auto"/>
              </w:rPr>
            </w:pPr>
            <w:r>
              <w:rPr>
                <w:rFonts w:ascii="Arial" w:cs="Arial" w:eastAsia="Arial" w:hAnsi="Arial"/>
                <w:sz w:val="18"/>
                <w:szCs w:val="18"/>
                <w:color w:val="auto"/>
                <w:w w:val="92"/>
              </w:rPr>
              <w:t>Leased assets obtained in exchange for new</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4"/>
        </w:trPr>
        <w:tc>
          <w:tcPr>
            <w:tcW w:w="33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66"/>
        </w:trPr>
        <w:tc>
          <w:tcPr>
            <w:tcW w:w="33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3"/>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23"/>
                <w:szCs w:val="23"/>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23"/>
                <w:szCs w:val="23"/>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368</w:t>
            </w:r>
          </w:p>
        </w:tc>
      </w:tr>
      <w:tr>
        <w:trPr>
          <w:trHeight w:val="427"/>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gridSpan w:val="3"/>
          </w:tcPr>
          <w:p>
            <w:pPr>
              <w:ind w:left="16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8"/>
        </w:trPr>
        <w:tc>
          <w:tcPr>
            <w:tcW w:w="3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w w:val="95"/>
              </w:rPr>
              <w:t>2021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85"/>
        </w:trPr>
        <w:tc>
          <w:tcPr>
            <w:tcW w:w="3340" w:type="dxa"/>
            <w:vAlign w:val="bottom"/>
          </w:tcPr>
          <w:p>
            <w:pPr>
              <w:ind w:left="20"/>
              <w:spacing w:after="0" w:line="185" w:lineRule="exact"/>
              <w:rPr>
                <w:sz w:val="20"/>
                <w:szCs w:val="20"/>
                <w:color w:val="auto"/>
              </w:rPr>
            </w:pPr>
            <w:r>
              <w:rPr>
                <w:rFonts w:ascii="Arial" w:cs="Arial" w:eastAsia="Arial" w:hAnsi="Arial"/>
                <w:sz w:val="18"/>
                <w:szCs w:val="18"/>
                <w:color w:val="auto"/>
                <w:w w:val="95"/>
              </w:rPr>
              <w:t>Weighted average remaining lease term (in</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51"/>
        </w:trPr>
        <w:tc>
          <w:tcPr>
            <w:tcW w:w="3340" w:type="dxa"/>
            <w:vAlign w:val="bottom"/>
          </w:tcPr>
          <w:p>
            <w:pPr>
              <w:ind w:left="20"/>
              <w:spacing w:after="0"/>
              <w:rPr>
                <w:sz w:val="20"/>
                <w:szCs w:val="20"/>
                <w:color w:val="auto"/>
              </w:rPr>
            </w:pPr>
            <w:r>
              <w:rPr>
                <w:rFonts w:ascii="Arial" w:cs="Arial" w:eastAsia="Arial" w:hAnsi="Arial"/>
                <w:sz w:val="18"/>
                <w:szCs w:val="18"/>
                <w:color w:val="auto"/>
              </w:rPr>
              <w:t>years)</w:t>
            </w:r>
          </w:p>
        </w:tc>
        <w:tc>
          <w:tcPr>
            <w:tcW w:w="10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4"/>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5.76%</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5.75%</w:t>
            </w:r>
          </w:p>
        </w:tc>
        <w:tc>
          <w:tcPr>
            <w:tcW w:w="160" w:type="dxa"/>
            <w:vAlign w:val="bottom"/>
            <w:shd w:val="clear" w:color="auto" w:fill="CCEEFF"/>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200" w:lineRule="exact"/>
        <w:rPr>
          <w:sz w:val="20"/>
          <w:szCs w:val="20"/>
          <w:color w:val="auto"/>
        </w:rPr>
      </w:pP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Future minimum lease payments under non-cancelable operating leases as of September 30, 2022 was as follows:</w:t>
      </w:r>
    </w:p>
    <w:p>
      <w:pPr>
        <w:spacing w:after="0" w:line="200" w:lineRule="exact"/>
        <w:rPr>
          <w:sz w:val="20"/>
          <w:szCs w:val="20"/>
          <w:color w:val="auto"/>
        </w:rPr>
      </w:pPr>
    </w:p>
    <w:tbl>
      <w:tblPr>
        <w:tblLayout w:type="fixed"/>
        <w:tblInd w:w="1280" w:type="dxa"/>
        <w:tblCellMar>
          <w:top w:w="0" w:type="dxa"/>
          <w:left w:w="0" w:type="dxa"/>
          <w:bottom w:w="0" w:type="dxa"/>
          <w:right w:w="0" w:type="dxa"/>
        </w:tblCellMar>
      </w:tblPr>
      <w:tr>
        <w:trPr>
          <w:trHeight w:val="231"/>
        </w:trPr>
        <w:tc>
          <w:tcPr>
            <w:tcW w:w="3740" w:type="dxa"/>
            <w:vAlign w:val="bottom"/>
          </w:tcPr>
          <w:p>
            <w:pPr>
              <w:ind w:left="60"/>
              <w:spacing w:after="0"/>
              <w:rPr>
                <w:sz w:val="20"/>
                <w:szCs w:val="20"/>
                <w:color w:val="auto"/>
              </w:rPr>
            </w:pPr>
            <w:r>
              <w:rPr>
                <w:rFonts w:ascii="Arial" w:cs="Arial" w:eastAsia="Arial" w:hAnsi="Arial"/>
                <w:sz w:val="18"/>
                <w:szCs w:val="18"/>
                <w:b w:val="1"/>
                <w:bCs w:val="1"/>
                <w:color w:val="auto"/>
              </w:rPr>
              <w:t>Year Ending December 31,</w:t>
            </w:r>
          </w:p>
        </w:tc>
        <w:tc>
          <w:tcPr>
            <w:tcW w:w="28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6"/>
                <w:szCs w:val="16"/>
                <w:b w:val="1"/>
                <w:bCs w:val="1"/>
                <w:color w:val="auto"/>
              </w:rPr>
              <w:t>(in thousands)</w:t>
            </w:r>
          </w:p>
        </w:tc>
      </w:tr>
      <w:tr>
        <w:trPr>
          <w:trHeight w:val="227"/>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6"/>
        </w:trPr>
        <w:tc>
          <w:tcPr>
            <w:tcW w:w="374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1,542</w:t>
            </w:r>
          </w:p>
        </w:tc>
      </w:tr>
      <w:tr>
        <w:trPr>
          <w:trHeight w:val="227"/>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r>
      <w:tr>
        <w:trPr>
          <w:trHeight w:val="226"/>
        </w:trPr>
        <w:tc>
          <w:tcPr>
            <w:tcW w:w="374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989</w:t>
            </w:r>
          </w:p>
        </w:tc>
      </w:tr>
      <w:tr>
        <w:trPr>
          <w:trHeight w:val="227"/>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26"/>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0"/>
        </w:trPr>
        <w:tc>
          <w:tcPr>
            <w:tcW w:w="37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Total operating lease payments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w:t>
            </w:r>
          </w:p>
        </w:tc>
      </w:tr>
      <w:tr>
        <w:trPr>
          <w:trHeight w:val="226"/>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r>
      <w:tr>
        <w:trPr>
          <w:trHeight w:val="245"/>
        </w:trPr>
        <w:tc>
          <w:tcPr>
            <w:tcW w:w="374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Total operating lease liabilities</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2022, the Company had no operating lease liabilities that had not commenced.</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Purchase Commitments and Obligations</w:t>
      </w:r>
    </w:p>
    <w:p>
      <w:pPr>
        <w:spacing w:after="0" w:line="219" w:lineRule="exact"/>
        <w:rPr>
          <w:sz w:val="20"/>
          <w:szCs w:val="20"/>
          <w:color w:val="auto"/>
        </w:rPr>
      </w:pPr>
    </w:p>
    <w:p>
      <w:pPr>
        <w:jc w:val="both"/>
        <w:ind w:firstLine="439"/>
        <w:spacing w:after="0" w:line="295" w:lineRule="auto"/>
        <w:rPr>
          <w:sz w:val="20"/>
          <w:szCs w:val="20"/>
          <w:color w:val="auto"/>
        </w:rPr>
      </w:pPr>
      <w:r>
        <w:rPr>
          <w:rFonts w:ascii="Arial" w:cs="Arial" w:eastAsia="Arial" w:hAnsi="Arial"/>
          <w:sz w:val="16"/>
          <w:szCs w:val="16"/>
          <w:color w:val="auto"/>
        </w:rPr>
        <w:t>The Company has certain purchase commitments related to its inventory management with certain manufacturing suppliers wherein the Company is required to purchase the amounts forecasted in a blanket purchase order. The contractual obligations represent future cash commitments and liabilities under agreements with third parties and exclude orders for goods and services entered into in the normal course of business that are not enforceable or legally binding. These outstanding commitments amounted to $0.6 million and $1.2 million as of September 30, 2022 and December 31, 2021, respectively.</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439"/>
        <w:spacing w:after="0" w:line="290" w:lineRule="auto"/>
        <w:rPr>
          <w:sz w:val="20"/>
          <w:szCs w:val="20"/>
          <w:color w:val="auto"/>
        </w:rPr>
      </w:pPr>
      <w:r>
        <w:rPr>
          <w:rFonts w:ascii="Arial" w:cs="Arial" w:eastAsia="Arial" w:hAnsi="Arial"/>
          <w:sz w:val="16"/>
          <w:szCs w:val="16"/>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13"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3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Company has not incurred costs to defend lawsuits or settle claims related to these indemnification agreements. No liability associated with such indemnifications has been recorded to date.</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66" w:lineRule="exact"/>
        <w:rPr>
          <w:sz w:val="20"/>
          <w:szCs w:val="20"/>
          <w:color w:val="auto"/>
        </w:rPr>
      </w:pPr>
    </w:p>
    <w:p>
      <w:pPr>
        <w:jc w:val="both"/>
        <w:ind w:right="20" w:firstLine="399"/>
        <w:spacing w:after="0" w:line="330" w:lineRule="auto"/>
        <w:rPr>
          <w:sz w:val="20"/>
          <w:szCs w:val="20"/>
          <w:color w:val="auto"/>
        </w:rPr>
      </w:pPr>
      <w:r>
        <w:rPr>
          <w:rFonts w:ascii="Arial" w:cs="Arial" w:eastAsia="Arial" w:hAnsi="Arial"/>
          <w:sz w:val="16"/>
          <w:szCs w:val="16"/>
          <w:color w:val="auto"/>
        </w:rPr>
        <w:t>From time to time, the Company may become involved in legal proceedings arising in the ordinary course of its business. The Company is not presently a party to any material legal proceedings that, if determined adversely to the Company, would have a material adverse effect on the Company.</w:t>
      </w:r>
    </w:p>
    <w:p>
      <w:pPr>
        <w:spacing w:after="0" w:line="127" w:lineRule="exact"/>
        <w:rPr>
          <w:sz w:val="20"/>
          <w:szCs w:val="20"/>
          <w:color w:val="auto"/>
        </w:rPr>
      </w:pPr>
    </w:p>
    <w:p>
      <w:pPr>
        <w:ind w:left="400" w:right="10020" w:hanging="394"/>
        <w:spacing w:after="0" w:line="490" w:lineRule="auto"/>
        <w:tabs>
          <w:tab w:leader="none" w:pos="178"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Borrowings </w:t>
      </w:r>
      <w:r>
        <w:rPr>
          <w:rFonts w:ascii="Arial" w:cs="Arial" w:eastAsia="Arial" w:hAnsi="Arial"/>
          <w:sz w:val="16"/>
          <w:szCs w:val="16"/>
          <w:b w:val="1"/>
          <w:bCs w:val="1"/>
          <w:i w:val="1"/>
          <w:iCs w:val="1"/>
          <w:color w:val="auto"/>
        </w:rPr>
        <w:t>Term Loan</w:t>
      </w:r>
    </w:p>
    <w:p>
      <w:pPr>
        <w:ind w:left="400"/>
        <w:spacing w:after="0"/>
        <w:rPr>
          <w:rFonts w:ascii="Arial" w:cs="Arial" w:eastAsia="Arial" w:hAnsi="Arial"/>
          <w:sz w:val="16"/>
          <w:szCs w:val="16"/>
          <w:b w:val="1"/>
          <w:bCs w:val="1"/>
          <w:color w:val="auto"/>
        </w:rPr>
      </w:pPr>
      <w:r>
        <w:rPr>
          <w:rFonts w:ascii="Arial" w:cs="Arial" w:eastAsia="Arial" w:hAnsi="Arial"/>
          <w:sz w:val="18"/>
          <w:szCs w:val="18"/>
          <w:color w:val="auto"/>
        </w:rPr>
        <w:t>The following table summarizes the outstanding borrowings from the term loan as of periods presented:</w:t>
      </w:r>
    </w:p>
    <w:p>
      <w:pPr>
        <w:spacing w:after="0" w:line="257"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6400" w:type="dxa"/>
            <w:vAlign w:val="bottom"/>
          </w:tcPr>
          <w:p>
            <w:pPr>
              <w:spacing w:after="0"/>
              <w:rPr>
                <w:sz w:val="18"/>
                <w:szCs w:val="18"/>
                <w:color w:val="auto"/>
              </w:rPr>
            </w:pP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September 30, 2022</w:t>
            </w:r>
          </w:p>
        </w:tc>
        <w:tc>
          <w:tcPr>
            <w:tcW w:w="15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6"/>
                <w:szCs w:val="16"/>
                <w:b w:val="1"/>
                <w:bCs w:val="1"/>
                <w:color w:val="auto"/>
                <w:w w:val="95"/>
              </w:rPr>
              <w:t>December 31, 2021</w:t>
            </w:r>
          </w:p>
        </w:tc>
      </w:tr>
      <w:tr>
        <w:trPr>
          <w:trHeight w:val="207"/>
        </w:trPr>
        <w:tc>
          <w:tcPr>
            <w:tcW w:w="6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80" w:type="dxa"/>
            <w:vAlign w:val="bottom"/>
            <w:gridSpan w:val="3"/>
          </w:tcPr>
          <w:p>
            <w:pPr>
              <w:jc w:val="right"/>
              <w:ind w:right="153"/>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7"/>
                <w:szCs w:val="17"/>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outstanding and final fee</w:t>
            </w: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r>
      <w:tr>
        <w:trPr>
          <w:trHeight w:val="226"/>
        </w:trPr>
        <w:tc>
          <w:tcPr>
            <w:tcW w:w="640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7"/>
        </w:trPr>
        <w:tc>
          <w:tcPr>
            <w:tcW w:w="64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Unaccreted value of final fee</w:t>
            </w: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19"/>
        </w:trPr>
        <w:tc>
          <w:tcPr>
            <w:tcW w:w="6400" w:type="dxa"/>
            <w:vAlign w:val="bottom"/>
          </w:tcPr>
          <w:p>
            <w:pPr>
              <w:ind w:left="20"/>
              <w:spacing w:after="0" w:line="205" w:lineRule="exact"/>
              <w:rPr>
                <w:sz w:val="20"/>
                <w:szCs w:val="20"/>
                <w:color w:val="auto"/>
              </w:rPr>
            </w:pPr>
            <w:r>
              <w:rPr>
                <w:rFonts w:ascii="Arial" w:cs="Arial" w:eastAsia="Arial" w:hAnsi="Arial"/>
                <w:sz w:val="18"/>
                <w:szCs w:val="18"/>
                <w:color w:val="auto"/>
              </w:rPr>
              <w:t>Outstanding debt, net of debt issuance costs and unaccreted value of final fee</w:t>
            </w:r>
          </w:p>
        </w:tc>
        <w:tc>
          <w:tcPr>
            <w:tcW w:w="52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35,125</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34,973</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4"/>
        </w:trPr>
        <w:tc>
          <w:tcPr>
            <w:tcW w:w="640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Classified as:</w:t>
            </w: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26"/>
        </w:trPr>
        <w:tc>
          <w:tcPr>
            <w:tcW w:w="6400" w:type="dxa"/>
            <w:vAlign w:val="bottom"/>
          </w:tcPr>
          <w:p>
            <w:pPr>
              <w:ind w:left="220"/>
              <w:spacing w:after="0"/>
              <w:rPr>
                <w:sz w:val="20"/>
                <w:szCs w:val="20"/>
                <w:color w:val="auto"/>
              </w:rPr>
            </w:pPr>
            <w:r>
              <w:rPr>
                <w:rFonts w:ascii="Arial" w:cs="Arial" w:eastAsia="Arial" w:hAnsi="Arial"/>
                <w:sz w:val="18"/>
                <w:szCs w:val="18"/>
                <w:color w:val="auto"/>
              </w:rPr>
              <w:t>Current portion of long-term borrowings</w:t>
            </w:r>
          </w:p>
        </w:tc>
        <w:tc>
          <w:tcPr>
            <w:tcW w:w="520" w:type="dxa"/>
            <w:vAlign w:val="bottom"/>
          </w:tcPr>
          <w:p>
            <w:pPr>
              <w:jc w:val="right"/>
              <w:ind w:right="333"/>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9"/>
                <w:szCs w:val="19"/>
                <w:color w:val="auto"/>
              </w:rPr>
            </w:pPr>
          </w:p>
        </w:tc>
        <w:tc>
          <w:tcPr>
            <w:tcW w:w="700" w:type="dxa"/>
            <w:vAlign w:val="bottom"/>
          </w:tcPr>
          <w:p>
            <w:pPr>
              <w:jc w:val="right"/>
              <w:ind w:right="493"/>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borrowings</w:t>
            </w: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7"/>
          <w:szCs w:val="17"/>
          <w:color w:val="auto"/>
        </w:rPr>
        <w:t>In May 29, 2020, the Company entered into a term loan with Solar Capital Partners (“Solar”). Pursuant to the Loan and Security Agreement, Solar provided an aggregate principal amount of $40.0 million term loan (the “Solar Term Loan”). The Solar Term Loan bore interest at a rate per annum equal to 9.40% plus London Interbank Offered Rate (“LIBOR”), payable monthly in arrears. LIBOR means the greater of (i) 0.33% or (ii) one-month LIBOR (or a comparable replacement rate to be determined by the collateral agent if the LIBOR is no longer available), which rate shall reset monthly. The Solar Term Loan included an interest-only period of 36 months through June 2023, and then repaid in equal monthly principal payments plus interest through June 1, 2025. The Company was also obligated to pay a final fee equal to $1.0 million or 2.5% of the aggregate principal amount of the Solar Term Loan, which was fully earned by Solar on the effective date of the Loan and Security Agreement with Solar. With respect to the Solar Term Loan, this final fee was due and payable on the earliest of (i) the maturity date, (ii) the acceleration of the loan balance or (iii) its full prepayment, refinancing, substitution or replacement. The Company paid in full and terminated the Solar Term Loan in August 2021.</w:t>
      </w:r>
    </w:p>
    <w:p>
      <w:pPr>
        <w:spacing w:after="0" w:line="222" w:lineRule="exact"/>
        <w:rPr>
          <w:sz w:val="20"/>
          <w:szCs w:val="20"/>
          <w:color w:val="auto"/>
        </w:rPr>
      </w:pPr>
    </w:p>
    <w:p>
      <w:pPr>
        <w:jc w:val="both"/>
        <w:ind w:firstLine="399"/>
        <w:spacing w:after="0" w:line="272" w:lineRule="auto"/>
        <w:rPr>
          <w:sz w:val="20"/>
          <w:szCs w:val="20"/>
          <w:color w:val="auto"/>
        </w:rPr>
      </w:pPr>
      <w:r>
        <w:rPr>
          <w:rFonts w:ascii="Arial" w:cs="Arial" w:eastAsia="Arial" w:hAnsi="Arial"/>
          <w:sz w:val="16"/>
          <w:szCs w:val="16"/>
          <w:color w:val="auto"/>
        </w:rPr>
        <w:t>The outstanding debt as of September 30, 2022 and December 31, 2021 is related to a term loan pursuant to the Loan and Security Agreement dated August 12, 2021 (the “Effective Date”), entered into by the Company with Silicon Valley Bank (“SVB”). Pursuant the agreement, SVB provided an aggregate principal amount of $35.0 million to the Company (the “SVB Term Loan”). The Company used the proceeds of the SVB Term Loan to repay in full and terminate the Solar Term Loan, which was accounted for as debt extinguishment in accordance with the accounting standards. The Company recognized the unamortized debt issuance costs and unaccreted value of final fee of $1.3 million and the prepayment penalty and lender fees of $0.5 million related to Solar Term Loan as a loss on debt extinguishment. The costs and fees are reflected as interest expense in the consolidated statement of operations for the year ended December 31, 2021. The total debt issuance costs of $0.1 million associated with the SVB Term Loan were recorded in the condensed consolidated balance sheet as a direct deduction from the carrying amount of the loan, and are amortized as a component of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using straight-line method over the life of the term loan. The SVB Term Loan matures (the “Maturity Date”) on either (a) August 1, 2025 or</w:t>
      </w:r>
    </w:p>
    <w:p>
      <w:pPr>
        <w:spacing w:after="0" w:line="30" w:lineRule="exact"/>
        <w:rPr>
          <w:sz w:val="20"/>
          <w:szCs w:val="20"/>
          <w:color w:val="auto"/>
        </w:rPr>
      </w:pPr>
    </w:p>
    <w:p>
      <w:pPr>
        <w:jc w:val="both"/>
        <w:ind w:firstLine="6"/>
        <w:spacing w:after="0" w:line="270" w:lineRule="auto"/>
        <w:tabs>
          <w:tab w:leader="none" w:pos="256" w:val="left"/>
        </w:tabs>
        <w:numPr>
          <w:ilvl w:val="0"/>
          <w:numId w:val="8"/>
        </w:numPr>
        <w:rPr>
          <w:rFonts w:ascii="Arial" w:cs="Arial" w:eastAsia="Arial" w:hAnsi="Arial"/>
          <w:sz w:val="16"/>
          <w:szCs w:val="16"/>
          <w:color w:val="auto"/>
        </w:rPr>
      </w:pPr>
      <w:r>
        <w:rPr>
          <w:rFonts w:ascii="Arial" w:cs="Arial" w:eastAsia="Arial" w:hAnsi="Arial"/>
          <w:sz w:val="16"/>
          <w:szCs w:val="16"/>
          <w:color w:val="auto"/>
        </w:rPr>
        <w:t>August 1, 2026 dependent on the Company’s achievement of a certain financial performance milestone as of December 31, 2022, as set forth in the Loan Agreement. Interest on the SVB Term Loan is payable monthly at an annual rate set at the greater of (a) 5.75% and (b) prime rate as published in the Wall Street Journal plus 2.5%. Commencing on September 1, 2023, the Company will be required to make monthly principal amortization payments. The Company may elect to prepay the SVB Term Loan prior to the Maturity Date subject to a prepayment fee equal to 1% if the prepayment occurs prior to the second anniversary of the Effective Date and 0% if the prepayment occurs on or at any time after the second anniversary of the Effective Date. The SVB Term Loan is secured by substantially all the Company's assets other than the Company's intellectual property. The Company is also obligated to pay a final payment equal to $0.7 million or 2% of the aggregate principal amount of the SVB Term Loan, which is considered fully earned by SVB on the effective date of the Loan and Security Agreement with SVB. This final payment shall be due and payable on the earliest of (i) the Maturity Date, (ii) the full repayment of the loan, (iii) permitted prepayment and mandatory prepayment upon an acceleration as specified in the agreement or (iv) the termination of the agreement. The final payment is included within the long-term borrowings and is accreted to interest expense using straight-line method over the life of the term loan.</w:t>
      </w:r>
    </w:p>
    <w:p>
      <w:pPr>
        <w:spacing w:after="0" w:line="206" w:lineRule="exact"/>
        <w:rPr>
          <w:sz w:val="20"/>
          <w:szCs w:val="20"/>
          <w:color w:val="auto"/>
        </w:rPr>
      </w:pPr>
    </w:p>
    <w:p>
      <w:pPr>
        <w:jc w:val="both"/>
        <w:ind w:firstLine="639"/>
        <w:spacing w:after="0" w:line="243" w:lineRule="auto"/>
        <w:rPr>
          <w:sz w:val="20"/>
          <w:szCs w:val="20"/>
          <w:color w:val="auto"/>
        </w:rPr>
      </w:pPr>
      <w:r>
        <w:rPr>
          <w:rFonts w:ascii="Arial" w:cs="Arial" w:eastAsia="Arial" w:hAnsi="Arial"/>
          <w:sz w:val="18"/>
          <w:szCs w:val="18"/>
          <w:color w:val="auto"/>
        </w:rPr>
        <w:t>The aggregate effective interest rate related to the SVB Term Loan, which was effective August 12, 2021, and Solar Term Loan, which was paid in full and terminated, (excluding the write-down of unamortized debt issuance costs and prepayment penalty related to the Solar Term Loan) was 8.5% for the three and nine months ended September 30, 2021. The effective interest rate related to the SVB Term Loan for the three and nine months ended September 30, 2022 was 8.3% and 7.1%,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future principal and final fee payments under the SVB Term Loan as of September 30, 2022:</w:t>
      </w:r>
    </w:p>
    <w:p>
      <w:pPr>
        <w:spacing w:after="0" w:line="253" w:lineRule="exact"/>
        <w:rPr>
          <w:sz w:val="20"/>
          <w:szCs w:val="20"/>
          <w:color w:val="auto"/>
        </w:rPr>
      </w:pPr>
    </w:p>
    <w:tbl>
      <w:tblPr>
        <w:tblLayout w:type="fixed"/>
        <w:tblInd w:w="640" w:type="dxa"/>
        <w:tblCellMar>
          <w:top w:w="0" w:type="dxa"/>
          <w:left w:w="0" w:type="dxa"/>
          <w:bottom w:w="0" w:type="dxa"/>
          <w:right w:w="0" w:type="dxa"/>
        </w:tblCellMar>
      </w:tblPr>
      <w:tr>
        <w:trPr>
          <w:trHeight w:val="231"/>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60" w:type="dxa"/>
            <w:vAlign w:val="bottom"/>
          </w:tcPr>
          <w:p>
            <w:pPr>
              <w:spacing w:after="0"/>
              <w:rPr>
                <w:sz w:val="20"/>
                <w:szCs w:val="20"/>
                <w:color w:val="auto"/>
              </w:rPr>
            </w:pPr>
          </w:p>
        </w:tc>
        <w:tc>
          <w:tcPr>
            <w:tcW w:w="1200" w:type="dxa"/>
            <w:vAlign w:val="bottom"/>
          </w:tcPr>
          <w:p>
            <w:pPr>
              <w:jc w:val="right"/>
              <w:ind w:right="93"/>
              <w:spacing w:after="0"/>
              <w:rPr>
                <w:sz w:val="20"/>
                <w:szCs w:val="20"/>
                <w:color w:val="auto"/>
              </w:rPr>
            </w:pPr>
            <w:r>
              <w:rPr>
                <w:rFonts w:ascii="Arial" w:cs="Arial" w:eastAsia="Arial" w:hAnsi="Arial"/>
                <w:sz w:val="16"/>
                <w:szCs w:val="16"/>
                <w:b w:val="1"/>
                <w:bCs w:val="1"/>
                <w:color w:val="auto"/>
                <w:w w:val="90"/>
              </w:rPr>
              <w:t>(in thousands)</w:t>
            </w:r>
          </w:p>
        </w:tc>
      </w:tr>
      <w:tr>
        <w:trPr>
          <w:trHeight w:val="227"/>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34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7,292</w:t>
            </w:r>
          </w:p>
        </w:tc>
      </w:tr>
      <w:tr>
        <w:trPr>
          <w:trHeight w:val="227"/>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226"/>
        </w:trPr>
        <w:tc>
          <w:tcPr>
            <w:tcW w:w="834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10,908</w:t>
            </w:r>
          </w:p>
        </w:tc>
      </w:tr>
      <w:tr>
        <w:trPr>
          <w:trHeight w:val="227"/>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340" w:type="dxa"/>
            <w:vAlign w:val="bottom"/>
          </w:tcPr>
          <w:p>
            <w:pPr>
              <w:ind w:left="220"/>
              <w:spacing w:after="0" w:line="205" w:lineRule="exact"/>
              <w:rPr>
                <w:sz w:val="20"/>
                <w:szCs w:val="20"/>
                <w:color w:val="auto"/>
              </w:rPr>
            </w:pPr>
            <w:r>
              <w:rPr>
                <w:rFonts w:ascii="Arial" w:cs="Arial" w:eastAsia="Arial" w:hAnsi="Arial"/>
                <w:sz w:val="18"/>
                <w:szCs w:val="18"/>
                <w:color w:val="auto"/>
              </w:rPr>
              <w:t>Total principal and final fee payments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35,700</w:t>
            </w:r>
          </w:p>
        </w:tc>
      </w:tr>
      <w:tr>
        <w:trPr>
          <w:trHeight w:val="21"/>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ind w:firstLine="639"/>
        <w:spacing w:after="0" w:line="238" w:lineRule="auto"/>
        <w:rPr>
          <w:sz w:val="20"/>
          <w:szCs w:val="20"/>
          <w:color w:val="auto"/>
        </w:rPr>
      </w:pPr>
      <w:r>
        <w:rPr>
          <w:rFonts w:ascii="Arial" w:cs="Arial" w:eastAsia="Arial" w:hAnsi="Arial"/>
          <w:sz w:val="18"/>
          <w:szCs w:val="18"/>
          <w:color w:val="auto"/>
        </w:rPr>
        <w:t>The Loan Agreement includes affirmative and negative covenants applicable to the Company and certain of its foreign subsidiaries. The affirmative covenants include, among others, covenants requiring the Company to maintain its legal existence and governmental compliance, deliver certain financial reports, and maintain insurance coverage. The negative covenants include, among others, restrictions regarding transferring collateral, pledging the Company's intellectual property to other parties, engaging in mergers or acquisitions, paying dividends or making other distributions, incurring indebtedness, transacting with affiliates, and entering into certain investments, in each case subject to certain exceptions. As of September 30, 2022, the Company was in compliance with all debt covenants.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CARES Act</w:t>
      </w:r>
    </w:p>
    <w:p>
      <w:pPr>
        <w:spacing w:after="0" w:line="206" w:lineRule="exact"/>
        <w:rPr>
          <w:sz w:val="20"/>
          <w:szCs w:val="20"/>
          <w:color w:val="auto"/>
        </w:rPr>
      </w:pPr>
    </w:p>
    <w:p>
      <w:pPr>
        <w:jc w:val="both"/>
        <w:ind w:firstLine="479"/>
        <w:spacing w:after="0" w:line="243" w:lineRule="auto"/>
        <w:rPr>
          <w:sz w:val="20"/>
          <w:szCs w:val="20"/>
          <w:color w:val="auto"/>
        </w:rPr>
      </w:pPr>
      <w:r>
        <w:rPr>
          <w:rFonts w:ascii="Arial" w:cs="Arial" w:eastAsia="Arial" w:hAnsi="Arial"/>
          <w:sz w:val="18"/>
          <w:szCs w:val="18"/>
          <w:color w:val="auto"/>
        </w:rPr>
        <w:t>On March 27, 2020, the U.S. federal government enacted the “Coronavirus Aid, Relief and Economic Security (CARES) Act,” which, among other things, allowed employers to defer the deposit and payment of an employer's share of social security taxes through December 31, 2020. The Company recorded a total liability of $0.5 million related to the deferral of the social security taxes that is included in the accrued liabilities and other in the condensed consolidated balance sheets as of September 30, 2022 and December 31, 2021.</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0" w:right="7780" w:hanging="434"/>
        <w:spacing w:after="0" w:line="512" w:lineRule="auto"/>
        <w:tabs>
          <w:tab w:leader="none" w:pos="17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Incentive Compensation Plans </w:t>
      </w:r>
      <w:r>
        <w:rPr>
          <w:rFonts w:ascii="Arial" w:cs="Arial" w:eastAsia="Arial" w:hAnsi="Arial"/>
          <w:sz w:val="18"/>
          <w:szCs w:val="18"/>
          <w:b w:val="1"/>
          <w:bCs w:val="1"/>
          <w:i w:val="1"/>
          <w:iCs w:val="1"/>
          <w:color w:val="auto"/>
        </w:rPr>
        <w:t>Stock Options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the stock option activity for the nine months ended September 30, 2022:</w:t>
      </w:r>
    </w:p>
    <w:p>
      <w:pPr>
        <w:spacing w:after="0" w:line="180" w:lineRule="exact"/>
        <w:rPr>
          <w:sz w:val="20"/>
          <w:szCs w:val="20"/>
          <w:color w:val="auto"/>
        </w:rPr>
      </w:pPr>
    </w:p>
    <w:tbl>
      <w:tblPr>
        <w:tblLayout w:type="fixed"/>
        <w:tblInd w:w="128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w:t>
            </w:r>
          </w:p>
        </w:tc>
        <w:tc>
          <w:tcPr>
            <w:tcW w:w="0" w:type="dxa"/>
            <w:vAlign w:val="bottom"/>
          </w:tcPr>
          <w:p>
            <w:pPr>
              <w:spacing w:after="0"/>
              <w:rPr>
                <w:sz w:val="1"/>
                <w:szCs w:val="1"/>
                <w:color w:val="auto"/>
              </w:rPr>
            </w:pPr>
          </w:p>
        </w:tc>
      </w:tr>
      <w:tr>
        <w:trPr>
          <w:trHeight w:val="160"/>
        </w:trPr>
        <w:tc>
          <w:tcPr>
            <w:tcW w:w="4440" w:type="dxa"/>
            <w:vAlign w:val="bottom"/>
          </w:tcPr>
          <w:p>
            <w:pPr>
              <w:spacing w:after="0"/>
              <w:rPr>
                <w:sz w:val="13"/>
                <w:szCs w:val="13"/>
                <w:color w:val="auto"/>
              </w:rPr>
            </w:pPr>
          </w:p>
        </w:tc>
        <w:tc>
          <w:tcPr>
            <w:tcW w:w="1180" w:type="dxa"/>
            <w:vAlign w:val="bottom"/>
            <w:vMerge w:val="restart"/>
          </w:tcPr>
          <w:p>
            <w:pPr>
              <w:jc w:val="right"/>
              <w:ind w:right="154"/>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60"/>
        </w:trPr>
        <w:tc>
          <w:tcPr>
            <w:tcW w:w="44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5"/>
              </w:rPr>
              <w:t>Exercise</w:t>
            </w:r>
          </w:p>
        </w:tc>
        <w:tc>
          <w:tcPr>
            <w:tcW w:w="0" w:type="dxa"/>
            <w:vAlign w:val="bottom"/>
          </w:tcPr>
          <w:p>
            <w:pPr>
              <w:spacing w:after="0"/>
              <w:rPr>
                <w:sz w:val="1"/>
                <w:szCs w:val="1"/>
                <w:color w:val="auto"/>
              </w:rPr>
            </w:pPr>
          </w:p>
        </w:tc>
      </w:tr>
      <w:tr>
        <w:trPr>
          <w:trHeight w:val="211"/>
        </w:trPr>
        <w:tc>
          <w:tcPr>
            <w:tcW w:w="44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w:t>
            </w:r>
          </w:p>
        </w:tc>
        <w:tc>
          <w:tcPr>
            <w:tcW w:w="0" w:type="dxa"/>
            <w:vAlign w:val="bottom"/>
          </w:tcPr>
          <w:p>
            <w:pPr>
              <w:spacing w:after="0"/>
              <w:rPr>
                <w:sz w:val="1"/>
                <w:szCs w:val="1"/>
                <w:color w:val="auto"/>
              </w:rPr>
            </w:pPr>
          </w:p>
        </w:tc>
      </w:tr>
      <w:tr>
        <w:trPr>
          <w:trHeight w:val="222"/>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2021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2,009,513</w:t>
            </w:r>
          </w:p>
        </w:tc>
        <w:tc>
          <w:tcPr>
            <w:tcW w:w="13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$8.73</w:t>
            </w:r>
          </w:p>
        </w:tc>
        <w:tc>
          <w:tcPr>
            <w:tcW w:w="0" w:type="dxa"/>
            <w:vAlign w:val="bottom"/>
          </w:tcPr>
          <w:p>
            <w:pPr>
              <w:spacing w:after="0"/>
              <w:rPr>
                <w:sz w:val="1"/>
                <w:szCs w:val="1"/>
                <w:color w:val="auto"/>
              </w:rPr>
            </w:pPr>
          </w:p>
        </w:tc>
      </w:tr>
      <w:tr>
        <w:trPr>
          <w:trHeight w:val="252"/>
        </w:trPr>
        <w:tc>
          <w:tcPr>
            <w:tcW w:w="4440" w:type="dxa"/>
            <w:vAlign w:val="bottom"/>
          </w:tcPr>
          <w:p>
            <w:pPr>
              <w:ind w:left="60"/>
              <w:spacing w:after="0"/>
              <w:rPr>
                <w:sz w:val="20"/>
                <w:szCs w:val="20"/>
                <w:color w:val="auto"/>
              </w:rPr>
            </w:pPr>
            <w:r>
              <w:rPr>
                <w:rFonts w:ascii="Arial" w:cs="Arial" w:eastAsia="Arial" w:hAnsi="Arial"/>
                <w:sz w:val="18"/>
                <w:szCs w:val="18"/>
                <w:color w:val="auto"/>
              </w:rPr>
              <w:t>Exercised</w:t>
            </w:r>
          </w:p>
        </w:tc>
        <w:tc>
          <w:tcPr>
            <w:tcW w:w="1180" w:type="dxa"/>
            <w:vAlign w:val="bottom"/>
          </w:tcPr>
          <w:p>
            <w:pPr>
              <w:jc w:val="right"/>
              <w:spacing w:after="0"/>
              <w:rPr>
                <w:sz w:val="20"/>
                <w:szCs w:val="20"/>
                <w:color w:val="auto"/>
              </w:rPr>
            </w:pPr>
            <w:r>
              <w:rPr>
                <w:rFonts w:ascii="Arial" w:cs="Arial" w:eastAsia="Arial" w:hAnsi="Arial"/>
                <w:sz w:val="18"/>
                <w:szCs w:val="18"/>
                <w:color w:val="auto"/>
              </w:rPr>
              <w:t>(64,211)</w:t>
            </w:r>
          </w:p>
        </w:tc>
        <w:tc>
          <w:tcPr>
            <w:tcW w:w="130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4.75</w:t>
            </w:r>
          </w:p>
        </w:tc>
        <w:tc>
          <w:tcPr>
            <w:tcW w:w="0" w:type="dxa"/>
            <w:vAlign w:val="bottom"/>
          </w:tcPr>
          <w:p>
            <w:pPr>
              <w:spacing w:after="0"/>
              <w:rPr>
                <w:sz w:val="1"/>
                <w:szCs w:val="1"/>
                <w:color w:val="auto"/>
              </w:rPr>
            </w:pPr>
          </w:p>
        </w:tc>
      </w:tr>
      <w:tr>
        <w:trPr>
          <w:trHeight w:val="227"/>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Canceled and forfeited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(24,237)</w:t>
            </w:r>
          </w:p>
        </w:tc>
        <w:tc>
          <w:tcPr>
            <w:tcW w:w="13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15.47</w:t>
            </w:r>
          </w:p>
        </w:tc>
        <w:tc>
          <w:tcPr>
            <w:tcW w:w="0" w:type="dxa"/>
            <w:vAlign w:val="bottom"/>
          </w:tcPr>
          <w:p>
            <w:pPr>
              <w:spacing w:after="0"/>
              <w:rPr>
                <w:sz w:val="1"/>
                <w:szCs w:val="1"/>
                <w:color w:val="auto"/>
              </w:rPr>
            </w:pPr>
          </w:p>
        </w:tc>
      </w:tr>
      <w:tr>
        <w:trPr>
          <w:trHeight w:val="220"/>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Outstanding as of September 30, 2022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1,921,065</w:t>
            </w:r>
          </w:p>
        </w:tc>
        <w:tc>
          <w:tcPr>
            <w:tcW w:w="130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11.13</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As of September 30, 2022, the unrecognized compensation cost related to stock options was $0.3 million, which is expected to be recognized over a period of approximately 0.3 years.</w:t>
      </w:r>
    </w:p>
    <w:p>
      <w:pPr>
        <w:spacing w:after="0" w:line="20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 were no stock options granted during the three and nine months ended September 30, 2022 and 2021.</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Early Exercise of Unvested Stock Options</w:t>
      </w:r>
    </w:p>
    <w:p>
      <w:pPr>
        <w:spacing w:after="0" w:line="112"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Early exercises of stock options under the Company's 2008 Stock Option Plan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equity as the options vest. As of September 30, 2022 and December 31, 2021, the Company had no shares subject to repurchase.</w:t>
      </w:r>
    </w:p>
    <w:p>
      <w:pPr>
        <w:spacing w:after="0" w:line="29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9" w:lineRule="exact"/>
        <w:rPr>
          <w:sz w:val="20"/>
          <w:szCs w:val="20"/>
          <w:color w:val="auto"/>
        </w:rPr>
      </w:pPr>
    </w:p>
    <w:p>
      <w:pPr>
        <w:jc w:val="both"/>
        <w:ind w:firstLine="439"/>
        <w:spacing w:after="0" w:line="279" w:lineRule="auto"/>
        <w:rPr>
          <w:sz w:val="20"/>
          <w:szCs w:val="20"/>
          <w:color w:val="auto"/>
        </w:rPr>
      </w:pPr>
      <w:r>
        <w:rPr>
          <w:rFonts w:ascii="Arial" w:cs="Arial" w:eastAsia="Arial" w:hAnsi="Arial"/>
          <w:sz w:val="17"/>
          <w:szCs w:val="17"/>
          <w:color w:val="auto"/>
        </w:rPr>
        <w:t>Restricted stock units (“RSUs”) are share awards that entitle the holder to receive freely tradable shares of the Company’s common stock upon vesting. RSUs generally vest over two to four years based upon continued services and are settled at vesting in shares of the Company's common stock. The grant date fair value of the RSUs is equal to the closing price of the Company’s common stock on the grant date.</w:t>
      </w:r>
    </w:p>
    <w:p>
      <w:pPr>
        <w:spacing w:after="0" w:line="170" w:lineRule="exact"/>
        <w:rPr>
          <w:sz w:val="20"/>
          <w:szCs w:val="20"/>
          <w:color w:val="auto"/>
        </w:rPr>
      </w:pPr>
    </w:p>
    <w:p>
      <w:pPr>
        <w:jc w:val="both"/>
        <w:ind w:firstLine="320"/>
        <w:spacing w:after="0" w:line="268" w:lineRule="auto"/>
        <w:rPr>
          <w:sz w:val="20"/>
          <w:szCs w:val="20"/>
          <w:color w:val="auto"/>
        </w:rPr>
      </w:pPr>
      <w:r>
        <w:rPr>
          <w:rFonts w:ascii="Arial" w:cs="Arial" w:eastAsia="Arial" w:hAnsi="Arial"/>
          <w:sz w:val="17"/>
          <w:szCs w:val="17"/>
          <w:color w:val="auto"/>
        </w:rPr>
        <w:t>In January 2022, the Company granted performance-based restricted stock unit awards subject to market and service vesting conditions to certain executive officers under SI-BONE's 2018 Equity Incentive Plan (“PSUs”). The shares subject to the PSUs vest over a three-year performance period beginning January 1, 2022 and ending December 31, 2024. The actual number of PSUs that will vest in each measurement period will be determined by the Compensation Committee based on the Company’s total shareholder return (“TSR”) relative to the TSR of the Median Peer Companies (as defined in the award agreement). The grant date fair value of each stock award with a market condition was determined using the Monte Carlo valuation model. The table below summarizes the assumptions used to estimate the grant date fair value of the PSUs granted:</w:t>
      </w:r>
    </w:p>
    <w:p>
      <w:pPr>
        <w:spacing w:after="0" w:line="200" w:lineRule="exact"/>
        <w:rPr>
          <w:sz w:val="20"/>
          <w:szCs w:val="20"/>
          <w:color w:val="auto"/>
        </w:rPr>
      </w:pPr>
    </w:p>
    <w:tbl>
      <w:tblPr>
        <w:tblLayout w:type="fixed"/>
        <w:tblInd w:w="400" w:type="dxa"/>
        <w:tblCellMar>
          <w:top w:w="0" w:type="dxa"/>
          <w:left w:w="0" w:type="dxa"/>
          <w:bottom w:w="0" w:type="dxa"/>
          <w:right w:w="0" w:type="dxa"/>
        </w:tblCellMar>
      </w:tblPr>
      <w:tr>
        <w:trPr>
          <w:trHeight w:val="222"/>
        </w:trPr>
        <w:tc>
          <w:tcPr>
            <w:tcW w:w="4600" w:type="dxa"/>
            <w:vAlign w:val="bottom"/>
          </w:tcPr>
          <w:p>
            <w:pPr>
              <w:spacing w:after="0"/>
              <w:rPr>
                <w:sz w:val="19"/>
                <w:szCs w:val="19"/>
                <w:color w:val="auto"/>
              </w:rPr>
            </w:pPr>
          </w:p>
        </w:tc>
        <w:tc>
          <w:tcPr>
            <w:tcW w:w="43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Nine Months Ended September 30, 2022</w:t>
            </w:r>
          </w:p>
        </w:tc>
      </w:tr>
      <w:tr>
        <w:trPr>
          <w:trHeight w:val="224"/>
        </w:trPr>
        <w:tc>
          <w:tcPr>
            <w:tcW w:w="4600" w:type="dxa"/>
            <w:vAlign w:val="bottom"/>
          </w:tcPr>
          <w:p>
            <w:pPr>
              <w:ind w:left="60"/>
              <w:spacing w:after="0"/>
              <w:rPr>
                <w:sz w:val="20"/>
                <w:szCs w:val="20"/>
                <w:color w:val="auto"/>
              </w:rPr>
            </w:pPr>
            <w:r>
              <w:rPr>
                <w:rFonts w:ascii="Arial" w:cs="Arial" w:eastAsia="Arial" w:hAnsi="Arial"/>
                <w:sz w:val="18"/>
                <w:szCs w:val="18"/>
                <w:color w:val="auto"/>
              </w:rPr>
              <w:t>Expected volatility of common stock</w:t>
            </w:r>
          </w:p>
        </w:tc>
        <w:tc>
          <w:tcPr>
            <w:tcW w:w="1520" w:type="dxa"/>
            <w:vAlign w:val="bottom"/>
          </w:tcPr>
          <w:p>
            <w:pPr>
              <w:jc w:val="center"/>
              <w:ind w:right="13"/>
              <w:spacing w:after="0"/>
              <w:rPr>
                <w:sz w:val="20"/>
                <w:szCs w:val="20"/>
                <w:color w:val="auto"/>
              </w:rPr>
            </w:pPr>
            <w:r>
              <w:rPr>
                <w:rFonts w:ascii="Arial" w:cs="Arial" w:eastAsia="Arial" w:hAnsi="Arial"/>
                <w:sz w:val="18"/>
                <w:szCs w:val="18"/>
                <w:color w:val="auto"/>
                <w:w w:val="90"/>
              </w:rPr>
              <w:t>48.9%</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58.7%</w:t>
            </w:r>
          </w:p>
        </w:tc>
      </w:tr>
      <w:tr>
        <w:trPr>
          <w:trHeight w:val="227"/>
        </w:trPr>
        <w:tc>
          <w:tcPr>
            <w:tcW w:w="4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Expected volatility of peer companies</w:t>
            </w:r>
          </w:p>
        </w:tc>
        <w:tc>
          <w:tcPr>
            <w:tcW w:w="1520" w:type="dxa"/>
            <w:vAlign w:val="bottom"/>
            <w:shd w:val="clear" w:color="auto" w:fill="CCEEFF"/>
          </w:tcPr>
          <w:p>
            <w:pPr>
              <w:jc w:val="center"/>
              <w:ind w:right="13"/>
              <w:spacing w:after="0"/>
              <w:rPr>
                <w:sz w:val="20"/>
                <w:szCs w:val="20"/>
                <w:color w:val="auto"/>
              </w:rPr>
            </w:pPr>
            <w:r>
              <w:rPr>
                <w:rFonts w:ascii="Arial" w:cs="Arial" w:eastAsia="Arial" w:hAnsi="Arial"/>
                <w:sz w:val="18"/>
                <w:szCs w:val="18"/>
                <w:color w:val="auto"/>
                <w:w w:val="90"/>
              </w:rPr>
              <w:t>24.2%</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152.5%</w:t>
            </w:r>
          </w:p>
        </w:tc>
      </w:tr>
      <w:tr>
        <w:trPr>
          <w:trHeight w:val="226"/>
        </w:trPr>
        <w:tc>
          <w:tcPr>
            <w:tcW w:w="4600" w:type="dxa"/>
            <w:vAlign w:val="bottom"/>
          </w:tcPr>
          <w:p>
            <w:pPr>
              <w:ind w:left="60"/>
              <w:spacing w:after="0"/>
              <w:rPr>
                <w:sz w:val="20"/>
                <w:szCs w:val="20"/>
                <w:color w:val="auto"/>
              </w:rPr>
            </w:pPr>
            <w:r>
              <w:rPr>
                <w:rFonts w:ascii="Arial" w:cs="Arial" w:eastAsia="Arial" w:hAnsi="Arial"/>
                <w:sz w:val="18"/>
                <w:szCs w:val="18"/>
                <w:color w:val="auto"/>
              </w:rPr>
              <w:t>Correlation coefficient of peer companies</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(0.13)</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1540" w:type="dxa"/>
            <w:vAlign w:val="bottom"/>
          </w:tcPr>
          <w:p>
            <w:pPr>
              <w:jc w:val="center"/>
              <w:spacing w:after="0"/>
              <w:rPr>
                <w:sz w:val="20"/>
                <w:szCs w:val="20"/>
                <w:color w:val="auto"/>
              </w:rPr>
            </w:pPr>
            <w:r>
              <w:rPr>
                <w:rFonts w:ascii="Arial" w:cs="Arial" w:eastAsia="Arial" w:hAnsi="Arial"/>
                <w:sz w:val="18"/>
                <w:szCs w:val="18"/>
                <w:color w:val="auto"/>
                <w:w w:val="85"/>
              </w:rPr>
              <w:t>1.00</w:t>
            </w:r>
          </w:p>
        </w:tc>
      </w:tr>
      <w:tr>
        <w:trPr>
          <w:trHeight w:val="227"/>
        </w:trPr>
        <w:tc>
          <w:tcPr>
            <w:tcW w:w="4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Risk-free interest rate</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w:t>
            </w:r>
          </w:p>
        </w:tc>
      </w:tr>
      <w:tr>
        <w:trPr>
          <w:trHeight w:val="225"/>
        </w:trPr>
        <w:tc>
          <w:tcPr>
            <w:tcW w:w="4600" w:type="dxa"/>
            <w:vAlign w:val="bottom"/>
          </w:tcPr>
          <w:p>
            <w:pPr>
              <w:ind w:left="60"/>
              <w:spacing w:after="0"/>
              <w:rPr>
                <w:sz w:val="20"/>
                <w:szCs w:val="20"/>
                <w:color w:val="auto"/>
              </w:rPr>
            </w:pPr>
            <w:r>
              <w:rPr>
                <w:rFonts w:ascii="Arial" w:cs="Arial" w:eastAsia="Arial" w:hAnsi="Arial"/>
                <w:sz w:val="18"/>
                <w:szCs w:val="18"/>
                <w:color w:val="auto"/>
              </w:rPr>
              <w:t>Dividend yield</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1.0%</w:t>
            </w:r>
          </w:p>
        </w:tc>
      </w:tr>
    </w:tbl>
    <w:p>
      <w:pPr>
        <w:spacing w:after="0" w:line="2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summarizes RSU and PSU activity for the nine months ended September 30, 2022:</w:t>
      </w:r>
    </w:p>
    <w:p>
      <w:pPr>
        <w:spacing w:after="0" w:line="19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1080" w:type="dxa"/>
        <w:tblCellMar>
          <w:top w:w="0" w:type="dxa"/>
          <w:left w:w="0" w:type="dxa"/>
          <w:bottom w:w="0" w:type="dxa"/>
          <w:right w:w="0" w:type="dxa"/>
        </w:tblCellMar>
      </w:tblPr>
      <w:tr>
        <w:trPr>
          <w:trHeight w:val="211"/>
        </w:trPr>
        <w:tc>
          <w:tcPr>
            <w:tcW w:w="3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gridSpan w:val="4"/>
          </w:tcPr>
          <w:p>
            <w:pPr>
              <w:ind w:left="80"/>
              <w:spacing w:after="0"/>
              <w:rPr>
                <w:sz w:val="20"/>
                <w:szCs w:val="20"/>
                <w:color w:val="auto"/>
              </w:rPr>
            </w:pPr>
            <w:r>
              <w:rPr>
                <w:rFonts w:ascii="Arial" w:cs="Arial" w:eastAsia="Arial" w:hAnsi="Arial"/>
                <w:sz w:val="16"/>
                <w:szCs w:val="16"/>
                <w:b w:val="1"/>
                <w:bCs w:val="1"/>
                <w:color w:val="auto"/>
              </w:rPr>
              <w:t>RSUs</w:t>
            </w:r>
          </w:p>
        </w:tc>
        <w:tc>
          <w:tcPr>
            <w:tcW w:w="108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Arial" w:cs="Arial" w:eastAsia="Arial" w:hAnsi="Arial"/>
                <w:sz w:val="16"/>
                <w:szCs w:val="16"/>
                <w:b w:val="1"/>
                <w:bCs w:val="1"/>
                <w:color w:val="auto"/>
              </w:rPr>
              <w:t>PSUs</w:t>
            </w:r>
          </w:p>
        </w:tc>
        <w:tc>
          <w:tcPr>
            <w:tcW w:w="0" w:type="dxa"/>
            <w:vAlign w:val="bottom"/>
          </w:tcPr>
          <w:p>
            <w:pPr>
              <w:spacing w:after="0"/>
              <w:rPr>
                <w:sz w:val="1"/>
                <w:szCs w:val="1"/>
                <w:color w:val="auto"/>
              </w:rPr>
            </w:pPr>
          </w:p>
        </w:tc>
      </w:tr>
      <w:tr>
        <w:trPr>
          <w:trHeight w:val="156"/>
        </w:trPr>
        <w:tc>
          <w:tcPr>
            <w:tcW w:w="3600" w:type="dxa"/>
            <w:vAlign w:val="bottom"/>
          </w:tcPr>
          <w:p>
            <w:pPr>
              <w:spacing w:after="0"/>
              <w:rPr>
                <w:sz w:val="13"/>
                <w:szCs w:val="13"/>
                <w:color w:val="auto"/>
              </w:rPr>
            </w:pPr>
          </w:p>
        </w:tc>
        <w:tc>
          <w:tcPr>
            <w:tcW w:w="1060" w:type="dxa"/>
            <w:vAlign w:val="bottom"/>
            <w:tcBorders>
              <w:top w:val="single" w:sz="8" w:color="auto"/>
            </w:tcBorders>
            <w:vMerge w:val="restart"/>
          </w:tcPr>
          <w:p>
            <w:pPr>
              <w:jc w:val="center"/>
              <w:ind w:left="74"/>
              <w:spacing w:after="0"/>
              <w:rPr>
                <w:sz w:val="20"/>
                <w:szCs w:val="20"/>
                <w:color w:val="auto"/>
              </w:rPr>
            </w:pPr>
            <w:r>
              <w:rPr>
                <w:rFonts w:ascii="Arial" w:cs="Arial" w:eastAsia="Arial" w:hAnsi="Arial"/>
                <w:sz w:val="16"/>
                <w:szCs w:val="16"/>
                <w:b w:val="1"/>
                <w:bCs w:val="1"/>
                <w:color w:val="auto"/>
                <w:w w:val="92"/>
              </w:rPr>
              <w:t>Number of</w:t>
            </w: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6"/>
                <w:szCs w:val="16"/>
                <w:b w:val="1"/>
                <w:bCs w:val="1"/>
                <w:color w:val="auto"/>
                <w:w w:val="88"/>
              </w:rPr>
              <w:t>Weighted</w:t>
            </w:r>
          </w:p>
        </w:tc>
        <w:tc>
          <w:tcPr>
            <w:tcW w:w="260" w:type="dxa"/>
            <w:vAlign w:val="bottom"/>
          </w:tcPr>
          <w:p>
            <w:pPr>
              <w:spacing w:after="0"/>
              <w:rPr>
                <w:sz w:val="13"/>
                <w:szCs w:val="13"/>
                <w:color w:val="auto"/>
              </w:rPr>
            </w:pPr>
          </w:p>
        </w:tc>
        <w:tc>
          <w:tcPr>
            <w:tcW w:w="1080" w:type="dxa"/>
            <w:vAlign w:val="bottom"/>
            <w:tcBorders>
              <w:top w:val="single" w:sz="8" w:color="auto"/>
            </w:tcBorders>
            <w:vMerge w:val="restart"/>
          </w:tcPr>
          <w:p>
            <w:pPr>
              <w:jc w:val="center"/>
              <w:ind w:left="54"/>
              <w:spacing w:after="0"/>
              <w:rPr>
                <w:sz w:val="20"/>
                <w:szCs w:val="20"/>
                <w:color w:val="auto"/>
              </w:rPr>
            </w:pPr>
            <w:r>
              <w:rPr>
                <w:rFonts w:ascii="Arial" w:cs="Arial" w:eastAsia="Arial" w:hAnsi="Arial"/>
                <w:sz w:val="16"/>
                <w:szCs w:val="16"/>
                <w:b w:val="1"/>
                <w:bCs w:val="1"/>
                <w:color w:val="auto"/>
                <w:w w:val="92"/>
              </w:rPr>
              <w:t>Number of</w:t>
            </w:r>
          </w:p>
        </w:tc>
        <w:tc>
          <w:tcPr>
            <w:tcW w:w="1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0"/>
        </w:trPr>
        <w:tc>
          <w:tcPr>
            <w:tcW w:w="36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260"/>
              <w:spacing w:after="0" w:line="160" w:lineRule="exact"/>
              <w:rPr>
                <w:sz w:val="20"/>
                <w:szCs w:val="20"/>
                <w:color w:val="auto"/>
              </w:rPr>
            </w:pPr>
            <w:r>
              <w:rPr>
                <w:rFonts w:ascii="Arial" w:cs="Arial" w:eastAsia="Arial" w:hAnsi="Arial"/>
                <w:sz w:val="16"/>
                <w:szCs w:val="16"/>
                <w:b w:val="1"/>
                <w:bCs w:val="1"/>
                <w:color w:val="auto"/>
                <w:w w:val="90"/>
              </w:rPr>
              <w:t>Average Grant</w:t>
            </w:r>
          </w:p>
        </w:tc>
        <w:tc>
          <w:tcPr>
            <w:tcW w:w="10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2"/>
              </w:rPr>
              <w:t>Average Grant</w:t>
            </w:r>
          </w:p>
        </w:tc>
        <w:tc>
          <w:tcPr>
            <w:tcW w:w="0" w:type="dxa"/>
            <w:vAlign w:val="bottom"/>
          </w:tcPr>
          <w:p>
            <w:pPr>
              <w:spacing w:after="0"/>
              <w:rPr>
                <w:sz w:val="1"/>
                <w:szCs w:val="1"/>
                <w:color w:val="auto"/>
              </w:rPr>
            </w:pPr>
          </w:p>
        </w:tc>
      </w:tr>
      <w:tr>
        <w:trPr>
          <w:trHeight w:val="211"/>
        </w:trPr>
        <w:tc>
          <w:tcPr>
            <w:tcW w:w="36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ind w:left="74"/>
              <w:spacing w:after="0"/>
              <w:rPr>
                <w:sz w:val="20"/>
                <w:szCs w:val="20"/>
                <w:color w:val="auto"/>
              </w:rPr>
            </w:pPr>
            <w:r>
              <w:rPr>
                <w:rFonts w:ascii="Arial" w:cs="Arial" w:eastAsia="Arial" w:hAnsi="Arial"/>
                <w:sz w:val="16"/>
                <w:szCs w:val="16"/>
                <w:b w:val="1"/>
                <w:bCs w:val="1"/>
                <w:color w:val="auto"/>
                <w:w w:val="86"/>
              </w:rPr>
              <w:t>Shares</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Date Fair Value</w:t>
            </w:r>
          </w:p>
        </w:tc>
        <w:tc>
          <w:tcPr>
            <w:tcW w:w="2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54"/>
              <w:spacing w:after="0"/>
              <w:rPr>
                <w:sz w:val="20"/>
                <w:szCs w:val="20"/>
                <w:color w:val="auto"/>
              </w:rPr>
            </w:pPr>
            <w:r>
              <w:rPr>
                <w:rFonts w:ascii="Arial" w:cs="Arial" w:eastAsia="Arial" w:hAnsi="Arial"/>
                <w:sz w:val="16"/>
                <w:szCs w:val="16"/>
                <w:b w:val="1"/>
                <w:bCs w:val="1"/>
                <w:color w:val="auto"/>
                <w:w w:val="86"/>
              </w:rPr>
              <w:t>Shares</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Date Fair Value</w:t>
            </w:r>
          </w:p>
        </w:tc>
        <w:tc>
          <w:tcPr>
            <w:tcW w:w="0" w:type="dxa"/>
            <w:vAlign w:val="bottom"/>
          </w:tcPr>
          <w:p>
            <w:pPr>
              <w:spacing w:after="0"/>
              <w:rPr>
                <w:sz w:val="1"/>
                <w:szCs w:val="1"/>
                <w:color w:val="auto"/>
              </w:rPr>
            </w:pPr>
          </w:p>
        </w:tc>
      </w:tr>
      <w:tr>
        <w:trPr>
          <w:trHeight w:val="222"/>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2021</w:t>
            </w:r>
          </w:p>
        </w:tc>
        <w:tc>
          <w:tcPr>
            <w:tcW w:w="106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89"/>
              </w:rPr>
              <w:t>1,566,522</w:t>
            </w:r>
          </w:p>
        </w:tc>
        <w:tc>
          <w:tcPr>
            <w:tcW w:w="1600" w:type="dxa"/>
            <w:vAlign w:val="bottom"/>
            <w:gridSpan w:val="3"/>
            <w:shd w:val="clear" w:color="auto" w:fill="CCEEFF"/>
          </w:tcPr>
          <w:p>
            <w:pPr>
              <w:jc w:val="center"/>
              <w:ind w:left="273"/>
              <w:spacing w:after="0"/>
              <w:rPr>
                <w:sz w:val="20"/>
                <w:szCs w:val="20"/>
                <w:color w:val="auto"/>
              </w:rPr>
            </w:pPr>
            <w:r>
              <w:rPr>
                <w:rFonts w:ascii="Arial" w:cs="Arial" w:eastAsia="Arial" w:hAnsi="Arial"/>
                <w:sz w:val="18"/>
                <w:szCs w:val="18"/>
                <w:color w:val="auto"/>
                <w:w w:val="87"/>
              </w:rPr>
              <w:t>$25.17</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54"/>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6"/>
        </w:trPr>
        <w:tc>
          <w:tcPr>
            <w:tcW w:w="3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060" w:type="dxa"/>
            <w:vAlign w:val="bottom"/>
          </w:tcPr>
          <w:p>
            <w:pPr>
              <w:jc w:val="center"/>
              <w:ind w:left="94"/>
              <w:spacing w:after="0"/>
              <w:rPr>
                <w:sz w:val="20"/>
                <w:szCs w:val="20"/>
                <w:color w:val="auto"/>
              </w:rPr>
            </w:pPr>
            <w:r>
              <w:rPr>
                <w:rFonts w:ascii="Arial" w:cs="Arial" w:eastAsia="Arial" w:hAnsi="Arial"/>
                <w:sz w:val="18"/>
                <w:szCs w:val="18"/>
                <w:color w:val="auto"/>
                <w:w w:val="89"/>
              </w:rPr>
              <w:t>1,252,165</w:t>
            </w:r>
          </w:p>
        </w:tc>
        <w:tc>
          <w:tcPr>
            <w:tcW w:w="1600" w:type="dxa"/>
            <w:vAlign w:val="bottom"/>
            <w:gridSpan w:val="3"/>
          </w:tcPr>
          <w:p>
            <w:pPr>
              <w:jc w:val="center"/>
              <w:ind w:left="273"/>
              <w:spacing w:after="0"/>
              <w:rPr>
                <w:sz w:val="20"/>
                <w:szCs w:val="20"/>
                <w:color w:val="auto"/>
              </w:rPr>
            </w:pPr>
            <w:r>
              <w:rPr>
                <w:rFonts w:ascii="Arial" w:cs="Arial" w:eastAsia="Arial" w:hAnsi="Arial"/>
                <w:sz w:val="18"/>
                <w:szCs w:val="18"/>
                <w:color w:val="auto"/>
                <w:w w:val="88"/>
              </w:rPr>
              <w:t>20.69</w:t>
            </w:r>
          </w:p>
        </w:tc>
        <w:tc>
          <w:tcPr>
            <w:tcW w:w="260" w:type="dxa"/>
            <w:vAlign w:val="bottom"/>
          </w:tcPr>
          <w:p>
            <w:pPr>
              <w:spacing w:after="0"/>
              <w:rPr>
                <w:sz w:val="19"/>
                <w:szCs w:val="19"/>
                <w:color w:val="auto"/>
              </w:rPr>
            </w:pPr>
          </w:p>
        </w:tc>
        <w:tc>
          <w:tcPr>
            <w:tcW w:w="1080" w:type="dxa"/>
            <w:vAlign w:val="bottom"/>
          </w:tcPr>
          <w:p>
            <w:pPr>
              <w:jc w:val="center"/>
              <w:ind w:left="54"/>
              <w:spacing w:after="0"/>
              <w:rPr>
                <w:sz w:val="20"/>
                <w:szCs w:val="20"/>
                <w:color w:val="auto"/>
              </w:rPr>
            </w:pPr>
            <w:r>
              <w:rPr>
                <w:rFonts w:ascii="Arial" w:cs="Arial" w:eastAsia="Arial" w:hAnsi="Arial"/>
                <w:sz w:val="18"/>
                <w:szCs w:val="18"/>
                <w:color w:val="auto"/>
                <w:w w:val="89"/>
              </w:rPr>
              <w:t>155,596</w:t>
            </w:r>
          </w:p>
        </w:tc>
        <w:tc>
          <w:tcPr>
            <w:tcW w:w="1660" w:type="dxa"/>
            <w:vAlign w:val="bottom"/>
            <w:gridSpan w:val="3"/>
          </w:tcPr>
          <w:p>
            <w:pPr>
              <w:jc w:val="center"/>
              <w:ind w:left="334"/>
              <w:spacing w:after="0"/>
              <w:rPr>
                <w:sz w:val="20"/>
                <w:szCs w:val="20"/>
                <w:color w:val="auto"/>
              </w:rPr>
            </w:pPr>
            <w:r>
              <w:rPr>
                <w:rFonts w:ascii="Arial" w:cs="Arial" w:eastAsia="Arial" w:hAnsi="Arial"/>
                <w:sz w:val="18"/>
                <w:szCs w:val="18"/>
                <w:color w:val="auto"/>
                <w:w w:val="88"/>
              </w:rPr>
              <w:t>19.50</w:t>
            </w:r>
          </w:p>
        </w:tc>
        <w:tc>
          <w:tcPr>
            <w:tcW w:w="0" w:type="dxa"/>
            <w:vAlign w:val="bottom"/>
          </w:tcPr>
          <w:p>
            <w:pPr>
              <w:spacing w:after="0"/>
              <w:rPr>
                <w:sz w:val="1"/>
                <w:szCs w:val="1"/>
                <w:color w:val="auto"/>
              </w:rPr>
            </w:pPr>
          </w:p>
        </w:tc>
      </w:tr>
      <w:tr>
        <w:trPr>
          <w:trHeight w:val="227"/>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06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88"/>
              </w:rPr>
              <w:t>(588,240)</w:t>
            </w:r>
          </w:p>
        </w:tc>
        <w:tc>
          <w:tcPr>
            <w:tcW w:w="1600" w:type="dxa"/>
            <w:vAlign w:val="bottom"/>
            <w:gridSpan w:val="3"/>
            <w:shd w:val="clear" w:color="auto" w:fill="CCEEFF"/>
          </w:tcPr>
          <w:p>
            <w:pPr>
              <w:jc w:val="center"/>
              <w:ind w:left="273"/>
              <w:spacing w:after="0"/>
              <w:rPr>
                <w:sz w:val="20"/>
                <w:szCs w:val="20"/>
                <w:color w:val="auto"/>
              </w:rPr>
            </w:pPr>
            <w:r>
              <w:rPr>
                <w:rFonts w:ascii="Arial" w:cs="Arial" w:eastAsia="Arial" w:hAnsi="Arial"/>
                <w:sz w:val="18"/>
                <w:szCs w:val="18"/>
                <w:color w:val="auto"/>
                <w:w w:val="88"/>
              </w:rPr>
              <w:t>24.49</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54"/>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6"/>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 and forfeited</w:t>
            </w:r>
          </w:p>
        </w:tc>
        <w:tc>
          <w:tcPr>
            <w:tcW w:w="1060" w:type="dxa"/>
            <w:vAlign w:val="bottom"/>
            <w:tcBorders>
              <w:bottom w:val="single" w:sz="8" w:color="auto"/>
            </w:tcBorders>
          </w:tcPr>
          <w:p>
            <w:pPr>
              <w:jc w:val="center"/>
              <w:ind w:left="94"/>
              <w:spacing w:after="0"/>
              <w:rPr>
                <w:sz w:val="20"/>
                <w:szCs w:val="20"/>
                <w:color w:val="auto"/>
              </w:rPr>
            </w:pPr>
            <w:r>
              <w:rPr>
                <w:rFonts w:ascii="Arial" w:cs="Arial" w:eastAsia="Arial" w:hAnsi="Arial"/>
                <w:sz w:val="18"/>
                <w:szCs w:val="18"/>
                <w:color w:val="auto"/>
                <w:w w:val="88"/>
              </w:rPr>
              <w:t>(204,013)</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CCEEFF"/>
            </w:tcBorders>
            <w:gridSpan w:val="2"/>
          </w:tcPr>
          <w:p>
            <w:pPr>
              <w:jc w:val="center"/>
              <w:ind w:left="91"/>
              <w:spacing w:after="0"/>
              <w:rPr>
                <w:sz w:val="20"/>
                <w:szCs w:val="20"/>
                <w:color w:val="auto"/>
              </w:rPr>
            </w:pPr>
            <w:r>
              <w:rPr>
                <w:rFonts w:ascii="Arial" w:cs="Arial" w:eastAsia="Arial" w:hAnsi="Arial"/>
                <w:sz w:val="18"/>
                <w:szCs w:val="18"/>
                <w:color w:val="auto"/>
                <w:w w:val="88"/>
              </w:rPr>
              <w:t>23.67</w:t>
            </w:r>
          </w:p>
        </w:tc>
        <w:tc>
          <w:tcPr>
            <w:tcW w:w="2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ind w:left="54"/>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September 30, 2022</w:t>
            </w:r>
          </w:p>
        </w:tc>
        <w:tc>
          <w:tcPr>
            <w:tcW w:w="106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89"/>
              </w:rPr>
              <w:t>2,026,434</w:t>
            </w:r>
          </w:p>
        </w:tc>
        <w:tc>
          <w:tcPr>
            <w:tcW w:w="1600" w:type="dxa"/>
            <w:vAlign w:val="bottom"/>
            <w:gridSpan w:val="3"/>
            <w:shd w:val="clear" w:color="auto" w:fill="CCEEFF"/>
          </w:tcPr>
          <w:p>
            <w:pPr>
              <w:jc w:val="center"/>
              <w:ind w:left="273"/>
              <w:spacing w:after="0"/>
              <w:rPr>
                <w:sz w:val="20"/>
                <w:szCs w:val="20"/>
                <w:color w:val="auto"/>
              </w:rPr>
            </w:pPr>
            <w:r>
              <w:rPr>
                <w:rFonts w:ascii="Arial" w:cs="Arial" w:eastAsia="Arial" w:hAnsi="Arial"/>
                <w:sz w:val="18"/>
                <w:szCs w:val="18"/>
                <w:color w:val="auto"/>
                <w:w w:val="88"/>
              </w:rPr>
              <w:t>22.75</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center"/>
              <w:ind w:left="54"/>
              <w:spacing w:after="0"/>
              <w:rPr>
                <w:sz w:val="20"/>
                <w:szCs w:val="20"/>
                <w:color w:val="auto"/>
              </w:rPr>
            </w:pPr>
            <w:r>
              <w:rPr>
                <w:rFonts w:ascii="Arial" w:cs="Arial" w:eastAsia="Arial" w:hAnsi="Arial"/>
                <w:sz w:val="18"/>
                <w:szCs w:val="18"/>
                <w:color w:val="auto"/>
                <w:w w:val="89"/>
              </w:rPr>
              <w:t>155,596</w:t>
            </w:r>
          </w:p>
        </w:tc>
        <w:tc>
          <w:tcPr>
            <w:tcW w:w="1660" w:type="dxa"/>
            <w:vAlign w:val="bottom"/>
            <w:gridSpan w:val="3"/>
            <w:shd w:val="clear" w:color="auto" w:fill="CCEEFF"/>
          </w:tcPr>
          <w:p>
            <w:pPr>
              <w:jc w:val="center"/>
              <w:ind w:left="334"/>
              <w:spacing w:after="0"/>
              <w:rPr>
                <w:sz w:val="20"/>
                <w:szCs w:val="20"/>
                <w:color w:val="auto"/>
              </w:rPr>
            </w:pPr>
            <w:r>
              <w:rPr>
                <w:rFonts w:ascii="Arial" w:cs="Arial" w:eastAsia="Arial" w:hAnsi="Arial"/>
                <w:sz w:val="18"/>
                <w:szCs w:val="18"/>
                <w:color w:val="auto"/>
                <w:w w:val="88"/>
              </w:rPr>
              <w:t>19.50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As of September 30, 2022, the unrecognized compensation cost related to the RSUs was $38.0 million, which is expected to be recognized over a period of approximately 2.6 years. As of September 30, 2022, the unrecognized compensation cost related to the PSUs was $1.9 million, which is expected to be recognized over a period of approximately 2.3 years.</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19"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offering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provided for automatic enrollment in a new offering, and provided that the offering which commenced in May 2020 be twelve months in duration and consist of two purchase periods.</w:t>
      </w:r>
    </w:p>
    <w:p>
      <w:pPr>
        <w:spacing w:after="0" w:line="197"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The fair value of the ESPP shares is estimated using the Black-Scholes option pricing model, which is being amortized over the requisite service period. The Company issued 112,773 and 104,861 shares under ESPP, representing approximately $1.6 million in employee contributions, for the nine months ended September 30, 2022 and 2021. As of September 30, 2022 and December 31, 2021, total accumulated ESPP related employee payroll deductions amounted to $0.5 million and $0.3 million, respectively, which were included within accrued compensation and related expenses in the condensed consolidated balance sheets.</w:t>
      </w:r>
    </w:p>
    <w:p>
      <w:pPr>
        <w:spacing w:after="0" w:line="22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table below presents the detail of stock-based compensation expense amounts included in the condensed consolidated statements of operations:</w:t>
      </w:r>
    </w:p>
    <w:p>
      <w:pPr>
        <w:spacing w:after="0" w:line="257"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2320" w:type="dxa"/>
            <w:vAlign w:val="bottom"/>
            <w:gridSpan w:val="4"/>
          </w:tcPr>
          <w:p>
            <w:pPr>
              <w:jc w:val="right"/>
              <w:ind w:right="114"/>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40" w:type="dxa"/>
            <w:vAlign w:val="bottom"/>
            <w:gridSpan w:val="4"/>
          </w:tcPr>
          <w:p>
            <w:pPr>
              <w:jc w:val="right"/>
              <w:ind w:right="653"/>
              <w:spacing w:after="0"/>
              <w:rPr>
                <w:sz w:val="20"/>
                <w:szCs w:val="20"/>
                <w:color w:val="auto"/>
              </w:rPr>
            </w:pPr>
            <w:r>
              <w:rPr>
                <w:rFonts w:ascii="Arial" w:cs="Arial" w:eastAsia="Arial" w:hAnsi="Arial"/>
                <w:sz w:val="16"/>
                <w:szCs w:val="16"/>
                <w:b w:val="1"/>
                <w:bCs w:val="1"/>
                <w:color w:val="auto"/>
              </w:rPr>
              <w:t>Nine Months Ended</w:t>
            </w:r>
          </w:p>
        </w:tc>
      </w:tr>
      <w:tr>
        <w:trPr>
          <w:trHeight w:val="211"/>
        </w:trPr>
        <w:tc>
          <w:tcPr>
            <w:tcW w:w="43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6"/>
                <w:szCs w:val="16"/>
                <w:b w:val="1"/>
                <w:bCs w:val="1"/>
                <w:color w:val="auto"/>
                <w:w w:val="93"/>
              </w:rPr>
              <w:t>September 30,</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206"/>
        </w:trPr>
        <w:tc>
          <w:tcPr>
            <w:tcW w:w="436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w w:val="95"/>
              </w:rPr>
              <w:t>2021</w:t>
            </w:r>
          </w:p>
        </w:tc>
      </w:tr>
      <w:tr>
        <w:trPr>
          <w:trHeight w:val="206"/>
        </w:trPr>
        <w:tc>
          <w:tcPr>
            <w:tcW w:w="4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(in thousands)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9"/>
        </w:trPr>
        <w:tc>
          <w:tcPr>
            <w:tcW w:w="4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Cost of goods sold</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26"/>
        </w:trPr>
        <w:tc>
          <w:tcPr>
            <w:tcW w:w="4360" w:type="dxa"/>
            <w:vAlign w:val="bottom"/>
          </w:tcPr>
          <w:p>
            <w:pPr>
              <w:ind w:left="60"/>
              <w:spacing w:after="0"/>
              <w:rPr>
                <w:sz w:val="20"/>
                <w:szCs w:val="20"/>
                <w:color w:val="auto"/>
              </w:rPr>
            </w:pPr>
            <w:r>
              <w:rPr>
                <w:rFonts w:ascii="Arial" w:cs="Arial" w:eastAsia="Arial" w:hAnsi="Arial"/>
                <w:sz w:val="18"/>
                <w:szCs w:val="18"/>
                <w:color w:val="auto"/>
              </w:rPr>
              <w:t>Sales and marketing</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2,836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2,153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6,177</w:t>
            </w:r>
          </w:p>
        </w:tc>
      </w:tr>
      <w:tr>
        <w:trPr>
          <w:trHeight w:val="227"/>
        </w:trPr>
        <w:tc>
          <w:tcPr>
            <w:tcW w:w="4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r>
      <w:tr>
        <w:trPr>
          <w:trHeight w:val="226"/>
        </w:trPr>
        <w:tc>
          <w:tcPr>
            <w:tcW w:w="43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2,293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1,526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4,662</w:t>
            </w:r>
          </w:p>
        </w:tc>
      </w:tr>
      <w:tr>
        <w:trPr>
          <w:trHeight w:val="245"/>
        </w:trPr>
        <w:tc>
          <w:tcPr>
            <w:tcW w:w="4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5,922</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4,241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 of Common Stock</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summarizes the computation of basic and diluted net loss per share:</w:t>
      </w:r>
    </w:p>
    <w:p>
      <w:pPr>
        <w:spacing w:after="0" w:line="257"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2720" w:type="dxa"/>
            <w:vAlign w:val="bottom"/>
            <w:gridSpan w:val="4"/>
          </w:tcPr>
          <w:p>
            <w:pPr>
              <w:jc w:val="right"/>
              <w:ind w:right="173"/>
              <w:spacing w:after="0"/>
              <w:rPr>
                <w:sz w:val="20"/>
                <w:szCs w:val="20"/>
                <w:color w:val="auto"/>
              </w:rPr>
            </w:pPr>
            <w:r>
              <w:rPr>
                <w:rFonts w:ascii="Arial" w:cs="Arial" w:eastAsia="Arial" w:hAnsi="Arial"/>
                <w:sz w:val="16"/>
                <w:szCs w:val="16"/>
                <w:b w:val="1"/>
                <w:bCs w:val="1"/>
                <w:color w:val="auto"/>
                <w:w w:val="92"/>
              </w:rPr>
              <w:t>Nine Months Ended September 30,</w:t>
            </w:r>
          </w:p>
        </w:tc>
        <w:tc>
          <w:tcPr>
            <w:tcW w:w="0" w:type="dxa"/>
            <w:vAlign w:val="bottom"/>
          </w:tcPr>
          <w:p>
            <w:pPr>
              <w:spacing w:after="0"/>
              <w:rPr>
                <w:sz w:val="1"/>
                <w:szCs w:val="1"/>
                <w:color w:val="auto"/>
              </w:rPr>
            </w:pPr>
          </w:p>
        </w:tc>
      </w:tr>
      <w:tr>
        <w:trPr>
          <w:trHeight w:val="207"/>
        </w:trPr>
        <w:tc>
          <w:tcPr>
            <w:tcW w:w="36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60" w:type="dxa"/>
            <w:vAlign w:val="bottom"/>
            <w:gridSpan w:val="9"/>
          </w:tcPr>
          <w:p>
            <w:pPr>
              <w:jc w:val="right"/>
              <w:ind w:right="171"/>
              <w:spacing w:after="0"/>
              <w:rPr>
                <w:sz w:val="20"/>
                <w:szCs w:val="20"/>
                <w:color w:val="auto"/>
              </w:rPr>
            </w:pPr>
            <w:r>
              <w:rPr>
                <w:rFonts w:ascii="Arial" w:cs="Arial" w:eastAsia="Arial" w:hAnsi="Arial"/>
                <w:sz w:val="16"/>
                <w:szCs w:val="16"/>
                <w:b w:val="1"/>
                <w:bCs w:val="1"/>
                <w:color w:val="auto"/>
              </w:rPr>
              <w:t>(in thousands, except share and per share data)</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(42,095)</w:t>
            </w:r>
          </w:p>
        </w:tc>
        <w:tc>
          <w:tcPr>
            <w:tcW w:w="0" w:type="dxa"/>
            <w:vAlign w:val="bottom"/>
          </w:tcPr>
          <w:p>
            <w:pPr>
              <w:spacing w:after="0"/>
              <w:rPr>
                <w:sz w:val="1"/>
                <w:szCs w:val="1"/>
                <w:color w:val="auto"/>
              </w:rPr>
            </w:pPr>
          </w:p>
        </w:tc>
      </w:tr>
      <w:tr>
        <w:trPr>
          <w:trHeight w:val="407"/>
        </w:trPr>
        <w:tc>
          <w:tcPr>
            <w:tcW w:w="3660" w:type="dxa"/>
            <w:vAlign w:val="bottom"/>
          </w:tcPr>
          <w:p>
            <w:pPr>
              <w:ind w:left="60"/>
              <w:spacing w:after="0"/>
              <w:rPr>
                <w:sz w:val="20"/>
                <w:szCs w:val="20"/>
                <w:color w:val="auto"/>
              </w:rPr>
            </w:pPr>
            <w:r>
              <w:rPr>
                <w:rFonts w:ascii="Arial" w:cs="Arial" w:eastAsia="Arial" w:hAnsi="Arial"/>
                <w:sz w:val="18"/>
                <w:szCs w:val="18"/>
                <w:color w:val="auto"/>
                <w:w w:val="91"/>
              </w:rPr>
              <w:t>Weighted-average shares used to compute basic</w:t>
            </w:r>
          </w:p>
        </w:tc>
        <w:tc>
          <w:tcPr>
            <w:tcW w:w="16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34,356,850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33,340,093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34,069,357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33,005,904</w:t>
            </w:r>
          </w:p>
        </w:tc>
        <w:tc>
          <w:tcPr>
            <w:tcW w:w="0" w:type="dxa"/>
            <w:vAlign w:val="bottom"/>
          </w:tcPr>
          <w:p>
            <w:pPr>
              <w:spacing w:after="0"/>
              <w:rPr>
                <w:sz w:val="1"/>
                <w:szCs w:val="1"/>
                <w:color w:val="auto"/>
              </w:rPr>
            </w:pPr>
          </w:p>
        </w:tc>
      </w:tr>
      <w:tr>
        <w:trPr>
          <w:trHeight w:val="212"/>
        </w:trPr>
        <w:tc>
          <w:tcPr>
            <w:tcW w:w="3660" w:type="dxa"/>
            <w:vAlign w:val="bottom"/>
          </w:tcPr>
          <w:p>
            <w:pPr>
              <w:ind w:left="220"/>
              <w:spacing w:after="0"/>
              <w:rPr>
                <w:sz w:val="20"/>
                <w:szCs w:val="20"/>
                <w:color w:val="auto"/>
              </w:rPr>
            </w:pPr>
            <w:r>
              <w:rPr>
                <w:rFonts w:ascii="Arial" w:cs="Arial" w:eastAsia="Arial" w:hAnsi="Arial"/>
                <w:sz w:val="18"/>
                <w:szCs w:val="18"/>
                <w:color w:val="auto"/>
              </w:rPr>
              <w:t>and diluted net loss per share</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both"/>
        <w:ind w:firstLine="559"/>
        <w:spacing w:after="0" w:line="253" w:lineRule="auto"/>
        <w:rPr>
          <w:sz w:val="20"/>
          <w:szCs w:val="20"/>
          <w:color w:val="auto"/>
        </w:rPr>
      </w:pPr>
      <w:r>
        <w:rPr>
          <w:rFonts w:ascii="Arial" w:cs="Arial" w:eastAsia="Arial" w:hAnsi="Arial"/>
          <w:sz w:val="18"/>
          <w:szCs w:val="18"/>
          <w:color w:val="auto"/>
        </w:rPr>
        <w:t>Because the Company has reported a net loss in all periods presented, outstanding stock options, restricted stock units, shares subject to repurchase,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20" w:type="dxa"/>
            <w:vAlign w:val="bottom"/>
          </w:tcPr>
          <w:p>
            <w:pPr>
              <w:spacing w:after="0"/>
              <w:rPr>
                <w:sz w:val="18"/>
                <w:szCs w:val="18"/>
                <w:color w:val="auto"/>
              </w:rPr>
            </w:pPr>
          </w:p>
        </w:tc>
        <w:tc>
          <w:tcPr>
            <w:tcW w:w="3100" w:type="dxa"/>
            <w:vAlign w:val="bottom"/>
            <w:gridSpan w:val="4"/>
          </w:tcPr>
          <w:p>
            <w:pPr>
              <w:ind w:left="260"/>
              <w:spacing w:after="0"/>
              <w:rPr>
                <w:sz w:val="20"/>
                <w:szCs w:val="20"/>
                <w:color w:val="auto"/>
              </w:rPr>
            </w:pPr>
            <w:r>
              <w:rPr>
                <w:rFonts w:ascii="Arial" w:cs="Arial" w:eastAsia="Arial" w:hAnsi="Arial"/>
                <w:sz w:val="16"/>
                <w:szCs w:val="16"/>
                <w:b w:val="1"/>
                <w:bCs w:val="1"/>
                <w:color w:val="auto"/>
              </w:rPr>
              <w:t>Three Months Ended September 30,</w:t>
            </w:r>
          </w:p>
        </w:tc>
        <w:tc>
          <w:tcPr>
            <w:tcW w:w="3020" w:type="dxa"/>
            <w:vAlign w:val="bottom"/>
            <w:gridSpan w:val="3"/>
          </w:tcPr>
          <w:p>
            <w:pPr>
              <w:jc w:val="right"/>
              <w:ind w:right="233"/>
              <w:spacing w:after="0"/>
              <w:rPr>
                <w:sz w:val="20"/>
                <w:szCs w:val="20"/>
                <w:color w:val="auto"/>
              </w:rPr>
            </w:pPr>
            <w:r>
              <w:rPr>
                <w:rFonts w:ascii="Arial" w:cs="Arial" w:eastAsia="Arial" w:hAnsi="Arial"/>
                <w:sz w:val="16"/>
                <w:szCs w:val="16"/>
                <w:b w:val="1"/>
                <w:bCs w:val="1"/>
                <w:color w:val="auto"/>
              </w:rPr>
              <w:t>Nine Months Ended September 30,</w:t>
            </w:r>
          </w:p>
        </w:tc>
      </w:tr>
      <w:tr>
        <w:trPr>
          <w:trHeight w:val="207"/>
        </w:trPr>
        <w:tc>
          <w:tcPr>
            <w:tcW w:w="442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r>
      <w:tr>
        <w:trPr>
          <w:trHeight w:val="222"/>
        </w:trPr>
        <w:tc>
          <w:tcPr>
            <w:tcW w:w="4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 options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1,921,065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2,063,739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1,921,065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2,063,739</w:t>
            </w:r>
          </w:p>
        </w:tc>
      </w:tr>
      <w:tr>
        <w:trPr>
          <w:trHeight w:val="226"/>
        </w:trPr>
        <w:tc>
          <w:tcPr>
            <w:tcW w:w="4420" w:type="dxa"/>
            <w:vAlign w:val="bottom"/>
          </w:tcPr>
          <w:p>
            <w:pPr>
              <w:ind w:left="60"/>
              <w:spacing w:after="0"/>
              <w:rPr>
                <w:sz w:val="20"/>
                <w:szCs w:val="20"/>
                <w:color w:val="auto"/>
              </w:rPr>
            </w:pPr>
            <w:r>
              <w:rPr>
                <w:rFonts w:ascii="Arial" w:cs="Arial" w:eastAsia="Arial" w:hAnsi="Arial"/>
                <w:sz w:val="18"/>
                <w:szCs w:val="18"/>
                <w:color w:val="auto"/>
              </w:rPr>
              <w:t>Restricted stock units</w:t>
            </w:r>
          </w:p>
        </w:tc>
        <w:tc>
          <w:tcPr>
            <w:tcW w:w="1440" w:type="dxa"/>
            <w:vAlign w:val="bottom"/>
          </w:tcPr>
          <w:p>
            <w:pPr>
              <w:jc w:val="right"/>
              <w:spacing w:after="0"/>
              <w:rPr>
                <w:sz w:val="20"/>
                <w:szCs w:val="20"/>
                <w:color w:val="auto"/>
              </w:rPr>
            </w:pPr>
            <w:r>
              <w:rPr>
                <w:rFonts w:ascii="Arial" w:cs="Arial" w:eastAsia="Arial" w:hAnsi="Arial"/>
                <w:sz w:val="18"/>
                <w:szCs w:val="18"/>
                <w:color w:val="auto"/>
              </w:rPr>
              <w:t>2,182,030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1,597,209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2,182,030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1,597,209</w:t>
            </w:r>
          </w:p>
        </w:tc>
      </w:tr>
      <w:tr>
        <w:trPr>
          <w:trHeight w:val="227"/>
        </w:trPr>
        <w:tc>
          <w:tcPr>
            <w:tcW w:w="4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ESPP purchase rights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34,070</w:t>
            </w:r>
          </w:p>
        </w:tc>
      </w:tr>
      <w:tr>
        <w:trPr>
          <w:trHeight w:val="226"/>
        </w:trPr>
        <w:tc>
          <w:tcPr>
            <w:tcW w:w="44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Common stock warrants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118,122</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118,122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118,122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118,122</w:t>
            </w:r>
          </w:p>
        </w:tc>
      </w:tr>
      <w:tr>
        <w:trPr>
          <w:trHeight w:val="245"/>
        </w:trPr>
        <w:tc>
          <w:tcPr>
            <w:tcW w:w="44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4,280,905</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3,813,140</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4,280,905</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3,813,140</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w:t>
      </w:r>
    </w:p>
    <w:p>
      <w:pPr>
        <w:spacing w:after="0" w:line="225" w:lineRule="exact"/>
        <w:rPr>
          <w:sz w:val="20"/>
          <w:szCs w:val="20"/>
          <w:color w:val="auto"/>
        </w:rPr>
      </w:pPr>
    </w:p>
    <w:p>
      <w:pPr>
        <w:jc w:val="both"/>
        <w:ind w:firstLine="479"/>
        <w:spacing w:after="0" w:line="251" w:lineRule="auto"/>
        <w:rPr>
          <w:sz w:val="20"/>
          <w:szCs w:val="20"/>
          <w:color w:val="auto"/>
        </w:rPr>
      </w:pPr>
      <w:r>
        <w:rPr>
          <w:rFonts w:ascii="Arial" w:cs="Arial" w:eastAsia="Arial" w:hAnsi="Arial"/>
          <w:sz w:val="18"/>
          <w:szCs w:val="18"/>
          <w:color w:val="auto"/>
        </w:rPr>
        <w:t>On February 24, 2020, the Company entered into a joint development agreement (the “Development Agreement”) with SeaSpine Orthopedics Corporation (“SeaSpine”) to develop a next generation device for sacropelvic fixation. Mr. Keith Valentine, who serves as the President, Chief Executive Officer and a member of the board of directors of SeaSpine, also serves as a member of the Company's Board of Directors since August 2015. On April 27, 2021, Addendum No.1 to the Development Agreement was entered into by and between the Company and SeaSpine to extend certain obligations as described under the Development Agreement to a consultant of the Company.</w:t>
      </w:r>
    </w:p>
    <w:p>
      <w:pPr>
        <w:spacing w:after="0" w:line="196" w:lineRule="exact"/>
        <w:rPr>
          <w:sz w:val="20"/>
          <w:szCs w:val="20"/>
          <w:color w:val="auto"/>
        </w:rPr>
      </w:pPr>
    </w:p>
    <w:p>
      <w:pPr>
        <w:jc w:val="both"/>
        <w:ind w:firstLine="479"/>
        <w:spacing w:after="0" w:line="250" w:lineRule="auto"/>
        <w:rPr>
          <w:sz w:val="20"/>
          <w:szCs w:val="20"/>
          <w:color w:val="auto"/>
        </w:rPr>
      </w:pPr>
      <w:r>
        <w:rPr>
          <w:rFonts w:ascii="Arial" w:cs="Arial" w:eastAsia="Arial" w:hAnsi="Arial"/>
          <w:sz w:val="18"/>
          <w:szCs w:val="18"/>
          <w:color w:val="auto"/>
        </w:rPr>
        <w:t>Pursuant to the development plan, SeaSpine shall use reasonable efforts to assist in the development of the potential product offering, including licensing certain existing intellectual property to be incorporated into such product. Under the terms of the Development Agreement, the Company agreed to make monthly payments to SeaSpine to reimburse for full time resources employed by SeaSpine responsible to conduct the development activities. For the three months ended September 30, 2022 and 2021, the Company expensed approximately $— and $5,000, respectively, of the reimbursement charges from SeaSpine. For the nine months ended September 30, 2022 and 2021, the Company expensed approximately $6,000 and $29,000, respectively, of the reimbursement charges from SeaSpine. The reimbursement charges were recorded within research and development expense in the condensed consolidated statements of operations.</w:t>
      </w:r>
    </w:p>
    <w:p>
      <w:pPr>
        <w:spacing w:after="0" w:line="195" w:lineRule="exact"/>
        <w:rPr>
          <w:sz w:val="20"/>
          <w:szCs w:val="20"/>
          <w:color w:val="auto"/>
        </w:rPr>
      </w:pPr>
    </w:p>
    <w:p>
      <w:pPr>
        <w:jc w:val="both"/>
        <w:ind w:firstLine="479"/>
        <w:spacing w:after="0" w:line="249" w:lineRule="auto"/>
        <w:rPr>
          <w:sz w:val="20"/>
          <w:szCs w:val="20"/>
          <w:color w:val="auto"/>
        </w:rPr>
      </w:pPr>
      <w:r>
        <w:rPr>
          <w:rFonts w:ascii="Arial" w:cs="Arial" w:eastAsia="Arial" w:hAnsi="Arial"/>
          <w:sz w:val="18"/>
          <w:szCs w:val="18"/>
          <w:color w:val="auto"/>
        </w:rPr>
        <w:t>Certain intellectual property developed pursuant to the project plan will be owned by the Company, certain intellectual property developed pursuant to the project plan will be owned by SeaSpine, and other intellectual property developed pursuant to the project plan will be jointly owned by SeaSpine and the Company. The Company also agreed to provide SeaSpine a royalty-free, worldwide, perpetual, non-exclusive license of certain of the Company's intellectual property incorporated into the product to be developed. The Company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party, as provided for by the Development Agreement. The Company recorded an immaterial amount of royalty for the three and nine months ended September 30, 2022. No royalties were recorded in fiscal year 2021.</w:t>
      </w:r>
    </w:p>
    <w:p>
      <w:pPr>
        <w:spacing w:after="0" w:line="199" w:lineRule="exact"/>
        <w:rPr>
          <w:sz w:val="20"/>
          <w:szCs w:val="20"/>
          <w:color w:val="auto"/>
        </w:rPr>
      </w:pPr>
    </w:p>
    <w:p>
      <w:pPr>
        <w:jc w:val="both"/>
        <w:ind w:firstLine="479"/>
        <w:spacing w:after="0" w:line="266" w:lineRule="auto"/>
        <w:rPr>
          <w:sz w:val="20"/>
          <w:szCs w:val="20"/>
          <w:color w:val="auto"/>
        </w:rPr>
      </w:pPr>
      <w:r>
        <w:rPr>
          <w:rFonts w:ascii="Arial" w:cs="Arial" w:eastAsia="Arial" w:hAnsi="Arial"/>
          <w:sz w:val="18"/>
          <w:szCs w:val="18"/>
          <w:color w:val="auto"/>
        </w:rPr>
        <w:t>The outstanding liability to SeaSpine as of September 30, 2022 was approximately $26,000 and was recorded within accrued liabilities and other in the condensed consolidated balance sheet. There was no outstanding liability to SeaSpine as of December 31, 2021.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52" w:lineRule="exact"/>
        <w:rPr>
          <w:sz w:val="20"/>
          <w:szCs w:val="20"/>
          <w:color w:val="auto"/>
        </w:rPr>
      </w:pPr>
    </w:p>
    <w:p>
      <w:pPr>
        <w:jc w:val="both"/>
        <w:ind w:firstLine="479"/>
        <w:spacing w:after="0" w:line="284" w:lineRule="auto"/>
        <w:rPr>
          <w:sz w:val="20"/>
          <w:szCs w:val="20"/>
          <w:color w:val="auto"/>
        </w:rPr>
      </w:pPr>
      <w:r>
        <w:rPr>
          <w:rFonts w:ascii="Arial" w:cs="Arial" w:eastAsia="Arial" w:hAnsi="Arial"/>
          <w:sz w:val="16"/>
          <w:szCs w:val="16"/>
          <w:color w:val="auto"/>
        </w:rPr>
        <w:t>In determining quarterly provisions for income taxes, the Company uses the annual estimated effective tax rate applied to the actual year-to-date profit or loss, adjusted for discrete items arising in that quarter. The Company updates its estimate of its annual effective tax rate at the end of each quarterly period. The estimate takes into account annual forecasted income (loss) before income taxes, the geographic mix of income (loss) before income taxes and any significant permanent tax items. The Company did not have provision for income taxes for the three and nine months ended September 30, 2022 and 2021. The income taxes for the nine months ended September 30, 2022, reflected the impact of a change in U.S. tax law effective January 1, 2022, which requires the capitalization and amortization of research and experimental expenditures incurred after December 31, 2021. Under the Tax Cuts and Jobs Act, for tax years beginning after December 31, 2021, taxpayers are required to capitalize and amortize certain research and experimental expenditures that are paid or incurred in connection with their trade or business. Due to the expected tax loss, the provision did not have tax impact to the quarter. The Company continues to maintain a full valuation allowance against its net deferred tax assets due to the uncertainty surrounding realization of such assets.</w:t>
      </w:r>
    </w:p>
    <w:p>
      <w:pPr>
        <w:spacing w:after="0" w:line="224" w:lineRule="exact"/>
        <w:rPr>
          <w:sz w:val="20"/>
          <w:szCs w:val="20"/>
          <w:color w:val="auto"/>
        </w:rPr>
      </w:pPr>
    </w:p>
    <w:p>
      <w:pPr>
        <w:jc w:val="both"/>
        <w:ind w:right="280" w:firstLine="479"/>
        <w:spacing w:after="0" w:line="277" w:lineRule="auto"/>
        <w:rPr>
          <w:sz w:val="20"/>
          <w:szCs w:val="20"/>
          <w:color w:val="auto"/>
        </w:rPr>
      </w:pPr>
      <w:r>
        <w:rPr>
          <w:rFonts w:ascii="Arial" w:cs="Arial" w:eastAsia="Arial" w:hAnsi="Arial"/>
          <w:sz w:val="16"/>
          <w:szCs w:val="16"/>
          <w:color w:val="auto"/>
        </w:rPr>
        <w:t>The Inflation Reduction Act of 2022, which includes certain tax measures, was signed into law by President Joe Biden on August 16, 2022. The act contains two main tax provisions 1) a new corporate alternative minimum tax imposed on certain corporations meeting average annual financial statement income of more than $1 billion for the three tax-year period and 2) an excise tax imposed upon share repurchased by certain publicly traded corporations.</w:t>
      </w:r>
    </w:p>
    <w:p>
      <w:pPr>
        <w:spacing w:after="0" w:line="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This provision is effective for tax years beginning after December 31, 2022. The act is not expected to have a material impact to the Company’s consolidated financial statements and related disclosures.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218440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both"/>
        <w:ind w:firstLine="479"/>
        <w:spacing w:after="0" w:line="279" w:lineRule="auto"/>
        <w:rPr>
          <w:sz w:val="20"/>
          <w:szCs w:val="20"/>
          <w:color w:val="auto"/>
        </w:rPr>
      </w:pPr>
      <w:r>
        <w:rPr>
          <w:rFonts w:ascii="Arial" w:cs="Arial" w:eastAsia="Arial" w:hAnsi="Arial"/>
          <w:sz w:val="17"/>
          <w:szCs w:val="17"/>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There had been no changes in the estimated uncertain tax benefits recorded as of September 30, 2022 compared to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both"/>
        <w:ind w:firstLine="199"/>
        <w:spacing w:after="0" w:line="256" w:lineRule="auto"/>
        <w:rPr>
          <w:sz w:val="20"/>
          <w:szCs w:val="20"/>
          <w:color w:val="auto"/>
        </w:rPr>
      </w:pPr>
      <w:r>
        <w:rPr>
          <w:rFonts w:ascii="Arial" w:cs="Arial" w:eastAsia="Arial" w:hAnsi="Arial"/>
          <w:sz w:val="17"/>
          <w:szCs w:val="17"/>
          <w:i w:val="1"/>
          <w:iCs w:val="1"/>
          <w:color w:val="auto"/>
        </w:rPr>
        <w:t xml:space="preserve">The following discussion and analysis of our financial condition and results of operations should be read in conjunction with our condensed consolidated financial statements and the related notes to those statements included elsewhere in this Quarterly Report on Form 10-Q, and with the consolidated financial statements and management’s discussion and analysis of our financial condition and results of operations in our Annual Report on Form 10-K filed with the SEC on March 1, 2022.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of this Quarterly Report on Form 10-Q, our actual results could differ materially from the results described in, or implied, by these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firstLine="320"/>
        <w:spacing w:after="0" w:line="238" w:lineRule="auto"/>
        <w:rPr>
          <w:sz w:val="20"/>
          <w:szCs w:val="20"/>
          <w:color w:val="auto"/>
        </w:rPr>
      </w:pPr>
      <w:r>
        <w:rPr>
          <w:rFonts w:ascii="Arial" w:cs="Arial" w:eastAsia="Arial" w:hAnsi="Arial"/>
          <w:sz w:val="18"/>
          <w:szCs w:val="18"/>
          <w:color w:val="auto"/>
        </w:rPr>
        <w:t>We are a medical device company dedicated to solving musculoskeletal disorders of the sacropelvic anatomy. We have pioneered a proprietary minimally invasive surgical implant system, which we call iFuse, to address sacroiliac joint dysfunction and degeneration, adult deformity, pelvic ring traumatic fractures. Since we introduced iFuse in 2009, as of September 30, 2022, more than 74,000 procedures have been performed by over 2,900 surgeons in the U.S. and 38 other countries.</w:t>
      </w:r>
    </w:p>
    <w:p>
      <w:pPr>
        <w:spacing w:after="0" w:line="204" w:lineRule="exact"/>
        <w:rPr>
          <w:sz w:val="20"/>
          <w:szCs w:val="20"/>
          <w:color w:val="auto"/>
        </w:rPr>
      </w:pPr>
    </w:p>
    <w:p>
      <w:pPr>
        <w:jc w:val="both"/>
        <w:ind w:firstLine="320"/>
        <w:spacing w:after="0" w:line="262" w:lineRule="auto"/>
        <w:rPr>
          <w:sz w:val="20"/>
          <w:szCs w:val="20"/>
          <w:color w:val="auto"/>
        </w:rPr>
      </w:pPr>
      <w:r>
        <w:rPr>
          <w:rFonts w:ascii="Arial" w:cs="Arial" w:eastAsia="Arial" w:hAnsi="Arial"/>
          <w:sz w:val="17"/>
          <w:szCs w:val="17"/>
          <w:color w:val="auto"/>
        </w:rPr>
        <w:t>Our iFuse Implant System includes a series of patented titanium implants and the instruments we have developed to enable surgeons to perform the procedure. Surgeons place our implants across the sacroiliac joint, either from a lateral approach through the iliac bones into the sacrum, or from a posterior approach through the sacrum and into the iliac bones. Surgeons typically use three iFuse implants to fuse a sacroiliac joint in the lateral procedure, and one iFuse implant in each sacroiliac joint, typically alongside another device crossing the joint and joining to the spinal construct.</w:t>
      </w:r>
    </w:p>
    <w:p>
      <w:pPr>
        <w:spacing w:after="0" w:line="171" w:lineRule="exact"/>
        <w:rPr>
          <w:sz w:val="20"/>
          <w:szCs w:val="20"/>
          <w:color w:val="auto"/>
        </w:rPr>
      </w:pPr>
    </w:p>
    <w:p>
      <w:pPr>
        <w:jc w:val="both"/>
        <w:ind w:firstLine="320"/>
        <w:spacing w:after="0" w:line="288" w:lineRule="auto"/>
        <w:rPr>
          <w:sz w:val="20"/>
          <w:szCs w:val="20"/>
          <w:color w:val="auto"/>
        </w:rPr>
      </w:pPr>
      <w:r>
        <w:rPr>
          <w:rFonts w:ascii="Arial" w:cs="Arial" w:eastAsia="Arial" w:hAnsi="Arial"/>
          <w:sz w:val="16"/>
          <w:szCs w:val="16"/>
          <w:color w:val="auto"/>
        </w:rPr>
        <w:t>Our first-generation iFuse implant has a triangular cross section that resists twisting or rotation of the implant within the bone within which it is implanted, regardless of the surgical approach and technique used to place the implants. The triangular shape of our implants helps stabilize the joint, and the implants’ porous surface facilitates biologic fixation of the bone onto the implant, or bony ongrowth and ingrowth, that results in fusion. The implant has at least three times the strength of a typical eight-millimeter cannulated surgical screw, and the large porous surface area of our implants allows for bony ingrowth. We hold issued patents on implants with cross-sections of many non-round shapes, including the triangular shape of our first-generation iFuse implant. We also hold issued patents for the method of placing those implants across the sacroiliac joint, as well as other parts of the spine and pelvis.</w:t>
      </w:r>
    </w:p>
    <w:p>
      <w:pPr>
        <w:spacing w:after="0" w:line="113"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7"/>
          <w:szCs w:val="17"/>
          <w:color w:val="auto"/>
        </w:rPr>
        <w:t>We introduced our second-generation implant, iFuse-3D, in 2017. This patented titanium implant combines the triangular cross-section of the iFuse implant with the proprietary 3D-printed porous surface and fenestrated design. This design also allows the surgeon to fill the implant with ground-up bone before implantation, which some surgeons believe accelerates bone through-growth and biological fixation. iFuse-3D implants have shown positive bony ingrowth, ongrowth and through-growth and in animal studies, whether or not ground-up bone is used. We hold issued patents on 3D-printed triangular implants with fenestrations, or holes, which allow bone to grow into and through the implants.</w:t>
      </w:r>
    </w:p>
    <w:p>
      <w:pPr>
        <w:spacing w:after="0" w:line="12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7"/>
          <w:szCs w:val="17"/>
          <w:color w:val="auto"/>
        </w:rPr>
        <w:t>In April 2019, we received clearance from the United States Food and Drug Administration, or FDA, to promote the use of our iFuse-3D implants for fusion of the sacroiliac joint in conjunction with multi-level spinal fusion procedures to provide further stabilization and immobilization of the sacroiliac joint. For this indication, surgeons typically use the posterior approach, through the sacrum and into the iliac bones, which we call the Bedrock technique. We received CE marking and began marketing iFuse for this indication and surgical technique in Europe in December 2019. In March 2020, we received FDA 510(k) clearance for an expanded indication for our triangular iFuse implants to support our trauma program.</w:t>
      </w:r>
    </w:p>
    <w:p>
      <w:pPr>
        <w:spacing w:after="0" w:line="125"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7"/>
          <w:szCs w:val="17"/>
          <w:color w:val="auto"/>
        </w:rPr>
        <w:t>In February 2021, we received clearance from the FDA for iFuse-TORQ, a 3D-printed portfolio of threaded implants designed to meet the needs of pelvic trauma and minimally invasive sacroiliac joint fusion applications. iFuse-TORQ is targeted to address an unmet clinical need for low energy pelvic ring fractures and chronic sacroiliac joint pain after high energy pelvic ring trauma. iFuse-TORQ also provides an opportunity for us to capture competitive screw business for minimally invasive sacroiliac joint fusions. In June 2022, the FDA provided clearance for an additional indication to include acute, non-acute and non-traumatic fractures. Fractures covered in this clearance include pelvic fragility fractures, which are fractures related to low-energy traumatic events, and pelvic insufficiency fractures. In September 2022, we received FDA clearance to promote the placement of iFuse-TORQ across the sacroiliac joint using our Bedrock technique, to augment the stability of a multi-level spinal fusion construct.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25" w:name="page26"/>
    <w:bookmarkEnd w:id="25"/>
    <w:p>
      <w:pPr>
        <w:jc w:val="both"/>
        <w:ind w:firstLine="320"/>
        <w:spacing w:after="0" w:line="253" w:lineRule="auto"/>
        <w:rPr>
          <w:sz w:val="20"/>
          <w:szCs w:val="20"/>
          <w:color w:val="auto"/>
        </w:rPr>
      </w:pPr>
      <w:r>
        <w:rPr>
          <w:rFonts w:ascii="Arial" w:cs="Arial" w:eastAsia="Arial" w:hAnsi="Arial"/>
          <w:sz w:val="18"/>
          <w:szCs w:val="18"/>
          <w:color w:val="auto"/>
        </w:rPr>
        <w:t>In May 2022, we received clearance from the FDA for the iFuse-Bedrock Granite Implant System. The iFuse-Bedrock Granite implant provides sacroiliac fusion and sacropelvic fixation as a foundational element for segmental spinal fusion. The iFuse-Bedrock Granite is designated by the FDA as a breakthrough device and the Centers for Medicare and Medicaid Services has proposed a New Technology Add-on Payment for procedures that involve implanting this device.</w:t>
      </w:r>
    </w:p>
    <w:p>
      <w:pPr>
        <w:spacing w:after="0" w:line="139"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We market our products primarily with a direct sales force as well as a number of distributors in the U.S., and with a combination of a direct sales force and distributors in other countries.</w:t>
      </w:r>
    </w:p>
    <w:p>
      <w:pPr>
        <w:spacing w:after="0" w:line="127" w:lineRule="exact"/>
        <w:rPr>
          <w:sz w:val="20"/>
          <w:szCs w:val="20"/>
          <w:color w:val="auto"/>
        </w:rPr>
      </w:pPr>
    </w:p>
    <w:p>
      <w:pPr>
        <w:jc w:val="both"/>
        <w:ind w:firstLine="399"/>
        <w:spacing w:after="0" w:line="243" w:lineRule="auto"/>
        <w:rPr>
          <w:sz w:val="20"/>
          <w:szCs w:val="20"/>
          <w:color w:val="auto"/>
        </w:rPr>
      </w:pPr>
      <w:r>
        <w:rPr>
          <w:rFonts w:ascii="Arial" w:cs="Arial" w:eastAsia="Arial" w:hAnsi="Arial"/>
          <w:sz w:val="18"/>
          <w:szCs w:val="18"/>
          <w:color w:val="auto"/>
        </w:rPr>
        <w:t>In October 2018, we completed our initial public offering (“IPO”) resulting in net proceeds of $113.4 million after deducting underwriting discounts and commissions and offering expenses. In January and February 2020, we received a total of $63.0 million of net proceeds, after deducting the underwriting discounts, commissions and offering expenses, from our first follow-on public offering of our common stock. In October 2020, we received a total of $71.6 million of net proceeds from our second follow-on offering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238" w:lineRule="exact"/>
        <w:rPr>
          <w:sz w:val="20"/>
          <w:szCs w:val="20"/>
          <w:color w:val="auto"/>
        </w:rPr>
      </w:pPr>
    </w:p>
    <w:p>
      <w:pPr>
        <w:jc w:val="both"/>
        <w:ind w:firstLine="399"/>
        <w:spacing w:after="0" w:line="286" w:lineRule="auto"/>
        <w:rPr>
          <w:sz w:val="20"/>
          <w:szCs w:val="20"/>
          <w:color w:val="auto"/>
        </w:rPr>
      </w:pPr>
      <w:r>
        <w:rPr>
          <w:rFonts w:ascii="Arial" w:cs="Arial" w:eastAsia="Arial" w:hAnsi="Arial"/>
          <w:sz w:val="16"/>
          <w:szCs w:val="16"/>
          <w:color w:val="auto"/>
        </w:rPr>
        <w:t>The global COVID-19 pandemic presents significant risks to us and has impacted, and continues to impact our business, operations, and financial results and condition, directly and indirectly, including, without limitation, impacts on the health of our management and employees; our manufacturing, distribution, marketing and sales operations; our research and development activities, including clinical activities; and customer and patient behaviors.</w:t>
      </w:r>
    </w:p>
    <w:p>
      <w:pPr>
        <w:spacing w:after="0" w:line="194"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7"/>
          <w:szCs w:val="17"/>
          <w:color w:val="auto"/>
        </w:rPr>
        <w:t>Access to many hospitals and other customer sites was impacted by prevalence of COVID-19, which negatively impacts our ability to promote the use of our products with physicians. Additionally, many hospitals and ambulatory surgery centers have in the past suspended and may suspend in the future, many elective procedures, resulting in a reduced volume of procedures using our products. Our customer behavior is impacted by the prevalence of COVID-19 and changes in the infection rates in the locations where our customers reside. Quarantines, shelter-in-place, elective procedure moratoria and similar government orders have also impacted, and may continue to impact, our third-party manufacturers and suppliers, and could in turn adversely impact the availability or cost of materials, which could disrupt our supply chain. Periodic resurgence of the COVID-19 pandemic negatively impacted our revenues at various periods throughout 2021 and 2022 as evidenced by case deferrals attributed to COVID-19.</w:t>
      </w:r>
    </w:p>
    <w:p>
      <w:pPr>
        <w:spacing w:after="0" w:line="204" w:lineRule="exact"/>
        <w:rPr>
          <w:sz w:val="20"/>
          <w:szCs w:val="20"/>
          <w:color w:val="auto"/>
        </w:rPr>
      </w:pPr>
    </w:p>
    <w:p>
      <w:pPr>
        <w:jc w:val="both"/>
        <w:ind w:firstLine="399"/>
        <w:spacing w:after="0" w:line="243" w:lineRule="auto"/>
        <w:rPr>
          <w:sz w:val="20"/>
          <w:szCs w:val="20"/>
          <w:color w:val="auto"/>
        </w:rPr>
      </w:pPr>
      <w:r>
        <w:rPr>
          <w:rFonts w:ascii="Arial" w:cs="Arial" w:eastAsia="Arial" w:hAnsi="Arial"/>
          <w:sz w:val="18"/>
          <w:szCs w:val="18"/>
          <w:color w:val="auto"/>
        </w:rPr>
        <w:t>Throughout the pandemic, we have taken a variety of steps to address the impact of the COVID-19, while attempting to minimize business disruption. We are continuing to monitor the impact of the COVID-19 pandemic on our employees and customers and on the markets in which we operate, and will take further actions that are considered prudent to address the COVID-19 pandemic, while ensuring that we can support our customers and continue to develop our products.</w:t>
      </w:r>
    </w:p>
    <w:p>
      <w:pPr>
        <w:spacing w:after="0" w:line="213" w:lineRule="exact"/>
        <w:rPr>
          <w:sz w:val="20"/>
          <w:szCs w:val="20"/>
          <w:color w:val="auto"/>
        </w:rPr>
      </w:pPr>
    </w:p>
    <w:p>
      <w:pPr>
        <w:jc w:val="both"/>
        <w:ind w:firstLine="399"/>
        <w:spacing w:after="0" w:line="234" w:lineRule="auto"/>
        <w:rPr>
          <w:sz w:val="20"/>
          <w:szCs w:val="20"/>
          <w:color w:val="auto"/>
        </w:rPr>
      </w:pPr>
      <w:r>
        <w:rPr>
          <w:rFonts w:ascii="Arial" w:cs="Arial" w:eastAsia="Arial" w:hAnsi="Arial"/>
          <w:sz w:val="18"/>
          <w:szCs w:val="18"/>
          <w:color w:val="auto"/>
        </w:rPr>
        <w:t>Certain of our third-party suppliers have faced delays, product shortages and rising costs resulting from disruptions in the global supply chain, related to instruments and shop capacity issues impacting lead-time and quantities of implants available. As a result, we are continuing to work closely with our manufacturing partners and suppliers, as well as determining alternative sourcing strategies to enable us to source key components and maintain appropriate inventory levels to meet customer demand.</w:t>
      </w:r>
    </w:p>
    <w:p>
      <w:pPr>
        <w:spacing w:after="0" w:line="231" w:lineRule="exact"/>
        <w:rPr>
          <w:sz w:val="20"/>
          <w:szCs w:val="20"/>
          <w:color w:val="auto"/>
        </w:rPr>
      </w:pPr>
    </w:p>
    <w:p>
      <w:pPr>
        <w:jc w:val="both"/>
        <w:ind w:firstLine="399"/>
        <w:spacing w:after="0" w:line="249" w:lineRule="auto"/>
        <w:rPr>
          <w:sz w:val="20"/>
          <w:szCs w:val="20"/>
          <w:color w:val="auto"/>
        </w:rPr>
      </w:pPr>
      <w:r>
        <w:rPr>
          <w:rFonts w:ascii="Arial" w:cs="Arial" w:eastAsia="Arial" w:hAnsi="Arial"/>
          <w:sz w:val="18"/>
          <w:szCs w:val="18"/>
          <w:color w:val="auto"/>
        </w:rPr>
        <w:t>We cannot currently predict with certainty the full extent to which the COVID-19 pandemic will impact demand for our products in the future, or the impact of the COVID-19 pandemic on our supply chain or other aspects of our business. Accordingly, the COVID-19 pandemic could have a material adverse effect on our results of operations, financial condition and capital resources.</w:t>
      </w:r>
    </w:p>
    <w:p>
      <w:pPr>
        <w:spacing w:after="0" w:line="208"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The existence and further duration of the COVID-19 pandemic may also further exacerbate certain risks as described in “Part II- Item 1A - Risk Factors”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 and Key Performance Indicators</w:t>
      </w:r>
    </w:p>
    <w:p>
      <w:pPr>
        <w:spacing w:after="0" w:line="225" w:lineRule="exact"/>
        <w:rPr>
          <w:sz w:val="20"/>
          <w:szCs w:val="20"/>
          <w:color w:val="auto"/>
        </w:rPr>
      </w:pPr>
    </w:p>
    <w:p>
      <w:pPr>
        <w:jc w:val="both"/>
        <w:ind w:firstLine="399"/>
        <w:spacing w:after="0" w:line="279" w:lineRule="auto"/>
        <w:rPr>
          <w:sz w:val="20"/>
          <w:szCs w:val="20"/>
          <w:color w:val="auto"/>
        </w:rPr>
      </w:pPr>
      <w:r>
        <w:rPr>
          <w:rFonts w:ascii="Arial" w:cs="Arial" w:eastAsia="Arial" w:hAnsi="Arial"/>
          <w:sz w:val="17"/>
          <w:szCs w:val="17"/>
          <w:color w:val="auto"/>
        </w:rPr>
        <w:t>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leverage our sales force, increase surgeon activity and training, engage key opinion leaders, and leverage broad coverage.</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Leverage our sales force</w:t>
      </w:r>
    </w:p>
    <w:p>
      <w:pPr>
        <w:spacing w:after="0" w:line="206"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We have made significant investments in our sales force since our initial public offering in 2018. We have built a valuable sales team, and we believe they are the key to expand the market and deliver revenue growth.</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26" w:name="page27"/>
    <w:bookmarkEnd w:id="26"/>
    <w:p>
      <w:pPr>
        <w:jc w:val="both"/>
        <w:ind w:firstLine="399"/>
        <w:spacing w:after="0" w:line="295" w:lineRule="auto"/>
        <w:rPr>
          <w:sz w:val="20"/>
          <w:szCs w:val="20"/>
          <w:color w:val="auto"/>
        </w:rPr>
      </w:pPr>
      <w:r>
        <w:rPr>
          <w:rFonts w:ascii="Arial" w:cs="Arial" w:eastAsia="Arial" w:hAnsi="Arial"/>
          <w:sz w:val="16"/>
          <w:szCs w:val="16"/>
          <w:color w:val="auto"/>
        </w:rPr>
        <w:t>As of September 30, 2022, our U.S. sales force consisted of 85 territory sales managers and 72 clinical support specialists directly employed by us and 89 third-party distributors, compared to 78 territory sales managers and 57 clinical support specialists directly employed by us and 53 third-party distributors as of September 30, 2021. As of September 30, 2022, our international sales force consisted of 18 sales representatives directly employed by us and 30 third-party distributors, compared to 20 sales representatives directly employed by us and 33 third-party distributors as of September 30, 2021.</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Increase surgeon activity and training</w:t>
      </w:r>
    </w:p>
    <w:p>
      <w:pPr>
        <w:spacing w:after="0" w:line="246" w:lineRule="exact"/>
        <w:rPr>
          <w:sz w:val="20"/>
          <w:szCs w:val="20"/>
          <w:color w:val="auto"/>
        </w:rPr>
      </w:pPr>
    </w:p>
    <w:p>
      <w:pPr>
        <w:jc w:val="both"/>
        <w:ind w:firstLine="399"/>
        <w:spacing w:after="0" w:line="290" w:lineRule="auto"/>
        <w:rPr>
          <w:sz w:val="20"/>
          <w:szCs w:val="20"/>
          <w:color w:val="auto"/>
        </w:rPr>
      </w:pPr>
      <w:r>
        <w:rPr>
          <w:rFonts w:ascii="Arial" w:cs="Arial" w:eastAsia="Arial" w:hAnsi="Arial"/>
          <w:sz w:val="16"/>
          <w:szCs w:val="16"/>
          <w:color w:val="auto"/>
        </w:rPr>
        <w:t>Our medical affairs team works closely with our sales team to increase surgeon activity and training. Surgeon activity includes both the number of surgeons performing iFuse procedures as well as the number of procedures performed per surgeon. As of September 30, 2022 and 2021, in the U.S., more than 2,100 surgeons and 1,700 surgeons, respectively, have been trained on iFuse and have treated at least one patient. Outside the U.S., as of each of September 30, 2022 and 2021, more than 800 surgeons and 700 surgeons, respectively, have been been trained on iFuse and have treated at least one patient. We will continue to pursue approximately 6,800 target surgeons in the U.S., as well as international surgeons to train or retrain in the future.</w:t>
      </w:r>
    </w:p>
    <w:p>
      <w:pPr>
        <w:spacing w:after="0" w:line="193" w:lineRule="exact"/>
        <w:rPr>
          <w:sz w:val="20"/>
          <w:szCs w:val="20"/>
          <w:color w:val="auto"/>
        </w:rPr>
      </w:pPr>
    </w:p>
    <w:p>
      <w:pPr>
        <w:jc w:val="both"/>
        <w:ind w:firstLine="399"/>
        <w:spacing w:after="0" w:line="303" w:lineRule="auto"/>
        <w:rPr>
          <w:sz w:val="20"/>
          <w:szCs w:val="20"/>
          <w:color w:val="auto"/>
        </w:rPr>
      </w:pPr>
      <w:r>
        <w:rPr>
          <w:rFonts w:ascii="Arial" w:cs="Arial" w:eastAsia="Arial" w:hAnsi="Arial"/>
          <w:sz w:val="16"/>
          <w:szCs w:val="16"/>
          <w:color w:val="auto"/>
        </w:rPr>
        <w:t>In addition to utilizing our traditional method of hands-on cadaveric and dry-lab training for surgeons and mid-level practitioners, we are using the SI-BONE SImulator - a portable, radiation-free, haptics and computer-based simulator for training purposes. Starting in July 2020 we began deploying the SImulators to cover all US regions and European subsidiaries and had 25 SImulators in our offices and the field as of the date of this report.</w:t>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Launch new products</w:t>
      </w:r>
    </w:p>
    <w:p>
      <w:pPr>
        <w:spacing w:after="0" w:line="246" w:lineRule="exact"/>
        <w:rPr>
          <w:sz w:val="20"/>
          <w:szCs w:val="20"/>
          <w:color w:val="auto"/>
        </w:rPr>
      </w:pPr>
    </w:p>
    <w:p>
      <w:pPr>
        <w:jc w:val="both"/>
        <w:ind w:firstLine="399"/>
        <w:spacing w:after="0" w:line="285" w:lineRule="auto"/>
        <w:rPr>
          <w:sz w:val="20"/>
          <w:szCs w:val="20"/>
          <w:color w:val="auto"/>
        </w:rPr>
      </w:pPr>
      <w:r>
        <w:rPr>
          <w:rFonts w:ascii="Arial" w:cs="Arial" w:eastAsia="Arial" w:hAnsi="Arial"/>
          <w:sz w:val="16"/>
          <w:szCs w:val="16"/>
          <w:color w:val="auto"/>
        </w:rPr>
        <w:t>Our Bedrock technique is used in the treatment of adult spinal deformity. We introduced this technique in June 2019 for use in the fusion of the sacroiliac joints in conjunction with a multi-segment spinal fusion, or long construct, procedure. The Bedrock technique utilizes our proprietary triangular iFuse Implants, with one implant placed across each sacroiliac joint (for a total of two implants per case) using a posterior approach, through the sacrum, across the sacroiliac joint, and into the ilium. The Bedrock technique differs from our traditional iFuse procedure, whereby three iFuse Implants are placed across one sacroiliac joint via a lateral transarticular approach through the ilium and into the sacrum. The Bedrock technique is performed to increase stability at the base of a long construct. Biomechanical testing has shown that iFuse Implants placed in this position reduce sacroiliac joint motion by approximately 30% in conjunction with a long construct. We received CE mark clearance for the promotion of the Bedrock technique in Europe in November 2019 and we launched the promotion of this technique in select European markets in December 2019.</w:t>
      </w:r>
    </w:p>
    <w:p>
      <w:pPr>
        <w:spacing w:after="0" w:line="196"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In addition, we received FDA clearance for our trauma product, iFuse-TORQ, in the first quarter of 2021. iFuse-TORQ is a highly differentiated 3D-printed threaded implant for pelvic trauma and minimally invasive sacroiliac joint fusion applications. Relative to competitive trauma products, iFuse-TORQ is roughly two times stronger in bending and requires 10 times the rotational resistance, or torque, to insert due to its porosity and other design features. We believe that this rotational resistance gives surgeons confidence in the strength of mechanical fixation that iFuse-TORQ provides, and that the technological advancements incorporated into iFuse-TORQ represent a significant improvement compared to conventional trauma screws. Furthermore, iFuse-TORQ has a larger surface area for bone ingrowth than competitive trauma products and was specifically designed to allow for osteointegration. The addition of iFuse-TORQ to our product portfolio will allow us to serve a significant unmet need for patients with pelvic trauma, as well as sacroiliac joint dysfunction and degeneration. In June 2022, the FDA provided clearance for an additional indication to include acute, non-acute and non-traumatic fractures. Fractures covered in this clearance include pelvic fragility fractures, which are fractures related to low-energy traumatic events and pelvic insufficiency fractures. In September 2022, we received FDA clearance to promote the placement of iFuse-TORQ across the sacroiliac joint using our Bedrock technique, to augment the stability of a multi-level spinal fusion construct.</w:t>
      </w:r>
    </w:p>
    <w:p>
      <w:pPr>
        <w:spacing w:after="0" w:line="208"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We received FDA 510(k) premarket clearance for the iFuse-Bedrock Granite in May 2022. The iFuse-Bedrock Granite implant is a unique device designed to address the specific demands of adult deformity surgery by providing both sacroiliac joint fusion and sacropelvic fixation as a foundational element for segmental spinal fusion. iFuse-Bedrock Granite offers a differentiated implant option comprising a machined screw shank and an additively manufactured fusion sleeve. It is designed for both strength and biologic fixation with a porous surface, fenestrations or holes through which bone can grow, and features for bone self-harvesting, and a robust deformity-specific tulip and set screw. This 510(k) clearance follows the earlier designation by the FDA of iFuse-Bedrock Granite as a Breakthrough Device. In August 2022, the Centers for Medicare and Medicaid Services, or CMS, issued a final decision for a New Technology Add-on Payment, or NTAP, of up to $9,828 dollars for eligible cases using iFuse-Bedrock Granite. The Breakthrough Device designation and NTAP award were based on the agencies recognizing iFuse-Bedrock Granite as a new technology that can provide substantial clinical improvement over already available therapies.</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Engage key opinion leaders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7" w:name="page28"/>
    <w:bookmarkEnd w:id="27"/>
    <w:p>
      <w:pPr>
        <w:jc w:val="both"/>
        <w:ind w:firstLine="399"/>
        <w:spacing w:after="0" w:line="253" w:lineRule="auto"/>
        <w:rPr>
          <w:sz w:val="20"/>
          <w:szCs w:val="20"/>
          <w:color w:val="auto"/>
        </w:rPr>
      </w:pPr>
      <w:r>
        <w:rPr>
          <w:rFonts w:ascii="Arial" w:cs="Arial" w:eastAsia="Arial" w:hAnsi="Arial"/>
          <w:sz w:val="17"/>
          <w:szCs w:val="17"/>
          <w:color w:val="auto"/>
        </w:rPr>
        <w:t>We conduct training courses in several academic centers in the U.S. and engage key opinion leaders to support our development efforts. Interest in the Bedrock technique among deformity surgeons, including many key opinion leaders, has provided our sales representatives with access to important academic medical centers in the U.S. This enables our representatives to train a broader group of spine surgeons, including residents and fellows at these centers, on both the Bedrock technique and minimally invasive sacroiliac fusion. To date, we have trained residents and fellows in over 200 academic programs in the U.S., resulting in the training of approximately 1,100 surgical residents and fellows since August 1, 2018.</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Leverage broad coverage</w:t>
      </w:r>
    </w:p>
    <w:p>
      <w:pPr>
        <w:spacing w:after="0" w:line="219"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As of September 30, 2022, substantially all U.S. payors reimburse for sacroiliac joint fusion. As of September 30, 2022, a significant number of U.S. payors have issued positive coverage policies exclusive to our patented design of triangular titanium implants for sacroiliac joint fusion because of the clinical evidence.</w:t>
      </w:r>
    </w:p>
    <w:p>
      <w:pPr>
        <w:spacing w:after="0" w:line="190"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We believe that the full impact of each coverage decision grows over time as surgeons gain confidence that they will receive reimbursement for the majority of their diagnosed patients. With recent payor decisions, over 300 million people in the U.S. now have access to minimally invasive SI joint fusion, representing nearly universal coverage of the procedure.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219" w:lineRule="exact"/>
        <w:rPr>
          <w:sz w:val="20"/>
          <w:szCs w:val="20"/>
          <w:color w:val="auto"/>
        </w:rPr>
      </w:pPr>
    </w:p>
    <w:p>
      <w:pPr>
        <w:jc w:val="both"/>
        <w:ind w:firstLine="439"/>
        <w:spacing w:after="0" w:line="265" w:lineRule="auto"/>
        <w:rPr>
          <w:sz w:val="20"/>
          <w:szCs w:val="20"/>
          <w:color w:val="auto"/>
        </w:rPr>
      </w:pPr>
      <w:r>
        <w:rPr>
          <w:rFonts w:ascii="Arial" w:cs="Arial" w:eastAsia="Arial" w:hAnsi="Arial"/>
          <w:sz w:val="17"/>
          <w:szCs w:val="17"/>
          <w:color w:val="auto"/>
        </w:rPr>
        <w:t>We generate most of our revenue from sales of iFuse triangular titanium implants. Our revenue from sales of implants fluctuate based on volume of cases (procedures performed), discounts, mix of international and U.S. sales, different implant pricing and the number of implants used for a particular patient. Similar to other orthopedic companies, our case volume can vary from quarter to quarter due to a variety of factors including reimbursement, sales force changes, physician activities, seasonality, and the impact of COVID-19. In addition, our revenue is impacted by changes in average selling price as we respond to the competitive landscape and price differences at different medical facilities, such as hospitals and ambulatory surgical centers, or ASCs. Further, revenue results can differ based upon the mix of business between U.S. and international sales and mix of our products either delivered at the point of implantation at the hospital or other medical facilities or delivered through distributors or to hospitals where the products were ordered in advance of the procedure. Our revenue from international sales is impacted by fluctuations in foreign currency exchange rates between the U.S. dollar (our reporting currency) and the local currency.</w:t>
      </w:r>
    </w:p>
    <w:p>
      <w:pPr>
        <w:spacing w:after="0" w:line="187" w:lineRule="exact"/>
        <w:rPr>
          <w:sz w:val="20"/>
          <w:szCs w:val="20"/>
          <w:color w:val="auto"/>
        </w:rPr>
      </w:pPr>
    </w:p>
    <w:p>
      <w:pPr>
        <w:jc w:val="both"/>
        <w:ind w:firstLine="439"/>
        <w:spacing w:after="0" w:line="330" w:lineRule="auto"/>
        <w:rPr>
          <w:sz w:val="20"/>
          <w:szCs w:val="20"/>
          <w:color w:val="auto"/>
        </w:rPr>
      </w:pPr>
      <w:r>
        <w:rPr>
          <w:rFonts w:ascii="Arial" w:cs="Arial" w:eastAsia="Arial" w:hAnsi="Arial"/>
          <w:sz w:val="16"/>
          <w:szCs w:val="16"/>
          <w:color w:val="auto"/>
        </w:rPr>
        <w:t>Starting March 2020, the impact of COVID-19 pandemic on our revenue has varied by period and region based on various factors, including stage of containment, resurgence of variants, success of regional vaccination campaigns, and associated government and hospital actions around elective procedures.</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219"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We utilize third-party manufacturers for production of our implants and instrument sets. Cost of goods sold consists primarily of costs of the components of implants and instruments, instrument set depreciation, royalties, scrap and inventory obsolescence, as well as distribution-related expenses such as logistics and shipping costs. Our cost of goods sold has historically increased as case levels increase.</w:t>
      </w:r>
    </w:p>
    <w:p>
      <w:pPr>
        <w:spacing w:after="0" w:line="190" w:lineRule="exact"/>
        <w:rPr>
          <w:sz w:val="20"/>
          <w:szCs w:val="20"/>
          <w:color w:val="auto"/>
        </w:rPr>
      </w:pPr>
    </w:p>
    <w:p>
      <w:pPr>
        <w:jc w:val="both"/>
        <w:ind w:firstLine="479"/>
        <w:spacing w:after="0" w:line="256" w:lineRule="auto"/>
        <w:rPr>
          <w:sz w:val="20"/>
          <w:szCs w:val="20"/>
          <w:color w:val="auto"/>
        </w:rPr>
      </w:pPr>
      <w:r>
        <w:rPr>
          <w:rFonts w:ascii="Arial" w:cs="Arial" w:eastAsia="Arial" w:hAnsi="Arial"/>
          <w:sz w:val="18"/>
          <w:szCs w:val="18"/>
          <w:color w:val="auto"/>
        </w:rPr>
        <w:t>Our gross profit and gross margin are affected by factors impacting revenue and cost of goods sold. In addition, our gross margins are typically higher on products we sell directly as compared to products we sell through third-party distributors. As a result, changes in the mix of direct versus distributor sales can directly influence our gross margins.</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9" w:lineRule="exact"/>
        <w:rPr>
          <w:sz w:val="20"/>
          <w:szCs w:val="20"/>
          <w:color w:val="auto"/>
        </w:rPr>
      </w:pPr>
    </w:p>
    <w:p>
      <w:pPr>
        <w:jc w:val="both"/>
        <w:ind w:firstLine="479"/>
        <w:spacing w:after="0" w:line="273" w:lineRule="auto"/>
        <w:rPr>
          <w:sz w:val="20"/>
          <w:szCs w:val="20"/>
          <w:color w:val="auto"/>
        </w:rPr>
      </w:pPr>
      <w:r>
        <w:rPr>
          <w:rFonts w:ascii="Arial" w:cs="Arial" w:eastAsia="Arial" w:hAnsi="Arial"/>
          <w:sz w:val="17"/>
          <w:szCs w:val="17"/>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returned to more normalized spending levels starting in the fourth quarter of 2020. We intend to make investments to execute our strategic plans and operational initiatives. We anticipate certain operating expenses will continue to increase to support our growth.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8" w:name="page29"/>
    <w:bookmarkEnd w:id="28"/>
    <w:p>
      <w:pPr>
        <w:ind w:left="400"/>
        <w:spacing w:after="0"/>
        <w:rPr>
          <w:sz w:val="20"/>
          <w:szCs w:val="20"/>
          <w:color w:val="auto"/>
        </w:rPr>
      </w:pPr>
      <w:r>
        <w:rPr>
          <w:rFonts w:ascii="Arial" w:cs="Arial" w:eastAsia="Arial" w:hAnsi="Arial"/>
          <w:sz w:val="18"/>
          <w:szCs w:val="18"/>
          <w:i w:val="1"/>
          <w:iCs w:val="1"/>
          <w:color w:val="auto"/>
        </w:rPr>
        <w:t>Sales and Marketing Expenses</w:t>
      </w:r>
    </w:p>
    <w:p>
      <w:pPr>
        <w:spacing w:after="0" w:line="246"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as well as certain commission guarantees paid to our senior sales management, direct territory sales managers, clinical support specialists and third-party distributors.</w:t>
      </w:r>
    </w:p>
    <w:p>
      <w:pPr>
        <w:spacing w:after="0" w:line="21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Research and Development Expenses</w:t>
      </w:r>
    </w:p>
    <w:p>
      <w:pPr>
        <w:spacing w:after="0" w:line="246"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Our research and development expenses primarily consist of engineering, product development, clinical and regulatory expenses (including clinical study expenses),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w:t>
      </w:r>
    </w:p>
    <w:p>
      <w:pPr>
        <w:spacing w:after="0" w:line="219"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Research and development expenses for engineering projects fluctuate with project timing. Based upon our broader set of product development initiatives and the stage of the underlying projects, we expect to continue to make investments in research and development. As such, we anticipate that research and development expenses will continue to increase in the future.</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46" w:lineRule="exact"/>
        <w:rPr>
          <w:sz w:val="20"/>
          <w:szCs w:val="20"/>
          <w:color w:val="auto"/>
        </w:rPr>
      </w:pPr>
    </w:p>
    <w:p>
      <w:pPr>
        <w:jc w:val="both"/>
        <w:ind w:right="20" w:firstLine="399"/>
        <w:spacing w:after="0" w:line="266" w:lineRule="auto"/>
        <w:rPr>
          <w:sz w:val="20"/>
          <w:szCs w:val="20"/>
          <w:color w:val="auto"/>
        </w:rPr>
      </w:pPr>
      <w:r>
        <w:rPr>
          <w:rFonts w:ascii="Arial" w:cs="Arial" w:eastAsia="Arial" w:hAnsi="Arial"/>
          <w:sz w:val="18"/>
          <w:szCs w:val="18"/>
          <w:color w:val="auto"/>
        </w:rPr>
        <w:t>General and administrative expenses primarily consist of salaries, stock-based compensation expense, and other costs for finance, accounting, legal, insurance, compliance, and administrative matters.</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Interest income is primarily related to our investments of excess cash in money market funds and marketable securities.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Interest expense is primarily related to borrowings, amortization of debt issuance costs and accretion of final fees on the Solar and SVB Term Loans.</w:t>
      </w:r>
    </w:p>
    <w:p>
      <w:pPr>
        <w:spacing w:after="0" w:line="24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income (expense), net consists primarily of net foreign exchange gains and losses on foreign transactions.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right="100" w:firstLine="479"/>
        <w:spacing w:after="0" w:line="296" w:lineRule="auto"/>
        <w:rPr>
          <w:sz w:val="20"/>
          <w:szCs w:val="20"/>
          <w:color w:val="auto"/>
        </w:rPr>
      </w:pPr>
      <w:r>
        <w:rPr>
          <w:rFonts w:ascii="Arial" w:cs="Arial" w:eastAsia="Arial" w:hAnsi="Arial"/>
          <w:sz w:val="17"/>
          <w:szCs w:val="17"/>
          <w:color w:val="auto"/>
        </w:rPr>
        <w:t>We manage and operate as one reportable segment. The table below summarizes our results of operations for the periods presented (percentages are amounts as a percentage of revenue), which we derived from the accompanying condensed consolidated financial statements:</w:t>
      </w:r>
    </w:p>
    <w:p>
      <w:pPr>
        <w:spacing w:after="0" w:line="195" w:lineRule="exact"/>
        <w:rPr>
          <w:sz w:val="20"/>
          <w:szCs w:val="20"/>
          <w:color w:val="auto"/>
        </w:rPr>
      </w:pPr>
    </w:p>
    <w:tbl>
      <w:tblPr>
        <w:tblLayout w:type="fixed"/>
        <w:tblInd w:w="480" w:type="dxa"/>
        <w:tblCellMar>
          <w:top w:w="0" w:type="dxa"/>
          <w:left w:w="0" w:type="dxa"/>
          <w:bottom w:w="0" w:type="dxa"/>
          <w:right w:w="0" w:type="dxa"/>
        </w:tblCellMar>
      </w:tblPr>
      <w:tr>
        <w:trPr>
          <w:trHeight w:val="211"/>
        </w:trPr>
        <w:tc>
          <w:tcPr>
            <w:tcW w:w="2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jc w:val="right"/>
              <w:ind w:right="33"/>
              <w:spacing w:after="0"/>
              <w:rPr>
                <w:sz w:val="20"/>
                <w:szCs w:val="20"/>
                <w:color w:val="auto"/>
              </w:rPr>
            </w:pPr>
            <w:r>
              <w:rPr>
                <w:rFonts w:ascii="Arial" w:cs="Arial" w:eastAsia="Arial" w:hAnsi="Arial"/>
                <w:sz w:val="16"/>
                <w:szCs w:val="16"/>
                <w:b w:val="1"/>
                <w:bCs w:val="1"/>
                <w:color w:val="auto"/>
              </w:rPr>
              <w:t>Three Months Ended September 30,</w:t>
            </w: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jc w:val="right"/>
              <w:ind w:right="73"/>
              <w:spacing w:after="0"/>
              <w:rPr>
                <w:sz w:val="20"/>
                <w:szCs w:val="20"/>
                <w:color w:val="auto"/>
              </w:rPr>
            </w:pPr>
            <w:r>
              <w:rPr>
                <w:rFonts w:ascii="Arial" w:cs="Arial" w:eastAsia="Arial" w:hAnsi="Arial"/>
                <w:sz w:val="16"/>
                <w:szCs w:val="16"/>
                <w:b w:val="1"/>
                <w:bCs w:val="1"/>
                <w:color w:val="auto"/>
              </w:rPr>
              <w:t>Nine Months Ended September 30,</w:t>
            </w:r>
          </w:p>
        </w:tc>
        <w:tc>
          <w:tcPr>
            <w:tcW w:w="580" w:type="dxa"/>
            <w:vAlign w:val="bottom"/>
            <w:tcBorders>
              <w:bottom w:val="single" w:sz="8" w:color="auto"/>
            </w:tcBorders>
          </w:tcPr>
          <w:p>
            <w:pPr>
              <w:spacing w:after="0"/>
              <w:rPr>
                <w:sz w:val="18"/>
                <w:szCs w:val="18"/>
                <w:color w:val="auto"/>
              </w:rPr>
            </w:pPr>
          </w:p>
        </w:tc>
      </w:tr>
      <w:tr>
        <w:trPr>
          <w:trHeight w:val="207"/>
        </w:trPr>
        <w:tc>
          <w:tcPr>
            <w:tcW w:w="2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7"/>
                <w:szCs w:val="17"/>
                <w:color w:val="auto"/>
              </w:rPr>
            </w:pPr>
          </w:p>
        </w:tc>
      </w:tr>
      <w:tr>
        <w:trPr>
          <w:trHeight w:val="206"/>
        </w:trPr>
        <w:tc>
          <w:tcPr>
            <w:tcW w:w="2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w w:val="95"/>
              </w:rPr>
              <w:t>Amount</w:t>
            </w: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w w:val="95"/>
              </w:rPr>
              <w:t>Amount</w:t>
            </w:r>
          </w:p>
        </w:tc>
        <w:tc>
          <w:tcPr>
            <w:tcW w:w="7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w w:val="92"/>
              </w:rPr>
              <w:t>Amount</w:t>
            </w:r>
          </w:p>
        </w:tc>
        <w:tc>
          <w:tcPr>
            <w:tcW w:w="7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w w:val="95"/>
              </w:rPr>
              <w:t>Amount</w:t>
            </w: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w:t>
            </w:r>
          </w:p>
        </w:tc>
      </w:tr>
      <w:tr>
        <w:trPr>
          <w:trHeight w:val="204"/>
        </w:trPr>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40" w:type="dxa"/>
            <w:vAlign w:val="bottom"/>
            <w:gridSpan w:val="5"/>
          </w:tcPr>
          <w:p>
            <w:pPr>
              <w:jc w:val="right"/>
              <w:ind w:right="13"/>
              <w:spacing w:after="0"/>
              <w:rPr>
                <w:sz w:val="20"/>
                <w:szCs w:val="20"/>
                <w:color w:val="auto"/>
              </w:rPr>
            </w:pPr>
            <w:r>
              <w:rPr>
                <w:rFonts w:ascii="Arial" w:cs="Arial" w:eastAsia="Arial" w:hAnsi="Arial"/>
                <w:sz w:val="16"/>
                <w:szCs w:val="16"/>
                <w:b w:val="1"/>
                <w:bCs w:val="1"/>
                <w:color w:val="auto"/>
              </w:rPr>
              <w:t>(in thousands, except for percentages)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1"/>
        </w:trPr>
        <w:tc>
          <w:tcPr>
            <w:tcW w:w="388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Consolidated Statements of Operations Data:</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27"/>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26,432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22,286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74,456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64,922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6"/>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4,168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2,478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10,616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7,053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0"/>
        </w:trPr>
        <w:tc>
          <w:tcPr>
            <w:tcW w:w="2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22,264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19,808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rPr>
              <w:t>63,840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57,869</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06"/>
        </w:trPr>
        <w:tc>
          <w:tcPr>
            <w:tcW w:w="2580" w:type="dxa"/>
            <w:vAlign w:val="bottom"/>
          </w:tcPr>
          <w:p>
            <w:pPr>
              <w:ind w:left="20"/>
              <w:spacing w:after="0" w:line="205"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7"/>
        </w:trPr>
        <w:tc>
          <w:tcPr>
            <w:tcW w:w="2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25,669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23,525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80,117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67,531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6"/>
        </w:trPr>
        <w:tc>
          <w:tcPr>
            <w:tcW w:w="25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9"/>
                <w:szCs w:val="19"/>
                <w:color w:val="auto"/>
              </w:rPr>
            </w:pPr>
          </w:p>
        </w:tc>
        <w:tc>
          <w:tcPr>
            <w:tcW w:w="1160" w:type="dxa"/>
            <w:vAlign w:val="bottom"/>
          </w:tcPr>
          <w:p>
            <w:pPr>
              <w:jc w:val="right"/>
              <w:ind w:right="373"/>
              <w:spacing w:after="0"/>
              <w:rPr>
                <w:sz w:val="20"/>
                <w:szCs w:val="20"/>
                <w:color w:val="auto"/>
              </w:rPr>
            </w:pPr>
            <w:r>
              <w:rPr>
                <w:rFonts w:ascii="Arial" w:cs="Arial" w:eastAsia="Arial" w:hAnsi="Arial"/>
                <w:sz w:val="18"/>
                <w:szCs w:val="18"/>
                <w:color w:val="auto"/>
              </w:rPr>
              <w:t>3,089</w:t>
            </w:r>
          </w:p>
        </w:tc>
        <w:tc>
          <w:tcPr>
            <w:tcW w:w="70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73"/>
              <w:spacing w:after="0"/>
              <w:rPr>
                <w:sz w:val="20"/>
                <w:szCs w:val="20"/>
                <w:color w:val="auto"/>
              </w:rPr>
            </w:pPr>
            <w:r>
              <w:rPr>
                <w:rFonts w:ascii="Arial" w:cs="Arial" w:eastAsia="Arial" w:hAnsi="Arial"/>
                <w:sz w:val="18"/>
                <w:szCs w:val="18"/>
                <w:color w:val="auto"/>
              </w:rPr>
              <w:t>3,288</w:t>
            </w:r>
          </w:p>
        </w:tc>
        <w:tc>
          <w:tcPr>
            <w:tcW w:w="700" w:type="dxa"/>
            <w:vAlign w:val="bottom"/>
          </w:tcPr>
          <w:p>
            <w:pPr>
              <w:jc w:val="right"/>
              <w:spacing w:after="0"/>
              <w:rPr>
                <w:sz w:val="20"/>
                <w:szCs w:val="20"/>
                <w:color w:val="auto"/>
              </w:rPr>
            </w:pPr>
            <w:r>
              <w:rPr>
                <w:rFonts w:ascii="Arial" w:cs="Arial" w:eastAsia="Arial" w:hAnsi="Arial"/>
                <w:sz w:val="18"/>
                <w:szCs w:val="18"/>
                <w:color w:val="auto"/>
              </w:rPr>
              <w:t>15 %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93"/>
              <w:spacing w:after="0"/>
              <w:rPr>
                <w:sz w:val="20"/>
                <w:szCs w:val="20"/>
                <w:color w:val="auto"/>
              </w:rPr>
            </w:pPr>
            <w:r>
              <w:rPr>
                <w:rFonts w:ascii="Arial" w:cs="Arial" w:eastAsia="Arial" w:hAnsi="Arial"/>
                <w:sz w:val="18"/>
                <w:szCs w:val="18"/>
                <w:color w:val="auto"/>
              </w:rPr>
              <w:t>10,147</w:t>
            </w:r>
          </w:p>
        </w:tc>
        <w:tc>
          <w:tcPr>
            <w:tcW w:w="70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73"/>
              <w:spacing w:after="0"/>
              <w:rPr>
                <w:sz w:val="20"/>
                <w:szCs w:val="20"/>
                <w:color w:val="auto"/>
              </w:rPr>
            </w:pPr>
            <w:r>
              <w:rPr>
                <w:rFonts w:ascii="Arial" w:cs="Arial" w:eastAsia="Arial" w:hAnsi="Arial"/>
                <w:sz w:val="18"/>
                <w:szCs w:val="18"/>
                <w:color w:val="auto"/>
              </w:rPr>
              <w:t>9,392</w:t>
            </w: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7"/>
        </w:trPr>
        <w:tc>
          <w:tcPr>
            <w:tcW w:w="2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7,072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6,194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rPr>
              <w:t>21,891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18,685</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9"/>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35,830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33,007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149 %</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112,155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95,608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2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(13,566)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(13,199)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(48,315)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(37,739)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6"/>
        </w:trPr>
        <w:tc>
          <w:tcPr>
            <w:tcW w:w="3880" w:type="dxa"/>
            <w:vAlign w:val="bottom"/>
            <w:gridSpan w:val="3"/>
          </w:tcPr>
          <w:p>
            <w:pPr>
              <w:ind w:left="20"/>
              <w:spacing w:after="0"/>
              <w:rPr>
                <w:sz w:val="20"/>
                <w:szCs w:val="20"/>
                <w:color w:val="auto"/>
              </w:rPr>
            </w:pPr>
            <w:r>
              <w:rPr>
                <w:rFonts w:ascii="Arial" w:cs="Arial" w:eastAsia="Arial" w:hAnsi="Arial"/>
                <w:sz w:val="18"/>
                <w:szCs w:val="18"/>
                <w:color w:val="auto"/>
              </w:rPr>
              <w:t>Interest and other income (expense), net:</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7"/>
        </w:trPr>
        <w:tc>
          <w:tcPr>
            <w:tcW w:w="2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346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44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555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151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25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160" w:type="dxa"/>
            <w:vAlign w:val="bottom"/>
          </w:tcPr>
          <w:p>
            <w:pPr>
              <w:jc w:val="right"/>
              <w:ind w:right="333"/>
              <w:spacing w:after="0"/>
              <w:rPr>
                <w:sz w:val="20"/>
                <w:szCs w:val="20"/>
                <w:color w:val="auto"/>
              </w:rPr>
            </w:pPr>
            <w:r>
              <w:rPr>
                <w:rFonts w:ascii="Arial" w:cs="Arial" w:eastAsia="Arial" w:hAnsi="Arial"/>
                <w:sz w:val="18"/>
                <w:szCs w:val="18"/>
                <w:color w:val="auto"/>
              </w:rPr>
              <w:t>(755)</w:t>
            </w: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33"/>
              <w:spacing w:after="0"/>
              <w:rPr>
                <w:sz w:val="20"/>
                <w:szCs w:val="20"/>
                <w:color w:val="auto"/>
              </w:rPr>
            </w:pPr>
            <w:r>
              <w:rPr>
                <w:rFonts w:ascii="Arial" w:cs="Arial" w:eastAsia="Arial" w:hAnsi="Arial"/>
                <w:sz w:val="18"/>
                <w:szCs w:val="18"/>
                <w:color w:val="auto"/>
              </w:rPr>
              <w:t>(2,658)</w:t>
            </w: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53"/>
              <w:spacing w:after="0"/>
              <w:rPr>
                <w:sz w:val="20"/>
                <w:szCs w:val="20"/>
                <w:color w:val="auto"/>
              </w:rPr>
            </w:pPr>
            <w:r>
              <w:rPr>
                <w:rFonts w:ascii="Arial" w:cs="Arial" w:eastAsia="Arial" w:hAnsi="Arial"/>
                <w:sz w:val="18"/>
                <w:szCs w:val="18"/>
                <w:color w:val="auto"/>
              </w:rPr>
              <w:t>(1,938)</w:t>
            </w: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33"/>
              <w:spacing w:after="0"/>
              <w:rPr>
                <w:sz w:val="20"/>
                <w:szCs w:val="20"/>
                <w:color w:val="auto"/>
              </w:rPr>
            </w:pPr>
            <w:r>
              <w:rPr>
                <w:rFonts w:ascii="Arial" w:cs="Arial" w:eastAsia="Arial" w:hAnsi="Arial"/>
                <w:sz w:val="18"/>
                <w:szCs w:val="18"/>
                <w:color w:val="auto"/>
              </w:rPr>
              <w:t>(4,797)</w:t>
            </w: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6"/>
        </w:trPr>
        <w:tc>
          <w:tcPr>
            <w:tcW w:w="2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(183)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(59)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(383)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290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2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rPr>
              <w:t>(14,158)</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rPr>
              <w:t>(15,872)</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8"/>
                <w:szCs w:val="18"/>
                <w:color w:val="auto"/>
              </w:rPr>
              <w:t>(50,081)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rPr>
              <w:t>(42,095)</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100" w:firstLine="479"/>
        <w:spacing w:after="0" w:line="266" w:lineRule="auto"/>
        <w:rPr>
          <w:sz w:val="20"/>
          <w:szCs w:val="20"/>
          <w:color w:val="auto"/>
        </w:rPr>
      </w:pPr>
      <w:r>
        <w:rPr>
          <w:rFonts w:ascii="Arial" w:cs="Arial" w:eastAsia="Arial" w:hAnsi="Arial"/>
          <w:sz w:val="18"/>
          <w:szCs w:val="18"/>
          <w:color w:val="auto"/>
        </w:rPr>
        <w:t>We derive the majority of our revenue from sales to customers in the U.S. Revenue by geography is based on billing address of the customer. The table below summarizes our revenue by geography:</w:t>
      </w:r>
    </w:p>
    <w:p>
      <w:pPr>
        <w:spacing w:after="0" w:line="219" w:lineRule="exact"/>
        <w:rPr>
          <w:sz w:val="20"/>
          <w:szCs w:val="20"/>
          <w:color w:val="auto"/>
        </w:rPr>
      </w:pPr>
    </w:p>
    <w:tbl>
      <w:tblPr>
        <w:tblLayout w:type="fixed"/>
        <w:tblInd w:w="480" w:type="dxa"/>
        <w:tblCellMar>
          <w:top w:w="0" w:type="dxa"/>
          <w:left w:w="0" w:type="dxa"/>
          <w:bottom w:w="0" w:type="dxa"/>
          <w:right w:w="0" w:type="dxa"/>
        </w:tblCellMar>
      </w:tblPr>
      <w:tr>
        <w:trPr>
          <w:trHeight w:val="211"/>
        </w:trPr>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40" w:type="dxa"/>
            <w:vAlign w:val="bottom"/>
            <w:gridSpan w:val="7"/>
          </w:tcPr>
          <w:p>
            <w:pPr>
              <w:ind w:left="7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160" w:type="dxa"/>
            <w:vAlign w:val="bottom"/>
            <w:gridSpan w:val="5"/>
          </w:tcPr>
          <w:p>
            <w:pPr>
              <w:jc w:val="right"/>
              <w:ind w:right="635"/>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07"/>
        </w:trPr>
        <w:tc>
          <w:tcPr>
            <w:tcW w:w="25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6"/>
                <w:szCs w:val="16"/>
                <w:b w:val="1"/>
                <w:bCs w:val="1"/>
                <w:color w:val="auto"/>
                <w:w w:val="84"/>
              </w:rPr>
              <w:t>2021</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6"/>
                <w:szCs w:val="16"/>
                <w:b w:val="1"/>
                <w:bCs w:val="1"/>
                <w:color w:val="auto"/>
                <w:w w:val="84"/>
              </w:rPr>
              <w:t>2021</w:t>
            </w:r>
          </w:p>
        </w:tc>
      </w:tr>
      <w:tr>
        <w:trPr>
          <w:trHeight w:val="206"/>
        </w:trPr>
        <w:tc>
          <w:tcPr>
            <w:tcW w:w="2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w w:val="95"/>
              </w:rPr>
              <w:t>Amount</w:t>
            </w: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w w:val="95"/>
              </w:rPr>
              <w:t>Amount</w:t>
            </w:r>
          </w:p>
        </w:tc>
        <w:tc>
          <w:tcPr>
            <w:tcW w:w="118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w w:val="95"/>
              </w:rPr>
              <w:t>Amount</w:t>
            </w:r>
          </w:p>
        </w:tc>
        <w:tc>
          <w:tcPr>
            <w:tcW w:w="118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w w:val="92"/>
              </w:rPr>
              <w:t>Amount</w:t>
            </w:r>
          </w:p>
        </w:tc>
        <w:tc>
          <w:tcPr>
            <w:tcW w:w="1020" w:type="dxa"/>
            <w:vAlign w:val="bottom"/>
            <w:tcBorders>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rPr>
              <w:t>%</w:t>
            </w:r>
          </w:p>
        </w:tc>
      </w:tr>
      <w:tr>
        <w:trPr>
          <w:trHeight w:val="206"/>
        </w:trPr>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60" w:type="dxa"/>
            <w:vAlign w:val="bottom"/>
            <w:gridSpan w:val="6"/>
          </w:tcPr>
          <w:p>
            <w:pPr>
              <w:spacing w:after="0"/>
              <w:rPr>
                <w:sz w:val="20"/>
                <w:szCs w:val="20"/>
                <w:color w:val="auto"/>
              </w:rPr>
            </w:pPr>
            <w:r>
              <w:rPr>
                <w:rFonts w:ascii="Arial" w:cs="Arial" w:eastAsia="Arial" w:hAnsi="Arial"/>
                <w:sz w:val="16"/>
                <w:szCs w:val="16"/>
                <w:b w:val="1"/>
                <w:bCs w:val="1"/>
                <w:color w:val="auto"/>
              </w:rPr>
              <w:t>(in thousands except for percentages)</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24,627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6"/>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rPr>
              <w:t>1,805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5"/>
        </w:trPr>
        <w:tc>
          <w:tcPr>
            <w:tcW w:w="2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rPr>
              <w:t>26,432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74,456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Comparison of the Three Months Ended September 30, 2022 and 2021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 Cost of Goods Sold, Gross Profit, and Gross Margin</w:t>
      </w:r>
      <w:r>
        <w:rPr>
          <w:rFonts w:ascii="Arial" w:cs="Arial" w:eastAsia="Arial" w:hAnsi="Arial"/>
          <w:sz w:val="18"/>
          <w:szCs w:val="18"/>
          <w:color w:val="auto"/>
        </w:rPr>
        <w:t>:</w:t>
      </w:r>
    </w:p>
    <w:p>
      <w:pPr>
        <w:spacing w:after="0" w:line="257" w:lineRule="exact"/>
        <w:rPr>
          <w:sz w:val="20"/>
          <w:szCs w:val="20"/>
          <w:color w:val="auto"/>
        </w:rPr>
      </w:pPr>
    </w:p>
    <w:tbl>
      <w:tblPr>
        <w:tblLayout w:type="fixed"/>
        <w:tblInd w:w="440" w:type="dxa"/>
        <w:tblCellMar>
          <w:top w:w="0" w:type="dxa"/>
          <w:left w:w="0" w:type="dxa"/>
          <w:bottom w:w="0" w:type="dxa"/>
          <w:right w:w="0" w:type="dxa"/>
        </w:tblCellMar>
      </w:tblPr>
      <w:tr>
        <w:trPr>
          <w:trHeight w:val="208"/>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 Change</w:t>
            </w:r>
          </w:p>
        </w:tc>
        <w:tc>
          <w:tcPr>
            <w:tcW w:w="1520" w:type="dxa"/>
            <w:vAlign w:val="bottom"/>
            <w:tcBorders>
              <w:bottom w:val="single" w:sz="8" w:color="auto"/>
            </w:tcBorders>
          </w:tcPr>
          <w:p>
            <w:pPr>
              <w:jc w:val="center"/>
              <w:ind w:left="13"/>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06"/>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4"/>
          </w:tcPr>
          <w:p>
            <w:pPr>
              <w:jc w:val="right"/>
              <w:ind w:right="233"/>
              <w:spacing w:after="0"/>
              <w:rPr>
                <w:sz w:val="20"/>
                <w:szCs w:val="20"/>
                <w:color w:val="auto"/>
              </w:rPr>
            </w:pPr>
            <w:r>
              <w:rPr>
                <w:rFonts w:ascii="Arial" w:cs="Arial" w:eastAsia="Arial" w:hAnsi="Arial"/>
                <w:sz w:val="16"/>
                <w:szCs w:val="16"/>
                <w:b w:val="1"/>
                <w:bCs w:val="1"/>
                <w:color w:val="auto"/>
                <w:w w:val="87"/>
              </w:rPr>
              <w:t>(in thousands, except for percentages)</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26,432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22,286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152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4"/>
              </w:rPr>
              <w:t>19%</w:t>
            </w:r>
          </w:p>
        </w:tc>
        <w:tc>
          <w:tcPr>
            <w:tcW w:w="0" w:type="dxa"/>
            <w:vAlign w:val="bottom"/>
          </w:tcPr>
          <w:p>
            <w:pPr>
              <w:spacing w:after="0"/>
              <w:rPr>
                <w:sz w:val="1"/>
                <w:szCs w:val="1"/>
                <w:color w:val="auto"/>
              </w:rPr>
            </w:pPr>
          </w:p>
        </w:tc>
      </w:tr>
      <w:tr>
        <w:trPr>
          <w:trHeight w:val="226"/>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4,168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2,478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1520" w:type="dxa"/>
            <w:vAlign w:val="bottom"/>
            <w:tcBorders>
              <w:bottom w:val="single" w:sz="8" w:color="CCEEFF"/>
            </w:tcBorders>
          </w:tcPr>
          <w:p>
            <w:pPr>
              <w:jc w:val="center"/>
              <w:ind w:left="13"/>
              <w:spacing w:after="0"/>
              <w:rPr>
                <w:sz w:val="20"/>
                <w:szCs w:val="20"/>
                <w:color w:val="auto"/>
              </w:rPr>
            </w:pPr>
            <w:r>
              <w:rPr>
                <w:rFonts w:ascii="Arial" w:cs="Arial" w:eastAsia="Arial" w:hAnsi="Arial"/>
                <w:sz w:val="18"/>
                <w:szCs w:val="18"/>
                <w:color w:val="auto"/>
                <w:w w:val="94"/>
              </w:rPr>
              <w:t>68%</w:t>
            </w:r>
          </w:p>
        </w:tc>
        <w:tc>
          <w:tcPr>
            <w:tcW w:w="0" w:type="dxa"/>
            <w:vAlign w:val="bottom"/>
          </w:tcPr>
          <w:p>
            <w:pPr>
              <w:spacing w:after="0"/>
              <w:rPr>
                <w:sz w:val="1"/>
                <w:szCs w:val="1"/>
                <w:color w:val="auto"/>
              </w:rPr>
            </w:pPr>
          </w:p>
        </w:tc>
      </w:tr>
      <w:tr>
        <w:trPr>
          <w:trHeight w:val="24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22,264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19,808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52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margin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1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line="198" w:lineRule="exact"/>
              <w:rPr>
                <w:sz w:val="20"/>
                <w:szCs w:val="20"/>
                <w:color w:val="auto"/>
              </w:rPr>
            </w:pPr>
            <w:r>
              <w:rPr>
                <w:rFonts w:ascii="Arial" w:cs="Arial" w:eastAsia="Arial" w:hAnsi="Arial"/>
                <w:sz w:val="18"/>
                <w:szCs w:val="18"/>
                <w:color w:val="auto"/>
              </w:rPr>
              <w:t>84 %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line="198" w:lineRule="exact"/>
              <w:rPr>
                <w:sz w:val="20"/>
                <w:szCs w:val="20"/>
                <w:color w:val="auto"/>
              </w:rPr>
            </w:pPr>
            <w:r>
              <w:rPr>
                <w:rFonts w:ascii="Arial" w:cs="Arial" w:eastAsia="Arial" w:hAnsi="Arial"/>
                <w:sz w:val="18"/>
                <w:szCs w:val="18"/>
                <w:color w:val="auto"/>
              </w:rPr>
              <w:t>89 %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both"/>
        <w:ind w:firstLine="479"/>
        <w:spacing w:after="0" w:line="28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The increase in revenue for the three months ended September 30, 2022 as compared to the three months ended September 30, 2021</w:t>
      </w:r>
      <w:r>
        <w:rPr>
          <w:rFonts w:ascii="Arial" w:cs="Arial" w:eastAsia="Arial" w:hAnsi="Arial"/>
          <w:sz w:val="16"/>
          <w:szCs w:val="16"/>
          <w:i w:val="1"/>
          <w:iCs w:val="1"/>
          <w:color w:val="auto"/>
        </w:rPr>
        <w:t xml:space="preserve"> </w:t>
      </w:r>
      <w:r>
        <w:rPr>
          <w:rFonts w:ascii="Arial" w:cs="Arial" w:eastAsia="Arial" w:hAnsi="Arial"/>
          <w:sz w:val="16"/>
          <w:szCs w:val="16"/>
          <w:color w:val="auto"/>
        </w:rPr>
        <w:t>comprised a $4.2 million increase in our U.S. revenue and a decrease of $0.1 million in our international revenue. The increase in revenue is due to the increase in domestic case volumes, partially offset by lower domestic average selling prices and the impact of foreign exchange on our international revenue.</w:t>
      </w:r>
    </w:p>
    <w:p>
      <w:pPr>
        <w:spacing w:after="0" w:line="181" w:lineRule="exact"/>
        <w:rPr>
          <w:sz w:val="20"/>
          <w:szCs w:val="20"/>
          <w:color w:val="auto"/>
        </w:rPr>
      </w:pPr>
    </w:p>
    <w:p>
      <w:pPr>
        <w:jc w:val="both"/>
        <w:ind w:firstLine="479"/>
        <w:spacing w:after="0" w:line="290" w:lineRule="auto"/>
        <w:rPr>
          <w:sz w:val="20"/>
          <w:szCs w:val="20"/>
          <w:color w:val="auto"/>
        </w:rPr>
      </w:pPr>
      <w:r>
        <w:rPr>
          <w:rFonts w:ascii="Arial" w:cs="Arial" w:eastAsia="Arial" w:hAnsi="Arial"/>
          <w:sz w:val="16"/>
          <w:szCs w:val="16"/>
          <w:i w:val="1"/>
          <w:iCs w:val="1"/>
          <w:color w:val="auto"/>
        </w:rPr>
        <w:t xml:space="preserve">Gross Profit and Gross Margin. </w:t>
      </w:r>
      <w:r>
        <w:rPr>
          <w:rFonts w:ascii="Arial" w:cs="Arial" w:eastAsia="Arial" w:hAnsi="Arial"/>
          <w:sz w:val="16"/>
          <w:szCs w:val="16"/>
          <w:color w:val="auto"/>
        </w:rPr>
        <w:t>Gross profit increased $2.5 million for the three months ended September 30, 2022 as compared to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2021, mainly driven by higher revenue. The gross margin was 84% for the three months ended September 30, 2022 as compared to 89% for the three months ended September 30, 2021. Gross margin decreased in the third quarter 2022 due lower average selling prices driven by procedure and product mix, as well as type of medical facilities where the procedures were performed and the impact of foreign exchange on our international revenue. Gross margin also includes the impact of higher costs of the newly launched implants and the increase in costs to support the growth of the business.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w:t>
      </w:r>
    </w:p>
    <w:p>
      <w:pPr>
        <w:spacing w:after="0" w:line="44" w:lineRule="exact"/>
        <w:rPr>
          <w:sz w:val="20"/>
          <w:szCs w:val="20"/>
          <w:color w:val="auto"/>
        </w:rPr>
      </w:pPr>
    </w:p>
    <w:tbl>
      <w:tblPr>
        <w:tblLayout w:type="fixed"/>
        <w:tblInd w:w="440" w:type="dxa"/>
        <w:tblCellMar>
          <w:top w:w="0" w:type="dxa"/>
          <w:left w:w="0" w:type="dxa"/>
          <w:bottom w:w="0" w:type="dxa"/>
          <w:right w:w="0" w:type="dxa"/>
        </w:tblCellMar>
      </w:tblPr>
      <w:tr>
        <w:trPr>
          <w:trHeight w:val="208"/>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9"/>
        </w:trPr>
        <w:tc>
          <w:tcPr>
            <w:tcW w:w="4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 Change</w:t>
            </w:r>
          </w:p>
        </w:tc>
        <w:tc>
          <w:tcPr>
            <w:tcW w:w="166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 Change</w:t>
            </w:r>
          </w:p>
        </w:tc>
      </w:tr>
      <w:tr>
        <w:trPr>
          <w:trHeight w:val="206"/>
        </w:trPr>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gridSpan w:val="4"/>
          </w:tcPr>
          <w:p>
            <w:pPr>
              <w:jc w:val="right"/>
              <w:ind w:right="13"/>
              <w:spacing w:after="0"/>
              <w:rPr>
                <w:sz w:val="20"/>
                <w:szCs w:val="20"/>
                <w:color w:val="auto"/>
              </w:rPr>
            </w:pPr>
            <w:r>
              <w:rPr>
                <w:rFonts w:ascii="Arial" w:cs="Arial" w:eastAsia="Arial" w:hAnsi="Arial"/>
                <w:sz w:val="16"/>
                <w:szCs w:val="16"/>
                <w:b w:val="1"/>
                <w:bCs w:val="1"/>
                <w:color w:val="auto"/>
                <w:w w:val="89"/>
              </w:rPr>
              <w:t>(in thousands, except for percentages)</w:t>
            </w:r>
          </w:p>
        </w:tc>
        <w:tc>
          <w:tcPr>
            <w:tcW w:w="1660" w:type="dxa"/>
            <w:vAlign w:val="bottom"/>
          </w:tcPr>
          <w:p>
            <w:pPr>
              <w:spacing w:after="0"/>
              <w:rPr>
                <w:sz w:val="17"/>
                <w:szCs w:val="17"/>
                <w:color w:val="auto"/>
              </w:rPr>
            </w:pPr>
          </w:p>
        </w:tc>
      </w:tr>
      <w:tr>
        <w:trPr>
          <w:trHeight w:val="229"/>
        </w:trPr>
        <w:tc>
          <w:tcPr>
            <w:tcW w:w="4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26"/>
        </w:trPr>
        <w:tc>
          <w:tcPr>
            <w:tcW w:w="4240" w:type="dxa"/>
            <w:vAlign w:val="bottom"/>
          </w:tcPr>
          <w:p>
            <w:pPr>
              <w:ind w:left="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w:t>
            </w: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7"/>
        </w:trPr>
        <w:tc>
          <w:tcPr>
            <w:tcW w:w="4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20"/>
        </w:trPr>
        <w:tc>
          <w:tcPr>
            <w:tcW w:w="4240" w:type="dxa"/>
            <w:vAlign w:val="bottom"/>
          </w:tcPr>
          <w:p>
            <w:pPr>
              <w:ind w:left="60"/>
              <w:spacing w:after="0" w:line="205"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w:t>
            </w:r>
          </w:p>
        </w:tc>
        <w:tc>
          <w:tcPr>
            <w:tcW w:w="166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94"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The increase in sales and marketing expenses for the three months ended September 30, 2022 as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2021 was primarily due to (a) increases in employee related costs, commissions and stock-based compensation of $2.5 million driven by increased headcount and higher revenues, (b) as COVID-19 pandemic restrictions eased, we experienced higher levels of travel, marketing, training activities, facilities and other related costs resulting in an increase of $0.1 million, partially offset by (c) lower consulting fees of $0.5 million associated with more targeted surgeon training programs.</w:t>
      </w:r>
    </w:p>
    <w:p>
      <w:pPr>
        <w:spacing w:after="0" w:line="196"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The decrease in research and development expenses for the three months ended September 30, 2022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2021 was primarily due to a decrease of $0.6 million in consulting and research and development activities related to the timing new product development, partially offset by an increase of $0.4 million in employee related costs and stock-based compensation driven by increased headcount.</w:t>
      </w:r>
    </w:p>
    <w:p>
      <w:pPr>
        <w:spacing w:after="0" w:line="192"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The increase in general and administrative expenses for the three months ended September 30, 2022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three months ended September 30, 2021 was primarily due to an increase of $1.1 million in employee related costs and stock-based compensation driven by increased headcount, partially offset by a decrease of $0.2 million in consulting and accounting and audit fees associated with Sarbanes-Oxley compliance requirements.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1" w:name="page32"/>
    <w:bookmarkEnd w:id="31"/>
    <w:p>
      <w:pPr>
        <w:ind w:left="440"/>
        <w:spacing w:after="0"/>
        <w:rPr>
          <w:sz w:val="20"/>
          <w:szCs w:val="20"/>
          <w:color w:val="auto"/>
        </w:rPr>
      </w:pPr>
      <w:r>
        <w:rPr>
          <w:rFonts w:ascii="Arial" w:cs="Arial" w:eastAsia="Arial" w:hAnsi="Arial"/>
          <w:sz w:val="18"/>
          <w:szCs w:val="18"/>
          <w:b w:val="1"/>
          <w:bCs w:val="1"/>
          <w:i w:val="1"/>
          <w:iCs w:val="1"/>
          <w:color w:val="auto"/>
        </w:rPr>
        <w:t>Interest and Other Income (Expense), Net</w:t>
      </w:r>
      <w:r>
        <w:rPr>
          <w:rFonts w:ascii="Arial" w:cs="Arial" w:eastAsia="Arial" w:hAnsi="Arial"/>
          <w:sz w:val="18"/>
          <w:szCs w:val="18"/>
          <w:color w:val="auto"/>
        </w:rPr>
        <w:t>:</w:t>
      </w:r>
    </w:p>
    <w:p>
      <w:pPr>
        <w:spacing w:after="0" w:line="44"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Three Months Ended September 30,</w:t>
      </w:r>
    </w:p>
    <w:p>
      <w:pPr>
        <w:spacing w:after="0" w:line="24"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89"/>
              </w:rPr>
              <w:t>Change</w:t>
            </w:r>
          </w:p>
        </w:tc>
        <w:tc>
          <w:tcPr>
            <w:tcW w:w="16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 Change</w:t>
            </w:r>
          </w:p>
        </w:tc>
      </w:tr>
      <w:tr>
        <w:trPr>
          <w:trHeight w:val="206"/>
        </w:trPr>
        <w:tc>
          <w:tcPr>
            <w:tcW w:w="4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5"/>
          </w:tcPr>
          <w:p>
            <w:pPr>
              <w:jc w:val="right"/>
              <w:ind w:right="55"/>
              <w:spacing w:after="0"/>
              <w:rPr>
                <w:sz w:val="20"/>
                <w:szCs w:val="20"/>
                <w:color w:val="auto"/>
              </w:rPr>
            </w:pPr>
            <w:r>
              <w:rPr>
                <w:rFonts w:ascii="Arial" w:cs="Arial" w:eastAsia="Arial" w:hAnsi="Arial"/>
                <w:sz w:val="16"/>
                <w:szCs w:val="16"/>
                <w:b w:val="1"/>
                <w:bCs w:val="1"/>
                <w:color w:val="auto"/>
                <w:w w:val="95"/>
              </w:rPr>
              <w:t>(in thousands, except for percentages)</w:t>
            </w:r>
          </w:p>
        </w:tc>
        <w:tc>
          <w:tcPr>
            <w:tcW w:w="1680" w:type="dxa"/>
            <w:vAlign w:val="bottom"/>
          </w:tcPr>
          <w:p>
            <w:pPr>
              <w:spacing w:after="0"/>
              <w:rPr>
                <w:sz w:val="17"/>
                <w:szCs w:val="17"/>
                <w:color w:val="auto"/>
              </w:rPr>
            </w:pPr>
          </w:p>
        </w:tc>
      </w:tr>
      <w:tr>
        <w:trPr>
          <w:trHeight w:val="229"/>
        </w:trPr>
        <w:tc>
          <w:tcPr>
            <w:tcW w:w="4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346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686 %</w:t>
            </w:r>
          </w:p>
        </w:tc>
      </w:tr>
      <w:tr>
        <w:trPr>
          <w:trHeight w:val="226"/>
        </w:trPr>
        <w:tc>
          <w:tcPr>
            <w:tcW w:w="4520" w:type="dxa"/>
            <w:vAlign w:val="bottom"/>
          </w:tcPr>
          <w:p>
            <w:pPr>
              <w:ind w:left="60"/>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0"/>
              </w:rPr>
              <w:t>(755)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(2,658)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1,903</w:t>
            </w:r>
          </w:p>
        </w:tc>
        <w:tc>
          <w:tcPr>
            <w:tcW w:w="1680" w:type="dxa"/>
            <w:vAlign w:val="bottom"/>
          </w:tcPr>
          <w:p>
            <w:pPr>
              <w:jc w:val="right"/>
              <w:spacing w:after="0"/>
              <w:rPr>
                <w:sz w:val="20"/>
                <w:szCs w:val="20"/>
                <w:color w:val="auto"/>
              </w:rPr>
            </w:pPr>
            <w:r>
              <w:rPr>
                <w:rFonts w:ascii="Arial" w:cs="Arial" w:eastAsia="Arial" w:hAnsi="Arial"/>
                <w:sz w:val="18"/>
                <w:szCs w:val="18"/>
                <w:color w:val="auto"/>
              </w:rPr>
              <w:t>72 %</w:t>
            </w:r>
          </w:p>
        </w:tc>
      </w:tr>
      <w:tr>
        <w:trPr>
          <w:trHeight w:val="227"/>
        </w:trPr>
        <w:tc>
          <w:tcPr>
            <w:tcW w:w="4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income (expense), net</w:t>
            </w: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(183)</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0"/>
        </w:trPr>
        <w:tc>
          <w:tcPr>
            <w:tcW w:w="4520" w:type="dxa"/>
            <w:vAlign w:val="bottom"/>
          </w:tcPr>
          <w:p>
            <w:pPr>
              <w:ind w:left="60"/>
              <w:spacing w:after="0" w:line="205" w:lineRule="exact"/>
              <w:rPr>
                <w:sz w:val="20"/>
                <w:szCs w:val="20"/>
                <w:color w:val="auto"/>
              </w:rPr>
            </w:pPr>
            <w:r>
              <w:rPr>
                <w:rFonts w:ascii="Arial" w:cs="Arial" w:eastAsia="Arial" w:hAnsi="Arial"/>
                <w:sz w:val="18"/>
                <w:szCs w:val="18"/>
                <w:color w:val="auto"/>
              </w:rPr>
              <w:t>Total interest and other expense, net</w:t>
            </w: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(592)</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(2,673)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w:t>
            </w:r>
          </w:p>
        </w:tc>
        <w:tc>
          <w:tcPr>
            <w:tcW w:w="1680" w:type="dxa"/>
            <w:vAlign w:val="bottom"/>
          </w:tcPr>
          <w:p>
            <w:pPr>
              <w:jc w:val="right"/>
              <w:spacing w:after="0"/>
              <w:rPr>
                <w:sz w:val="20"/>
                <w:szCs w:val="20"/>
                <w:color w:val="auto"/>
              </w:rPr>
            </w:pPr>
            <w:r>
              <w:rPr>
                <w:rFonts w:ascii="Arial" w:cs="Arial" w:eastAsia="Arial" w:hAnsi="Arial"/>
                <w:sz w:val="18"/>
                <w:szCs w:val="18"/>
                <w:color w:val="auto"/>
              </w:rPr>
              <w:t>78 %</w:t>
            </w:r>
          </w:p>
        </w:tc>
      </w:tr>
      <w:tr>
        <w:trPr>
          <w:trHeight w:val="20"/>
        </w:trPr>
        <w:tc>
          <w:tcPr>
            <w:tcW w:w="4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94" w:lineRule="exact"/>
        <w:rPr>
          <w:sz w:val="20"/>
          <w:szCs w:val="20"/>
          <w:color w:val="auto"/>
        </w:rPr>
      </w:pPr>
    </w:p>
    <w:p>
      <w:pPr>
        <w:ind w:right="20" w:firstLine="439"/>
        <w:spacing w:after="0" w:line="330"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The increase in interest income for the three months ended September 30, 2022 as compared to the three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2021 was mainly due to higher interest earned on our investments in marketable securities, primarily as a result of higher interest rates.</w:t>
      </w:r>
    </w:p>
    <w:p>
      <w:pPr>
        <w:spacing w:after="0" w:line="133"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The decrease in interest expense for the three months ended September 30, 2022 as compared to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2021 was primarily due to lower interest associated with the SVB Term Loan compared to the Solar Term Loan and the loss on extinguishment of the Solar Term Loan recorded in the third quarter of 2021.</w:t>
      </w:r>
    </w:p>
    <w:p>
      <w:pPr>
        <w:spacing w:after="0" w:line="190" w:lineRule="exact"/>
        <w:rPr>
          <w:sz w:val="20"/>
          <w:szCs w:val="20"/>
          <w:color w:val="auto"/>
        </w:rPr>
      </w:pPr>
    </w:p>
    <w:p>
      <w:pPr>
        <w:jc w:val="both"/>
        <w:ind w:right="20" w:firstLine="439"/>
        <w:spacing w:after="0" w:line="266"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expense, net increase for the three months ended September 30, 2022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due to foreign currency fluctuations.</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Comparison of the Nine Months Ended September 30, 2022 and 2021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 Cost of Goods Sold, Gross Profit, and Gross Margin</w:t>
      </w:r>
      <w:r>
        <w:rPr>
          <w:rFonts w:ascii="Arial" w:cs="Arial" w:eastAsia="Arial" w:hAnsi="Arial"/>
          <w:sz w:val="18"/>
          <w:szCs w:val="18"/>
          <w:color w:val="auto"/>
        </w:rPr>
        <w:t>:</w:t>
      </w:r>
    </w:p>
    <w:p>
      <w:pPr>
        <w:spacing w:after="0" w:line="257" w:lineRule="exact"/>
        <w:rPr>
          <w:sz w:val="20"/>
          <w:szCs w:val="20"/>
          <w:color w:val="auto"/>
        </w:rPr>
      </w:pPr>
    </w:p>
    <w:tbl>
      <w:tblPr>
        <w:tblLayout w:type="fixed"/>
        <w:tblInd w:w="440" w:type="dxa"/>
        <w:tblCellMar>
          <w:top w:w="0" w:type="dxa"/>
          <w:left w:w="0" w:type="dxa"/>
          <w:bottom w:w="0" w:type="dxa"/>
          <w:right w:w="0" w:type="dxa"/>
        </w:tblCellMar>
      </w:tblPr>
      <w:tr>
        <w:trPr>
          <w:trHeight w:val="208"/>
        </w:trPr>
        <w:tc>
          <w:tcPr>
            <w:tcW w:w="4060" w:type="dxa"/>
            <w:vAlign w:val="bottom"/>
          </w:tcPr>
          <w:p>
            <w:pPr>
              <w:spacing w:after="0"/>
              <w:rPr>
                <w:sz w:val="18"/>
                <w:szCs w:val="18"/>
                <w:color w:val="auto"/>
              </w:rPr>
            </w:pPr>
          </w:p>
        </w:tc>
        <w:tc>
          <w:tcPr>
            <w:tcW w:w="3280" w:type="dxa"/>
            <w:vAlign w:val="bottom"/>
            <w:gridSpan w:val="6"/>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 Change</w:t>
            </w:r>
          </w:p>
        </w:tc>
        <w:tc>
          <w:tcPr>
            <w:tcW w:w="164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40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6"/>
                <w:szCs w:val="16"/>
                <w:b w:val="1"/>
                <w:bCs w:val="1"/>
                <w:color w:val="auto"/>
                <w:w w:val="88"/>
              </w:rPr>
              <w:t>(in thousands, except for percentages)</w:t>
            </w:r>
          </w:p>
        </w:tc>
        <w:tc>
          <w:tcPr>
            <w:tcW w:w="1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74,456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64,922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6"/>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10,616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7,053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45"/>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63,840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57,869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198" w:lineRule="exact"/>
              <w:rPr>
                <w:sz w:val="20"/>
                <w:szCs w:val="20"/>
                <w:color w:val="auto"/>
              </w:rPr>
            </w:pPr>
            <w:r>
              <w:rPr>
                <w:rFonts w:ascii="Arial" w:cs="Arial" w:eastAsia="Arial" w:hAnsi="Arial"/>
                <w:sz w:val="18"/>
                <w:szCs w:val="18"/>
                <w:color w:val="auto"/>
              </w:rPr>
              <w:t>86 %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line="198" w:lineRule="exact"/>
              <w:rPr>
                <w:sz w:val="20"/>
                <w:szCs w:val="20"/>
                <w:color w:val="auto"/>
              </w:rPr>
            </w:pPr>
            <w:r>
              <w:rPr>
                <w:rFonts w:ascii="Arial" w:cs="Arial" w:eastAsia="Arial" w:hAnsi="Arial"/>
                <w:sz w:val="18"/>
                <w:szCs w:val="18"/>
                <w:color w:val="auto"/>
              </w:rPr>
              <w:t>89 %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both"/>
        <w:ind w:firstLine="479"/>
        <w:spacing w:after="0" w:line="277"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The increase in revenue for the nine months ended September 30, 2022 as compared to the nine months ended September 30, 2021</w:t>
      </w:r>
      <w:r>
        <w:rPr>
          <w:rFonts w:ascii="Arial" w:cs="Arial" w:eastAsia="Arial" w:hAnsi="Arial"/>
          <w:sz w:val="16"/>
          <w:szCs w:val="16"/>
          <w:i w:val="1"/>
          <w:iCs w:val="1"/>
          <w:color w:val="auto"/>
        </w:rPr>
        <w:t xml:space="preserve"> </w:t>
      </w:r>
      <w:r>
        <w:rPr>
          <w:rFonts w:ascii="Arial" w:cs="Arial" w:eastAsia="Arial" w:hAnsi="Arial"/>
          <w:sz w:val="16"/>
          <w:szCs w:val="16"/>
          <w:color w:val="auto"/>
        </w:rPr>
        <w:t>comprised a $9.4 million increase in our U.S. revenue and a $0.1 million increased in our international revenue. The increase in revenue is due to the increase in domestic and international case volumes, higher number of sales personnel as we continue to invest in our sales organization and increased active surgeons. This increase was partially offset by lower average selling prices and the impact of foreign exchange on our international revenue.</w:t>
      </w:r>
    </w:p>
    <w:p>
      <w:pPr>
        <w:spacing w:after="0" w:line="202" w:lineRule="exact"/>
        <w:rPr>
          <w:sz w:val="20"/>
          <w:szCs w:val="20"/>
          <w:color w:val="auto"/>
        </w:rPr>
      </w:pPr>
    </w:p>
    <w:p>
      <w:pPr>
        <w:jc w:val="both"/>
        <w:ind w:firstLine="479"/>
        <w:spacing w:after="0" w:line="290" w:lineRule="auto"/>
        <w:rPr>
          <w:sz w:val="20"/>
          <w:szCs w:val="20"/>
          <w:color w:val="auto"/>
        </w:rPr>
      </w:pPr>
      <w:r>
        <w:rPr>
          <w:rFonts w:ascii="Arial" w:cs="Arial" w:eastAsia="Arial" w:hAnsi="Arial"/>
          <w:sz w:val="16"/>
          <w:szCs w:val="16"/>
          <w:i w:val="1"/>
          <w:iCs w:val="1"/>
          <w:color w:val="auto"/>
        </w:rPr>
        <w:t xml:space="preserve">Gross Profit and Gross Margin. </w:t>
      </w:r>
      <w:r>
        <w:rPr>
          <w:rFonts w:ascii="Arial" w:cs="Arial" w:eastAsia="Arial" w:hAnsi="Arial"/>
          <w:sz w:val="16"/>
          <w:szCs w:val="16"/>
          <w:color w:val="auto"/>
        </w:rPr>
        <w:t>Gross profit increased $6.0 million for the nine months ended September 30, 2022 as compared to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2021, mainly driven by higher revenue. The gross margin was 86% for the nine months ended September 30, 2022 as compared to 89% for the nine months ended September 30, 2021. Gross margin decreased in the third quarter 2022 due to lower average selling prices driven by procedure and product mix, as well as type of medical facilities where the procedures were performed and the impact of foreign exchange on our international revenue. Gross margin also includes the impact of higher costs of the newly launched implants and the increase in costs to support the growth of the business.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32" w:name="page33"/>
    <w:bookmarkEnd w:id="32"/>
    <w:p>
      <w:pPr>
        <w:ind w:left="440"/>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w:t>
      </w:r>
    </w:p>
    <w:p>
      <w:pPr>
        <w:spacing w:after="0" w:line="44" w:lineRule="exact"/>
        <w:rPr>
          <w:sz w:val="20"/>
          <w:szCs w:val="20"/>
          <w:color w:val="auto"/>
        </w:rPr>
      </w:pPr>
    </w:p>
    <w:tbl>
      <w:tblPr>
        <w:tblLayout w:type="fixed"/>
        <w:tblInd w:w="440" w:type="dxa"/>
        <w:tblCellMar>
          <w:top w:w="0" w:type="dxa"/>
          <w:left w:w="0" w:type="dxa"/>
          <w:bottom w:w="0" w:type="dxa"/>
          <w:right w:w="0" w:type="dxa"/>
        </w:tblCellMar>
      </w:tblPr>
      <w:tr>
        <w:trPr>
          <w:trHeight w:val="208"/>
        </w:trPr>
        <w:tc>
          <w:tcPr>
            <w:tcW w:w="4220" w:type="dxa"/>
            <w:vAlign w:val="bottom"/>
          </w:tcPr>
          <w:p>
            <w:pPr>
              <w:spacing w:after="0"/>
              <w:rPr>
                <w:sz w:val="18"/>
                <w:szCs w:val="18"/>
                <w:color w:val="auto"/>
              </w:rPr>
            </w:pPr>
          </w:p>
        </w:tc>
        <w:tc>
          <w:tcPr>
            <w:tcW w:w="3060" w:type="dxa"/>
            <w:vAlign w:val="bottom"/>
            <w:gridSpan w:val="6"/>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9"/>
        </w:trPr>
        <w:tc>
          <w:tcPr>
            <w:tcW w:w="42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 Change</w:t>
            </w:r>
          </w:p>
        </w:tc>
        <w:tc>
          <w:tcPr>
            <w:tcW w:w="166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 Change</w:t>
            </w:r>
          </w:p>
        </w:tc>
      </w:tr>
      <w:tr>
        <w:trPr>
          <w:trHeight w:val="206"/>
        </w:trPr>
        <w:tc>
          <w:tcPr>
            <w:tcW w:w="4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6"/>
                <w:szCs w:val="16"/>
                <w:b w:val="1"/>
                <w:bCs w:val="1"/>
                <w:color w:val="auto"/>
                <w:w w:val="89"/>
              </w:rPr>
              <w:t>(in thousands, except for percentages)</w:t>
            </w:r>
          </w:p>
        </w:tc>
        <w:tc>
          <w:tcPr>
            <w:tcW w:w="1660" w:type="dxa"/>
            <w:vAlign w:val="bottom"/>
            <w:tcBorders>
              <w:bottom w:val="single" w:sz="8" w:color="auto"/>
            </w:tcBorders>
          </w:tcPr>
          <w:p>
            <w:pPr>
              <w:spacing w:after="0"/>
              <w:rPr>
                <w:sz w:val="17"/>
                <w:szCs w:val="17"/>
                <w:color w:val="auto"/>
              </w:rPr>
            </w:pPr>
          </w:p>
        </w:tc>
      </w:tr>
      <w:tr>
        <w:trPr>
          <w:trHeight w:val="222"/>
        </w:trPr>
        <w:tc>
          <w:tcPr>
            <w:tcW w:w="4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12,586</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6"/>
        </w:trPr>
        <w:tc>
          <w:tcPr>
            <w:tcW w:w="4220" w:type="dxa"/>
            <w:vAlign w:val="bottom"/>
          </w:tcPr>
          <w:p>
            <w:pPr>
              <w:ind w:left="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755</w:t>
            </w:r>
          </w:p>
        </w:tc>
        <w:tc>
          <w:tcPr>
            <w:tcW w:w="166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27"/>
        </w:trPr>
        <w:tc>
          <w:tcPr>
            <w:tcW w:w="4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0"/>
        </w:trPr>
        <w:tc>
          <w:tcPr>
            <w:tcW w:w="4220" w:type="dxa"/>
            <w:vAlign w:val="bottom"/>
          </w:tcPr>
          <w:p>
            <w:pPr>
              <w:ind w:left="60"/>
              <w:spacing w:after="0" w:line="205"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112,155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95,608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16,547</w:t>
            </w:r>
          </w:p>
        </w:tc>
        <w:tc>
          <w:tcPr>
            <w:tcW w:w="166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0"/>
        </w:trPr>
        <w:tc>
          <w:tcPr>
            <w:tcW w:w="4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94" w:lineRule="exact"/>
        <w:rPr>
          <w:sz w:val="20"/>
          <w:szCs w:val="20"/>
          <w:color w:val="auto"/>
        </w:rPr>
      </w:pPr>
    </w:p>
    <w:p>
      <w:pPr>
        <w:jc w:val="both"/>
        <w:ind w:firstLine="439"/>
        <w:spacing w:after="0" w:line="273"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The increase in sales and marketing expenses for the nine months ended September 30, 2022 as compared to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2021 was primarily due to (a) increases in employee related costs, commissions and stock-based compensation of $9.0 million driven by increased headcount and higher revenues and (b) as COVID-19 pandemic restrictions eased, we experienced higher levels of travel, marketing, training activities, facilities and other related costs resulting in an increase of $3.6 million.</w:t>
      </w:r>
    </w:p>
    <w:p>
      <w:pPr>
        <w:spacing w:after="0" w:line="176" w:lineRule="exact"/>
        <w:rPr>
          <w:sz w:val="20"/>
          <w:szCs w:val="20"/>
          <w:color w:val="auto"/>
        </w:rPr>
      </w:pPr>
    </w:p>
    <w:p>
      <w:pPr>
        <w:jc w:val="both"/>
        <w:ind w:firstLine="439"/>
        <w:spacing w:after="0" w:line="303"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The increase in research and development expenses for the nine months ended September 30, 2022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nine months ended September 30, 2021 was primarily due to an increase of $1.0 million in employee related costs and stock-based compensation driven by increased headcount, partially offset by a decrease of $0.2 million due to consulting and research and development activities.</w:t>
      </w:r>
    </w:p>
    <w:p>
      <w:pPr>
        <w:spacing w:after="0" w:line="155" w:lineRule="exact"/>
        <w:rPr>
          <w:sz w:val="20"/>
          <w:szCs w:val="20"/>
          <w:color w:val="auto"/>
        </w:rPr>
      </w:pPr>
    </w:p>
    <w:p>
      <w:pPr>
        <w:jc w:val="both"/>
        <w:ind w:firstLine="439"/>
        <w:spacing w:after="0" w:line="279"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The increase in general and administrative expenses for the nine months ended September 30, 2022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nine months ended September 30, 2021 was primarily due to an increase of $2.8 million in employee related costs and stock-based compensation driven by increased headcount and an increase of $0.4 million in consulting, employee training, legal, accounting fees.</w:t>
      </w:r>
    </w:p>
    <w:p>
      <w:pPr>
        <w:spacing w:after="0" w:line="22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and Other Income (Expense), Net</w:t>
      </w:r>
      <w:r>
        <w:rPr>
          <w:rFonts w:ascii="Arial" w:cs="Arial" w:eastAsia="Arial" w:hAnsi="Arial"/>
          <w:sz w:val="18"/>
          <w:szCs w:val="18"/>
          <w:color w:val="auto"/>
        </w:rPr>
        <w:t>:</w:t>
      </w:r>
    </w:p>
    <w:p>
      <w:pPr>
        <w:spacing w:after="0" w:line="44" w:lineRule="exact"/>
        <w:rPr>
          <w:sz w:val="20"/>
          <w:szCs w:val="20"/>
          <w:color w:val="auto"/>
        </w:rPr>
      </w:pPr>
    </w:p>
    <w:p>
      <w:pPr>
        <w:ind w:left="4980"/>
        <w:spacing w:after="0"/>
        <w:rPr>
          <w:sz w:val="20"/>
          <w:szCs w:val="20"/>
          <w:color w:val="auto"/>
        </w:rPr>
      </w:pPr>
      <w:r>
        <w:rPr>
          <w:rFonts w:ascii="Arial" w:cs="Arial" w:eastAsia="Arial" w:hAnsi="Arial"/>
          <w:sz w:val="16"/>
          <w:szCs w:val="16"/>
          <w:b w:val="1"/>
          <w:bCs w:val="1"/>
          <w:color w:val="auto"/>
        </w:rPr>
        <w:t>Nine Months Ended September 30,</w:t>
      </w:r>
    </w:p>
    <w:p>
      <w:pPr>
        <w:spacing w:after="0" w:line="24"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 Change</w:t>
            </w:r>
          </w:p>
        </w:tc>
        <w:tc>
          <w:tcPr>
            <w:tcW w:w="16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 Change</w:t>
            </w:r>
          </w:p>
        </w:tc>
      </w:tr>
      <w:tr>
        <w:trPr>
          <w:trHeight w:val="206"/>
        </w:trPr>
        <w:tc>
          <w:tcPr>
            <w:tcW w:w="45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6"/>
                <w:szCs w:val="16"/>
                <w:b w:val="1"/>
                <w:bCs w:val="1"/>
                <w:color w:val="auto"/>
                <w:w w:val="89"/>
              </w:rPr>
              <w:t>(in thousands, except for percentages)</w:t>
            </w:r>
          </w:p>
        </w:tc>
        <w:tc>
          <w:tcPr>
            <w:tcW w:w="1680" w:type="dxa"/>
            <w:vAlign w:val="bottom"/>
            <w:tcBorders>
              <w:bottom w:val="single" w:sz="8" w:color="auto"/>
            </w:tcBorders>
          </w:tcPr>
          <w:p>
            <w:pPr>
              <w:spacing w:after="0"/>
              <w:rPr>
                <w:sz w:val="17"/>
                <w:szCs w:val="17"/>
                <w:color w:val="auto"/>
              </w:rPr>
            </w:pPr>
          </w:p>
        </w:tc>
      </w:tr>
      <w:tr>
        <w:trPr>
          <w:trHeight w:val="222"/>
        </w:trPr>
        <w:tc>
          <w:tcPr>
            <w:tcW w:w="4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r>
      <w:tr>
        <w:trPr>
          <w:trHeight w:val="226"/>
        </w:trPr>
        <w:tc>
          <w:tcPr>
            <w:tcW w:w="4520" w:type="dxa"/>
            <w:vAlign w:val="bottom"/>
          </w:tcPr>
          <w:p>
            <w:pPr>
              <w:ind w:left="60"/>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(1,938)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2,859</w:t>
            </w:r>
          </w:p>
        </w:tc>
        <w:tc>
          <w:tcPr>
            <w:tcW w:w="168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27"/>
        </w:trPr>
        <w:tc>
          <w:tcPr>
            <w:tcW w:w="4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income (expense), net</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0"/>
        </w:trPr>
        <w:tc>
          <w:tcPr>
            <w:tcW w:w="4520" w:type="dxa"/>
            <w:vAlign w:val="bottom"/>
          </w:tcPr>
          <w:p>
            <w:pPr>
              <w:ind w:left="60"/>
              <w:spacing w:after="0" w:line="205" w:lineRule="exact"/>
              <w:rPr>
                <w:sz w:val="20"/>
                <w:szCs w:val="20"/>
                <w:color w:val="auto"/>
              </w:rPr>
            </w:pPr>
            <w:r>
              <w:rPr>
                <w:rFonts w:ascii="Arial" w:cs="Arial" w:eastAsia="Arial" w:hAnsi="Arial"/>
                <w:sz w:val="18"/>
                <w:szCs w:val="18"/>
                <w:color w:val="auto"/>
              </w:rPr>
              <w:t>Total interest and other expense, net</w:t>
            </w: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(1,766)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1680" w:type="dxa"/>
            <w:vAlign w:val="bottom"/>
          </w:tcPr>
          <w:p>
            <w:pPr>
              <w:jc w:val="right"/>
              <w:spacing w:after="0"/>
              <w:rPr>
                <w:sz w:val="20"/>
                <w:szCs w:val="20"/>
                <w:color w:val="auto"/>
              </w:rPr>
            </w:pPr>
            <w:r>
              <w:rPr>
                <w:rFonts w:ascii="Arial" w:cs="Arial" w:eastAsia="Arial" w:hAnsi="Arial"/>
                <w:sz w:val="18"/>
                <w:szCs w:val="18"/>
                <w:color w:val="auto"/>
              </w:rPr>
              <w:t>59 %</w:t>
            </w:r>
          </w:p>
        </w:tc>
      </w:tr>
      <w:tr>
        <w:trPr>
          <w:trHeight w:val="20"/>
        </w:trPr>
        <w:tc>
          <w:tcPr>
            <w:tcW w:w="4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80" w:lineRule="exact"/>
        <w:rPr>
          <w:sz w:val="20"/>
          <w:szCs w:val="20"/>
          <w:color w:val="auto"/>
        </w:rPr>
      </w:pPr>
    </w:p>
    <w:p>
      <w:pPr>
        <w:ind w:firstLine="439"/>
        <w:spacing w:after="0" w:line="330"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The increase in interest income for the nine months ended September 30, 2022 as compared to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2021 was mainly due to higher interest earned on our investments in marketable securities, primarily as a result of higher interest rates.</w:t>
      </w:r>
    </w:p>
    <w:p>
      <w:pPr>
        <w:spacing w:after="0" w:line="133"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The decrease in interest expense for the nine months ended September 30, 2022 as compared to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was primarily due to lower interest associated with the SVB Term Loan compared to the Solar Term Loan and the loss on extinguishment of the Solar Term Loan recorded in the third quarter of 2021.</w:t>
      </w:r>
    </w:p>
    <w:p>
      <w:pPr>
        <w:spacing w:after="0" w:line="190"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changed from income to expense for the nine months ended September 30, 2022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nine months ended September 30, 2021 due to foreign currency fluctuations.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As of September 30, 2022, we had cash and marketable securities of $104.1 million compared to $147.0 million as of December 31, 2021. We have financed our operations primarily through our public offerings and debt financing arrangements. As of September 30, 2022, we had $35.1 million in outstanding debt, compared to $35.0 million as of December 31, 2021 .</w:t>
      </w:r>
    </w:p>
    <w:p>
      <w:pPr>
        <w:spacing w:after="0" w:line="190"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auto"/>
        </w:rPr>
        <w:t>As of September 30, 2022, we had an accumulated deficit of $345.9 million, compared to $295.8 million as of December 31, 2021. During the nine months ended September 30, 2022, we incurred a net loss of $50.1 million. During the years ended December 31, 2021 and 2020, we incurred a net loss of $56.6 million and $43.7 million, respectively, and expect to incur additional losses in the future. We have not achieved positive cash flow from operations to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3" w:name="page34"/>
    <w:bookmarkEnd w:id="33"/>
    <w:p>
      <w:pPr>
        <w:jc w:val="both"/>
        <w:ind w:firstLine="439"/>
        <w:spacing w:after="0" w:line="265" w:lineRule="auto"/>
        <w:rPr>
          <w:sz w:val="20"/>
          <w:szCs w:val="20"/>
          <w:color w:val="auto"/>
        </w:rPr>
      </w:pPr>
      <w:r>
        <w:rPr>
          <w:rFonts w:ascii="Arial" w:cs="Arial" w:eastAsia="Arial" w:hAnsi="Arial"/>
          <w:sz w:val="17"/>
          <w:szCs w:val="17"/>
          <w:color w:val="auto"/>
        </w:rPr>
        <w:t>Based upon our current operating plan, we believe that our existing cash and marketable securities will enable us to fund our operating expenses and capital expenditure requirements over the next 12 months and beyond. However, the economic impact of the duration and severity of the COVID-19 pandemic, and our responses thereto (including such actions we have taken or may take in the future as disclosed elsewhere in this Report) pose risks and uncertainties in our future available capital resources. Further, we may face challenges and uncertainties and, as a result, may need to raise additional capital as our available capital resources may be consumed more rapidly than currently expected due to, but not limited to, the following as a result of the COVID-19 pandemic or otherwise: (a) decreases in sales of our products and the uncertainty of future revenues from new products; (b) changes we may make to the business that affect ongoing operating expenses; (c) changes we may make in our business strategy; (d) regulatory developments affecting our existing products; (e) changes we may make in our research and development spending plans; and (f) other items affecting our forecasted level of expenditures and use of cash resources.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Term Loan</w:t>
      </w:r>
    </w:p>
    <w:p>
      <w:pPr>
        <w:spacing w:after="0" w:line="219" w:lineRule="exact"/>
        <w:rPr>
          <w:sz w:val="20"/>
          <w:szCs w:val="20"/>
          <w:color w:val="auto"/>
        </w:rPr>
      </w:pPr>
    </w:p>
    <w:p>
      <w:pPr>
        <w:jc w:val="both"/>
        <w:ind w:right="20" w:firstLine="399"/>
        <w:spacing w:after="0" w:line="312" w:lineRule="auto"/>
        <w:rPr>
          <w:sz w:val="20"/>
          <w:szCs w:val="20"/>
          <w:color w:val="auto"/>
        </w:rPr>
      </w:pPr>
      <w:r>
        <w:rPr>
          <w:rFonts w:ascii="Arial" w:cs="Arial" w:eastAsia="Arial" w:hAnsi="Arial"/>
          <w:sz w:val="16"/>
          <w:szCs w:val="16"/>
          <w:color w:val="auto"/>
        </w:rPr>
        <w:t>In May 29, 2020, we entered into a term loan with Solar Capital Partners (“Solar”). Pursuant to the Loan and Security Agreement, Solar provided an aggregate principal amount of $40.0 million term loan (the “Solar Term Loan”). We paid in full and terminated the Solar Term Loan in August 2021.</w:t>
      </w:r>
    </w:p>
    <w:p>
      <w:pPr>
        <w:spacing w:after="0" w:line="147" w:lineRule="exact"/>
        <w:rPr>
          <w:sz w:val="20"/>
          <w:szCs w:val="20"/>
          <w:color w:val="auto"/>
        </w:rPr>
      </w:pPr>
    </w:p>
    <w:p>
      <w:pPr>
        <w:jc w:val="both"/>
        <w:ind w:firstLine="399"/>
        <w:spacing w:after="0" w:line="272" w:lineRule="auto"/>
        <w:rPr>
          <w:sz w:val="20"/>
          <w:szCs w:val="20"/>
          <w:color w:val="auto"/>
        </w:rPr>
      </w:pPr>
      <w:r>
        <w:rPr>
          <w:rFonts w:ascii="Arial" w:cs="Arial" w:eastAsia="Arial" w:hAnsi="Arial"/>
          <w:sz w:val="16"/>
          <w:szCs w:val="16"/>
          <w:color w:val="auto"/>
        </w:rPr>
        <w:t>The outstanding debt as of September 30, 2022 and December 31, 2021 is related to a term loan pursuant to the Loan and Security Agreement dated August 12, 2021 (the “Effective Date”), entered into by us with Silicon Valley Bank (“SVB”). Pursuant the agreement, SVB provided an aggregate principal amount of $35.0 million to us (the “SVB Term Loan”). We used the proceeds of the SVB Term Loan to repay in full and terminate the Solar Term Loan, which was accounted for as debt extinguishment in accordance with the accounting standards. We recognized the unamortized debt issuance costs and unaccreted value of final fee of $1.3 million and the prepayment penalty and lender fees of $0.5 million related to Solar Term Loan as a loss on debt extinguishment. The costs and fees are reflected as interest expense in the condensed consolidated statement of operations for the year ended December 31, 2021. The total debt issuance costs of $0.1 million associated with the SVB Term Loan were recorded in the condensed consolidated balance sheet as a direct deduction from the carrying amount of the loan, and are amortized as a component of interest expense using straight-line method over the life of the term loan. The SVB Term Loan matures (the “Maturity Date”) on either (a) August 1, 2025 or (b) August 1, 2026 dependent on our achievement of a certain financial performance milestone as of December 31, 2022, as set forth in the Loan Agreement. Interest on the SVB Term Loan is payable monthly at an annual rate set at the greater of (a) 5.75% and (b) prime rate as published in the Wall Street Journal plus 2.5%. Commencing on September 1, 2023, we will be required to make monthly principal amortization payments. We may elect to prepay the SVB Term Loan prior to the Maturity Date subject to a prepayment fee equal to 1% if the prepayment occurs prior to the second anniversary of the Effective Date and 0% if the prepayment occurs on or at any time after the second anniversary of the Effective Date. The SVB Term Loan is secured by substantially all our assets other than our intellectual property. We are also obligated to pay a final payment equal to $0.7 million or 2% of the aggregate principal amount of the SVB Term Loan, which is considered fully earned by SVB on the effective date of the Loan and Security Agreement with SVB. This final payment shall be due and payable on the earliest of (i) the maturity date, (ii) the full repayment of the loan, (iii) permitted prepayment and mandatory prepayment upon an acceleration as specified in the agreement or (iv) the termination of the agreement. The final payment is included within the long-term borrowings and is accreted to interest expense using straight-line method over the life of the term loan.</w:t>
      </w:r>
    </w:p>
    <w:p>
      <w:pPr>
        <w:spacing w:after="0" w:line="373" w:lineRule="exact"/>
        <w:rPr>
          <w:sz w:val="20"/>
          <w:szCs w:val="20"/>
          <w:color w:val="auto"/>
        </w:rPr>
      </w:pPr>
    </w:p>
    <w:p>
      <w:pPr>
        <w:jc w:val="both"/>
        <w:ind w:firstLine="639"/>
        <w:spacing w:after="0" w:line="277" w:lineRule="auto"/>
        <w:rPr>
          <w:sz w:val="20"/>
          <w:szCs w:val="20"/>
          <w:color w:val="auto"/>
        </w:rPr>
      </w:pPr>
      <w:r>
        <w:rPr>
          <w:rFonts w:ascii="Arial" w:cs="Arial" w:eastAsia="Arial" w:hAnsi="Arial"/>
          <w:sz w:val="16"/>
          <w:szCs w:val="16"/>
          <w:color w:val="auto"/>
        </w:rPr>
        <w:t>The Loan Agreement includes affirmative and negative covenants applicable to us and certain of its foreign subsidiaries. The affirmative covenants include, among others, covenants requiring us to maintain its legal existence and governmental compliance, deliver certain financial reports, and maintain insurance coverage. The negative covenants include, among others, restrictions regarding transferring collateral, pledging our intellectual property to other parties, engaging in mergers or acquisitions, paying dividends or making other distributions, incurring indebtedness, transacting with affiliates, and entering into certain investments, in each case subject to certain exceptions. As of September 30, 2022, we were in compliance with all debt covenants.</w:t>
      </w:r>
    </w:p>
    <w:p>
      <w:pPr>
        <w:spacing w:after="0" w:line="176"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Our material cash requirements include various contractual and other obligations consisting of long-term debt obligations with SVB, operating lease obligations and purchase obligations with some of our suppliers and have not changed materially since the Form 10-K filed with the SEC on March 1, 2022. As of September 30, 2022, expected timing of those payments are as follows: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34" w:name="page35"/>
    <w:bookmarkEnd w:id="34"/>
    <w:tbl>
      <w:tblPr>
        <w:tblLayout w:type="fixed"/>
        <w:tblInd w:w="440" w:type="dxa"/>
        <w:tblCellMar>
          <w:top w:w="0" w:type="dxa"/>
          <w:left w:w="0" w:type="dxa"/>
          <w:bottom w:w="0" w:type="dxa"/>
          <w:right w:w="0" w:type="dxa"/>
        </w:tblCellMar>
      </w:tblPr>
      <w:tr>
        <w:trPr>
          <w:trHeight w:val="211"/>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Payments Due By Period</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Total</w:t>
            </w:r>
          </w:p>
        </w:tc>
        <w:tc>
          <w:tcPr>
            <w:tcW w:w="13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Less than 1 year</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9"/>
              </w:rPr>
              <w:t>1-3 years</w:t>
            </w:r>
          </w:p>
        </w:tc>
        <w:tc>
          <w:tcPr>
            <w:tcW w:w="200" w:type="dxa"/>
            <w:vAlign w:val="bottom"/>
          </w:tcPr>
          <w:p>
            <w:pPr>
              <w:spacing w:after="0"/>
              <w:rPr>
                <w:sz w:val="13"/>
                <w:szCs w:val="13"/>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4-5 years</w:t>
            </w:r>
          </w:p>
        </w:tc>
        <w:tc>
          <w:tcPr>
            <w:tcW w:w="120" w:type="dxa"/>
            <w:vAlign w:val="bottom"/>
          </w:tcPr>
          <w:p>
            <w:pPr>
              <w:spacing w:after="0"/>
              <w:rPr>
                <w:sz w:val="13"/>
                <w:szCs w:val="13"/>
                <w:color w:val="auto"/>
              </w:rPr>
            </w:pPr>
          </w:p>
        </w:tc>
        <w:tc>
          <w:tcPr>
            <w:tcW w:w="1060" w:type="dxa"/>
            <w:vAlign w:val="bottom"/>
          </w:tcPr>
          <w:p>
            <w:pPr>
              <w:jc w:val="right"/>
              <w:ind w:right="94"/>
              <w:spacing w:after="0" w:line="156" w:lineRule="exact"/>
              <w:rPr>
                <w:sz w:val="20"/>
                <w:szCs w:val="20"/>
                <w:color w:val="auto"/>
              </w:rPr>
            </w:pPr>
            <w:r>
              <w:rPr>
                <w:rFonts w:ascii="Arial" w:cs="Arial" w:eastAsia="Arial" w:hAnsi="Arial"/>
                <w:sz w:val="16"/>
                <w:szCs w:val="16"/>
                <w:b w:val="1"/>
                <w:bCs w:val="1"/>
                <w:color w:val="auto"/>
                <w:w w:val="95"/>
              </w:rPr>
              <w:t>More than 5</w:t>
            </w:r>
          </w:p>
        </w:tc>
        <w:tc>
          <w:tcPr>
            <w:tcW w:w="0" w:type="dxa"/>
            <w:vAlign w:val="bottom"/>
          </w:tcPr>
          <w:p>
            <w:pPr>
              <w:spacing w:after="0"/>
              <w:rPr>
                <w:sz w:val="1"/>
                <w:szCs w:val="1"/>
                <w:color w:val="auto"/>
              </w:rPr>
            </w:pPr>
          </w:p>
        </w:tc>
      </w:tr>
      <w:tr>
        <w:trPr>
          <w:trHeight w:val="211"/>
        </w:trPr>
        <w:tc>
          <w:tcPr>
            <w:tcW w:w="4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1300" w:type="dxa"/>
            <w:vAlign w:val="bottom"/>
            <w:tcBorders>
              <w:bottom w:val="single" w:sz="8" w:color="auto"/>
            </w:tcBorders>
            <w:gridSpan w:val="3"/>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20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(in thousands)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Principal obligations and final fee on debt </w:t>
            </w:r>
            <w:r>
              <w:rPr>
                <w:rFonts w:ascii="Arial" w:cs="Arial" w:eastAsia="Arial" w:hAnsi="Arial"/>
                <w:sz w:val="14"/>
                <w:szCs w:val="14"/>
                <w:color w:val="auto"/>
              </w:rPr>
              <w:t>(1)</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24,792</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340" w:type="dxa"/>
            <w:vAlign w:val="bottom"/>
          </w:tcPr>
          <w:p>
            <w:pPr>
              <w:ind w:left="2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4"/>
                <w:szCs w:val="14"/>
                <w:color w:val="auto"/>
              </w:rPr>
              <w:t>(2)</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5,828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4,746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6"/>
        </w:trPr>
        <w:tc>
          <w:tcPr>
            <w:tcW w:w="434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17329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32915" cy="8255"/>
                    </a:xfrm>
                    <a:prstGeom prst="rect">
                      <a:avLst/>
                    </a:prstGeom>
                    <a:noFill/>
                  </pic:spPr>
                </pic:pic>
              </a:graphicData>
            </a:graphic>
          </wp:anchor>
        </w:drawing>
      </w:r>
    </w:p>
    <w:p>
      <w:pPr>
        <w:spacing w:after="0" w:line="228" w:lineRule="exact"/>
        <w:rPr>
          <w:sz w:val="20"/>
          <w:szCs w:val="20"/>
          <w:color w:val="auto"/>
        </w:rPr>
      </w:pPr>
    </w:p>
    <w:p>
      <w:pPr>
        <w:ind w:left="480" w:hanging="314"/>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principal obligations and the final fee at maturities of our SVB Term Loan.</w:t>
      </w:r>
    </w:p>
    <w:p>
      <w:pPr>
        <w:spacing w:after="0" w:line="19" w:lineRule="exact"/>
        <w:rPr>
          <w:rFonts w:ascii="Arial" w:cs="Arial" w:eastAsia="Arial" w:hAnsi="Arial"/>
          <w:sz w:val="14"/>
          <w:szCs w:val="14"/>
          <w:color w:val="auto"/>
        </w:rPr>
      </w:pPr>
    </w:p>
    <w:p>
      <w:pPr>
        <w:ind w:left="480" w:hanging="314"/>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future interest obligations on our SVB Term Loan estimated using an interest rate of 8.75% as of September 30, 2022.</w:t>
      </w:r>
    </w:p>
    <w:p>
      <w:pPr>
        <w:spacing w:after="0" w:line="25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compared to $48.4 million of contractual obligations as of December 31, 2021.</w:t>
      </w:r>
    </w:p>
    <w:p>
      <w:pPr>
        <w:spacing w:after="0" w:line="24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Cash Flows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gridSpan w:val="5"/>
          </w:tcPr>
          <w:p>
            <w:pPr>
              <w:ind w:left="120"/>
              <w:spacing w:after="0"/>
              <w:rPr>
                <w:sz w:val="20"/>
                <w:szCs w:val="20"/>
                <w:color w:val="auto"/>
              </w:rPr>
            </w:pPr>
            <w:r>
              <w:rPr>
                <w:rFonts w:ascii="Arial" w:cs="Arial" w:eastAsia="Arial" w:hAnsi="Arial"/>
                <w:sz w:val="16"/>
                <w:szCs w:val="16"/>
                <w:b w:val="1"/>
                <w:bCs w:val="1"/>
                <w:color w:val="auto"/>
              </w:rPr>
              <w:t>Nine Months Ended September 30,</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7"/>
        </w:trPr>
        <w:tc>
          <w:tcPr>
            <w:tcW w:w="57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 Change</w:t>
            </w:r>
          </w:p>
        </w:tc>
      </w:tr>
      <w:tr>
        <w:trPr>
          <w:trHeight w:val="211"/>
        </w:trPr>
        <w:tc>
          <w:tcPr>
            <w:tcW w:w="5720" w:type="dxa"/>
            <w:vAlign w:val="bottom"/>
          </w:tcPr>
          <w:p>
            <w:pPr>
              <w:ind w:left="60"/>
              <w:spacing w:after="0"/>
              <w:rPr>
                <w:sz w:val="20"/>
                <w:szCs w:val="20"/>
                <w:color w:val="auto"/>
              </w:rPr>
            </w:pPr>
            <w:r>
              <w:rPr>
                <w:rFonts w:ascii="Arial" w:cs="Arial" w:eastAsia="Arial" w:hAnsi="Arial"/>
                <w:sz w:val="18"/>
                <w:szCs w:val="18"/>
                <w:b w:val="1"/>
                <w:bCs w:val="1"/>
                <w:color w:val="auto"/>
              </w:rPr>
              <w:t>Net cash provided by (used in):</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7"/>
        </w:trPr>
        <w:tc>
          <w:tcPr>
            <w:tcW w:w="5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w:t>
            </w:r>
          </w:p>
        </w:tc>
      </w:tr>
      <w:tr>
        <w:trPr>
          <w:trHeight w:val="226"/>
        </w:trPr>
        <w:tc>
          <w:tcPr>
            <w:tcW w:w="5720" w:type="dxa"/>
            <w:vAlign w:val="bottom"/>
          </w:tcPr>
          <w:p>
            <w:pPr>
              <w:ind w:left="6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36,202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(39,106)</w:t>
            </w:r>
          </w:p>
        </w:tc>
      </w:tr>
      <w:tr>
        <w:trPr>
          <w:trHeight w:val="227"/>
        </w:trPr>
        <w:tc>
          <w:tcPr>
            <w:tcW w:w="5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Financing activities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r>
      <w:tr>
        <w:trPr>
          <w:trHeight w:val="226"/>
        </w:trPr>
        <w:tc>
          <w:tcPr>
            <w:tcW w:w="57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Effects of exchange rate changes on cash and cash equivalents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r>
      <w:tr>
        <w:trPr>
          <w:trHeight w:val="245"/>
        </w:trPr>
        <w:tc>
          <w:tcPr>
            <w:tcW w:w="5720" w:type="dxa"/>
            <w:vAlign w:val="bottom"/>
            <w:tcBorders>
              <w:bottom w:val="single" w:sz="8" w:color="CCEEFF"/>
            </w:tcBorders>
            <w:shd w:val="clear" w:color="auto" w:fill="CCEEFF"/>
          </w:tcPr>
          <w:p>
            <w:pPr>
              <w:ind w:left="300"/>
              <w:spacing w:after="0" w:line="206" w:lineRule="exact"/>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(43,402)</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Cash Used in Operating Activities</w:t>
      </w:r>
    </w:p>
    <w:p>
      <w:pPr>
        <w:spacing w:after="0" w:line="166" w:lineRule="exact"/>
        <w:rPr>
          <w:sz w:val="20"/>
          <w:szCs w:val="20"/>
          <w:color w:val="auto"/>
        </w:rPr>
      </w:pPr>
    </w:p>
    <w:p>
      <w:pPr>
        <w:jc w:val="both"/>
        <w:ind w:firstLine="439"/>
        <w:spacing w:after="0" w:line="265" w:lineRule="auto"/>
        <w:rPr>
          <w:sz w:val="20"/>
          <w:szCs w:val="20"/>
          <w:color w:val="auto"/>
        </w:rPr>
      </w:pPr>
      <w:r>
        <w:rPr>
          <w:rFonts w:ascii="Arial" w:cs="Arial" w:eastAsia="Arial" w:hAnsi="Arial"/>
          <w:sz w:val="17"/>
          <w:szCs w:val="17"/>
          <w:color w:val="auto"/>
        </w:rPr>
        <w:t>Net cash used in operating activities for the nine months ended September 30, 2022 of $34.9 million resulted from cash outflows due to a net loss of $50.1 million, adjusted for $20.6 million of non-cash items, and cash outflows from net changes in operating assets and liabilities of $5.4 million. Net cash used in operating activities for the nine months ended September 30, 2021 of $26.8 million resulted from cash outflows due to a net loss of $42.1 million, adjusted for $17.4 million of non-cash items, and cash outflows from changes in operating assets and liabilities of $2.1 million. The increase in net loss, net of non-cash items for the nine months ended September 30, 2022 compared to the nine months ended September 30, 2021 was mainly due to higher operating expenses from the growth of the business. Net cash outflows from changes in operating assets and liabilities for the nine months ended September 30, 2022 were primarily due to higher inventory due to the timing of inventory build-up related to our iFuse-TORQ and iFuse-Bedrock Granite implants and higher accounts receivable due to timing of collections, partially offset by higher accounts payable, lower prepaid expenses and lower accrued liabilities attributable to the normal course timing of expenses. Net cash outflows from changes in operating assets and liabilities for the nine months ended September 30, 2021 were primarily due to higher inventory due to the timing of inventory build-up related to our iFuse-TORQ implants, partially offset by timing of collections of account receivables and timing of vendor payments.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sectPr>
      </w:pPr>
    </w:p>
    <w:bookmarkStart w:id="35" w:name="page36"/>
    <w:bookmarkEnd w:id="35"/>
    <w:p>
      <w:pPr>
        <w:ind w:left="44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66" w:lineRule="exact"/>
        <w:rPr>
          <w:sz w:val="20"/>
          <w:szCs w:val="20"/>
          <w:color w:val="auto"/>
        </w:rPr>
      </w:pPr>
    </w:p>
    <w:p>
      <w:pPr>
        <w:jc w:val="both"/>
        <w:ind w:firstLine="439"/>
        <w:spacing w:after="0" w:line="267" w:lineRule="auto"/>
        <w:rPr>
          <w:sz w:val="20"/>
          <w:szCs w:val="20"/>
          <w:color w:val="auto"/>
        </w:rPr>
      </w:pPr>
      <w:r>
        <w:rPr>
          <w:rFonts w:ascii="Arial" w:cs="Arial" w:eastAsia="Arial" w:hAnsi="Arial"/>
          <w:sz w:val="17"/>
          <w:szCs w:val="17"/>
          <w:color w:val="auto"/>
        </w:rPr>
        <w:t>Net cash used in investing activities in the nine months ended September 30, 2022 was $2.9 million compared to cash provided by investing activities of $36.2 million in the nine months ended September 30, 2021. Net cash used in investing activities for the nine months ended September 30, 2022 consisted of purchases of property and equipment of $7.8 million primarily related to individual components in instrument sets to support revenue growth, as well as leasehold improvements made to the building used for research and development and warehouse space in Santa Clara, partially offset by maturities of our marketable securities, net of purchases of $4.9 million. Net cash provided by investing activities for the nine months ended September 30, 2021 consisted of maturities of our marketable securities, net of purchases of $40.8 million, partially offset by purchase of property and equipment of $4.6 million primarily related to individual components in instrument sets as we anticipated increased case volumes.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66" w:lineRule="exact"/>
        <w:rPr>
          <w:sz w:val="20"/>
          <w:szCs w:val="20"/>
          <w:color w:val="auto"/>
        </w:rPr>
      </w:pPr>
    </w:p>
    <w:p>
      <w:pPr>
        <w:jc w:val="both"/>
        <w:ind w:firstLine="439"/>
        <w:spacing w:after="0" w:line="295" w:lineRule="auto"/>
        <w:rPr>
          <w:sz w:val="20"/>
          <w:szCs w:val="20"/>
          <w:color w:val="auto"/>
        </w:rPr>
      </w:pPr>
      <w:r>
        <w:rPr>
          <w:rFonts w:ascii="Arial" w:cs="Arial" w:eastAsia="Arial" w:hAnsi="Arial"/>
          <w:sz w:val="16"/>
          <w:szCs w:val="16"/>
          <w:color w:val="auto"/>
        </w:rPr>
        <w:t>Cash provided by financing activities in the nine months ended September 30, 2022 was $1.5 million resulting from proceeds from the issuance of common stock under our stock-based incentive compensation plans. This compares to $2.7 million used in financing activities in the nine months ended September 30, 2021, which consists of the paydown of our Solar Term Loan and related expenses of $41.6 million, mostly offset from the proceeds from our term loan from SVB, partially offset by proceeds from the issuance of common stock under our stock-based incentive compensation plans of $3.9 million.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5" w:lineRule="exact"/>
        <w:rPr>
          <w:sz w:val="20"/>
          <w:szCs w:val="20"/>
          <w:color w:val="auto"/>
        </w:rPr>
      </w:pPr>
    </w:p>
    <w:p>
      <w:pPr>
        <w:jc w:val="both"/>
        <w:ind w:firstLine="439"/>
        <w:spacing w:after="0" w:line="288"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w:t>
      </w:r>
    </w:p>
    <w:p>
      <w:pPr>
        <w:spacing w:after="0" w:line="153"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7"/>
          <w:szCs w:val="17"/>
          <w:color w:val="auto"/>
        </w:rPr>
        <w:t>Our critical accounting policies and estimates are described in “Management's Discussion and Analysis of Financial Condition and Results of Operations - Critical Accounting Policies and Estimates” in our Annual Report on Form 10-K filed with the SEC on March 1, 2022. There had been no material changes to the descriptions of these accounting policies, judgments and estimates. See Note 2 of Notes to Condensed Consolidated Financial Statements (Unaudited) for related discussions on updates on recently issued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5" w:lineRule="exact"/>
        <w:rPr>
          <w:sz w:val="20"/>
          <w:szCs w:val="20"/>
          <w:color w:val="auto"/>
        </w:rPr>
      </w:pPr>
    </w:p>
    <w:p>
      <w:pPr>
        <w:jc w:val="both"/>
        <w:ind w:firstLine="439"/>
        <w:spacing w:after="0" w:line="296" w:lineRule="auto"/>
        <w:rPr>
          <w:sz w:val="20"/>
          <w:szCs w:val="20"/>
          <w:color w:val="auto"/>
        </w:rPr>
      </w:pPr>
      <w:r>
        <w:rPr>
          <w:rFonts w:ascii="Arial" w:cs="Arial" w:eastAsia="Arial" w:hAnsi="Arial"/>
          <w:sz w:val="17"/>
          <w:szCs w:val="17"/>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See Note 2 of Notes to Condensed Consolidated Financial Statements (Unaudited) for related discussions on updates on recently issued accounting pronouncements not yet effective.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are exposed to market risks, including changes to foreign currency exchange rates and interest rates.</w:t>
      </w:r>
    </w:p>
    <w:p>
      <w:pPr>
        <w:spacing w:after="0" w:line="21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19"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We have foreign currency risks related to our revenue and operating expenses denominated in currencies other than the U.S. dollar, primarily the Euro. Accordingly, changes in exchange rates, and in particular a strengthening of the U.S. dollar, have in the past, and may in the future, negatively affect our revenue and other operating results as expressed in U.S. dollars.</w:t>
      </w:r>
    </w:p>
    <w:p>
      <w:pPr>
        <w:spacing w:after="0" w:line="190"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We have experienced and will continue to experience fluctuations in net loss as a result of transaction gains or losses related to remeasuring certain current asset and current liability balances denominated in currencies other than the functional currency of the entities in which they are recorded. At this time, we have not entered into, but in the future we may enter into, derivatives or other financial instruments in an attempt to hedge our foreign currency exchange risk. It is difficult to predict the effect hedging activities would have on our results of operations. Foreign currency gains or losses, net recognized in the nine months ended September 30, 2022 and 2021 were not material.</w:t>
      </w:r>
    </w:p>
    <w:p>
      <w:pPr>
        <w:spacing w:after="0" w:line="19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9" w:lineRule="exact"/>
        <w:rPr>
          <w:sz w:val="20"/>
          <w:szCs w:val="20"/>
          <w:color w:val="auto"/>
        </w:rPr>
      </w:pPr>
    </w:p>
    <w:p>
      <w:pPr>
        <w:ind w:right="200" w:firstLine="399"/>
        <w:spacing w:after="0" w:line="348" w:lineRule="auto"/>
        <w:rPr>
          <w:sz w:val="20"/>
          <w:szCs w:val="20"/>
          <w:color w:val="auto"/>
        </w:rPr>
      </w:pPr>
      <w:r>
        <w:rPr>
          <w:rFonts w:ascii="Arial" w:cs="Arial" w:eastAsia="Arial" w:hAnsi="Arial"/>
          <w:sz w:val="14"/>
          <w:szCs w:val="14"/>
          <w:color w:val="auto"/>
        </w:rPr>
        <w:t>Our exposure to changes in interest rates relates to interest earned and market value on our cash and cash equivalents and short-term investments. Our cash and cash equivalents and short-term investments consist of cash, money market funds, U.S. government securities, commercial paper and investment grade corporate debt securities. The market value of our marketable securities may decline if current market interest rates rise. Our investment policy and strategy are focused on preservation of capital and supporting our liquidity requirements. We do not make investments for trading or speculative purposes.</w:t>
      </w:r>
    </w:p>
    <w:p>
      <w:pPr>
        <w:spacing w:after="0" w:line="131" w:lineRule="exact"/>
        <w:rPr>
          <w:sz w:val="20"/>
          <w:szCs w:val="20"/>
          <w:color w:val="auto"/>
        </w:rPr>
      </w:pPr>
    </w:p>
    <w:p>
      <w:pPr>
        <w:ind w:right="80" w:firstLine="399"/>
        <w:spacing w:after="0" w:line="256" w:lineRule="auto"/>
        <w:rPr>
          <w:sz w:val="20"/>
          <w:szCs w:val="20"/>
          <w:color w:val="auto"/>
        </w:rPr>
      </w:pPr>
      <w:r>
        <w:rPr>
          <w:rFonts w:ascii="Arial" w:cs="Arial" w:eastAsia="Arial" w:hAnsi="Arial"/>
          <w:sz w:val="18"/>
          <w:szCs w:val="18"/>
          <w:color w:val="auto"/>
        </w:rPr>
        <w:t>Interest rate risk also reflects our exposure to movements in interest rates associated with our long-term debt that bears interest at an annual rate set at the greater of (a) 5.75% and (b) prime rate as published in the Wall Street Journal plus 2.5%. Rising interest rates will increase the amount of interest paid on this debt.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37" w:name="page38"/>
    <w:bookmarkEnd w:id="37"/>
    <w:p>
      <w:pPr>
        <w:ind w:right="300" w:firstLine="399"/>
        <w:spacing w:after="0" w:line="266" w:lineRule="auto"/>
        <w:rPr>
          <w:sz w:val="20"/>
          <w:szCs w:val="20"/>
          <w:color w:val="auto"/>
        </w:rPr>
      </w:pPr>
      <w:r>
        <w:rPr>
          <w:rFonts w:ascii="Arial" w:cs="Arial" w:eastAsia="Arial" w:hAnsi="Arial"/>
          <w:sz w:val="18"/>
          <w:szCs w:val="18"/>
          <w:color w:val="auto"/>
        </w:rPr>
        <w:t>A hypothetical 100 basis point increase in interest rates would decrease the fair market value of our investment portfolio by $0.3 million for the nine months ended September 30, 2022. Such losses would only be realized if we sold the investments prior to maturity.</w:t>
      </w:r>
    </w:p>
    <w:p>
      <w:pPr>
        <w:spacing w:after="0" w:line="180" w:lineRule="exact"/>
        <w:rPr>
          <w:sz w:val="20"/>
          <w:szCs w:val="20"/>
          <w:color w:val="auto"/>
        </w:rPr>
      </w:pPr>
    </w:p>
    <w:p>
      <w:pPr>
        <w:ind w:right="100" w:firstLine="399"/>
        <w:spacing w:after="0" w:line="266" w:lineRule="auto"/>
        <w:rPr>
          <w:sz w:val="20"/>
          <w:szCs w:val="20"/>
          <w:color w:val="auto"/>
        </w:rPr>
      </w:pPr>
      <w:r>
        <w:rPr>
          <w:rFonts w:ascii="Arial" w:cs="Arial" w:eastAsia="Arial" w:hAnsi="Arial"/>
          <w:sz w:val="18"/>
          <w:szCs w:val="18"/>
          <w:color w:val="auto"/>
        </w:rPr>
        <w:t>A hypothetical 100 basis point increase in interest rates would increase the interest owed on our debt by $0.3 million for the nine months ended months ended September 30,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32" w:lineRule="exact"/>
        <w:rPr>
          <w:sz w:val="20"/>
          <w:szCs w:val="20"/>
          <w:color w:val="auto"/>
        </w:rPr>
      </w:pPr>
    </w:p>
    <w:p>
      <w:pPr>
        <w:jc w:val="both"/>
        <w:ind w:firstLine="399"/>
        <w:spacing w:after="0" w:line="27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and Exchange Act of 1934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w:t>
      </w:r>
    </w:p>
    <w:p>
      <w:pPr>
        <w:spacing w:after="0" w:line="186" w:lineRule="exact"/>
        <w:rPr>
          <w:sz w:val="20"/>
          <w:szCs w:val="20"/>
          <w:color w:val="auto"/>
        </w:rPr>
      </w:pPr>
    </w:p>
    <w:p>
      <w:pPr>
        <w:jc w:val="both"/>
        <w:ind w:firstLine="399"/>
        <w:spacing w:after="0" w:line="289"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76" w:lineRule="exact"/>
        <w:rPr>
          <w:sz w:val="20"/>
          <w:szCs w:val="20"/>
          <w:color w:val="auto"/>
        </w:rPr>
      </w:pPr>
    </w:p>
    <w:p>
      <w:pPr>
        <w:jc w:val="both"/>
        <w:ind w:firstLine="479"/>
        <w:spacing w:after="0" w:line="216" w:lineRule="exact"/>
        <w:rPr>
          <w:sz w:val="20"/>
          <w:szCs w:val="20"/>
          <w:color w:val="auto"/>
        </w:rPr>
      </w:pPr>
      <w:r>
        <w:rPr>
          <w:rFonts w:ascii="Arial" w:cs="Arial" w:eastAsia="Arial" w:hAnsi="Arial"/>
          <w:sz w:val="18"/>
          <w:szCs w:val="18"/>
          <w:color w:val="auto"/>
        </w:rPr>
        <w:t>As of September 30, 2022, our management, with the participation of our Chief Executive Officer (“CEO”) and our Chief Financial Officer (“CFO”), have evaluated our disclosure controls and procedures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under the Securities Exchange Act of 1934). Based on that evaluation, our CEO and our CFO have concluded that, as of September 30, 2022, our disclosure controls and procedures were effective at the reasonable assurance level.</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19" w:lineRule="exact"/>
        <w:rPr>
          <w:sz w:val="20"/>
          <w:szCs w:val="20"/>
          <w:color w:val="auto"/>
        </w:rPr>
      </w:pPr>
    </w:p>
    <w:p>
      <w:pPr>
        <w:jc w:val="both"/>
        <w:ind w:firstLine="479"/>
        <w:spacing w:after="0" w:line="266" w:lineRule="auto"/>
        <w:rPr>
          <w:sz w:val="20"/>
          <w:szCs w:val="20"/>
          <w:color w:val="auto"/>
        </w:rPr>
      </w:pPr>
      <w:r>
        <w:rPr>
          <w:rFonts w:ascii="Arial" w:cs="Arial" w:eastAsia="Arial" w:hAnsi="Arial"/>
          <w:sz w:val="18"/>
          <w:szCs w:val="18"/>
          <w:color w:val="auto"/>
        </w:rPr>
        <w:t>During the quarter ended September 30, 2022, there were no changes in our internal controls over financial reporting that have materially affected, or are reasonably likely to materially affect, our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jc w:val="both"/>
        <w:ind w:firstLine="479"/>
        <w:spacing w:after="0" w:line="253" w:lineRule="auto"/>
        <w:rPr>
          <w:sz w:val="20"/>
          <w:szCs w:val="20"/>
          <w:color w:val="auto"/>
        </w:rPr>
      </w:pPr>
      <w:r>
        <w:rPr>
          <w:rFonts w:ascii="Arial" w:cs="Arial" w:eastAsia="Arial" w:hAnsi="Arial"/>
          <w:sz w:val="18"/>
          <w:szCs w:val="18"/>
          <w:color w:val="auto"/>
        </w:rPr>
        <w:t>We are involved in various claims, complaints, investigations and legal actions that arise from time to time in the normal course of business, including commercial and employment matters. There are no matters pending that we currently believe are material. There can be no assurance that existing or future legal proceedings arising in the ordinary course of business or otherwise will not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jc w:val="both"/>
        <w:ind w:firstLine="439"/>
        <w:spacing w:after="0" w:line="277" w:lineRule="auto"/>
        <w:rPr>
          <w:sz w:val="20"/>
          <w:szCs w:val="20"/>
          <w:color w:val="auto"/>
        </w:rPr>
      </w:pPr>
      <w:r>
        <w:rPr>
          <w:rFonts w:ascii="Arial" w:cs="Arial" w:eastAsia="Arial" w:hAnsi="Arial"/>
          <w:sz w:val="16"/>
          <w:szCs w:val="16"/>
          <w:i w:val="1"/>
          <w:iCs w:val="1"/>
          <w:color w:val="auto"/>
        </w:rPr>
        <w:t>Investing in our common stock involves a high degree of risk. Investors should carefully consider the risks described below, as well as the other information in this Quarterly Report on Form 10-Q, including our condensed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25" w:lineRule="exact"/>
        <w:rPr>
          <w:sz w:val="20"/>
          <w:szCs w:val="20"/>
          <w:color w:val="auto"/>
        </w:rPr>
      </w:pPr>
    </w:p>
    <w:p>
      <w:pPr>
        <w:ind w:left="640" w:hanging="314"/>
        <w:spacing w:after="0" w:line="251" w:lineRule="auto"/>
        <w:tabs>
          <w:tab w:leader="none" w:pos="635"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spacing w:after="0" w:line="179" w:lineRule="exact"/>
        <w:rPr>
          <w:rFonts w:ascii="Arial" w:cs="Arial" w:eastAsia="Arial" w:hAnsi="Arial"/>
          <w:sz w:val="18"/>
          <w:szCs w:val="18"/>
          <w:b w:val="1"/>
          <w:bCs w:val="1"/>
          <w:i w:val="1"/>
          <w:iCs w:val="1"/>
          <w:color w:val="auto"/>
        </w:rPr>
      </w:pPr>
    </w:p>
    <w:p>
      <w:pPr>
        <w:ind w:left="640" w:hanging="314"/>
        <w:spacing w:after="0" w:line="266" w:lineRule="auto"/>
        <w:tabs>
          <w:tab w:leader="none" w:pos="635"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Epidemic diseases, or the perception of their effects, may have (or, in the case of the COVID-19 pandemic, will continue to have during its duration) an adverse effect on our business, financial condition, results of operations, or cash flows;</w:t>
      </w:r>
    </w:p>
    <w:p>
      <w:pPr>
        <w:spacing w:after="0" w:line="153" w:lineRule="exact"/>
        <w:rPr>
          <w:rFonts w:ascii="Arial" w:cs="Arial" w:eastAsia="Arial" w:hAnsi="Arial"/>
          <w:sz w:val="18"/>
          <w:szCs w:val="18"/>
          <w:b w:val="1"/>
          <w:bCs w:val="1"/>
          <w:i w:val="1"/>
          <w:iCs w:val="1"/>
          <w:color w:val="auto"/>
        </w:rPr>
      </w:pPr>
    </w:p>
    <w:p>
      <w:pPr>
        <w:ind w:left="640" w:hanging="314"/>
        <w:spacing w:after="0"/>
        <w:tabs>
          <w:tab w:leader="none" w:pos="640" w:val="left"/>
        </w:tabs>
        <w:numPr>
          <w:ilvl w:val="0"/>
          <w:numId w:val="11"/>
        </w:numPr>
        <w:rPr>
          <w:rFonts w:ascii="Arial" w:cs="Arial" w:eastAsia="Arial" w:hAnsi="Arial"/>
          <w:sz w:val="16"/>
          <w:szCs w:val="16"/>
          <w:b w:val="1"/>
          <w:bCs w:val="1"/>
          <w:i w:val="1"/>
          <w:iCs w:val="1"/>
          <w:color w:val="auto"/>
        </w:rPr>
      </w:pPr>
      <w:r>
        <w:rPr>
          <w:rFonts w:ascii="Arial" w:cs="Arial" w:eastAsia="Arial" w:hAnsi="Arial"/>
          <w:sz w:val="16"/>
          <w:szCs w:val="16"/>
          <w:color w:val="auto"/>
        </w:rPr>
        <w:t>Prolonged inflation and supply chain disruptions could result in delayed product launches, lost revenue, higher costs and decreased profit margins;</w:t>
      </w:r>
    </w:p>
    <w:p>
      <w:pPr>
        <w:spacing w:after="0" w:line="241" w:lineRule="exact"/>
        <w:rPr>
          <w:rFonts w:ascii="Arial" w:cs="Arial" w:eastAsia="Arial" w:hAnsi="Arial"/>
          <w:sz w:val="16"/>
          <w:szCs w:val="16"/>
          <w:b w:val="1"/>
          <w:bCs w:val="1"/>
          <w:i w:val="1"/>
          <w:iCs w:val="1"/>
          <w:color w:val="auto"/>
        </w:rPr>
      </w:pPr>
    </w:p>
    <w:p>
      <w:pPr>
        <w:ind w:left="640" w:hanging="314"/>
        <w:spacing w:after="0" w:line="251" w:lineRule="auto"/>
        <w:tabs>
          <w:tab w:leader="none" w:pos="635"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Disruptions in the supply of the materials and components used in manufacturing our products or the sterilization of our products by third-party suppliers could adversely affect our business, financial condition and results of operations;</w:t>
      </w:r>
    </w:p>
    <w:p>
      <w:pPr>
        <w:spacing w:after="0" w:line="192" w:lineRule="exact"/>
        <w:rPr>
          <w:rFonts w:ascii="Arial" w:cs="Arial" w:eastAsia="Arial" w:hAnsi="Arial"/>
          <w:sz w:val="18"/>
          <w:szCs w:val="18"/>
          <w:b w:val="1"/>
          <w:bCs w:val="1"/>
          <w:i w:val="1"/>
          <w:iCs w:val="1"/>
          <w:color w:val="auto"/>
        </w:rPr>
      </w:pPr>
    </w:p>
    <w:p>
      <w:pPr>
        <w:jc w:val="both"/>
        <w:ind w:left="640" w:hanging="314"/>
        <w:spacing w:after="0" w:line="241" w:lineRule="auto"/>
        <w:tabs>
          <w:tab w:leader="none" w:pos="635"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If hospitals, surgeons,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spacing w:after="0" w:line="228" w:lineRule="exact"/>
        <w:rPr>
          <w:rFonts w:ascii="Arial" w:cs="Arial" w:eastAsia="Arial" w:hAnsi="Arial"/>
          <w:sz w:val="18"/>
          <w:szCs w:val="18"/>
          <w:b w:val="1"/>
          <w:bCs w:val="1"/>
          <w:i w:val="1"/>
          <w:iCs w:val="1"/>
          <w:color w:val="auto"/>
        </w:rPr>
      </w:pPr>
    </w:p>
    <w:p>
      <w:pPr>
        <w:ind w:left="640" w:hanging="314"/>
        <w:spacing w:after="0" w:line="254" w:lineRule="auto"/>
        <w:tabs>
          <w:tab w:leader="none" w:pos="635" w:val="left"/>
        </w:tabs>
        <w:numPr>
          <w:ilvl w:val="0"/>
          <w:numId w:val="11"/>
        </w:numPr>
        <w:rPr>
          <w:rFonts w:ascii="Arial" w:cs="Arial" w:eastAsia="Arial" w:hAnsi="Arial"/>
          <w:sz w:val="20"/>
          <w:szCs w:val="20"/>
          <w:color w:val="auto"/>
        </w:rPr>
      </w:pPr>
      <w:r>
        <w:rPr>
          <w:rFonts w:ascii="Arial" w:cs="Arial" w:eastAsia="Arial" w:hAnsi="Arial"/>
          <w:sz w:val="17"/>
          <w:szCs w:val="17"/>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175" w:lineRule="exact"/>
        <w:rPr>
          <w:rFonts w:ascii="Arial" w:cs="Arial" w:eastAsia="Arial" w:hAnsi="Arial"/>
          <w:sz w:val="20"/>
          <w:szCs w:val="20"/>
          <w:color w:val="auto"/>
        </w:rPr>
      </w:pPr>
    </w:p>
    <w:p>
      <w:pPr>
        <w:ind w:left="640" w:hanging="314"/>
        <w:spacing w:after="0" w:line="266"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166" w:lineRule="exact"/>
        <w:rPr>
          <w:rFonts w:ascii="Arial" w:cs="Arial" w:eastAsia="Arial" w:hAnsi="Arial"/>
          <w:sz w:val="18"/>
          <w:szCs w:val="18"/>
          <w:color w:val="auto"/>
        </w:rPr>
      </w:pPr>
    </w:p>
    <w:p>
      <w:pPr>
        <w:ind w:left="640" w:right="20" w:hanging="314"/>
        <w:spacing w:after="0" w:line="251" w:lineRule="auto"/>
        <w:tabs>
          <w:tab w:leader="none" w:pos="635"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Surgeons and payors may not find our clinical evidence to be compelling, which could limit our sales and revenue, and on-going and future research may prove our products to be less safe and effective than currently thought;</w:t>
      </w:r>
    </w:p>
    <w:p>
      <w:pPr>
        <w:spacing w:after="0" w:line="219" w:lineRule="exact"/>
        <w:rPr>
          <w:rFonts w:ascii="Arial" w:cs="Arial" w:eastAsia="Arial" w:hAnsi="Arial"/>
          <w:sz w:val="18"/>
          <w:szCs w:val="18"/>
          <w:b w:val="1"/>
          <w:bCs w:val="1"/>
          <w:i w:val="1"/>
          <w:iCs w:val="1"/>
          <w:color w:val="auto"/>
        </w:rPr>
      </w:pPr>
    </w:p>
    <w:p>
      <w:pPr>
        <w:jc w:val="both"/>
        <w:ind w:left="640" w:hanging="314"/>
        <w:spacing w:after="0" w:line="233" w:lineRule="auto"/>
        <w:tabs>
          <w:tab w:leader="none" w:pos="635" w:val="left"/>
        </w:tabs>
        <w:numPr>
          <w:ilvl w:val="0"/>
          <w:numId w:val="11"/>
        </w:numPr>
        <w:rPr>
          <w:rFonts w:ascii="Arial" w:cs="Arial" w:eastAsia="Arial" w:hAnsi="Arial"/>
          <w:sz w:val="21"/>
          <w:szCs w:val="21"/>
          <w:color w:val="auto"/>
        </w:rPr>
      </w:pPr>
      <w:r>
        <w:rPr>
          <w:rFonts w:ascii="Arial" w:cs="Arial" w:eastAsia="Arial" w:hAnsi="Arial"/>
          <w:sz w:val="18"/>
          <w:szCs w:val="18"/>
          <w:color w:val="auto"/>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p>
    <w:p>
      <w:pPr>
        <w:spacing w:after="0" w:line="228" w:lineRule="exact"/>
        <w:rPr>
          <w:rFonts w:ascii="Arial" w:cs="Arial" w:eastAsia="Arial" w:hAnsi="Arial"/>
          <w:sz w:val="21"/>
          <w:szCs w:val="21"/>
          <w:color w:val="auto"/>
        </w:rPr>
      </w:pPr>
    </w:p>
    <w:p>
      <w:pPr>
        <w:ind w:left="640" w:right="20" w:hanging="314"/>
        <w:spacing w:after="0" w:line="233" w:lineRule="auto"/>
        <w:tabs>
          <w:tab w:leader="none" w:pos="635" w:val="left"/>
        </w:tabs>
        <w:numPr>
          <w:ilvl w:val="0"/>
          <w:numId w:val="11"/>
        </w:numPr>
        <w:rPr>
          <w:rFonts w:ascii="Arial" w:cs="Arial" w:eastAsia="Arial" w:hAnsi="Arial"/>
          <w:sz w:val="21"/>
          <w:szCs w:val="21"/>
          <w:color w:val="auto"/>
        </w:rPr>
      </w:pPr>
      <w:r>
        <w:rPr>
          <w:rFonts w:ascii="Arial" w:cs="Arial" w:eastAsia="Arial" w:hAnsi="Arial"/>
          <w:sz w:val="18"/>
          <w:szCs w:val="18"/>
          <w:color w:val="auto"/>
        </w:rPr>
        <w:t>Practice trends or other factors, including the COVID-19 pandemic, may cause procedures to shift from the hospital environment to ambulatory surgical centers, or ASCs, where pressure on the prices of our products is generally more acute;</w:t>
      </w:r>
    </w:p>
    <w:p>
      <w:pPr>
        <w:spacing w:after="0" w:line="190" w:lineRule="exact"/>
        <w:rPr>
          <w:rFonts w:ascii="Arial" w:cs="Arial" w:eastAsia="Arial" w:hAnsi="Arial"/>
          <w:sz w:val="21"/>
          <w:szCs w:val="21"/>
          <w:color w:val="auto"/>
        </w:rPr>
      </w:pPr>
    </w:p>
    <w:p>
      <w:pPr>
        <w:ind w:left="640" w:hanging="314"/>
        <w:spacing w:after="0" w:line="266"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operate in a very competitive business environment and if we are unable to compete successfully against our existing or potential competitors, our sales and operating results may be adversely affected;</w:t>
      </w:r>
    </w:p>
    <w:p>
      <w:pPr>
        <w:spacing w:after="0" w:line="193" w:lineRule="exact"/>
        <w:rPr>
          <w:rFonts w:ascii="Arial" w:cs="Arial" w:eastAsia="Arial" w:hAnsi="Arial"/>
          <w:sz w:val="18"/>
          <w:szCs w:val="18"/>
          <w:color w:val="auto"/>
        </w:rPr>
      </w:pPr>
    </w:p>
    <w:p>
      <w:pPr>
        <w:jc w:val="both"/>
        <w:ind w:left="640" w:hanging="314"/>
        <w:spacing w:after="0" w:line="238" w:lineRule="auto"/>
        <w:tabs>
          <w:tab w:leader="none" w:pos="635" w:val="left"/>
        </w:tabs>
        <w:numPr>
          <w:ilvl w:val="0"/>
          <w:numId w:val="11"/>
        </w:numPr>
        <w:rPr>
          <w:rFonts w:ascii="Arial" w:cs="Arial" w:eastAsia="Arial" w:hAnsi="Arial"/>
          <w:sz w:val="21"/>
          <w:szCs w:val="21"/>
          <w:color w:val="auto"/>
        </w:rPr>
      </w:pPr>
      <w:r>
        <w:rPr>
          <w:rFonts w:ascii="Arial" w:cs="Arial" w:eastAsia="Arial" w:hAnsi="Arial"/>
          <w:sz w:val="18"/>
          <w:szCs w:val="18"/>
          <w:color w:val="auto"/>
        </w:rPr>
        <w:t>We are highly dependent on revenue from the sale of a single family of products focused on procedures, the goal of which is to stabilize and fuse the sacroiliac joint. Reliance on a single family of products and single family of procedures could negatively affect our results of operations and financial condition;</w:t>
      </w:r>
    </w:p>
    <w:p>
      <w:pPr>
        <w:spacing w:after="0" w:line="215" w:lineRule="exact"/>
        <w:rPr>
          <w:rFonts w:ascii="Arial" w:cs="Arial" w:eastAsia="Arial" w:hAnsi="Arial"/>
          <w:sz w:val="21"/>
          <w:szCs w:val="21"/>
          <w:color w:val="auto"/>
        </w:rPr>
      </w:pPr>
    </w:p>
    <w:p>
      <w:pPr>
        <w:jc w:val="both"/>
        <w:ind w:left="640" w:hanging="314"/>
        <w:spacing w:after="0" w:line="238" w:lineRule="auto"/>
        <w:tabs>
          <w:tab w:leader="none" w:pos="635" w:val="left"/>
        </w:tabs>
        <w:numPr>
          <w:ilvl w:val="0"/>
          <w:numId w:val="11"/>
        </w:numPr>
        <w:rPr>
          <w:rFonts w:ascii="Arial" w:cs="Arial" w:eastAsia="Arial" w:hAnsi="Arial"/>
          <w:sz w:val="21"/>
          <w:szCs w:val="21"/>
          <w:color w:val="auto"/>
        </w:rPr>
      </w:pPr>
      <w:r>
        <w:rPr>
          <w:rFonts w:ascii="Arial" w:cs="Arial" w:eastAsia="Arial" w:hAnsi="Arial"/>
          <w:sz w:val="18"/>
          <w:szCs w:val="18"/>
          <w:color w:val="auto"/>
        </w:rPr>
        <w:t>If clinical experience with our iFuse Bedrock technique or iFuse Bedrock Granite does not result in positive outcomes for patients, or if clinical trials involving the use of iFuse Bedrock and/or iFuse Bedrock Granite fail to show meaningful patient benefit, sales of our iFuse and/or iFuse Bedrock Granite implants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39" w:name="page40"/>
    <w:bookmarkEnd w:id="39"/>
    <w:p>
      <w:pPr>
        <w:ind w:left="640" w:hanging="314"/>
        <w:spacing w:after="0"/>
        <w:tabs>
          <w:tab w:leader="none" w:pos="640" w:val="left"/>
        </w:tabs>
        <w:numPr>
          <w:ilvl w:val="0"/>
          <w:numId w:val="12"/>
        </w:numPr>
        <w:rPr>
          <w:rFonts w:ascii="Arial" w:cs="Arial" w:eastAsia="Arial" w:hAnsi="Arial"/>
          <w:sz w:val="16"/>
          <w:szCs w:val="16"/>
          <w:b w:val="1"/>
          <w:bCs w:val="1"/>
          <w:i w:val="1"/>
          <w:iCs w:val="1"/>
          <w:color w:val="auto"/>
        </w:rPr>
      </w:pPr>
      <w:r>
        <w:rPr>
          <w:rFonts w:ascii="Arial" w:cs="Arial" w:eastAsia="Arial" w:hAnsi="Arial"/>
          <w:sz w:val="16"/>
          <w:szCs w:val="16"/>
          <w:color w:val="auto"/>
        </w:rPr>
        <w:t>If we are unable to maintain our network of direct sales representatives and third-party distributors, we may not be able to generate anticipated sales;</w:t>
      </w:r>
    </w:p>
    <w:p>
      <w:pPr>
        <w:spacing w:after="0" w:line="228" w:lineRule="exact"/>
        <w:rPr>
          <w:rFonts w:ascii="Arial" w:cs="Arial" w:eastAsia="Arial" w:hAnsi="Arial"/>
          <w:sz w:val="16"/>
          <w:szCs w:val="16"/>
          <w:b w:val="1"/>
          <w:bCs w:val="1"/>
          <w:i w:val="1"/>
          <w:iCs w:val="1"/>
          <w:color w:val="auto"/>
        </w:rPr>
      </w:pPr>
    </w:p>
    <w:p>
      <w:pPr>
        <w:ind w:left="640" w:hanging="314"/>
        <w:spacing w:after="0"/>
        <w:tabs>
          <w:tab w:leader="none" w:pos="64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color w:val="auto"/>
        </w:rPr>
        <w:t>Our business could suffer if we lose the services of key members of our senior management, key advisors or personnel;</w:t>
      </w:r>
    </w:p>
    <w:p>
      <w:pPr>
        <w:spacing w:after="0" w:line="218" w:lineRule="exact"/>
        <w:rPr>
          <w:rFonts w:ascii="Arial" w:cs="Arial" w:eastAsia="Arial" w:hAnsi="Arial"/>
          <w:sz w:val="18"/>
          <w:szCs w:val="18"/>
          <w:b w:val="1"/>
          <w:bCs w:val="1"/>
          <w:i w:val="1"/>
          <w:iCs w:val="1"/>
          <w:color w:val="auto"/>
        </w:rPr>
      </w:pPr>
    </w:p>
    <w:p>
      <w:pPr>
        <w:ind w:left="640" w:hanging="314"/>
        <w:spacing w:after="0" w:line="251" w:lineRule="auto"/>
        <w:tabs>
          <w:tab w:leader="none" w:pos="635"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color w:val="auto"/>
        </w:rPr>
        <w:t>If use of our products results in adverse events, this may require them to be taken off the market, require them to include safety warnings or otherwise limit their sales;</w:t>
      </w:r>
    </w:p>
    <w:p>
      <w:pPr>
        <w:spacing w:after="0" w:line="179" w:lineRule="exact"/>
        <w:rPr>
          <w:rFonts w:ascii="Arial" w:cs="Arial" w:eastAsia="Arial" w:hAnsi="Arial"/>
          <w:sz w:val="18"/>
          <w:szCs w:val="18"/>
          <w:b w:val="1"/>
          <w:bCs w:val="1"/>
          <w:i w:val="1"/>
          <w:iCs w:val="1"/>
          <w:color w:val="auto"/>
        </w:rPr>
      </w:pPr>
    </w:p>
    <w:p>
      <w:pPr>
        <w:ind w:left="640" w:hanging="314"/>
        <w:spacing w:after="0"/>
        <w:tabs>
          <w:tab w:leader="none" w:pos="64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color w:val="auto"/>
        </w:rPr>
        <w:t>Various factors outside our direct control may adversely affect manufacturing, sterilization, and distribution of our products;</w:t>
      </w:r>
    </w:p>
    <w:p>
      <w:pPr>
        <w:spacing w:after="0" w:line="218" w:lineRule="exact"/>
        <w:rPr>
          <w:rFonts w:ascii="Arial" w:cs="Arial" w:eastAsia="Arial" w:hAnsi="Arial"/>
          <w:sz w:val="18"/>
          <w:szCs w:val="18"/>
          <w:b w:val="1"/>
          <w:bCs w:val="1"/>
          <w:i w:val="1"/>
          <w:iCs w:val="1"/>
          <w:color w:val="auto"/>
        </w:rPr>
      </w:pPr>
    </w:p>
    <w:p>
      <w:pPr>
        <w:jc w:val="both"/>
        <w:ind w:left="640" w:hanging="314"/>
        <w:spacing w:after="0" w:line="241" w:lineRule="auto"/>
        <w:tabs>
          <w:tab w:leader="none" w:pos="635"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201" w:lineRule="exact"/>
        <w:rPr>
          <w:rFonts w:ascii="Arial" w:cs="Arial" w:eastAsia="Arial" w:hAnsi="Arial"/>
          <w:sz w:val="18"/>
          <w:szCs w:val="18"/>
          <w:b w:val="1"/>
          <w:bCs w:val="1"/>
          <w:i w:val="1"/>
          <w:iCs w:val="1"/>
          <w:color w:val="auto"/>
        </w:rPr>
      </w:pPr>
    </w:p>
    <w:p>
      <w:pPr>
        <w:ind w:left="640" w:hanging="314"/>
        <w:spacing w:after="0" w:line="251" w:lineRule="auto"/>
        <w:tabs>
          <w:tab w:leader="none" w:pos="635"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color w:val="auto"/>
        </w:rPr>
        <w:t>We, our suppliers, and our third-party manufacturers are subject to extensive governmental regulation both in the U.S. and abroad, and failure to comply with applicable requirements could cause our business to suffer;</w:t>
      </w:r>
    </w:p>
    <w:p>
      <w:pPr>
        <w:spacing w:after="0" w:line="206" w:lineRule="exact"/>
        <w:rPr>
          <w:rFonts w:ascii="Arial" w:cs="Arial" w:eastAsia="Arial" w:hAnsi="Arial"/>
          <w:sz w:val="18"/>
          <w:szCs w:val="18"/>
          <w:b w:val="1"/>
          <w:bCs w:val="1"/>
          <w:i w:val="1"/>
          <w:iCs w:val="1"/>
          <w:color w:val="auto"/>
        </w:rPr>
      </w:pPr>
    </w:p>
    <w:p>
      <w:pPr>
        <w:jc w:val="both"/>
        <w:ind w:left="640" w:hanging="314"/>
        <w:spacing w:after="0" w:line="238" w:lineRule="auto"/>
        <w:tabs>
          <w:tab w:leader="none" w:pos="635" w:val="left"/>
        </w:tabs>
        <w:numPr>
          <w:ilvl w:val="0"/>
          <w:numId w:val="12"/>
        </w:numPr>
        <w:rPr>
          <w:rFonts w:ascii="Arial" w:cs="Arial" w:eastAsia="Arial" w:hAnsi="Arial"/>
          <w:sz w:val="21"/>
          <w:szCs w:val="21"/>
          <w:color w:val="auto"/>
        </w:rPr>
      </w:pPr>
      <w:r>
        <w:rPr>
          <w:rFonts w:ascii="Arial" w:cs="Arial" w:eastAsia="Arial" w:hAnsi="Arial"/>
          <w:sz w:val="18"/>
          <w:szCs w:val="18"/>
          <w:color w:val="auto"/>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spacing w:after="0" w:line="188" w:lineRule="exact"/>
        <w:rPr>
          <w:rFonts w:ascii="Arial" w:cs="Arial" w:eastAsia="Arial" w:hAnsi="Arial"/>
          <w:sz w:val="21"/>
          <w:szCs w:val="21"/>
          <w:color w:val="auto"/>
        </w:rPr>
      </w:pPr>
    </w:p>
    <w:p>
      <w:pPr>
        <w:ind w:left="640" w:hanging="314"/>
        <w:spacing w:after="0" w:line="266"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1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167" w:lineRule="exact"/>
        <w:rPr>
          <w:sz w:val="20"/>
          <w:szCs w:val="20"/>
          <w:color w:val="auto"/>
        </w:rPr>
      </w:pPr>
    </w:p>
    <w:p>
      <w:pPr>
        <w:jc w:val="both"/>
        <w:ind w:firstLine="439"/>
        <w:spacing w:after="0" w:line="254" w:lineRule="auto"/>
        <w:rPr>
          <w:sz w:val="20"/>
          <w:szCs w:val="20"/>
          <w:color w:val="auto"/>
        </w:rPr>
      </w:pPr>
      <w:r>
        <w:rPr>
          <w:rFonts w:ascii="Arial" w:cs="Arial" w:eastAsia="Arial" w:hAnsi="Arial"/>
          <w:sz w:val="17"/>
          <w:szCs w:val="17"/>
          <w:color w:val="auto"/>
        </w:rPr>
        <w:t>We have incurred net losses since our inception in 2008. For the nine months ended September 30, 2022, we had a net loss of $50.1 million. For the years ended December 31, 2021 and 2020, we had net losses of $56.6 million and $43.7 million, respectively. As of September 30, 2022, we had an accumulated deficit of $345.9 million. We have financed our operations primarily through the net proceeds of our public offerings of our common stock,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and even if we are able to do so, our ability to do so has been delayed by the COVID-19 pandemic. We expect that our operating expenses will continue to increase as we continue to build our commercial infrastructure, develop, enhance, and commercialize our existing and new products.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167" w:lineRule="exact"/>
        <w:rPr>
          <w:sz w:val="20"/>
          <w:szCs w:val="20"/>
          <w:color w:val="auto"/>
        </w:rPr>
      </w:pPr>
    </w:p>
    <w:p>
      <w:pPr>
        <w:jc w:val="both"/>
        <w:ind w:firstLine="479"/>
        <w:spacing w:after="0" w:line="246" w:lineRule="auto"/>
        <w:rPr>
          <w:sz w:val="20"/>
          <w:szCs w:val="20"/>
          <w:color w:val="auto"/>
        </w:rPr>
      </w:pPr>
      <w:r>
        <w:rPr>
          <w:rFonts w:ascii="Arial" w:cs="Arial" w:eastAsia="Arial" w:hAnsi="Arial"/>
          <w:sz w:val="17"/>
          <w:szCs w:val="17"/>
          <w:color w:val="auto"/>
        </w:rPr>
        <w:t>Our expected future capital requirements may depend on many factors including expanding our surgeon base, the expansion of our sales force, investment in implants and instruments, and the timing and extent of spending on the development of our technology to increase our product offerings, and potential investment in additional product and service offerings through the acquisition of other businesses. We may need additional funding for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 at all. The capital markets have deteriorated substantially since the beginning of 2022, especially with respect to securities issued by companies in the medical device and technology sectors. Equity and debt capital have become substantially more expensive and difficult to raise on attractive terms.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40" w:name="page41"/>
    <w:bookmarkEnd w:id="40"/>
    <w:p>
      <w:pPr>
        <w:jc w:val="both"/>
        <w:ind w:right="20" w:firstLine="399"/>
        <w:spacing w:after="0" w:line="251" w:lineRule="auto"/>
        <w:rPr>
          <w:sz w:val="20"/>
          <w:szCs w:val="20"/>
          <w:color w:val="auto"/>
        </w:rPr>
      </w:pPr>
      <w:r>
        <w:rPr>
          <w:rFonts w:ascii="Arial" w:cs="Arial" w:eastAsia="Arial" w:hAnsi="Arial"/>
          <w:sz w:val="18"/>
          <w:szCs w:val="18"/>
          <w:b w:val="1"/>
          <w:bCs w:val="1"/>
          <w:i w:val="1"/>
          <w:iCs w:val="1"/>
          <w:color w:val="auto"/>
        </w:rPr>
        <w:t>Epidemic diseases, or the perception of their effects, may have (or, in the case of the COVID-19 pandemic, will continue to have during its duration) an adverse effect on our business, financial condition, results of operations, or cash flows.</w:t>
      </w:r>
    </w:p>
    <w:p>
      <w:pPr>
        <w:spacing w:after="0" w:line="193" w:lineRule="exact"/>
        <w:rPr>
          <w:sz w:val="20"/>
          <w:szCs w:val="20"/>
          <w:color w:val="auto"/>
        </w:rPr>
      </w:pPr>
    </w:p>
    <w:p>
      <w:pPr>
        <w:jc w:val="both"/>
        <w:ind w:firstLine="439"/>
        <w:spacing w:after="0" w:line="252" w:lineRule="auto"/>
        <w:rPr>
          <w:sz w:val="20"/>
          <w:szCs w:val="20"/>
          <w:color w:val="auto"/>
        </w:rPr>
      </w:pPr>
      <w:r>
        <w:rPr>
          <w:rFonts w:ascii="Arial" w:cs="Arial" w:eastAsia="Arial" w:hAnsi="Arial"/>
          <w:sz w:val="17"/>
          <w:szCs w:val="17"/>
          <w:color w:val="auto"/>
        </w:rPr>
        <w:t>Outbreaks of infectious diseases, such as COVID-19, and historically, the Ebola virus, Middle East Respiratory Syndrome, Severe Acute Respiratory Syndrome, or the H1N1 influenza virus, could divert medical resources and priorities towards the treatment of that disease. An outbreak of an infectious disease, or continued escalation of the COVID-19 pandemic could also negatively affect hospital admission rates and the decision by patients to undergo elective surgery, which could decrease demand for procedures using our implants and cause other disruptions to our business. Business disruptions could include disruptions or restrictions on our ability to travel or to distribute our products, government orders suspending the performance of elective surgical procedures, inability of our customers to meet their financial commitments due to strain on the healthcare system, as well as temporary closures of our facilities or the facilities of our suppliers and their contract manufacturers, and a reduction in the business hours of hospitals and ambulatory surgery centers. Any disruption of our suppliers and their contract manufacturers or our customers would likely impact our sales and operating results. In addition, a significant outbreak of an infectious disease in the human population could result in a widespread health crisis that could adversely affect the economies and financial markets of many countries, resulting in an economic downturn that could affect demand for our products. Any of these events could negatively impact the number of procedures using our implants that are performed and have a material adverse effect on our business, financial condition, results of operations, or cash flows.</w:t>
      </w:r>
    </w:p>
    <w:p>
      <w:pPr>
        <w:spacing w:after="0" w:line="226"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7"/>
          <w:szCs w:val="17"/>
          <w:color w:val="auto"/>
        </w:rPr>
        <w:t>To date, COVID-19 has had, and we expect will continue to have, an adverse impact on our operations as a result of preventive and precautionary measures that we, other businesses, health systems and governments are taking. Due to these measures, we have experienced and expect to continue to experience significant and unpredictable reductions in the demand for our products, negative impact on hospital admission rates and delay in the decision by patients to undergo elective surgery, each of which has decreased and may continue to impact the demand for procedures using our implants. There are numerous uncertainties associated with the COVID-19 pandemic, including the number of individuals who will become infected, the effectiveness of vaccines or one or more therapies that mitigate the effect of the virus, the availability of vaccines and the vaccination rates in the U.S. and worldwide, the emergence of variants of the COVID-19 virus such as the delta and omicron variants, the extent of the protective and preventative measures that have been put in place by both governmental entities and other businesses and those that may be put in place in the future, the effect that testing for COVID-19 and antibodies will enable relaxation of protective measures for a subset of the population, and numerous other uncertainties. We intend to continue to execute on our strategic plans and operational initiatives during the COVID-19 pandemic. However, these uncertainties may result in delays or modifications to these plans and initiatives.</w:t>
      </w:r>
    </w:p>
    <w:p>
      <w:pPr>
        <w:spacing w:after="0" w:line="209"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Travel restrictions, and the risk that countries may continue to close borders, impose prolonged quarantines, and further restrict travel, limit our ability to reach surgeons with our goal of increasing surgeon activity by providing education and support.</w:t>
      </w:r>
    </w:p>
    <w:p>
      <w:pPr>
        <w:spacing w:after="0" w:line="193" w:lineRule="exact"/>
        <w:rPr>
          <w:sz w:val="20"/>
          <w:szCs w:val="20"/>
          <w:color w:val="auto"/>
        </w:rPr>
      </w:pPr>
    </w:p>
    <w:p>
      <w:pPr>
        <w:jc w:val="both"/>
        <w:ind w:firstLine="439"/>
        <w:spacing w:after="0" w:line="238" w:lineRule="auto"/>
        <w:rPr>
          <w:sz w:val="20"/>
          <w:szCs w:val="20"/>
          <w:color w:val="auto"/>
        </w:rPr>
      </w:pPr>
      <w:r>
        <w:rPr>
          <w:rFonts w:ascii="Arial" w:cs="Arial" w:eastAsia="Arial" w:hAnsi="Arial"/>
          <w:sz w:val="18"/>
          <w:szCs w:val="18"/>
          <w:color w:val="auto"/>
        </w:rPr>
        <w:t>In addition, the COVID-19 pandemic has adversely affected, and may continue to adversely affect, the economies and financial markets of many countries, which may result in a period of regional, national, and global economic slowdown or regional, national, or global recessions that could curtail or delay spending by hospitals and affect demand for our products as well as increase risk of customer defaults or delays in payments. These market disruptions could impair our ability to raise capital, should our business experience a prolonged period of reduced revenue requiring additional capital to sustain the business. COVID-19 and the current financial, economic, and capital markets environment, and future developments in these and other areas present material uncertainty and risk with respect to our performance, financial condition, results of operations, and cash flows. Due to the uncertain scope and duration of the pandemic and uncertain timing of global recovery and economic normalization, we are unable to estimate the long-term impacts on our operations and financial results.</w:t>
      </w:r>
    </w:p>
    <w:p>
      <w:pPr>
        <w:spacing w:after="0" w:line="222" w:lineRule="exact"/>
        <w:rPr>
          <w:sz w:val="20"/>
          <w:szCs w:val="20"/>
          <w:color w:val="auto"/>
        </w:rPr>
      </w:pPr>
    </w:p>
    <w:p>
      <w:pPr>
        <w:jc w:val="both"/>
        <w:ind w:right="20" w:firstLine="399"/>
        <w:spacing w:after="0" w:line="266" w:lineRule="auto"/>
        <w:rPr>
          <w:sz w:val="20"/>
          <w:szCs w:val="20"/>
          <w:color w:val="auto"/>
        </w:rPr>
      </w:pPr>
      <w:r>
        <w:rPr>
          <w:rFonts w:ascii="Arial" w:cs="Arial" w:eastAsia="Arial" w:hAnsi="Arial"/>
          <w:sz w:val="18"/>
          <w:szCs w:val="18"/>
          <w:color w:val="auto"/>
        </w:rPr>
        <w:t>The existence and further duration of the COVID-19 pandemic may also further exacerbate certain of the risks as described in this “Item 1A - Risk Factors” of this Quarterly Report on Form 10-Q.”</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4"/>
          <w:szCs w:val="14"/>
          <w:b w:val="1"/>
          <w:bCs w:val="1"/>
          <w:i w:val="1"/>
          <w:iCs w:val="1"/>
          <w:color w:val="auto"/>
        </w:rPr>
        <w:t>Prolonged inflation and supply chain disruptions could result in delayed product launches, lost revenue, higher costs and decreased profit margins.</w:t>
      </w:r>
    </w:p>
    <w:p>
      <w:pPr>
        <w:spacing w:after="0" w:line="278" w:lineRule="exact"/>
        <w:rPr>
          <w:sz w:val="20"/>
          <w:szCs w:val="20"/>
          <w:color w:val="auto"/>
        </w:rPr>
      </w:pPr>
    </w:p>
    <w:p>
      <w:pPr>
        <w:jc w:val="both"/>
        <w:ind w:firstLine="639"/>
        <w:spacing w:after="0" w:line="264" w:lineRule="auto"/>
        <w:rPr>
          <w:sz w:val="20"/>
          <w:szCs w:val="20"/>
          <w:color w:val="auto"/>
        </w:rPr>
      </w:pPr>
      <w:r>
        <w:rPr>
          <w:rFonts w:ascii="Arial" w:cs="Arial" w:eastAsia="Arial" w:hAnsi="Arial"/>
          <w:sz w:val="16"/>
          <w:szCs w:val="16"/>
          <w:color w:val="auto"/>
        </w:rPr>
        <w:t>A majority of our products are manufactured and sold inside of the United States, which increases our exposure to domestic inflation and fuel price increases. Recent inflationary pressures have resulted in increased fuel, raw materials and other costs which, if they continue for a prolonged period, may adversely affect our results of operations. We have experienced shortages in certain raw materials and component inputs of our products, primarily surgical instruments, as suppliers have been unable to meet delivery schedules due to excess demand and labor shortages, and lead times have lengthened throughout our supply chain. Our efforts to mitigate supply chain weaknesses may not be successful or may have unfavorable effects. For example, efforts to purchase raw materials in advance for product manufacturing may result in increased storage costs or excess supply. If our costs rise due to continuing significant inflationary pressures or supply chain disruptions, we may not be able to fully offset such higher costs through price increases. In addition, delays in obtaining materials, components or instruments from our suppliers could delay product launches or result in lost opportunities to sell our products due to their availability. Increased costs and decreased product availability due to supply chain issues could adversely impact our revenue and/or gross margin, and could thereby harm our business, financial condition, and results of operation.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41" w:name="page42"/>
    <w:bookmarkEnd w:id="41"/>
    <w:p>
      <w:pPr>
        <w:jc w:val="both"/>
        <w:ind w:firstLine="639"/>
        <w:spacing w:after="0" w:line="251" w:lineRule="auto"/>
        <w:rPr>
          <w:sz w:val="20"/>
          <w:szCs w:val="20"/>
          <w:color w:val="auto"/>
        </w:rPr>
      </w:pPr>
      <w:r>
        <w:rPr>
          <w:rFonts w:ascii="Arial" w:cs="Arial" w:eastAsia="Arial" w:hAnsi="Arial"/>
          <w:sz w:val="18"/>
          <w:szCs w:val="18"/>
          <w:b w:val="1"/>
          <w:bCs w:val="1"/>
          <w:i w:val="1"/>
          <w:iCs w:val="1"/>
          <w:color w:val="auto"/>
        </w:rPr>
        <w:t>Disruptions in the supply of the materials and components used in manufacturing our products or the sterilization of our products by third-party suppliers could adversely affect our business, financial condition and results of operations.</w:t>
      </w:r>
    </w:p>
    <w:p>
      <w:pPr>
        <w:spacing w:after="0" w:line="193" w:lineRule="exact"/>
        <w:rPr>
          <w:sz w:val="20"/>
          <w:szCs w:val="20"/>
          <w:color w:val="auto"/>
        </w:rPr>
      </w:pPr>
    </w:p>
    <w:p>
      <w:pPr>
        <w:jc w:val="both"/>
        <w:ind w:firstLine="639"/>
        <w:spacing w:after="0" w:line="253" w:lineRule="auto"/>
        <w:rPr>
          <w:sz w:val="20"/>
          <w:szCs w:val="20"/>
          <w:color w:val="auto"/>
        </w:rPr>
      </w:pPr>
      <w:r>
        <w:rPr>
          <w:rFonts w:ascii="Arial" w:cs="Arial" w:eastAsia="Arial" w:hAnsi="Arial"/>
          <w:sz w:val="17"/>
          <w:szCs w:val="17"/>
          <w:color w:val="auto"/>
        </w:rPr>
        <w:t>Our suppliers purchase many of the materials and components used in the manufacture of our products from third-party suppliers. Certain of these materials and components can only be obtained from a single source or a limited number of sources due to quality considerations, expertise, costs or constraints resulting from regulatory requirements. In certain cases, our suppliers may not be able to establish additional or replacement suppliers for such materials or components or outsourced activities in a timely or cost effective manner. A reduction or interruption in the supply of materials or components used in manufacturing our products, such as due to one or more suppliers experiencing reductions in operations and/or worker absences due to the COVID-19 pandemic or other health epidemics, an inability to timely develop and validate alternative sources if required, or a significant increase in the price of such materials or components could adversely affect our business, financial condition and results of operations. For example, certain of our products require titanium, which is sourced from third-party suppliers. While the titanium required for such products is not directly sourced from Russia, the current geopolitical events involving Russia and Ukraine are negatively impacting the wider titanium supply chain and such geopolitical events and factors relating thereto or resulting therefrom, including related sanctions, may negatively impact the ability of our suppliers’ third-party supply sources to timely supply titanium to our suppliers and may increase or result in additional costs to us.</w:t>
      </w:r>
    </w:p>
    <w:p>
      <w:pPr>
        <w:spacing w:after="0" w:line="183" w:lineRule="exact"/>
        <w:rPr>
          <w:sz w:val="20"/>
          <w:szCs w:val="20"/>
          <w:color w:val="auto"/>
        </w:rPr>
      </w:pPr>
    </w:p>
    <w:p>
      <w:pPr>
        <w:jc w:val="both"/>
        <w:ind w:firstLine="639"/>
        <w:spacing w:after="0" w:line="244" w:lineRule="auto"/>
        <w:rPr>
          <w:sz w:val="20"/>
          <w:szCs w:val="20"/>
          <w:color w:val="auto"/>
        </w:rPr>
      </w:pPr>
      <w:r>
        <w:rPr>
          <w:rFonts w:ascii="Arial" w:cs="Arial" w:eastAsia="Arial" w:hAnsi="Arial"/>
          <w:sz w:val="18"/>
          <w:szCs w:val="18"/>
          <w:color w:val="auto"/>
        </w:rPr>
        <w:t>In addition, many of our products require sterilization prior to sale, and our suppliers use contract sterilizers to perform this service. To the extent that these contract sterilizers are unable to sterilize our products, whether due to capacity, availability of materials for sterilization, regulatory or other constraints, including reductions in operations and/or worker absences due to the COVID-19 pandemic or other health epidemics, we may be unable to transition to other contract sterilizers, sterilizer locations or sterilization methods in a timely or cost effective manner or at all, which could have a material impact on our results of operations and financial condition.</w:t>
      </w:r>
    </w:p>
    <w:p>
      <w:pPr>
        <w:spacing w:after="0" w:line="186" w:lineRule="exact"/>
        <w:rPr>
          <w:sz w:val="20"/>
          <w:szCs w:val="20"/>
          <w:color w:val="auto"/>
        </w:rPr>
      </w:pPr>
    </w:p>
    <w:p>
      <w:pPr>
        <w:jc w:val="both"/>
        <w:ind w:firstLine="639"/>
        <w:spacing w:after="0" w:line="249" w:lineRule="auto"/>
        <w:rPr>
          <w:sz w:val="20"/>
          <w:szCs w:val="20"/>
          <w:color w:val="auto"/>
        </w:rPr>
      </w:pPr>
      <w:r>
        <w:rPr>
          <w:rFonts w:ascii="Arial" w:cs="Arial" w:eastAsia="Arial" w:hAnsi="Arial"/>
          <w:sz w:val="18"/>
          <w:szCs w:val="18"/>
          <w:b w:val="1"/>
          <w:bCs w:val="1"/>
          <w:i w:val="1"/>
          <w:iCs w:val="1"/>
          <w:color w:val="auto"/>
        </w:rPr>
        <w:t>If hospitals, surgeons,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spacing w:after="0" w:line="181"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7"/>
          <w:szCs w:val="17"/>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 When a procedure using our implants is performed, both the surgeon and the healthcare facility, either a hospital or ambulatory surgical center, submit claims for reimbursement to the healthcare payor. We may be unable to sell our products on a profitable basis if third-party payors deny coverage, or if reimbursement levels are insufficient to support use of our products by healthcare facilities or to compensate surgeons for their time spent diagnosing patients and performing procedures using our products.</w:t>
      </w:r>
    </w:p>
    <w:p>
      <w:pPr>
        <w:spacing w:after="0" w:line="191" w:lineRule="exact"/>
        <w:rPr>
          <w:sz w:val="20"/>
          <w:szCs w:val="20"/>
          <w:color w:val="auto"/>
        </w:rPr>
      </w:pPr>
    </w:p>
    <w:p>
      <w:pPr>
        <w:jc w:val="both"/>
        <w:ind w:firstLine="399"/>
        <w:spacing w:after="0" w:line="228" w:lineRule="auto"/>
        <w:rPr>
          <w:sz w:val="20"/>
          <w:szCs w:val="20"/>
          <w:color w:val="auto"/>
        </w:rPr>
      </w:pPr>
      <w:r>
        <w:rPr>
          <w:rFonts w:ascii="Arial" w:cs="Arial" w:eastAsia="Arial" w:hAnsi="Arial"/>
          <w:sz w:val="18"/>
          <w:szCs w:val="18"/>
          <w:color w:val="auto"/>
        </w:rPr>
        <w:t>While all Medicare Administrative Contractors are regularly reimbursing for minimally invasive sacroiliac joint fusion utilizing laterally placed transfixing devices, a small number of private payors still have policies that treat the procedure as experimental or investigational and do not regularly reimburse for the procedure. Future action by the Centers for Medicare and Medicaid Services (“CMS”) or third-party payors may further reduce the availability of payments to physicians, outpatient surgery centers, and/or hospitals for procedures using our products. Volatility in the payment rates that physicians and hospitals receive from CMS may have a material impact on their willingness to perform procedures including our products, as well as place additional pressure on pricing of our implants.</w:t>
      </w:r>
    </w:p>
    <w:p>
      <w:pPr>
        <w:spacing w:after="0" w:line="218" w:lineRule="exact"/>
        <w:rPr>
          <w:sz w:val="20"/>
          <w:szCs w:val="20"/>
          <w:color w:val="auto"/>
        </w:rPr>
      </w:pPr>
    </w:p>
    <w:p>
      <w:pPr>
        <w:jc w:val="both"/>
        <w:ind w:firstLine="399"/>
        <w:spacing w:after="0" w:line="238" w:lineRule="auto"/>
        <w:rPr>
          <w:sz w:val="20"/>
          <w:szCs w:val="20"/>
          <w:color w:val="auto"/>
        </w:rPr>
      </w:pPr>
      <w:r>
        <w:rPr>
          <w:rFonts w:ascii="Arial" w:cs="Arial" w:eastAsia="Arial" w:hAnsi="Arial"/>
          <w:sz w:val="18"/>
          <w:szCs w:val="18"/>
          <w:color w:val="auto"/>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chose to cover.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233" w:lineRule="exact"/>
        <w:rPr>
          <w:sz w:val="20"/>
          <w:szCs w:val="20"/>
          <w:color w:val="auto"/>
        </w:rPr>
      </w:pPr>
    </w:p>
    <w:p>
      <w:pPr>
        <w:jc w:val="both"/>
        <w:ind w:firstLine="399"/>
        <w:spacing w:after="0" w:line="254" w:lineRule="auto"/>
        <w:rPr>
          <w:sz w:val="20"/>
          <w:szCs w:val="20"/>
          <w:color w:val="auto"/>
        </w:rPr>
      </w:pPr>
      <w:r>
        <w:rPr>
          <w:rFonts w:ascii="Arial" w:cs="Arial" w:eastAsia="Arial" w:hAnsi="Arial"/>
          <w:sz w:val="17"/>
          <w:szCs w:val="17"/>
          <w:color w:val="auto"/>
        </w:rPr>
        <w:t>Effective January 1, 2022, the Medicare physician fee reimbursement for minimally invasive fusion with our laterally placed transfixing iFuse implants, described as Current Procedure Terminology (“CPT”) Code 27279, is $860. Commercial payors generally set their physician fee reimbursement with reference to Medicare reimbursement rates. We believe that some surgeons may continue to view the Medicare and commercial reimbursement amounts as insufficient for the procedure, given the work effort involved with the procedure, including the time to diagnose the patient and obtain prior authorization from the patient’s health insurer if necessary. We believe that some private payors apply their own coverage policies and criteria inconsistently, and surgeons may not be able to consistently have minimally invasive sacroiliac fusions procedures utilizing laterally placed transfixing devices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adversely affect our revenues. If these average payments were to decline further, demand for our products would likely be negatively impacted.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42" w:name="page43"/>
    <w:bookmarkEnd w:id="42"/>
    <w:p>
      <w:pPr>
        <w:jc w:val="both"/>
        <w:ind w:firstLine="399"/>
        <w:spacing w:after="0" w:line="277" w:lineRule="auto"/>
        <w:rPr>
          <w:sz w:val="20"/>
          <w:szCs w:val="20"/>
          <w:color w:val="auto"/>
        </w:rPr>
      </w:pPr>
      <w:r>
        <w:rPr>
          <w:rFonts w:ascii="Arial" w:cs="Arial" w:eastAsia="Arial" w:hAnsi="Arial"/>
          <w:sz w:val="16"/>
          <w:szCs w:val="16"/>
          <w:color w:val="auto"/>
        </w:rPr>
        <w:t>The American Medical Association (AMA) develops and maintains CPT codes that are used by third-party payors to determine the amount of reimbursement that a healthcare provider and facility will receive for a particular service. CPT codes are divided into three categories: Category I codes</w:t>
      </w:r>
    </w:p>
    <w:p>
      <w:pPr>
        <w:spacing w:after="0" w:line="1"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represent existing services or procedures that are widely used. Category II codes are supplemental tracking codes, and Category III codes are temporary codes that represent new technologies, services, and procedures. A Category III code does not have a payment rate established and reimbursement is at the payor’s discretion. CPT Code 27279, which describes minimally-invasive surgical fusion of the sacroiliac joint performed with our laterally placed transfixing iFuse implants, is a Category I CPT code. As the number of products and surgical procedures to address sacroiliac joint dysfunction has expanded and diversified, certain medical societies requested that the AMA create additional codes representing some of these newer, and different procedures utilizing non-transfixing technologies. In May 2022, the AMA CPT Editorial Panel adopted a proposal for a new Category III code to become effective January 1, 2023, describing a different sacroiliac joint procedure to place interpositional, intra-articular and non-transfixing implants typically using a dorsal, or posterior, approach. In September 2022, the AMA CPT Editorial Panel subsequently approved a proposal to create another Category III tracking code to describe the implantation of both lateral transfixing implants, as well as intra-articular (dorsal, or non-transfixing) implants during the same operative session (“hybrid” sacroiliac procedures) effective July 1, 2023; and also voted to convert the Category III Code to describe procedures to implant the newer, non-transfixing (dorsally</w:t>
      </w:r>
    </w:p>
    <w:p>
      <w:pPr>
        <w:spacing w:after="0" w:line="161"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placed) implants to a Category I Code effective January 1, 2024. If the levels of reimbursement for, and consistency of coverage associated with, procedures performed with our medical devices under the existing Category I CPT Code decrease as a result of or in connection with these coding changes, it could make the procedures in which our implants are used less attractive to healthcare professionals, decreasing the number of devices we are able to sell and adversely affecting our business, results of operations and financial condition.</w:t>
      </w:r>
    </w:p>
    <w:p>
      <w:pPr>
        <w:spacing w:after="0" w:line="205" w:lineRule="exact"/>
        <w:rPr>
          <w:sz w:val="20"/>
          <w:szCs w:val="20"/>
          <w:color w:val="auto"/>
        </w:rPr>
      </w:pPr>
    </w:p>
    <w:p>
      <w:pPr>
        <w:jc w:val="both"/>
        <w:ind w:firstLine="439"/>
        <w:spacing w:after="0" w:line="263" w:lineRule="auto"/>
        <w:rPr>
          <w:sz w:val="20"/>
          <w:szCs w:val="20"/>
          <w:color w:val="auto"/>
        </w:rPr>
      </w:pPr>
      <w:r>
        <w:rPr>
          <w:rFonts w:ascii="Arial" w:cs="Arial" w:eastAsia="Arial" w:hAnsi="Arial"/>
          <w:sz w:val="16"/>
          <w:szCs w:val="16"/>
          <w:color w:val="auto"/>
        </w:rPr>
        <w:t>Recent political, economic, and regulatory influences are subjecting the healthcare industry to fundamental changes that can impact coverage and reimbursement from third-party payors. We expect that the Patient Protection and Affordable Care Act, as amended by the Health Care and Education Reconciliation Act of 2011, as currently enacted or as it may be amended in the future, and other healthcare reform measures that may be adopted in the future, could have a material adverse effect on our industry generally and on our ability to maintain or increase sales of our existing products. CMS budget neutrality requirements may impose cuts to the Medicare physician fee schedule, which may be mitigated by acts of Congress or other changes to regulations. Other federal laws, known as budget sequestration, further reduce Medicare’s payments to providers by two percent through 2031. However, COVID-19 relief support legislation suspended the 2% Medicare reductions from May 1, 2020 until April 1, 2022. Under current legislation, the actual reduction in Medicare payments will vary from 1% in 2022 to up to 4% in the final fiscal year of this sequester. These reductions may reduce reimbursement for procedures performed using our products, which could potentially negatively impact our revenue, and may reduce providers’ revenues or profits, which could affect their ability to purchase new technologies. Both the federal and state governments in the U.S.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 which could adversely affect our business, results of operations and financial condition.</w:t>
      </w:r>
    </w:p>
    <w:p>
      <w:pPr>
        <w:spacing w:after="0" w:line="214" w:lineRule="exact"/>
        <w:rPr>
          <w:sz w:val="20"/>
          <w:szCs w:val="20"/>
          <w:color w:val="auto"/>
        </w:rPr>
      </w:pPr>
    </w:p>
    <w:p>
      <w:pPr>
        <w:jc w:val="both"/>
        <w:ind w:firstLine="399"/>
        <w:spacing w:after="0" w:line="244" w:lineRule="auto"/>
        <w:rPr>
          <w:sz w:val="20"/>
          <w:szCs w:val="20"/>
          <w:color w:val="auto"/>
        </w:rPr>
      </w:pPr>
      <w:r>
        <w:rPr>
          <w:rFonts w:ascii="Arial" w:cs="Arial" w:eastAsia="Arial" w:hAnsi="Arial"/>
          <w:sz w:val="18"/>
          <w:szCs w:val="18"/>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21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174" w:lineRule="exact"/>
        <w:rPr>
          <w:sz w:val="20"/>
          <w:szCs w:val="20"/>
          <w:color w:val="auto"/>
        </w:rPr>
      </w:pPr>
    </w:p>
    <w:p>
      <w:pPr>
        <w:jc w:val="both"/>
        <w:ind w:firstLine="439"/>
        <w:spacing w:after="0" w:line="274" w:lineRule="auto"/>
        <w:rPr>
          <w:sz w:val="20"/>
          <w:szCs w:val="20"/>
          <w:color w:val="auto"/>
        </w:rPr>
      </w:pPr>
      <w:r>
        <w:rPr>
          <w:rFonts w:ascii="Arial" w:cs="Arial" w:eastAsia="Arial" w:hAnsi="Arial"/>
          <w:sz w:val="16"/>
          <w:szCs w:val="16"/>
          <w:color w:val="auto"/>
        </w:rPr>
        <w:t>As of September 30, 2022, a significant number of the largest U.S. payors that we track and target have issued positive coverage policies covering the patented design of our triangular iFuse implants and excluding coverage of other products that are intended to fuse the sacroiliac joint because of the clinical evidence supporting the use of triangular titanium implants and the lack of clinical evidence supporting the use of other products. We believe that payors have adopted these exclusive coverage decisions due to the strength of our clinical evidence and in part due to recommendations of specialty benefit managers and healthcare technology assessment organizations. Clinical trials of the type and size necessary to offer evidence of the safety and efficacy of competing products could be performed and could show that other products for sacroiliac joint fusion are as effective as, or more effective than, our triangular iFuse implants. Payors could also abandon their decisions to cover triangular implants exclusively for other reasons.</w:t>
      </w:r>
    </w:p>
    <w:p>
      <w:pPr>
        <w:spacing w:after="0" w:line="194" w:lineRule="exact"/>
        <w:rPr>
          <w:sz w:val="20"/>
          <w:szCs w:val="20"/>
          <w:color w:val="auto"/>
        </w:rPr>
      </w:pPr>
    </w:p>
    <w:p>
      <w:pPr>
        <w:jc w:val="both"/>
        <w:ind w:firstLine="439"/>
        <w:spacing w:after="0" w:line="255" w:lineRule="auto"/>
        <w:rPr>
          <w:sz w:val="20"/>
          <w:szCs w:val="20"/>
          <w:color w:val="auto"/>
        </w:rPr>
      </w:pPr>
      <w:r>
        <w:rPr>
          <w:rFonts w:ascii="Arial" w:cs="Arial" w:eastAsia="Arial" w:hAnsi="Arial"/>
          <w:sz w:val="17"/>
          <w:szCs w:val="17"/>
          <w:color w:val="auto"/>
        </w:rPr>
        <w:t>Healthcare payors which have adopted sacroiliac joint fusion coverage policies exclusive to titanium triangles could reverse the exclusive nature of their policies and allow surgeons to use other types of products when performing sacroiliac fusion procedures. For example, AIM, a clinical evidence evaluation organization which influences Anthem, among other payors, promulgated such a policy, effective September 11, 2022, that is no longer exclusive to titanium triangles. If healthcare payors covering a significant number of covered lives reverse their policies of covering minimally invasive sacroiliac joint fusion exclusively when performed with triangular titanium implants, sales of our triangular iFuse implants could decline or fail to grow, which could adversely affect our business, results of operations and financial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43" w:name="page44"/>
    <w:bookmarkEnd w:id="43"/>
    <w:p>
      <w:pPr>
        <w:jc w:val="both"/>
        <w:spacing w:after="0" w:line="251" w:lineRule="auto"/>
        <w:rPr>
          <w:sz w:val="20"/>
          <w:szCs w:val="20"/>
          <w:color w:val="auto"/>
        </w:rPr>
      </w:pPr>
      <w:r>
        <w:rPr>
          <w:rFonts w:ascii="Arial" w:cs="Arial" w:eastAsia="Arial" w:hAnsi="Arial"/>
          <w:sz w:val="18"/>
          <w:szCs w:val="18"/>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193" w:lineRule="exact"/>
        <w:rPr>
          <w:sz w:val="20"/>
          <w:szCs w:val="20"/>
          <w:color w:val="auto"/>
        </w:rPr>
      </w:pPr>
    </w:p>
    <w:p>
      <w:pPr>
        <w:jc w:val="both"/>
        <w:ind w:firstLine="439"/>
        <w:spacing w:after="0" w:line="262" w:lineRule="auto"/>
        <w:rPr>
          <w:sz w:val="20"/>
          <w:szCs w:val="20"/>
          <w:color w:val="auto"/>
        </w:rPr>
      </w:pPr>
      <w:r>
        <w:rPr>
          <w:rFonts w:ascii="Arial" w:cs="Arial" w:eastAsia="Arial" w:hAnsi="Arial"/>
          <w:sz w:val="17"/>
          <w:szCs w:val="17"/>
          <w:color w:val="auto"/>
        </w:rPr>
        <w:t>Surgeons, in consultation with their patients, play the primary role in determining the course of treatment and, ultimately, any product that will be used in treatment. In order for us to sell our iFuse system successfully, we must demonstrate to surgeons through education and training that treatment with iFuse is beneficial, safe, and cost-effective for patients as compared to our competitors’ products. If we are not successful in demonstrating the merits of iFuse to surgeons, their use of our products may decline, adversely affecting our revenues and profitability.</w:t>
      </w:r>
    </w:p>
    <w:p>
      <w:pPr>
        <w:spacing w:after="0" w:line="198" w:lineRule="exact"/>
        <w:rPr>
          <w:sz w:val="20"/>
          <w:szCs w:val="20"/>
          <w:color w:val="auto"/>
        </w:rPr>
      </w:pPr>
    </w:p>
    <w:p>
      <w:pPr>
        <w:jc w:val="both"/>
        <w:ind w:firstLine="439"/>
        <w:spacing w:after="0"/>
        <w:rPr>
          <w:sz w:val="20"/>
          <w:szCs w:val="20"/>
          <w:color w:val="auto"/>
        </w:rPr>
      </w:pPr>
      <w:r>
        <w:rPr>
          <w:rFonts w:ascii="Arial" w:cs="Arial" w:eastAsia="Arial" w:hAnsi="Arial"/>
          <w:sz w:val="18"/>
          <w:szCs w:val="18"/>
          <w:color w:val="auto"/>
        </w:rPr>
        <w:t>Historically, most spine surgeons did not include an evaluation of the sacroiliac joint in their diagnostic work-up because they did not have an adequate surgical procedure to perform for patients diagnosed with sacroiliac joint dysfunction. We believe that educating surgeons and other healthcare professionals about the clinical merits and patient benefits of iFuse is an important element of building our business. If we fail to effectively educate surgeons and other medical professionals, they may not include a sacroiliac joint evaluation as part of their diagnosis and, as a result, those patients may continue to receive unnecessary surgical procedures or only non-surgical treatment.</w:t>
      </w: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Surgeons may also hesitate to change their medical treatment practices for other reasons, including the following:</w:t>
      </w:r>
    </w:p>
    <w:p>
      <w:pPr>
        <w:spacing w:after="0" w:line="19" w:lineRule="exact"/>
        <w:rPr>
          <w:sz w:val="20"/>
          <w:szCs w:val="20"/>
          <w:color w:val="auto"/>
        </w:rPr>
      </w:pPr>
    </w:p>
    <w:p>
      <w:pPr>
        <w:ind w:left="1000" w:hanging="115"/>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experience with minimally invasive procedures;</w:t>
      </w:r>
    </w:p>
    <w:p>
      <w:pPr>
        <w:spacing w:after="0" w:line="32" w:lineRule="exact"/>
        <w:rPr>
          <w:rFonts w:ascii="Arial" w:cs="Arial" w:eastAsia="Arial" w:hAnsi="Arial"/>
          <w:sz w:val="18"/>
          <w:szCs w:val="18"/>
          <w:color w:val="auto"/>
        </w:rPr>
      </w:pPr>
    </w:p>
    <w:p>
      <w:pPr>
        <w:ind w:left="1000" w:hanging="115"/>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45" w:lineRule="exact"/>
        <w:rPr>
          <w:rFonts w:ascii="Arial" w:cs="Arial" w:eastAsia="Arial" w:hAnsi="Arial"/>
          <w:sz w:val="18"/>
          <w:szCs w:val="18"/>
          <w:color w:val="auto"/>
        </w:rPr>
      </w:pPr>
    </w:p>
    <w:p>
      <w:pPr>
        <w:ind w:left="1000" w:hanging="115"/>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the purchase of new products; and</w:t>
      </w:r>
    </w:p>
    <w:p>
      <w:pPr>
        <w:spacing w:after="0" w:line="32" w:lineRule="exact"/>
        <w:rPr>
          <w:rFonts w:ascii="Arial" w:cs="Arial" w:eastAsia="Arial" w:hAnsi="Arial"/>
          <w:sz w:val="18"/>
          <w:szCs w:val="18"/>
          <w:color w:val="auto"/>
        </w:rPr>
      </w:pPr>
    </w:p>
    <w:p>
      <w:pPr>
        <w:ind w:left="1000" w:hanging="115"/>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 commitment that may be required for training.</w:t>
      </w:r>
    </w:p>
    <w:p>
      <w:pPr>
        <w:spacing w:after="0" w:line="259"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7"/>
          <w:szCs w:val="17"/>
          <w:color w:val="auto"/>
        </w:rPr>
        <w:t>Furthermore, we believe surgeons will not widely use iFuse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their benefits. If we are unable to provide that data, surgeons may not use our products. In such circumstances, we may not achieve expected sales and may be unable to achieve profitability.</w:t>
      </w:r>
    </w:p>
    <w:p>
      <w:pPr>
        <w:spacing w:after="0" w:line="218" w:lineRule="exact"/>
        <w:rPr>
          <w:sz w:val="20"/>
          <w:szCs w:val="20"/>
          <w:color w:val="auto"/>
        </w:rPr>
      </w:pPr>
    </w:p>
    <w:p>
      <w:pPr>
        <w:jc w:val="both"/>
        <w:ind w:firstLine="439"/>
        <w:spacing w:after="0" w:line="272" w:lineRule="auto"/>
        <w:rPr>
          <w:sz w:val="20"/>
          <w:szCs w:val="20"/>
          <w:color w:val="auto"/>
        </w:rPr>
      </w:pPr>
      <w:r>
        <w:rPr>
          <w:rFonts w:ascii="Arial" w:cs="Arial" w:eastAsia="Arial" w:hAnsi="Arial"/>
          <w:sz w:val="16"/>
          <w:szCs w:val="16"/>
          <w:color w:val="auto"/>
        </w:rPr>
        <w:t>Many patients with sacroiliac joint dysfunction are cared for by pain physicians, who are generally trained as anesthesiologists or physical medicine and rehabilitation specialists. Pain physicians often offer a variety of non-surgical and surgical interventions to sacroiliac joint dysfunction patients, including, but not limited to, steroid injections, radiofrequency ablation of the nerves serving the sacroiliac joint and implantation of neurostimulation devices, allografts, and other products intended to treat the sacroiliac joint or the pain it can cause. Our professional education program seeks to teach pain physicians, and other health care providers, about the benefits of iFuse, in order to prompt these providers to refer their patients with sacroiliac joint dysfunction to surgeons who have been trained to perform the iFuse procedure. These providers may, however, prefer to continue to treat these patients with the interventions they offer because they feel that these interventions are superior or because they have a financial interest in offering additional treatments to these patients. If we are unable to demonstrate to potential referring health care providers the comparative benefits of iFuse, and we are therefore unable to prompt sufficient numbers of these providers to refer their patients with sacroiliac joint dysfunction for treatment by surgeons trained to perform the iFuse procedure, sales of our iFuse implants could decline or fail to grow, which could adversely affect our business, results of operations and financial condition.</w:t>
      </w:r>
    </w:p>
    <w:p>
      <w:pPr>
        <w:spacing w:after="0" w:line="16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i w:val="1"/>
          <w:iCs w:val="1"/>
          <w:color w:val="auto"/>
        </w:rPr>
        <w:t>Surgeons and payors may not find our clinical evidence to be compelling, which could limit our sales and revenue, and on-going and future research may prove our products to be less safe and effective than currently thought.</w:t>
      </w:r>
    </w:p>
    <w:p>
      <w:pPr>
        <w:spacing w:after="0" w:line="193"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7"/>
          <w:szCs w:val="17"/>
          <w:color w:val="auto"/>
        </w:rPr>
        <w:t>The products we currently market in the United States have either received premarket clearance under Section 510(k) of the United States Federal Food, Drug, and Cosmetic Act (“FDCA”), or are exempt from premarket review. Those marketed in the European Union (“EU”) have been the subject of a CE Certificate of Conformity. The 510(k) clearance process of the U.S. Food and Drug Administration (“FDA”) requires us to document that our product is “substantially equivalent” to another 510(k)-cleared product. The 510(k) process is shorter and typically requires the submission of less supporting documentation than other FDA approval processes, such as a premarket approval (“PMA”), and does not usually require pre-clinical or clinical studies. As a result, while there are a number of published studies relating to iFuse and minimally invasive sacroiliac joint surgery that support the safety and effectiveness of our products and the benefits they offer,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44" w:name="page45"/>
    <w:bookmarkEnd w:id="44"/>
    <w:p>
      <w:pPr>
        <w:jc w:val="both"/>
        <w:spacing w:after="0" w:line="249" w:lineRule="auto"/>
        <w:rPr>
          <w:sz w:val="20"/>
          <w:szCs w:val="20"/>
          <w:color w:val="auto"/>
        </w:rPr>
      </w:pPr>
      <w:r>
        <w:rPr>
          <w:rFonts w:ascii="Arial" w:cs="Arial" w:eastAsia="Arial" w:hAnsi="Arial"/>
          <w:sz w:val="18"/>
          <w:szCs w:val="18"/>
          <w:b w:val="1"/>
          <w:bCs w:val="1"/>
          <w:i w:val="1"/>
          <w:iCs w:val="1"/>
          <w:color w:val="auto"/>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p>
    <w:p>
      <w:pPr>
        <w:spacing w:after="0" w:line="208" w:lineRule="exact"/>
        <w:rPr>
          <w:sz w:val="20"/>
          <w:szCs w:val="20"/>
          <w:color w:val="auto"/>
        </w:rPr>
      </w:pPr>
    </w:p>
    <w:p>
      <w:pPr>
        <w:jc w:val="both"/>
        <w:ind w:firstLine="439"/>
        <w:spacing w:after="0" w:line="295" w:lineRule="auto"/>
        <w:rPr>
          <w:sz w:val="20"/>
          <w:szCs w:val="20"/>
          <w:color w:val="auto"/>
        </w:rPr>
      </w:pPr>
      <w:r>
        <w:rPr>
          <w:rFonts w:ascii="Arial" w:cs="Arial" w:eastAsia="Arial" w:hAnsi="Arial"/>
          <w:sz w:val="16"/>
          <w:szCs w:val="16"/>
          <w:color w:val="auto"/>
        </w:rPr>
        <w:t>If competitive forces drive down the prices we are able to charge for our product, our profit margins will shrink, which will adversely affect our ability to invest in and maintain and grow our market share.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173" w:lineRule="exact"/>
        <w:rPr>
          <w:sz w:val="20"/>
          <w:szCs w:val="20"/>
          <w:color w:val="auto"/>
        </w:rPr>
      </w:pPr>
    </w:p>
    <w:p>
      <w:pPr>
        <w:jc w:val="both"/>
        <w:ind w:firstLine="439"/>
        <w:spacing w:after="0" w:line="249" w:lineRule="auto"/>
        <w:rPr>
          <w:sz w:val="20"/>
          <w:szCs w:val="20"/>
          <w:color w:val="auto"/>
        </w:rPr>
      </w:pPr>
      <w:r>
        <w:rPr>
          <w:rFonts w:ascii="Arial" w:cs="Arial" w:eastAsia="Arial" w:hAnsi="Arial"/>
          <w:sz w:val="18"/>
          <w:szCs w:val="18"/>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and revenue down and harm our ability to market and sell our products.</w:t>
      </w:r>
    </w:p>
    <w:p>
      <w:pPr>
        <w:spacing w:after="0" w:line="208" w:lineRule="exact"/>
        <w:rPr>
          <w:sz w:val="20"/>
          <w:szCs w:val="20"/>
          <w:color w:val="auto"/>
        </w:rPr>
      </w:pPr>
    </w:p>
    <w:p>
      <w:pPr>
        <w:jc w:val="both"/>
        <w:ind w:firstLine="439"/>
        <w:spacing w:after="0" w:line="254" w:lineRule="auto"/>
        <w:rPr>
          <w:sz w:val="20"/>
          <w:szCs w:val="20"/>
          <w:color w:val="auto"/>
        </w:rPr>
      </w:pPr>
      <w:r>
        <w:rPr>
          <w:rFonts w:ascii="Arial" w:cs="Arial" w:eastAsia="Arial" w:hAnsi="Arial"/>
          <w:sz w:val="17"/>
          <w:szCs w:val="17"/>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i w:val="1"/>
          <w:iCs w:val="1"/>
          <w:color w:val="auto"/>
        </w:rPr>
        <w:t>Practice trends or other factors, including the COVID-19 pandemic, may cause procedures to shift from the hospital environment to ambulatory surgical centers, or ASCs, where pressure on the prices of our products is generally more acute.</w:t>
      </w:r>
    </w:p>
    <w:p>
      <w:pPr>
        <w:spacing w:after="0" w:line="219" w:lineRule="exact"/>
        <w:rPr>
          <w:sz w:val="20"/>
          <w:szCs w:val="20"/>
          <w:color w:val="auto"/>
        </w:rPr>
      </w:pPr>
    </w:p>
    <w:p>
      <w:pPr>
        <w:jc w:val="both"/>
        <w:ind w:firstLine="439"/>
        <w:spacing w:after="0" w:line="272" w:lineRule="auto"/>
        <w:rPr>
          <w:sz w:val="20"/>
          <w:szCs w:val="20"/>
          <w:color w:val="auto"/>
        </w:rPr>
      </w:pPr>
      <w:r>
        <w:rPr>
          <w:rFonts w:ascii="Arial" w:cs="Arial" w:eastAsia="Arial" w:hAnsi="Arial"/>
          <w:sz w:val="16"/>
          <w:szCs w:val="16"/>
          <w:color w:val="auto"/>
        </w:rPr>
        <w:t>To protect health care professionals involved in surgical care and their patients, we anticipate that more outpatient eligible procedures will be performed in ASCs during the COVID-19 pandemic, and as its acuity declines and the healthcare system returns to a more normalized state. We anticipate that this trend will nevertheless continue as a cost control measure with the healthcare system. Since patients do not stay overnight in ASCs and COVID-19 patients would not otherwise be treated in ASCs, it is likely that the ASC will be viewed as a safer site of service for patients and health care providers, where the risk of transmission of the coronavirus can be more effectively controlled. In addition, ASC are generally more economically favorable site of service, and surgeons performing the procedures sometimes have ownership interests in the ASC. Because ASC facility fee reimbursement is typically less than facility fee reimbursement for hospitals and due to surgeons’ economic interest in ASCs, we typically experience more pressure on the pricing of our products by ASCs than by hospitals, and the average price for which we sell our products to ASCs is less than the average prices we charge to hospitals. In addition, some surgeons may choose to use fewer implants due to their interest in the profitability of the ASC. An accelerated shift of procedures using our products to ASCs as a result of the COVID-19 pandemic could adversely impact the average selling prices of our products and our revenues could suffer as a result.</w:t>
      </w:r>
    </w:p>
    <w:p>
      <w:pPr>
        <w:spacing w:after="0" w:line="164"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b w:val="1"/>
          <w:bCs w:val="1"/>
          <w:i w:val="1"/>
          <w:iCs w:val="1"/>
          <w:color w:val="auto"/>
        </w:rPr>
        <w:t>We operate in a very competitive business environment and if we are unable to compete successfully against our existing or potential competitors, our sales and operating results may be adversely affected.</w:t>
      </w:r>
    </w:p>
    <w:p>
      <w:pPr>
        <w:spacing w:after="0" w:line="179" w:lineRule="exact"/>
        <w:rPr>
          <w:sz w:val="20"/>
          <w:szCs w:val="20"/>
          <w:color w:val="auto"/>
        </w:rPr>
      </w:pPr>
    </w:p>
    <w:p>
      <w:pPr>
        <w:jc w:val="both"/>
        <w:ind w:firstLine="439"/>
        <w:spacing w:after="0" w:line="241" w:lineRule="auto"/>
        <w:rPr>
          <w:sz w:val="20"/>
          <w:szCs w:val="20"/>
          <w:color w:val="auto"/>
        </w:rPr>
      </w:pPr>
      <w:r>
        <w:rPr>
          <w:rFonts w:ascii="Arial" w:cs="Arial" w:eastAsia="Arial" w:hAnsi="Arial"/>
          <w:sz w:val="18"/>
          <w:szCs w:val="18"/>
          <w:color w:val="auto"/>
        </w:rPr>
        <w:t>Our currently marketed products are, and any future products we commercialize will likely be, subject to intense competition. Our field is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as demonstrated in peer-reviewed clinical publications. Because of the size of the potential market, we anticipate that other companies will dedicate significant resources to developing competing products.</w:t>
      </w:r>
    </w:p>
    <w:p>
      <w:pPr>
        <w:spacing w:after="0" w:line="217"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6"/>
          <w:szCs w:val="16"/>
          <w:color w:val="auto"/>
        </w:rPr>
        <w:t>The number of competitors that we are aware of marketing sacroiliac joint fusion products in the United States has grown from zero to more than 30 since 2008. Some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 number of implants intended to treat different conditions affecting the spine and pelvis. The ability of these competitors to sell these products together or as part of larger purchasing arrangements may put us at a disadvantage. In addition, if these competitors use technology,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5" w:name="page46"/>
    <w:bookmarkEnd w:id="45"/>
    <w:p>
      <w:pPr>
        <w:jc w:val="both"/>
        <w:spacing w:after="0" w:line="251" w:lineRule="auto"/>
        <w:rPr>
          <w:sz w:val="20"/>
          <w:szCs w:val="20"/>
          <w:color w:val="auto"/>
        </w:rPr>
      </w:pPr>
      <w:r>
        <w:rPr>
          <w:rFonts w:ascii="Arial" w:cs="Arial" w:eastAsia="Arial" w:hAnsi="Arial"/>
          <w:sz w:val="18"/>
          <w:szCs w:val="18"/>
          <w:color w:val="auto"/>
        </w:rPr>
        <w:t>contracts, or intellectual property measures to limit or eliminate the compatibility of their surgical imaging, navigation and robotic systems with our products, sales of our products could decline or fail to grow, which could adversely affect our business and results of operations.</w:t>
      </w:r>
    </w:p>
    <w:p>
      <w:pPr>
        <w:spacing w:after="0" w:line="219" w:lineRule="exact"/>
        <w:rPr>
          <w:sz w:val="20"/>
          <w:szCs w:val="20"/>
          <w:color w:val="auto"/>
        </w:rPr>
      </w:pPr>
    </w:p>
    <w:p>
      <w:pPr>
        <w:jc w:val="both"/>
        <w:ind w:firstLine="439"/>
        <w:spacing w:after="0" w:line="271" w:lineRule="auto"/>
        <w:rPr>
          <w:sz w:val="20"/>
          <w:szCs w:val="20"/>
          <w:color w:val="auto"/>
        </w:rPr>
      </w:pPr>
      <w:r>
        <w:rPr>
          <w:rFonts w:ascii="Arial" w:cs="Arial" w:eastAsia="Arial" w:hAnsi="Arial"/>
          <w:sz w:val="16"/>
          <w:szCs w:val="16"/>
          <w:color w:val="auto"/>
        </w:rPr>
        <w:t>In the United States, we believe that our primary competitors marketing implantable devices currently are Medtronic plc and Globus Medical, Inc. In addition, a number of companies selling allograft implants for use by a variety of physicians have collectively become a much larger presence in our market. It is unclear how the creation of the Category III code for these procedures effective January 1, 2023, and the conversion of the Category III Code to a Category I Code effective January 1, 2024 will impact the market for these products and procedures. Our primary competitors in Europe are Globus Medical, Inc. and SIGNUS Medizintechnik GmbH.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207" w:lineRule="exact"/>
        <w:rPr>
          <w:sz w:val="20"/>
          <w:szCs w:val="20"/>
          <w:color w:val="auto"/>
        </w:rPr>
      </w:pPr>
    </w:p>
    <w:p>
      <w:pPr>
        <w:jc w:val="both"/>
        <w:ind w:firstLine="439"/>
        <w:spacing w:after="0"/>
        <w:rPr>
          <w:sz w:val="20"/>
          <w:szCs w:val="20"/>
          <w:color w:val="auto"/>
        </w:rPr>
      </w:pPr>
      <w:r>
        <w:rPr>
          <w:rFonts w:ascii="Arial" w:cs="Arial" w:eastAsia="Arial" w:hAnsi="Arial"/>
          <w:sz w:val="18"/>
          <w:szCs w:val="18"/>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current or planned future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216" w:lineRule="exact"/>
        <w:rPr>
          <w:sz w:val="20"/>
          <w:szCs w:val="20"/>
          <w:color w:val="auto"/>
        </w:rPr>
      </w:pPr>
    </w:p>
    <w:p>
      <w:pPr>
        <w:jc w:val="both"/>
        <w:ind w:firstLine="439"/>
        <w:spacing w:after="0" w:line="249" w:lineRule="auto"/>
        <w:rPr>
          <w:sz w:val="20"/>
          <w:szCs w:val="20"/>
          <w:color w:val="auto"/>
        </w:rPr>
      </w:pPr>
      <w:r>
        <w:rPr>
          <w:rFonts w:ascii="Arial" w:cs="Arial" w:eastAsia="Arial" w:hAnsi="Arial"/>
          <w:sz w:val="18"/>
          <w:szCs w:val="18"/>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market share or product margins could decrease, thereby harming our business.</w:t>
      </w: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are highly dependent on revenue from the sale of a single family of products focused on procedures, the goal of which is to stabilize and fuse the sacroiliac joint. Reliance on a single family of products and single family of procedures could negatively affect our results of operations and financial condition.</w:t>
      </w:r>
    </w:p>
    <w:p>
      <w:pPr>
        <w:spacing w:after="0" w:line="208" w:lineRule="exact"/>
        <w:rPr>
          <w:sz w:val="20"/>
          <w:szCs w:val="20"/>
          <w:color w:val="auto"/>
        </w:rPr>
      </w:pPr>
    </w:p>
    <w:p>
      <w:pPr>
        <w:jc w:val="both"/>
        <w:ind w:firstLine="439"/>
        <w:spacing w:after="0" w:line="262" w:lineRule="auto"/>
        <w:rPr>
          <w:sz w:val="20"/>
          <w:szCs w:val="20"/>
          <w:color w:val="auto"/>
        </w:rPr>
      </w:pPr>
      <w:r>
        <w:rPr>
          <w:rFonts w:ascii="Arial" w:cs="Arial" w:eastAsia="Arial" w:hAnsi="Arial"/>
          <w:sz w:val="17"/>
          <w:szCs w:val="17"/>
          <w:color w:val="auto"/>
        </w:rPr>
        <w:t>Substantially all of our revenue comes from the sale of iFuse, iFuse-3D, iFuse-TORQ, iFuse Bedrock Granite implants, and related tools and instruments. Therefore, we are dependent on widespread market adoption of iFuse and we will continue to be dependent on the success of this single product family for some time. There can be no assurance that iFuse will maintain a substantial degree of market acceptance among surgeons, patients or healthcare providers. Our failure to successfully grow the market for iFuse and increase our share within that market or any other event impeding our ability to sell iFuse, could adversely affect our results of operations, financial condition and continuing operations.</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If clinical experience with our iFuse Bedrock technique or iFuse Bedrock Granite does not result in positive outcomes for patients, or if clinical trials involving the use of iFuse Bedrock and/or iFuse Bedrock Granite fail to show meaningful patient benefit, sales of our iFuse and/or iFuse Bedrock Granite implants could be adversely impacted.</w:t>
      </w:r>
    </w:p>
    <w:p>
      <w:pPr>
        <w:spacing w:after="0" w:line="208" w:lineRule="exact"/>
        <w:rPr>
          <w:sz w:val="20"/>
          <w:szCs w:val="20"/>
          <w:color w:val="auto"/>
        </w:rPr>
      </w:pPr>
    </w:p>
    <w:p>
      <w:pPr>
        <w:jc w:val="both"/>
        <w:ind w:firstLine="439"/>
        <w:spacing w:after="0" w:line="272" w:lineRule="auto"/>
        <w:rPr>
          <w:sz w:val="20"/>
          <w:szCs w:val="20"/>
          <w:color w:val="auto"/>
        </w:rPr>
      </w:pPr>
      <w:r>
        <w:rPr>
          <w:rFonts w:ascii="Arial" w:cs="Arial" w:eastAsia="Arial" w:hAnsi="Arial"/>
          <w:sz w:val="16"/>
          <w:szCs w:val="16"/>
          <w:color w:val="auto"/>
        </w:rPr>
        <w:t>In November 2018, we introduced our iFuse Bedrock technique, in which spine surgeons place iFuse triangular implants across the sacroiliac joint using a different surgical approach to treat sacroiliac joint dysfunction at the same time they are fusing multiple levels of the spine above and affixing those spinal fusion devices to the pelvis. In April 2019, the FDA cleared promotion of iFuse Bedrock for a broader and more general purpose, to provide additional stability and immobilization of the sacroiliac joint in connection with a thoracolumbar fusion procedure. In May 2022, we introduced iFuse Bedrock Granite, an implant which fuses the sacroiliac joint and attaches to the rods placed in a multi-segment spinal fusion construct, and which is used in substantially similar procedures to the iFuse Bedrock Technique. To date, clinical experience with the iFuse Bedrock technique and with iFuse Bedrock Granite is limited and we have yet to complete a clinical trial to evaluate the iFuse Bedrock technique or the iFuse Bedrock Granite implant. Surgeons do not know if the addition of sacroiliac fusion devices to the implants used to fuse multiple levels of the lumbar spine will result in patient benefit. If surgeons' clinical experience with our implants in these procedures is not positive, or if our clinical trials do not show meaningful benefits to the patients undergoing this procedure, sale of our iFuse implants for this indication could be adversely impacted, which could negatively affect our operations and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maintain our network of direct sales representatives and third-party distributors, we may not be able to generate anticipated sales.</w:t>
      </w:r>
    </w:p>
    <w:p>
      <w:pPr>
        <w:spacing w:after="0" w:line="252" w:lineRule="exact"/>
        <w:rPr>
          <w:sz w:val="20"/>
          <w:szCs w:val="20"/>
          <w:color w:val="auto"/>
        </w:rPr>
      </w:pPr>
    </w:p>
    <w:p>
      <w:pPr>
        <w:jc w:val="both"/>
        <w:ind w:firstLine="439"/>
        <w:spacing w:after="0" w:line="249" w:lineRule="auto"/>
        <w:rPr>
          <w:sz w:val="20"/>
          <w:szCs w:val="20"/>
          <w:color w:val="auto"/>
        </w:rPr>
      </w:pPr>
      <w:r>
        <w:rPr>
          <w:rFonts w:ascii="Arial" w:cs="Arial" w:eastAsia="Arial" w:hAnsi="Arial"/>
          <w:sz w:val="18"/>
          <w:szCs w:val="18"/>
          <w:color w:val="auto"/>
        </w:rPr>
        <w:t>As of September 30, 2022, our U.S. sales force consisted of 85 territory sales managers and 72 clinical support specialists directly employed by us, and 89 third-party distributors. As of September 30, 2022, our international sales force consisted of 18 sales representatives directly employed by us and 30 third-party distributors, which together have had sales in 39 countries through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6" w:name="page47"/>
    <w:bookmarkEnd w:id="46"/>
    <w:p>
      <w:pPr>
        <w:jc w:val="both"/>
        <w:spacing w:after="0" w:line="251" w:lineRule="auto"/>
        <w:rPr>
          <w:sz w:val="20"/>
          <w:szCs w:val="20"/>
          <w:color w:val="auto"/>
        </w:rPr>
      </w:pPr>
      <w:r>
        <w:rPr>
          <w:rFonts w:ascii="Arial" w:cs="Arial" w:eastAsia="Arial" w:hAnsi="Arial"/>
          <w:sz w:val="18"/>
          <w:szCs w:val="18"/>
          <w:color w:val="auto"/>
        </w:rPr>
        <w:t>September 30, 2022. Our operating results are directly dependent upon the sales and marketing efforts of both our direct sales force and of our third-party distributors.</w:t>
      </w:r>
    </w:p>
    <w:p>
      <w:pPr>
        <w:spacing w:after="0" w:line="193" w:lineRule="exact"/>
        <w:rPr>
          <w:sz w:val="20"/>
          <w:szCs w:val="20"/>
          <w:color w:val="auto"/>
        </w:rPr>
      </w:pPr>
    </w:p>
    <w:p>
      <w:pPr>
        <w:jc w:val="both"/>
        <w:ind w:firstLine="439"/>
        <w:spacing w:after="0" w:line="270" w:lineRule="auto"/>
        <w:rPr>
          <w:sz w:val="20"/>
          <w:szCs w:val="20"/>
          <w:color w:val="auto"/>
        </w:rPr>
      </w:pPr>
      <w:r>
        <w:rPr>
          <w:rFonts w:ascii="Arial" w:cs="Arial" w:eastAsia="Arial" w:hAnsi="Arial"/>
          <w:sz w:val="16"/>
          <w:szCs w:val="16"/>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 If our direct sales representatives or third-party distributors fail to adequately promote, market and sell our products or decide to leave or cease to do business with us, our sales could significantly decrease.</w:t>
      </w:r>
    </w:p>
    <w:p>
      <w:pPr>
        <w:spacing w:after="0" w:line="199"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lose the services of key members of our senior management, key advisors or personnel.</w:t>
      </w:r>
    </w:p>
    <w:p>
      <w:pPr>
        <w:spacing w:after="0" w:line="206" w:lineRule="exact"/>
        <w:rPr>
          <w:sz w:val="20"/>
          <w:szCs w:val="20"/>
          <w:color w:val="auto"/>
        </w:rPr>
      </w:pPr>
    </w:p>
    <w:p>
      <w:pPr>
        <w:jc w:val="both"/>
        <w:ind w:firstLine="439"/>
        <w:spacing w:after="0" w:line="241" w:lineRule="auto"/>
        <w:rPr>
          <w:sz w:val="20"/>
          <w:szCs w:val="20"/>
          <w:color w:val="auto"/>
        </w:rPr>
      </w:pPr>
      <w:r>
        <w:rPr>
          <w:rFonts w:ascii="Arial" w:cs="Arial" w:eastAsia="Arial" w:hAnsi="Arial"/>
          <w:sz w:val="18"/>
          <w:szCs w:val="18"/>
          <w:color w:val="auto"/>
        </w:rPr>
        <w:t>We are dependent upon the continued services of key members of our senior management and a limited number of key advisors and personnel.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217" w:lineRule="exact"/>
        <w:rPr>
          <w:sz w:val="20"/>
          <w:szCs w:val="20"/>
          <w:color w:val="auto"/>
        </w:rPr>
      </w:pPr>
    </w:p>
    <w:p>
      <w:pPr>
        <w:jc w:val="both"/>
        <w:ind w:firstLine="639"/>
        <w:spacing w:after="0" w:line="321" w:lineRule="auto"/>
        <w:rPr>
          <w:sz w:val="20"/>
          <w:szCs w:val="20"/>
          <w:color w:val="auto"/>
        </w:rPr>
      </w:pPr>
      <w:r>
        <w:rPr>
          <w:rFonts w:ascii="Arial" w:cs="Arial" w:eastAsia="Arial" w:hAnsi="Arial"/>
          <w:sz w:val="16"/>
          <w:szCs w:val="16"/>
          <w:color w:val="auto"/>
        </w:rPr>
        <w:t>Our business is highly reliant on a base of skilled employees, including those serving in engineering, information technology, operational, strategic marketing and sales functions. Many of these employees have developed specialized skills which are valuable within the medical device and life sciences industry, and, in some cases, in a broader variety of industries. Competition for skilled employees is significant, and some of the labor markets we compete in have experienced tightening in the past year. In addition, rates of employee turnover have increased among our employees, consistent with the rates experienced by other companies in these industries. If these conditions persist, we could experience further turnover among our employees which could become difficult and more costly to manage, adversely impacting our results of operation. Sustained pressure in these labor markets could also cause prevailing wages to rise, which could adversely impact our business, results of operation and financial condition.</w:t>
      </w:r>
    </w:p>
    <w:p>
      <w:pPr>
        <w:spacing w:after="0" w:line="12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i w:val="1"/>
          <w:iCs w:val="1"/>
          <w:color w:val="auto"/>
        </w:rPr>
        <w:t>If use of our products results in adverse events, this may require them to be taken off the market, require them to include safety warnings or otherwise limit their sales.</w:t>
      </w:r>
    </w:p>
    <w:p>
      <w:pPr>
        <w:spacing w:after="0" w:line="179" w:lineRule="exact"/>
        <w:rPr>
          <w:sz w:val="20"/>
          <w:szCs w:val="20"/>
          <w:color w:val="auto"/>
        </w:rPr>
      </w:pPr>
    </w:p>
    <w:p>
      <w:pPr>
        <w:jc w:val="both"/>
        <w:ind w:firstLine="439"/>
        <w:spacing w:after="0" w:line="244" w:lineRule="auto"/>
        <w:rPr>
          <w:sz w:val="20"/>
          <w:szCs w:val="20"/>
          <w:color w:val="auto"/>
        </w:rPr>
      </w:pPr>
      <w:r>
        <w:rPr>
          <w:rFonts w:ascii="Arial" w:cs="Arial" w:eastAsia="Arial" w:hAnsi="Arial"/>
          <w:sz w:val="18"/>
          <w:szCs w:val="18"/>
          <w:color w:val="auto"/>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we or others later identify adverse events caused by our products:</w:t>
      </w:r>
    </w:p>
    <w:p>
      <w:pPr>
        <w:spacing w:after="0" w:line="206" w:lineRule="exact"/>
        <w:rPr>
          <w:sz w:val="20"/>
          <w:szCs w:val="20"/>
          <w:color w:val="auto"/>
        </w:rPr>
      </w:pPr>
    </w:p>
    <w:p>
      <w:pPr>
        <w:ind w:left="720" w:hanging="234"/>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the product may decrease significantly, and we may not achieve the anticipated market share;</w:t>
      </w:r>
    </w:p>
    <w:p>
      <w:pPr>
        <w:spacing w:after="0" w:line="218" w:lineRule="exact"/>
        <w:rPr>
          <w:rFonts w:ascii="Arial" w:cs="Arial" w:eastAsia="Arial" w:hAnsi="Arial"/>
          <w:sz w:val="18"/>
          <w:szCs w:val="18"/>
          <w:color w:val="auto"/>
        </w:rPr>
      </w:pPr>
    </w:p>
    <w:p>
      <w:pPr>
        <w:ind w:left="880" w:hanging="394"/>
        <w:spacing w:after="0" w:line="251" w:lineRule="auto"/>
        <w:tabs>
          <w:tab w:leader="none" w:pos="8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179" w:lineRule="exact"/>
        <w:rPr>
          <w:rFonts w:ascii="Arial" w:cs="Arial" w:eastAsia="Arial" w:hAnsi="Arial"/>
          <w:sz w:val="18"/>
          <w:szCs w:val="18"/>
          <w:color w:val="auto"/>
        </w:rPr>
      </w:pPr>
    </w:p>
    <w:p>
      <w:pPr>
        <w:ind w:left="720" w:hanging="234"/>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implanted or conduct additional clinical trials;</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05" w:lineRule="exact"/>
        <w:rPr>
          <w:rFonts w:ascii="Arial" w:cs="Arial" w:eastAsia="Arial" w:hAnsi="Arial"/>
          <w:sz w:val="18"/>
          <w:szCs w:val="18"/>
          <w:color w:val="auto"/>
        </w:rPr>
      </w:pPr>
    </w:p>
    <w:p>
      <w:pPr>
        <w:ind w:left="880" w:hanging="394"/>
        <w:spacing w:after="0" w:line="251" w:lineRule="auto"/>
        <w:tabs>
          <w:tab w:leader="none" w:pos="8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us to temporarily or permanently take our approved product off the market or to conduct other field safety corrective actions;</w:t>
      </w:r>
    </w:p>
    <w:p>
      <w:pPr>
        <w:sectPr>
          <w:pgSz w:w="11900" w:h="16838" w:orient="portrait"/>
          <w:cols w:equalWidth="0" w:num="1">
            <w:col w:w="11240"/>
          </w:cols>
          <w:pgMar w:left="320" w:top="9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type w:val="continuous"/>
        </w:sectPr>
      </w:pPr>
    </w:p>
    <w:bookmarkStart w:id="47" w:name="page48"/>
    <w:bookmarkEnd w:id="47"/>
    <w:p>
      <w:pPr>
        <w:ind w:left="720" w:hanging="234"/>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modify our product;</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subject to litigation fines or product liability claims; and</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06" w:lineRule="exact"/>
        <w:rPr>
          <w:sz w:val="20"/>
          <w:szCs w:val="20"/>
          <w:color w:val="auto"/>
        </w:rPr>
      </w:pPr>
    </w:p>
    <w:p>
      <w:pPr>
        <w:jc w:val="both"/>
        <w:ind w:firstLine="439"/>
        <w:spacing w:after="0" w:line="280"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i w:val="1"/>
          <w:iCs w:val="1"/>
          <w:color w:val="auto"/>
        </w:rPr>
        <w:t>Unfavorable media reports or other negative publicity concerning both alleged improper methods of tissue recovery from donors and disease transmission from donated tissue could limit widespread acceptance of some of our products.</w:t>
      </w:r>
    </w:p>
    <w:p>
      <w:pPr>
        <w:spacing w:after="0" w:line="206" w:lineRule="exact"/>
        <w:rPr>
          <w:sz w:val="20"/>
          <w:szCs w:val="20"/>
          <w:color w:val="auto"/>
        </w:rPr>
      </w:pPr>
    </w:p>
    <w:p>
      <w:pPr>
        <w:jc w:val="both"/>
        <w:ind w:firstLine="399"/>
        <w:spacing w:after="0" w:line="241" w:lineRule="auto"/>
        <w:rPr>
          <w:sz w:val="20"/>
          <w:szCs w:val="20"/>
          <w:color w:val="auto"/>
        </w:rPr>
      </w:pPr>
      <w:r>
        <w:rPr>
          <w:rFonts w:ascii="Arial" w:cs="Arial" w:eastAsia="Arial" w:hAnsi="Arial"/>
          <w:sz w:val="18"/>
          <w:szCs w:val="18"/>
          <w:color w:val="auto"/>
        </w:rPr>
        <w:t>We introduced iFuse Bone, an implantable bone product manufactured from sterilized recovered cadaveric bone tissue, to meet the demand of some of our surgeon customers to use implantable bone products to support and augment the patient's own bone tissue in orthopedic procedures. Unfavorable reports of improper or illegal tissue recovery practices, both in the United States and internationally, as well as incidents of improperly processed tissue leading to the transmission of disease, may affect the rate of future tissue donation and market acceptance of technologies incorporating human tissue. In addition, negative publicity could cause the families of potential donors to become reluctant to donate tissue to for-profit tissue processors. These reports could have a negative effect on sales of iFuse Bone.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Various factors outside our direct control may adversely affect manufacturing, sterilization, and distribution of our products.</w:t>
      </w:r>
    </w:p>
    <w:p>
      <w:pPr>
        <w:spacing w:after="0" w:line="219" w:lineRule="exact"/>
        <w:rPr>
          <w:sz w:val="20"/>
          <w:szCs w:val="20"/>
          <w:color w:val="auto"/>
        </w:rPr>
      </w:pPr>
    </w:p>
    <w:p>
      <w:pPr>
        <w:jc w:val="both"/>
        <w:ind w:firstLine="439"/>
        <w:spacing w:after="0" w:line="241" w:lineRule="auto"/>
        <w:rPr>
          <w:sz w:val="20"/>
          <w:szCs w:val="20"/>
          <w:color w:val="auto"/>
        </w:rPr>
      </w:pPr>
      <w:r>
        <w:rPr>
          <w:rFonts w:ascii="Arial" w:cs="Arial" w:eastAsia="Arial" w:hAnsi="Arial"/>
          <w:sz w:val="18"/>
          <w:szCs w:val="18"/>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202" w:lineRule="exact"/>
        <w:rPr>
          <w:sz w:val="20"/>
          <w:szCs w:val="20"/>
          <w:color w:val="auto"/>
        </w:rPr>
      </w:pPr>
    </w:p>
    <w:p>
      <w:pPr>
        <w:ind w:left="720" w:hanging="234"/>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complete sterilization on time or in compliance with the required regulatory standards;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transportation and import and export risk;</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analytical results or failure of analytical techniques that we depend on for quality control and release of products;</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large-scale epidemics of communicable diseases such as COVID-19;</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supply chain disruptions, including those caused by material and labor supply shortages in the wake of COVID-19;</w:t>
      </w:r>
    </w:p>
    <w:p>
      <w:pPr>
        <w:spacing w:after="0" w:line="205" w:lineRule="exact"/>
        <w:rPr>
          <w:rFonts w:ascii="Arial" w:cs="Arial" w:eastAsia="Arial" w:hAnsi="Arial"/>
          <w:sz w:val="18"/>
          <w:szCs w:val="18"/>
          <w:color w:val="auto"/>
        </w:rPr>
      </w:pPr>
    </w:p>
    <w:p>
      <w:pPr>
        <w:ind w:left="880" w:hanging="394"/>
        <w:spacing w:after="0" w:line="266" w:lineRule="auto"/>
        <w:tabs>
          <w:tab w:leader="none" w:pos="7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disasters, labor disputes, financial distress, raw material availability, issues with facilities and equipment, or other forms of disruption to business operations affecting our manufacturers or suppliers; and</w:t>
      </w:r>
    </w:p>
    <w:p>
      <w:pPr>
        <w:spacing w:after="0" w:line="166" w:lineRule="exact"/>
        <w:rPr>
          <w:rFonts w:ascii="Arial" w:cs="Arial" w:eastAsia="Arial" w:hAnsi="Arial"/>
          <w:sz w:val="18"/>
          <w:szCs w:val="18"/>
          <w:color w:val="auto"/>
        </w:rPr>
      </w:pPr>
    </w:p>
    <w:p>
      <w:pPr>
        <w:ind w:left="880" w:right="500" w:hanging="394"/>
        <w:spacing w:after="0" w:line="251"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latent defects that may become apparent after products have been released and that may result in a recall or field safety corrective action with respect to such products.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risks were to materialize, our ability to provide our products to customers on a timely basis could be adversely impacted.</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181" w:lineRule="exact"/>
        <w:rPr>
          <w:sz w:val="20"/>
          <w:szCs w:val="20"/>
          <w:color w:val="auto"/>
        </w:rPr>
      </w:pPr>
    </w:p>
    <w:p>
      <w:pPr>
        <w:jc w:val="both"/>
        <w:ind w:firstLine="439"/>
        <w:spacing w:after="0" w:line="258" w:lineRule="auto"/>
        <w:rPr>
          <w:sz w:val="20"/>
          <w:szCs w:val="20"/>
          <w:color w:val="auto"/>
        </w:rPr>
      </w:pPr>
      <w:r>
        <w:rPr>
          <w:rFonts w:ascii="Arial" w:cs="Arial" w:eastAsia="Arial" w:hAnsi="Arial"/>
          <w:sz w:val="17"/>
          <w:szCs w:val="17"/>
          <w:color w:val="auto"/>
        </w:rPr>
        <w:t>We rely on third-party suppliers to manufacture and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including our implants, from a single supplier. Therefore, we cannot assure investors that we will be able to obtain sufficient quantities of product in the future.</w:t>
      </w:r>
    </w:p>
    <w:p>
      <w:pPr>
        <w:spacing w:after="0" w:line="174"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In addition, future growth could strain the ability of our suppliers to deliver products, materials, and components. Suppliers often experience difficulties in scaling up production, including financial issues, or problems with production yields and quality</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control and assurance. For example, from time to time, we have experienced certain delays and may experience delays from our suppliers in the future.</w:t>
      </w:r>
    </w:p>
    <w:p>
      <w:pPr>
        <w:spacing w:after="0" w:line="229" w:lineRule="exact"/>
        <w:rPr>
          <w:sz w:val="20"/>
          <w:szCs w:val="20"/>
          <w:color w:val="auto"/>
        </w:rPr>
      </w:pPr>
    </w:p>
    <w:p>
      <w:pPr>
        <w:ind w:firstLine="439"/>
        <w:spacing w:after="0" w:line="266" w:lineRule="auto"/>
        <w:rPr>
          <w:sz w:val="20"/>
          <w:szCs w:val="20"/>
          <w:color w:val="auto"/>
        </w:rPr>
      </w:pPr>
      <w:r>
        <w:rPr>
          <w:rFonts w:ascii="Arial" w:cs="Arial" w:eastAsia="Arial" w:hAnsi="Arial"/>
          <w:sz w:val="18"/>
          <w:szCs w:val="18"/>
          <w:color w:val="auto"/>
        </w:rPr>
        <w:t>We generally use a small number of suppliers for our instruments and currently rely on RMS for iFuse-3D implants and Orchid for iFuse implants. Our dependence on such a limited number of suppliers exposes us to risks, including, among other things:</w:t>
      </w:r>
    </w:p>
    <w:p>
      <w:pPr>
        <w:spacing w:after="0" w:line="167" w:lineRule="exact"/>
        <w:rPr>
          <w:sz w:val="20"/>
          <w:szCs w:val="20"/>
          <w:color w:val="auto"/>
        </w:rPr>
      </w:pPr>
    </w:p>
    <w:p>
      <w:pPr>
        <w:ind w:left="880" w:hanging="394"/>
        <w:spacing w:after="0" w:line="251" w:lineRule="auto"/>
        <w:tabs>
          <w:tab w:leader="none" w:pos="8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192" w:lineRule="exact"/>
        <w:rPr>
          <w:rFonts w:ascii="Arial" w:cs="Arial" w:eastAsia="Arial" w:hAnsi="Arial"/>
          <w:sz w:val="18"/>
          <w:szCs w:val="18"/>
          <w:color w:val="auto"/>
        </w:rPr>
      </w:pPr>
    </w:p>
    <w:p>
      <w:pPr>
        <w:ind w:left="880" w:hanging="394"/>
        <w:spacing w:after="0" w:line="280" w:lineRule="auto"/>
        <w:tabs>
          <w:tab w:leader="none" w:pos="72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third-party contract manufacturers or suppliers may fail to maintain good manufacturing practices, leading to quality control problems or regulatory findings that could cause disruptions in their manufacturing processes and lead to delays in shipments of our products;</w:t>
      </w:r>
    </w:p>
    <w:p>
      <w:pPr>
        <w:spacing w:after="0" w:line="156" w:lineRule="exact"/>
        <w:rPr>
          <w:rFonts w:ascii="Arial" w:cs="Arial" w:eastAsia="Arial" w:hAnsi="Arial"/>
          <w:sz w:val="17"/>
          <w:szCs w:val="17"/>
          <w:color w:val="auto"/>
        </w:rPr>
      </w:pPr>
    </w:p>
    <w:p>
      <w:pPr>
        <w:ind w:left="880" w:hanging="394"/>
        <w:spacing w:after="0" w:line="266" w:lineRule="auto"/>
        <w:tabs>
          <w:tab w:leader="none" w:pos="777"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166" w:lineRule="exact"/>
        <w:rPr>
          <w:rFonts w:ascii="Arial" w:cs="Arial" w:eastAsia="Arial" w:hAnsi="Arial"/>
          <w:sz w:val="18"/>
          <w:szCs w:val="18"/>
          <w:color w:val="auto"/>
        </w:rPr>
      </w:pPr>
    </w:p>
    <w:p>
      <w:pPr>
        <w:ind w:left="880" w:hanging="394"/>
        <w:spacing w:after="0" w:line="251" w:lineRule="auto"/>
        <w:tabs>
          <w:tab w:leader="none" w:pos="7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be subject to price fluctuations due to a lack of long-term supply arrangements for key components;</w:t>
      </w:r>
    </w:p>
    <w:p>
      <w:pPr>
        <w:spacing w:after="0" w:line="192" w:lineRule="exact"/>
        <w:rPr>
          <w:rFonts w:ascii="Arial" w:cs="Arial" w:eastAsia="Arial" w:hAnsi="Arial"/>
          <w:sz w:val="18"/>
          <w:szCs w:val="18"/>
          <w:color w:val="auto"/>
        </w:rPr>
      </w:pPr>
    </w:p>
    <w:p>
      <w:pPr>
        <w:ind w:left="880" w:hanging="394"/>
        <w:spacing w:after="0" w:line="280" w:lineRule="auto"/>
        <w:tabs>
          <w:tab w:leader="none" w:pos="78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or our third-party manufacturers and suppliers may lose access to critical services, raw materials and components, or experience significant delays in obtaining them, resulting in an interruption in the manufacture, assembly and shipment of our systems;</w:t>
      </w:r>
    </w:p>
    <w:p>
      <w:pPr>
        <w:spacing w:after="0" w:line="156" w:lineRule="exact"/>
        <w:rPr>
          <w:rFonts w:ascii="Arial" w:cs="Arial" w:eastAsia="Arial" w:hAnsi="Arial"/>
          <w:sz w:val="17"/>
          <w:szCs w:val="17"/>
          <w:color w:val="auto"/>
        </w:rPr>
      </w:pPr>
    </w:p>
    <w:p>
      <w:pPr>
        <w:ind w:left="880" w:hanging="394"/>
        <w:spacing w:after="0" w:line="296" w:lineRule="auto"/>
        <w:tabs>
          <w:tab w:leader="none" w:pos="734"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or our third-party manufacturers could experience plant closures due to local epidemics of communicable diseases, such as COVID-19, or local outbreaks of such diseases among their workforce, thereby shuttering a plant in which our products are manufactured;</w:t>
      </w:r>
    </w:p>
    <w:p>
      <w:pPr>
        <w:spacing w:after="0" w:line="143" w:lineRule="exact"/>
        <w:rPr>
          <w:rFonts w:ascii="Arial" w:cs="Arial" w:eastAsia="Arial" w:hAnsi="Arial"/>
          <w:sz w:val="17"/>
          <w:szCs w:val="17"/>
          <w:color w:val="auto"/>
        </w:rPr>
      </w:pPr>
    </w:p>
    <w:p>
      <w:pPr>
        <w:ind w:left="720" w:hanging="234"/>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experience delays in delivery by our third-party manufacturers and suppliers due to changes in demand from us or their other customers;</w:t>
      </w:r>
    </w:p>
    <w:p>
      <w:pPr>
        <w:spacing w:after="0" w:line="228" w:lineRule="exact"/>
        <w:rPr>
          <w:rFonts w:ascii="Arial" w:cs="Arial" w:eastAsia="Arial" w:hAnsi="Arial"/>
          <w:sz w:val="16"/>
          <w:szCs w:val="16"/>
          <w:color w:val="auto"/>
        </w:rPr>
      </w:pPr>
    </w:p>
    <w:p>
      <w:pPr>
        <w:ind w:left="880" w:hanging="394"/>
        <w:spacing w:after="0" w:line="266" w:lineRule="auto"/>
        <w:tabs>
          <w:tab w:leader="none" w:pos="7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demand for products that our third-party manufacturers and suppliers manufacture for others may affect their ability or willingness to deliver components to us in a timely manner;</w:t>
      </w:r>
    </w:p>
    <w:p>
      <w:pPr>
        <w:spacing w:after="0" w:line="166" w:lineRule="exact"/>
        <w:rPr>
          <w:rFonts w:ascii="Arial" w:cs="Arial" w:eastAsia="Arial" w:hAnsi="Arial"/>
          <w:sz w:val="18"/>
          <w:szCs w:val="18"/>
          <w:color w:val="auto"/>
        </w:rPr>
      </w:pPr>
    </w:p>
    <w:p>
      <w:pPr>
        <w:ind w:left="720" w:hanging="234"/>
        <w:spacing w:after="0"/>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third-party manufacturers and suppliers may wish to discontinue supplying components or services to us for risk management reasons;</w:t>
      </w:r>
    </w:p>
    <w:p>
      <w:pPr>
        <w:spacing w:after="0" w:line="217" w:lineRule="exact"/>
        <w:rPr>
          <w:rFonts w:ascii="Arial" w:cs="Arial" w:eastAsia="Arial" w:hAnsi="Arial"/>
          <w:sz w:val="17"/>
          <w:szCs w:val="17"/>
          <w:color w:val="auto"/>
        </w:rPr>
      </w:pPr>
    </w:p>
    <w:p>
      <w:pPr>
        <w:ind w:left="880" w:hanging="394"/>
        <w:spacing w:after="0" w:line="266" w:lineRule="auto"/>
        <w:tabs>
          <w:tab w:leader="none" w:pos="813"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find new or alternative components or reconfigure our system and manufacturing processes in a timely manner if the necessary components become unavailable; and</w:t>
      </w:r>
    </w:p>
    <w:p>
      <w:pPr>
        <w:spacing w:after="0" w:line="166" w:lineRule="exact"/>
        <w:rPr>
          <w:rFonts w:ascii="Arial" w:cs="Arial" w:eastAsia="Arial" w:hAnsi="Arial"/>
          <w:sz w:val="18"/>
          <w:szCs w:val="18"/>
          <w:color w:val="auto"/>
        </w:rPr>
      </w:pPr>
    </w:p>
    <w:p>
      <w:pPr>
        <w:ind w:left="880" w:hanging="394"/>
        <w:spacing w:after="0" w:line="251" w:lineRule="auto"/>
        <w:tabs>
          <w:tab w:leader="none" w:pos="7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third-party manufacturers and suppliers may encounter financial hardships unrelated to our demand, which could inhibit their ability to fulfill our orders and meet our requirements.</w:t>
      </w:r>
    </w:p>
    <w:p>
      <w:pPr>
        <w:spacing w:after="0" w:line="193" w:lineRule="exact"/>
        <w:rPr>
          <w:sz w:val="20"/>
          <w:szCs w:val="20"/>
          <w:color w:val="auto"/>
        </w:rPr>
      </w:pPr>
    </w:p>
    <w:p>
      <w:pPr>
        <w:jc w:val="both"/>
        <w:ind w:firstLine="439"/>
        <w:spacing w:after="0" w:line="243" w:lineRule="auto"/>
        <w:rPr>
          <w:sz w:val="20"/>
          <w:szCs w:val="20"/>
          <w:color w:val="auto"/>
        </w:rPr>
      </w:pPr>
      <w:r>
        <w:rPr>
          <w:rFonts w:ascii="Arial" w:cs="Arial" w:eastAsia="Arial" w:hAnsi="Arial"/>
          <w:sz w:val="18"/>
          <w:szCs w:val="18"/>
          <w:color w:val="auto"/>
        </w:rPr>
        <w:t>If any one or more of these risks materialize, it could significantly increase our costs and impact our ability to meet demand for our products and to launch new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49" w:name="page50"/>
    <w:bookmarkEnd w:id="49"/>
    <w:p>
      <w:pPr>
        <w:jc w:val="both"/>
        <w:ind w:firstLine="439"/>
        <w:spacing w:after="0" w:line="270" w:lineRule="auto"/>
        <w:rPr>
          <w:sz w:val="20"/>
          <w:szCs w:val="20"/>
          <w:color w:val="auto"/>
        </w:rPr>
      </w:pPr>
      <w:r>
        <w:rPr>
          <w:rFonts w:ascii="Arial" w:cs="Arial" w:eastAsia="Arial" w:hAnsi="Arial"/>
          <w:sz w:val="16"/>
          <w:szCs w:val="16"/>
          <w:color w:val="auto"/>
        </w:rPr>
        <w:t>In addition, most of our supply and manufacturing agreements do not have minimum manufacturing or purchase obligations. As such, with many of our suppliers, we have no obligation to buy any given quantity of products, and the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spacing w:after="0" w:line="212" w:lineRule="exact"/>
        <w:rPr>
          <w:sz w:val="20"/>
          <w:szCs w:val="20"/>
          <w:color w:val="auto"/>
        </w:rPr>
      </w:pPr>
    </w:p>
    <w:p>
      <w:pPr>
        <w:jc w:val="both"/>
        <w:ind w:firstLine="439"/>
        <w:spacing w:after="0" w:line="255" w:lineRule="auto"/>
        <w:rPr>
          <w:sz w:val="20"/>
          <w:szCs w:val="20"/>
          <w:color w:val="auto"/>
        </w:rPr>
      </w:pPr>
      <w:r>
        <w:rPr>
          <w:rFonts w:ascii="Arial" w:cs="Arial" w:eastAsia="Arial" w:hAnsi="Arial"/>
          <w:sz w:val="17"/>
          <w:szCs w:val="17"/>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218" w:lineRule="exact"/>
        <w:rPr>
          <w:sz w:val="20"/>
          <w:szCs w:val="20"/>
          <w:color w:val="auto"/>
        </w:rPr>
      </w:pPr>
    </w:p>
    <w:p>
      <w:pPr>
        <w:jc w:val="both"/>
        <w:ind w:firstLine="439"/>
        <w:spacing w:after="0" w:line="274" w:lineRule="auto"/>
        <w:rPr>
          <w:sz w:val="20"/>
          <w:szCs w:val="20"/>
          <w:color w:val="auto"/>
        </w:rPr>
      </w:pPr>
      <w:r>
        <w:rPr>
          <w:rFonts w:ascii="Arial" w:cs="Arial" w:eastAsia="Arial" w:hAnsi="Arial"/>
          <w:sz w:val="16"/>
          <w:szCs w:val="16"/>
          <w:color w:val="auto"/>
        </w:rPr>
        <w:t>We may also have difficulty obtaining similar components from other suppliers that are acceptable to the FDA, our Notified Body and the competent authorities in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204" w:lineRule="exact"/>
        <w:rPr>
          <w:sz w:val="20"/>
          <w:szCs w:val="20"/>
          <w:color w:val="auto"/>
        </w:rPr>
      </w:pPr>
    </w:p>
    <w:p>
      <w:pPr>
        <w:jc w:val="both"/>
        <w:ind w:firstLine="439"/>
        <w:spacing w:after="0" w:line="277" w:lineRule="auto"/>
        <w:rPr>
          <w:sz w:val="20"/>
          <w:szCs w:val="20"/>
          <w:color w:val="auto"/>
        </w:rPr>
      </w:pPr>
      <w:r>
        <w:rPr>
          <w:rFonts w:ascii="Arial" w:cs="Arial" w:eastAsia="Arial" w:hAnsi="Arial"/>
          <w:sz w:val="16"/>
          <w:szCs w:val="16"/>
          <w:color w:val="auto"/>
        </w:rPr>
        <w:t>In addition, each of our third-party suppliers operates at a facility in a single location and substantially all of our inventory of component supplies and finished goods is held at these locations. A local outbreak of COVID-19 cases,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may encounter problems or delays in the assembly of our products or fail to meet certain regulatory requirements which could result in an adverse effect on our business and financial results.</w:t>
      </w:r>
    </w:p>
    <w:p>
      <w:pPr>
        <w:spacing w:after="0" w:line="167" w:lineRule="exact"/>
        <w:rPr>
          <w:sz w:val="20"/>
          <w:szCs w:val="20"/>
          <w:color w:val="auto"/>
        </w:rPr>
      </w:pPr>
    </w:p>
    <w:p>
      <w:pPr>
        <w:jc w:val="both"/>
        <w:ind w:firstLine="439"/>
        <w:spacing w:after="0" w:line="249" w:lineRule="auto"/>
        <w:rPr>
          <w:sz w:val="20"/>
          <w:szCs w:val="20"/>
          <w:color w:val="auto"/>
        </w:rPr>
      </w:pPr>
      <w:r>
        <w:rPr>
          <w:rFonts w:ascii="Arial" w:cs="Arial" w:eastAsia="Arial" w:hAnsi="Arial"/>
          <w:sz w:val="18"/>
          <w:szCs w:val="18"/>
          <w:color w:val="auto"/>
        </w:rPr>
        <w:t>After the impacts of the COVID-19 pandemic subside, 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181" w:lineRule="exact"/>
        <w:rPr>
          <w:sz w:val="20"/>
          <w:szCs w:val="20"/>
          <w:color w:val="auto"/>
        </w:rPr>
      </w:pPr>
    </w:p>
    <w:p>
      <w:pPr>
        <w:ind w:left="720" w:hanging="234"/>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managing production yields;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quality control and assurance;</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component and service availability;</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adequate control policies and procedures;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hiring and retaining qualified personnel; and</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complying with state, federal, and foreign regulations.</w:t>
      </w:r>
    </w:p>
    <w:p>
      <w:pPr>
        <w:spacing w:after="0" w:line="219" w:lineRule="exact"/>
        <w:rPr>
          <w:sz w:val="20"/>
          <w:szCs w:val="20"/>
          <w:color w:val="auto"/>
        </w:rPr>
      </w:pPr>
    </w:p>
    <w:p>
      <w:pPr>
        <w:ind w:firstLine="439"/>
        <w:spacing w:after="0" w:line="280" w:lineRule="auto"/>
        <w:rPr>
          <w:sz w:val="20"/>
          <w:szCs w:val="20"/>
          <w:color w:val="auto"/>
        </w:rPr>
      </w:pPr>
      <w:r>
        <w:rPr>
          <w:rFonts w:ascii="Arial" w:cs="Arial" w:eastAsia="Arial" w:hAnsi="Arial"/>
          <w:sz w:val="17"/>
          <w:szCs w:val="17"/>
          <w:color w:val="auto"/>
        </w:rPr>
        <w:t>If we are unable to satisfy commercial demand for our products due to our inability to assemble and test, our ability to generate revenue would be impaired, market acceptance of our products could be adversely affected and customers may instead purchase or use our competitors’ products.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auto"/>
        </w:rPr>
        <w:t>If we do not enhance and broaden our product offerings through our research and development efforts, we may be unable to compete effectively.</w:t>
      </w:r>
    </w:p>
    <w:p>
      <w:pPr>
        <w:spacing w:after="0" w:line="229" w:lineRule="exact"/>
        <w:rPr>
          <w:sz w:val="20"/>
          <w:szCs w:val="20"/>
          <w:color w:val="auto"/>
        </w:rPr>
      </w:pPr>
    </w:p>
    <w:p>
      <w:pPr>
        <w:jc w:val="both"/>
        <w:ind w:firstLine="439"/>
        <w:spacing w:after="0" w:line="262" w:lineRule="auto"/>
        <w:rPr>
          <w:sz w:val="20"/>
          <w:szCs w:val="20"/>
          <w:color w:val="auto"/>
        </w:rPr>
      </w:pPr>
      <w:r>
        <w:rPr>
          <w:rFonts w:ascii="Arial" w:cs="Arial" w:eastAsia="Arial" w:hAnsi="Arial"/>
          <w:sz w:val="17"/>
          <w:szCs w:val="17"/>
          <w:color w:val="auto"/>
        </w:rPr>
        <w:t>In order to increase our market share in the sacroiliac joint fusion and related markets, we must enhance and broaden our product offerings in response to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171" w:lineRule="exact"/>
        <w:rPr>
          <w:sz w:val="20"/>
          <w:szCs w:val="20"/>
          <w:color w:val="auto"/>
        </w:rPr>
      </w:pPr>
    </w:p>
    <w:p>
      <w:pPr>
        <w:ind w:left="720" w:hanging="234"/>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properly identify and anticipate surgeon and patient needs;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demonstrate the safety and effectiveness of new products; and</w:t>
      </w:r>
    </w:p>
    <w:p>
      <w:pPr>
        <w:spacing w:after="0" w:line="205" w:lineRule="exact"/>
        <w:rPr>
          <w:rFonts w:ascii="Arial" w:cs="Arial" w:eastAsia="Arial" w:hAnsi="Arial"/>
          <w:sz w:val="18"/>
          <w:szCs w:val="18"/>
          <w:color w:val="auto"/>
        </w:rPr>
      </w:pPr>
    </w:p>
    <w:p>
      <w:pPr>
        <w:ind w:left="880" w:right="20" w:hanging="394"/>
        <w:spacing w:after="0" w:line="266" w:lineRule="auto"/>
        <w:tabs>
          <w:tab w:leader="none" w:pos="7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the necessary domestic and international regulatory clearances or approvals and CE Certificates of Conformity for new products or product enhancements.</w:t>
      </w:r>
    </w:p>
    <w:p>
      <w:pPr>
        <w:spacing w:after="0" w:line="167" w:lineRule="exact"/>
        <w:rPr>
          <w:sz w:val="20"/>
          <w:szCs w:val="20"/>
          <w:color w:val="auto"/>
        </w:rPr>
      </w:pPr>
    </w:p>
    <w:p>
      <w:pPr>
        <w:jc w:val="both"/>
        <w:ind w:firstLine="439"/>
        <w:spacing w:after="0" w:line="265" w:lineRule="auto"/>
        <w:rPr>
          <w:sz w:val="20"/>
          <w:szCs w:val="20"/>
          <w:color w:val="auto"/>
        </w:rPr>
      </w:pPr>
      <w:r>
        <w:rPr>
          <w:rFonts w:ascii="Arial" w:cs="Arial" w:eastAsia="Arial" w:hAnsi="Arial"/>
          <w:sz w:val="17"/>
          <w:szCs w:val="17"/>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business could be adversely affected. Our research and development efforts may require a substantial investment of time and resources before we are adequately able to determine the commercial viability of a new product, technology, material, or other innovation. In some cases, following a successful product development effort, we may need to invest substantial resources in surgical instrumentation and implant inventory, prior to launch of the product, and before we understand the demand for such product. If we overestimate the demand for such products and invest too heavily in inventory to support the product line, the additional revenue and product margins may not produce a positive return on such investments, which could cause our financial results to suffer.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required to maintain adequate levels of inventory, the failure of which could consume our resources and reduce our cash flows.</w:t>
      </w:r>
    </w:p>
    <w:p>
      <w:pPr>
        <w:spacing w:after="0" w:line="230" w:lineRule="exact"/>
        <w:rPr>
          <w:sz w:val="20"/>
          <w:szCs w:val="20"/>
          <w:color w:val="auto"/>
        </w:rPr>
      </w:pPr>
    </w:p>
    <w:p>
      <w:pPr>
        <w:jc w:val="both"/>
        <w:ind w:firstLine="439"/>
        <w:spacing w:after="0" w:line="274" w:lineRule="auto"/>
        <w:rPr>
          <w:sz w:val="20"/>
          <w:szCs w:val="20"/>
          <w:color w:val="auto"/>
        </w:rPr>
      </w:pPr>
      <w:r>
        <w:rPr>
          <w:rFonts w:ascii="Arial" w:cs="Arial" w:eastAsia="Arial" w:hAnsi="Arial"/>
          <w:sz w:val="16"/>
          <w:szCs w:val="16"/>
          <w:color w:val="auto"/>
        </w:rPr>
        <w:t>As a result of the need to maintain adequate levels of inventory, we are subject to the risk of inventory obsolescence. Many of our products come in sets, which feature components in a variety of sizes so that the implant or device may be chosen for size based on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addition, as we introduce new implants and instruments with the same intended uses as existing products, the older products may fall out of favor with our customers, causing them to become obsolete.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51" w:name="page52"/>
    <w:bookmarkEnd w:id="51"/>
    <w:p>
      <w:pPr>
        <w:jc w:val="both"/>
        <w:spacing w:after="0" w:line="354" w:lineRule="auto"/>
        <w:rPr>
          <w:sz w:val="20"/>
          <w:szCs w:val="20"/>
          <w:color w:val="auto"/>
        </w:rPr>
      </w:pPr>
      <w:r>
        <w:rPr>
          <w:rFonts w:ascii="Arial" w:cs="Arial" w:eastAsia="Arial" w:hAnsi="Arial"/>
          <w:sz w:val="14"/>
          <w:szCs w:val="14"/>
          <w:b w:val="1"/>
          <w:bCs w:val="1"/>
          <w:i w:val="1"/>
          <w:iCs w:val="1"/>
          <w:color w:val="auto"/>
        </w:rPr>
        <w:t>The size and future growth in the market for iFuse has not been established with precision and may be smaller than we estimate, possibly materially. In addition, we estimate cost savings to the economy and healthcare system as a result of the iFuse procedure based on our market research. If our estimates and projections overestimate the size of this market or these benefits and cost savings, our sales growth may be adversely affected.</w:t>
      </w:r>
    </w:p>
    <w:p>
      <w:pPr>
        <w:spacing w:after="0" w:line="140" w:lineRule="exact"/>
        <w:rPr>
          <w:sz w:val="20"/>
          <w:szCs w:val="20"/>
          <w:color w:val="auto"/>
        </w:rPr>
      </w:pPr>
    </w:p>
    <w:p>
      <w:pPr>
        <w:jc w:val="both"/>
        <w:ind w:firstLine="439"/>
        <w:spacing w:after="0" w:line="254" w:lineRule="auto"/>
        <w:rPr>
          <w:sz w:val="20"/>
          <w:szCs w:val="20"/>
          <w:color w:val="auto"/>
        </w:rPr>
      </w:pPr>
      <w:r>
        <w:rPr>
          <w:rFonts w:ascii="Arial" w:cs="Arial" w:eastAsia="Arial" w:hAnsi="Arial"/>
          <w:sz w:val="17"/>
          <w:szCs w:val="17"/>
          <w:color w:val="auto"/>
        </w:rPr>
        <w:t>We are not aware of an independent third-party study that reliably reports the potential market size for iFuse or cost savings as a result of the iFuse procedure. Therefore, our estimates of the size and potential for future growth in the market for our iFuse products, cost savings to patients, the healthcare system and the economy overall from its use,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sales growth and have an adverse impact on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suffer if we are unable to manage our international business effectively.</w:t>
      </w:r>
    </w:p>
    <w:p>
      <w:pPr>
        <w:spacing w:after="0" w:line="206" w:lineRule="exact"/>
        <w:rPr>
          <w:sz w:val="20"/>
          <w:szCs w:val="20"/>
          <w:color w:val="auto"/>
        </w:rPr>
      </w:pPr>
    </w:p>
    <w:p>
      <w:pPr>
        <w:jc w:val="both"/>
        <w:ind w:firstLine="439"/>
        <w:spacing w:after="0" w:line="238" w:lineRule="auto"/>
        <w:rPr>
          <w:sz w:val="20"/>
          <w:szCs w:val="20"/>
          <w:color w:val="auto"/>
        </w:rPr>
      </w:pPr>
      <w:r>
        <w:rPr>
          <w:rFonts w:ascii="Arial" w:cs="Arial" w:eastAsia="Arial" w:hAnsi="Arial"/>
          <w:sz w:val="18"/>
          <w:szCs w:val="18"/>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(“FCPA”), and the United Kingdom Bribery Act (“UKBA”), anti-boycott laws, anti-money laundering laws, and regulations relating to economic sanctions imposed by the U.S., including the Office of Foreign Asset Control of the U.S. Treasury. Any failure to comply with applicable legal and regulatory obligations in the U.S.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some of the countries in which we sell or plan to sell our products are, to some degree, subject to various risks, including:</w:t>
      </w:r>
    </w:p>
    <w:p>
      <w:pPr>
        <w:spacing w:after="0" w:line="206" w:lineRule="exact"/>
        <w:rPr>
          <w:sz w:val="20"/>
          <w:szCs w:val="20"/>
          <w:color w:val="auto"/>
        </w:rPr>
      </w:pPr>
    </w:p>
    <w:p>
      <w:pPr>
        <w:ind w:left="720" w:hanging="234"/>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exposure to different legal and regulatory standards;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stringent protection of intellectual property;</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inability of the local healthcare system to absorb prices for our product that would enable our business to become profitable in those markets;</w:t>
      </w:r>
    </w:p>
    <w:p>
      <w:pPr>
        <w:spacing w:after="0" w:line="228" w:lineRule="exact"/>
        <w:rPr>
          <w:rFonts w:ascii="Arial" w:cs="Arial" w:eastAsia="Arial" w:hAnsi="Arial"/>
          <w:sz w:val="16"/>
          <w:szCs w:val="16"/>
          <w:color w:val="auto"/>
        </w:rPr>
      </w:pPr>
    </w:p>
    <w:p>
      <w:pPr>
        <w:ind w:left="880" w:right="200" w:hanging="394"/>
        <w:spacing w:after="0" w:line="251"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obstacles to obtaining domestic and foreign export, import, and other governmental approvals, permits, and licenses and compliance with foreign laws;</w:t>
      </w:r>
    </w:p>
    <w:p>
      <w:pPr>
        <w:spacing w:after="0" w:line="192" w:lineRule="exact"/>
        <w:rPr>
          <w:rFonts w:ascii="Arial" w:cs="Arial" w:eastAsia="Arial" w:hAnsi="Arial"/>
          <w:sz w:val="18"/>
          <w:szCs w:val="18"/>
          <w:color w:val="auto"/>
        </w:rPr>
      </w:pPr>
    </w:p>
    <w:p>
      <w:pPr>
        <w:ind w:left="720" w:hanging="234"/>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average selling prices of our implants in most foreign markets;</w:t>
      </w:r>
    </w:p>
    <w:p>
      <w:pPr>
        <w:spacing w:after="0" w:line="205" w:lineRule="exact"/>
        <w:rPr>
          <w:rFonts w:ascii="Arial" w:cs="Arial" w:eastAsia="Arial" w:hAnsi="Arial"/>
          <w:sz w:val="18"/>
          <w:szCs w:val="18"/>
          <w:color w:val="auto"/>
        </w:rPr>
      </w:pPr>
    </w:p>
    <w:p>
      <w:pPr>
        <w:ind w:left="880" w:right="580" w:hanging="394"/>
        <w:spacing w:after="0" w:line="251"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reliance on a more concentrated surgeon base in international markets due to the surgeon acquisition costs relative to the selling price of our implants;</w:t>
      </w:r>
    </w:p>
    <w:p>
      <w:pPr>
        <w:spacing w:after="0" w:line="179" w:lineRule="exact"/>
        <w:rPr>
          <w:rFonts w:ascii="Arial" w:cs="Arial" w:eastAsia="Arial" w:hAnsi="Arial"/>
          <w:sz w:val="18"/>
          <w:szCs w:val="18"/>
          <w:color w:val="auto"/>
        </w:rPr>
      </w:pPr>
    </w:p>
    <w:p>
      <w:pPr>
        <w:ind w:left="720" w:hanging="234"/>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potentially adverse tax consequences and the complexities of foreign value-added tax systems;</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changes in tariffs and trade restrictions;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the repatriation of earnings;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insufficient numbers of patients requiring procedures that use our products;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transportation delays and difficulties of managing international distribution channels;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52" w:name="page53"/>
    <w:bookmarkEnd w:id="52"/>
    <w:p>
      <w:pPr>
        <w:ind w:left="720" w:hanging="234"/>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collection periods and difficulties in collecting receivables from foreign entities;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financing costs;</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currency risks; and</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social, and economic instability and increased security concerns.</w:t>
      </w:r>
    </w:p>
    <w:p>
      <w:pPr>
        <w:spacing w:after="0" w:line="206"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67" w:lineRule="exact"/>
        <w:rPr>
          <w:sz w:val="20"/>
          <w:szCs w:val="20"/>
          <w:color w:val="auto"/>
        </w:rPr>
      </w:pPr>
    </w:p>
    <w:p>
      <w:pPr>
        <w:jc w:val="both"/>
        <w:ind w:firstLine="439"/>
        <w:spacing w:after="0" w:line="249" w:lineRule="auto"/>
        <w:rPr>
          <w:sz w:val="20"/>
          <w:szCs w:val="20"/>
          <w:color w:val="auto"/>
        </w:rPr>
      </w:pPr>
      <w:r>
        <w:rPr>
          <w:rFonts w:ascii="Arial" w:cs="Arial" w:eastAsia="Arial" w:hAnsi="Arial"/>
          <w:sz w:val="18"/>
          <w:szCs w:val="18"/>
          <w:color w:val="auto"/>
        </w:rPr>
        <w:t>Our successful conduct of our international business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the future our products may become obsolete, which would negatively affect operations and financial condition.</w:t>
      </w:r>
    </w:p>
    <w:p>
      <w:pPr>
        <w:spacing w:after="0" w:line="206" w:lineRule="exact"/>
        <w:rPr>
          <w:sz w:val="20"/>
          <w:szCs w:val="20"/>
          <w:color w:val="auto"/>
        </w:rPr>
      </w:pPr>
    </w:p>
    <w:p>
      <w:pPr>
        <w:jc w:val="both"/>
        <w:ind w:firstLine="439"/>
        <w:spacing w:after="0" w:line="241" w:lineRule="auto"/>
        <w:rPr>
          <w:sz w:val="20"/>
          <w:szCs w:val="20"/>
          <w:color w:val="auto"/>
        </w:rPr>
      </w:pPr>
      <w:r>
        <w:rPr>
          <w:rFonts w:ascii="Arial" w:cs="Arial" w:eastAsia="Arial" w:hAnsi="Arial"/>
          <w:sz w:val="18"/>
          <w:szCs w:val="18"/>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changes in technology and the practice of medicine through the development and introduction of new products. Product development involves a high degree of risk and there can be no assurance that our new product development efforts will result in any commercially successful products.</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results of operations, and financial condition could be adversely affected.</w:t>
      </w:r>
    </w:p>
    <w:p>
      <w:pPr>
        <w:spacing w:after="0" w:line="167" w:lineRule="exact"/>
        <w:rPr>
          <w:sz w:val="20"/>
          <w:szCs w:val="20"/>
          <w:color w:val="auto"/>
        </w:rPr>
      </w:pPr>
    </w:p>
    <w:p>
      <w:pPr>
        <w:jc w:val="both"/>
        <w:ind w:right="20" w:firstLine="439"/>
        <w:spacing w:after="0" w:line="251" w:lineRule="auto"/>
        <w:rPr>
          <w:sz w:val="20"/>
          <w:szCs w:val="20"/>
          <w:color w:val="auto"/>
        </w:rPr>
      </w:pPr>
      <w:r>
        <w:rPr>
          <w:rFonts w:ascii="Arial" w:cs="Arial" w:eastAsia="Arial" w:hAnsi="Arial"/>
          <w:sz w:val="18"/>
          <w:szCs w:val="18"/>
          <w:color w:val="auto"/>
        </w:rPr>
        <w:t>The efficient operation of our business depends on our information technology systems. We rely on our information technology systems to effectively manage:</w:t>
      </w:r>
    </w:p>
    <w:p>
      <w:pPr>
        <w:spacing w:after="0" w:line="193" w:lineRule="exact"/>
        <w:rPr>
          <w:sz w:val="20"/>
          <w:szCs w:val="20"/>
          <w:color w:val="auto"/>
        </w:rPr>
      </w:pPr>
    </w:p>
    <w:p>
      <w:pPr>
        <w:ind w:left="720" w:hanging="234"/>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and marketing, accounting, and financial functions;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engineering and product development tasks; and</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research and development data.</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information technology systems are vulnerable to damage or interruption from:</w:t>
      </w:r>
    </w:p>
    <w:p>
      <w:pPr>
        <w:spacing w:after="0" w:line="206" w:lineRule="exact"/>
        <w:rPr>
          <w:sz w:val="20"/>
          <w:szCs w:val="20"/>
          <w:color w:val="auto"/>
        </w:rPr>
      </w:pPr>
    </w:p>
    <w:p>
      <w:pPr>
        <w:ind w:left="720" w:hanging="234"/>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earthquakes, fires, floods, and other natural disasters;</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terrorist attacks and attacks by computer viruses or hackers or breach of our cybersecurity;</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power losses; and</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computer systems, internet, telecommunications, or data network failures.</w:t>
      </w:r>
    </w:p>
    <w:p>
      <w:pPr>
        <w:spacing w:after="0" w:line="219" w:lineRule="exact"/>
        <w:rPr>
          <w:sz w:val="20"/>
          <w:szCs w:val="20"/>
          <w:color w:val="auto"/>
        </w:rPr>
      </w:pPr>
    </w:p>
    <w:p>
      <w:pPr>
        <w:jc w:val="both"/>
        <w:ind w:firstLine="439"/>
        <w:spacing w:after="0" w:line="262" w:lineRule="auto"/>
        <w:rPr>
          <w:sz w:val="20"/>
          <w:szCs w:val="20"/>
          <w:color w:val="auto"/>
        </w:rPr>
      </w:pPr>
      <w:r>
        <w:rPr>
          <w:rFonts w:ascii="Arial" w:cs="Arial" w:eastAsia="Arial" w:hAnsi="Arial"/>
          <w:sz w:val="17"/>
          <w:szCs w:val="17"/>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85" w:lineRule="exact"/>
        <w:rPr>
          <w:sz w:val="20"/>
          <w:szCs w:val="20"/>
          <w:color w:val="auto"/>
        </w:rPr>
      </w:pPr>
    </w:p>
    <w:p>
      <w:pPr>
        <w:jc w:val="both"/>
        <w:ind w:firstLine="439"/>
        <w:spacing w:after="0" w:line="238" w:lineRule="auto"/>
        <w:rPr>
          <w:sz w:val="20"/>
          <w:szCs w:val="20"/>
          <w:color w:val="auto"/>
        </w:rPr>
      </w:pPr>
      <w:r>
        <w:rPr>
          <w:rFonts w:ascii="Arial" w:cs="Arial" w:eastAsia="Arial" w:hAnsi="Arial"/>
          <w:sz w:val="18"/>
          <w:szCs w:val="18"/>
          <w:color w:val="auto"/>
        </w:rPr>
        <w:t>Like other public companies, we have in the past, and could be in the future, subject to instances of phishing attacks on our email systems, other cyber-attacks, industrial espionage, insider threats, computer denial-of-service attacks, computer viruses, ransomware and other malware, wire fraud or other cyber incidents. The techniques used to obtain unauthorized access, or to sabotage systems, are becoming more sophisticated, frequent and adaptive, and therefore we may be unable to anticipate these techniques or to implement adequate preventative measures. Any security breach could result in: the unauthorized publication of our confidential business or proprietary information; the unauthorized release of employee, customer or vendor data and payment information; a loss of</w:t>
      </w:r>
    </w:p>
    <w:p>
      <w:pPr>
        <w:sectPr>
          <w:pgSz w:w="11900" w:h="16838" w:orient="portrait"/>
          <w:cols w:equalWidth="0" w:num="1">
            <w:col w:w="11240"/>
          </w:cols>
          <w:pgMar w:left="320" w:top="9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type w:val="continuous"/>
        </w:sectPr>
      </w:pPr>
    </w:p>
    <w:bookmarkStart w:id="53" w:name="page54"/>
    <w:bookmarkEnd w:id="53"/>
    <w:p>
      <w:pPr>
        <w:jc w:val="both"/>
        <w:spacing w:after="0" w:line="280" w:lineRule="auto"/>
        <w:rPr>
          <w:sz w:val="20"/>
          <w:szCs w:val="20"/>
          <w:color w:val="auto"/>
        </w:rPr>
      </w:pPr>
      <w:r>
        <w:rPr>
          <w:rFonts w:ascii="Arial" w:cs="Arial" w:eastAsia="Arial" w:hAnsi="Arial"/>
          <w:sz w:val="17"/>
          <w:szCs w:val="17"/>
          <w:color w:val="auto"/>
        </w:rPr>
        <w:t>confidence by our customers; damage to our reputation; a disruption to our business; litigation and legal liability; and a negative impact on our future sales. In addition, the cost and operational consequences of implementing further data protection or data restoration measures could be significant.</w:t>
      </w:r>
    </w:p>
    <w:p>
      <w:pPr>
        <w:spacing w:after="0" w:line="170" w:lineRule="exact"/>
        <w:rPr>
          <w:sz w:val="20"/>
          <w:szCs w:val="20"/>
          <w:color w:val="auto"/>
        </w:rPr>
      </w:pPr>
    </w:p>
    <w:p>
      <w:pPr>
        <w:jc w:val="both"/>
        <w:ind w:firstLine="439"/>
        <w:spacing w:after="0" w:line="254" w:lineRule="auto"/>
        <w:rPr>
          <w:sz w:val="20"/>
          <w:szCs w:val="20"/>
          <w:color w:val="auto"/>
        </w:rPr>
      </w:pPr>
      <w:r>
        <w:rPr>
          <w:rFonts w:ascii="Arial" w:cs="Arial" w:eastAsia="Arial" w:hAnsi="Arial"/>
          <w:sz w:val="17"/>
          <w:szCs w:val="17"/>
          <w:color w:val="auto"/>
        </w:rPr>
        <w:t>In addition, we accept payments for many of our sales through credit card transactions, which are handled through third-party payment processors.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processors are breached. 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card payments from our customers, and there may be an adverse impact on our business.</w:t>
      </w:r>
    </w:p>
    <w:p>
      <w:pPr>
        <w:spacing w:after="0" w:line="181" w:lineRule="exact"/>
        <w:rPr>
          <w:sz w:val="20"/>
          <w:szCs w:val="20"/>
          <w:color w:val="auto"/>
        </w:rPr>
      </w:pPr>
    </w:p>
    <w:p>
      <w:pPr>
        <w:jc w:val="both"/>
        <w:ind w:right="20"/>
        <w:spacing w:after="0" w:line="391" w:lineRule="auto"/>
        <w:rPr>
          <w:sz w:val="20"/>
          <w:szCs w:val="20"/>
          <w:color w:val="auto"/>
        </w:rPr>
      </w:pPr>
      <w:r>
        <w:rPr>
          <w:rFonts w:ascii="Arial" w:cs="Arial" w:eastAsia="Arial" w:hAnsi="Arial"/>
          <w:sz w:val="14"/>
          <w:szCs w:val="14"/>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01" w:lineRule="exact"/>
        <w:rPr>
          <w:sz w:val="20"/>
          <w:szCs w:val="20"/>
          <w:color w:val="auto"/>
        </w:rPr>
      </w:pPr>
    </w:p>
    <w:p>
      <w:pPr>
        <w:jc w:val="both"/>
        <w:ind w:firstLine="439"/>
        <w:spacing w:after="0" w:line="241" w:lineRule="auto"/>
        <w:rPr>
          <w:sz w:val="20"/>
          <w:szCs w:val="20"/>
          <w:color w:val="auto"/>
        </w:rPr>
      </w:pPr>
      <w:r>
        <w:rPr>
          <w:rFonts w:ascii="Arial" w:cs="Arial" w:eastAsia="Arial" w:hAnsi="Arial"/>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202" w:lineRule="exact"/>
        <w:rPr>
          <w:sz w:val="20"/>
          <w:szCs w:val="20"/>
          <w:color w:val="auto"/>
        </w:rPr>
      </w:pPr>
    </w:p>
    <w:p>
      <w:pPr>
        <w:ind w:left="720" w:hanging="234"/>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problems assimilating the purchased technologies, products, or business operations;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costs and liabilities associated with acquisitions;</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06"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7"/>
          <w:szCs w:val="17"/>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179" w:lineRule="exact"/>
        <w:rPr>
          <w:sz w:val="20"/>
          <w:szCs w:val="20"/>
          <w:color w:val="auto"/>
        </w:rPr>
      </w:pPr>
    </w:p>
    <w:p>
      <w:pPr>
        <w:jc w:val="both"/>
        <w:ind w:firstLine="439"/>
        <w:spacing w:after="0" w:line="254" w:lineRule="auto"/>
        <w:rPr>
          <w:sz w:val="20"/>
          <w:szCs w:val="20"/>
          <w:color w:val="auto"/>
        </w:rPr>
      </w:pPr>
      <w:r>
        <w:rPr>
          <w:rFonts w:ascii="Arial" w:cs="Arial" w:eastAsia="Arial" w:hAnsi="Arial"/>
          <w:sz w:val="17"/>
          <w:szCs w:val="17"/>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54" w:name="page55"/>
    <w:bookmarkEnd w:id="54"/>
    <w:p>
      <w:pPr>
        <w:jc w:val="both"/>
        <w:ind w:firstLine="439"/>
        <w:spacing w:after="0" w:line="256"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204" w:lineRule="exact"/>
        <w:rPr>
          <w:sz w:val="20"/>
          <w:szCs w:val="20"/>
          <w:color w:val="auto"/>
        </w:rPr>
      </w:pPr>
    </w:p>
    <w:p>
      <w:pPr>
        <w:jc w:val="both"/>
        <w:ind w:firstLine="439"/>
        <w:spacing w:after="0" w:line="254" w:lineRule="auto"/>
        <w:rPr>
          <w:sz w:val="20"/>
          <w:szCs w:val="20"/>
          <w:color w:val="auto"/>
        </w:rPr>
      </w:pPr>
      <w:r>
        <w:rPr>
          <w:rFonts w:ascii="Arial" w:cs="Arial" w:eastAsia="Arial" w:hAnsi="Arial"/>
          <w:sz w:val="17"/>
          <w:szCs w:val="17"/>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term loan contains covenants that may restrict our business and financing activities.</w:t>
      </w:r>
    </w:p>
    <w:p>
      <w:pPr>
        <w:spacing w:after="0" w:line="246" w:lineRule="exact"/>
        <w:rPr>
          <w:sz w:val="20"/>
          <w:szCs w:val="20"/>
          <w:color w:val="auto"/>
        </w:rPr>
      </w:pPr>
    </w:p>
    <w:p>
      <w:pPr>
        <w:jc w:val="both"/>
        <w:ind w:firstLine="439"/>
        <w:spacing w:after="0" w:line="238" w:lineRule="auto"/>
        <w:rPr>
          <w:sz w:val="20"/>
          <w:szCs w:val="20"/>
          <w:color w:val="auto"/>
        </w:rPr>
      </w:pPr>
      <w:r>
        <w:rPr>
          <w:rFonts w:ascii="Arial" w:cs="Arial" w:eastAsia="Arial" w:hAnsi="Arial"/>
          <w:sz w:val="18"/>
          <w:szCs w:val="18"/>
          <w:color w:val="auto"/>
        </w:rPr>
        <w:t>On August 12, 2021, we entered into a Loan and Security Agreement with Silicon Valley Bank (“SVB”), pursuant to which we borrowed $35.0 million pursuant to a term loan (the “SVB Term Loan”). The Loan and Security Agreement with SVB contains customary events of default, including bankruptcy, the failure to make payments when due, the occurrence of a material impairment on SVB's security interest over the collateral, a material adverse change, the occurrence of a default under certain other indebtedness incurred by us or our subsidiaries, the rendering of certain types of judgments against us and our subsidiaries, the revocation of certain government approvals, violation of covenants, and incorrectness of representations and warranties in any material respect.</w:t>
      </w:r>
    </w:p>
    <w:p>
      <w:pPr>
        <w:spacing w:after="0" w:line="233" w:lineRule="exact"/>
        <w:rPr>
          <w:sz w:val="20"/>
          <w:szCs w:val="20"/>
          <w:color w:val="auto"/>
        </w:rPr>
      </w:pPr>
    </w:p>
    <w:p>
      <w:pPr>
        <w:jc w:val="both"/>
        <w:ind w:firstLine="439"/>
        <w:spacing w:after="0" w:line="238" w:lineRule="auto"/>
        <w:rPr>
          <w:sz w:val="20"/>
          <w:szCs w:val="20"/>
          <w:color w:val="auto"/>
        </w:rPr>
      </w:pPr>
      <w:r>
        <w:rPr>
          <w:rFonts w:ascii="Arial" w:cs="Arial" w:eastAsia="Arial" w:hAnsi="Arial"/>
          <w:sz w:val="18"/>
          <w:szCs w:val="18"/>
          <w:color w:val="auto"/>
        </w:rPr>
        <w:t>The SVB Term Loan is secured by substantially all our assets other than our intellectual property. The SVB Term Loan includes affirmative and negative covenants applicable to us and certain of our foreign subsidiaries. The affirmative covenants include, among others, covenants requiring us to maintain our legal existence and governmental compliance, deliver certain financial reports, and maintain insurance coverage. The negative covenants include, among others, restrictions regarding transferring collateral, pledging our intellectual property to other parties, engaging in mergers or acquisitions, paying dividends or making other distributions, incurring indebtedness, transacting with affiliates, and entering into certain investments, in each case subject to certain exceptions.</w:t>
      </w:r>
    </w:p>
    <w:p>
      <w:pPr>
        <w:spacing w:after="0" w:line="233" w:lineRule="exact"/>
        <w:rPr>
          <w:sz w:val="20"/>
          <w:szCs w:val="20"/>
          <w:color w:val="auto"/>
        </w:rPr>
      </w:pPr>
    </w:p>
    <w:p>
      <w:pPr>
        <w:jc w:val="both"/>
        <w:ind w:firstLine="639"/>
        <w:spacing w:after="0" w:line="262" w:lineRule="auto"/>
        <w:rPr>
          <w:sz w:val="20"/>
          <w:szCs w:val="20"/>
          <w:color w:val="auto"/>
        </w:rPr>
      </w:pPr>
      <w:r>
        <w:rPr>
          <w:rFonts w:ascii="Arial" w:cs="Arial" w:eastAsia="Arial" w:hAnsi="Arial"/>
          <w:sz w:val="17"/>
          <w:szCs w:val="17"/>
          <w:color w:val="auto"/>
        </w:rPr>
        <w:t>The covenants in the SVB Term Loan,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our SVB Term Loan to become immediately due and payable.</w:t>
      </w:r>
    </w:p>
    <w:p>
      <w:pPr>
        <w:spacing w:after="0" w:line="198" w:lineRule="exact"/>
        <w:rPr>
          <w:sz w:val="20"/>
          <w:szCs w:val="20"/>
          <w:color w:val="auto"/>
        </w:rPr>
      </w:pPr>
    </w:p>
    <w:p>
      <w:pPr>
        <w:ind w:right="260" w:firstLine="639"/>
        <w:spacing w:after="0" w:line="256" w:lineRule="auto"/>
        <w:rPr>
          <w:sz w:val="20"/>
          <w:szCs w:val="20"/>
          <w:color w:val="auto"/>
        </w:rPr>
      </w:pPr>
      <w:r>
        <w:rPr>
          <w:rFonts w:ascii="Arial" w:cs="Arial" w:eastAsia="Arial" w:hAnsi="Arial"/>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b w:val="1"/>
          <w:bCs w:val="1"/>
          <w:i w:val="1"/>
          <w:iCs w:val="1"/>
          <w:color w:val="auto"/>
        </w:rPr>
        <w:t>We, our suppliers, and our third-party manufacturers are subject to extensive governmental regulation both in the U.S. and abroad, and failure to comply with applicable requirements could cause our business to suffer.</w:t>
      </w:r>
    </w:p>
    <w:p>
      <w:pPr>
        <w:spacing w:after="0" w:line="193" w:lineRule="exact"/>
        <w:rPr>
          <w:sz w:val="20"/>
          <w:szCs w:val="20"/>
          <w:color w:val="auto"/>
        </w:rPr>
      </w:pPr>
    </w:p>
    <w:p>
      <w:pPr>
        <w:ind w:firstLine="439"/>
        <w:spacing w:after="0" w:line="280" w:lineRule="auto"/>
        <w:rPr>
          <w:sz w:val="20"/>
          <w:szCs w:val="20"/>
          <w:color w:val="auto"/>
        </w:rPr>
      </w:pPr>
      <w:r>
        <w:rPr>
          <w:rFonts w:ascii="Arial" w:cs="Arial" w:eastAsia="Arial" w:hAnsi="Arial"/>
          <w:sz w:val="17"/>
          <w:szCs w:val="17"/>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156" w:lineRule="exact"/>
        <w:rPr>
          <w:sz w:val="20"/>
          <w:szCs w:val="20"/>
          <w:color w:val="auto"/>
        </w:rPr>
      </w:pPr>
    </w:p>
    <w:p>
      <w:pPr>
        <w:ind w:left="720" w:hanging="234"/>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trials;</w:t>
      </w:r>
    </w:p>
    <w:p>
      <w:pPr>
        <w:sectPr>
          <w:pgSz w:w="11900" w:h="16838" w:orient="portrait"/>
          <w:cols w:equalWidth="0" w:num="1">
            <w:col w:w="11240"/>
          </w:cols>
          <w:pgMar w:left="320" w:top="7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type w:val="continuous"/>
        </w:sectPr>
      </w:pPr>
    </w:p>
    <w:bookmarkStart w:id="55" w:name="page56"/>
    <w:bookmarkEnd w:id="55"/>
    <w:p>
      <w:pPr>
        <w:ind w:left="720" w:hanging="234"/>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good manufacturing practices requirements;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18" w:lineRule="exact"/>
        <w:rPr>
          <w:rFonts w:ascii="Arial" w:cs="Arial" w:eastAsia="Arial" w:hAnsi="Arial"/>
          <w:sz w:val="18"/>
          <w:szCs w:val="18"/>
          <w:color w:val="auto"/>
        </w:rPr>
      </w:pPr>
    </w:p>
    <w:p>
      <w:pPr>
        <w:ind w:left="880" w:hanging="394"/>
        <w:spacing w:after="0" w:line="251" w:lineRule="auto"/>
        <w:tabs>
          <w:tab w:leader="none" w:pos="7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179" w:lineRule="exact"/>
        <w:rPr>
          <w:rFonts w:ascii="Arial" w:cs="Arial" w:eastAsia="Arial" w:hAnsi="Arial"/>
          <w:sz w:val="18"/>
          <w:szCs w:val="18"/>
          <w:color w:val="auto"/>
        </w:rPr>
      </w:pPr>
    </w:p>
    <w:p>
      <w:pPr>
        <w:ind w:left="720" w:hanging="234"/>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06" w:lineRule="exact"/>
        <w:rPr>
          <w:sz w:val="20"/>
          <w:szCs w:val="20"/>
          <w:color w:val="auto"/>
        </w:rPr>
      </w:pPr>
    </w:p>
    <w:p>
      <w:pPr>
        <w:jc w:val="both"/>
        <w:ind w:firstLine="439"/>
        <w:spacing w:after="0" w:line="249"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181" w:lineRule="exact"/>
        <w:rPr>
          <w:sz w:val="20"/>
          <w:szCs w:val="20"/>
          <w:color w:val="auto"/>
        </w:rPr>
      </w:pPr>
    </w:p>
    <w:p>
      <w:pPr>
        <w:jc w:val="both"/>
        <w:ind w:firstLine="439"/>
        <w:spacing w:after="0" w:line="252" w:lineRule="auto"/>
        <w:rPr>
          <w:sz w:val="20"/>
          <w:szCs w:val="20"/>
          <w:color w:val="auto"/>
        </w:rPr>
      </w:pPr>
      <w:r>
        <w:rPr>
          <w:rFonts w:ascii="Arial" w:cs="Arial" w:eastAsia="Arial" w:hAnsi="Arial"/>
          <w:sz w:val="17"/>
          <w:szCs w:val="17"/>
          <w:color w:val="auto"/>
        </w:rPr>
        <w:t>Before we can market or sell a new regulated product or make a significant modification to an existing product in the U.S., with only limited exceptions, we must obtain either clearance under Section 510(k) of the FDCA for Class II devices or approval of a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spacing w:after="0" w:line="202" w:lineRule="exact"/>
        <w:rPr>
          <w:sz w:val="20"/>
          <w:szCs w:val="20"/>
          <w:color w:val="auto"/>
        </w:rPr>
      </w:pPr>
    </w:p>
    <w:p>
      <w:pPr>
        <w:jc w:val="both"/>
        <w:ind w:firstLine="439"/>
        <w:spacing w:after="0" w:line="254" w:lineRule="auto"/>
        <w:rPr>
          <w:sz w:val="20"/>
          <w:szCs w:val="20"/>
          <w:color w:val="auto"/>
        </w:rPr>
      </w:pPr>
      <w:r>
        <w:rPr>
          <w:rFonts w:ascii="Arial" w:cs="Arial" w:eastAsia="Arial" w:hAnsi="Arial"/>
          <w:sz w:val="17"/>
          <w:szCs w:val="17"/>
          <w:color w:val="auto"/>
        </w:rPr>
        <w:t>In the U.S.,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206" w:lineRule="exact"/>
        <w:rPr>
          <w:sz w:val="20"/>
          <w:szCs w:val="20"/>
          <w:color w:val="auto"/>
        </w:rPr>
      </w:pPr>
    </w:p>
    <w:p>
      <w:pPr>
        <w:ind w:left="720" w:hanging="234"/>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demonstrate to the FDA’s satisfaction that our products are safe and effective for their intended uses;</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 and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56" w:name="page57"/>
    <w:bookmarkEnd w:id="56"/>
    <w:p>
      <w:pPr>
        <w:ind w:left="480"/>
        <w:spacing w:after="0"/>
        <w:tabs>
          <w:tab w:leader="none" w:pos="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manufacturing process or facilities we use may not meet applicable requirements.</w:t>
      </w:r>
    </w:p>
    <w:p>
      <w:pPr>
        <w:spacing w:after="0" w:line="206" w:lineRule="exact"/>
        <w:rPr>
          <w:sz w:val="20"/>
          <w:szCs w:val="20"/>
          <w:color w:val="auto"/>
        </w:rPr>
      </w:pPr>
    </w:p>
    <w:p>
      <w:pPr>
        <w:jc w:val="both"/>
        <w:ind w:firstLine="439"/>
        <w:spacing w:after="0" w:line="249"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81"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w:t>
      </w:r>
    </w:p>
    <w:p>
      <w:pPr>
        <w:spacing w:after="0" w:line="167" w:lineRule="exact"/>
        <w:rPr>
          <w:sz w:val="20"/>
          <w:szCs w:val="20"/>
          <w:color w:val="auto"/>
        </w:rPr>
      </w:pPr>
    </w:p>
    <w:p>
      <w:pPr>
        <w:jc w:val="both"/>
        <w:ind w:firstLine="439"/>
        <w:spacing w:after="0" w:line="243" w:lineRule="auto"/>
        <w:rPr>
          <w:sz w:val="20"/>
          <w:szCs w:val="20"/>
          <w:color w:val="auto"/>
        </w:rPr>
      </w:pPr>
      <w:r>
        <w:rPr>
          <w:rFonts w:ascii="Arial" w:cs="Arial" w:eastAsia="Arial" w:hAnsi="Arial"/>
          <w:sz w:val="18"/>
          <w:szCs w:val="18"/>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U.S.</w:t>
      </w:r>
    </w:p>
    <w:p>
      <w:pPr>
        <w:spacing w:after="0" w:line="187" w:lineRule="exact"/>
        <w:rPr>
          <w:sz w:val="20"/>
          <w:szCs w:val="20"/>
          <w:color w:val="auto"/>
        </w:rPr>
      </w:pPr>
    </w:p>
    <w:p>
      <w:pPr>
        <w:jc w:val="both"/>
        <w:ind w:firstLine="439"/>
        <w:spacing w:after="0" w:line="254" w:lineRule="auto"/>
        <w:rPr>
          <w:sz w:val="20"/>
          <w:szCs w:val="20"/>
          <w:color w:val="auto"/>
        </w:rPr>
      </w:pPr>
      <w:r>
        <w:rPr>
          <w:rFonts w:ascii="Arial" w:cs="Arial" w:eastAsia="Arial" w:hAnsi="Arial"/>
          <w:sz w:val="17"/>
          <w:szCs w:val="17"/>
          <w:color w:val="auto"/>
        </w:rPr>
        <w:t>In the EEA, a single regulatory approval process exists, and conformity with its requirements is required to affix a CE mark to our medical devices, without which they cannot be marketed or sold in the EEA. To obtain a CE mark, defined products must meet minimum standards of performance, safety, and quality, and then, according to their classification, undergo a conformity assessment procedure. Except for low risk medical devices, a conformity assessment procedure requires the intervention of a third-party organization designated by the competent authorities of a EEA country, known as a Notified Body. The competent authorities of the E.U. countries separately regulate the clinical research for medical devices and the market surveillance of products once they are placed on the market. A new Medical Device Regulation was published by the E.U. in 2017 and became effective on May 26, 2021. Medical devices marketed in the EEA will require certification according to these new requirements, except that devices with valid CE certificates, issued pursuant to the Medical Device Directives before May 2020, can be placed on the market until May 2024. The new EU MDR includes significant additional premarket and post-market requirements. Penalties for regulatory non-compliance could be severe, including fines and revocation or suspension of a company’s business license, mandatory price reductions and criminal sanctions.</w:t>
      </w:r>
    </w:p>
    <w:p>
      <w:pPr>
        <w:spacing w:after="0" w:line="194" w:lineRule="exact"/>
        <w:rPr>
          <w:sz w:val="20"/>
          <w:szCs w:val="20"/>
          <w:color w:val="auto"/>
        </w:rPr>
      </w:pPr>
    </w:p>
    <w:p>
      <w:pPr>
        <w:jc w:val="both"/>
        <w:ind w:firstLine="439"/>
        <w:spacing w:after="0" w:line="241" w:lineRule="auto"/>
        <w:rPr>
          <w:sz w:val="20"/>
          <w:szCs w:val="20"/>
          <w:color w:val="auto"/>
        </w:rPr>
      </w:pPr>
      <w:r>
        <w:rPr>
          <w:rFonts w:ascii="Arial" w:cs="Arial" w:eastAsia="Arial" w:hAnsi="Arial"/>
          <w:sz w:val="18"/>
          <w:szCs w:val="18"/>
          <w:color w:val="auto"/>
        </w:rPr>
        <w:t>The FDA and other regulatory authorities, including foreign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w:t>
      </w:r>
    </w:p>
    <w:p>
      <w:pPr>
        <w:spacing w:after="0" w:line="206" w:lineRule="exact"/>
        <w:rPr>
          <w:sz w:val="20"/>
          <w:szCs w:val="20"/>
          <w:color w:val="auto"/>
        </w:rPr>
      </w:pPr>
    </w:p>
    <w:p>
      <w:pPr>
        <w:ind w:left="720" w:hanging="234"/>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fines;</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of distribution;</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recalls or seizures of products;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the introduction of products into the market;</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facility closures;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refusal of the FDA or our Notified Body or other regulator to grant future clearances or approvals or to issue CE Certificates of Conformity;</w:t>
      </w:r>
    </w:p>
    <w:p>
      <w:pPr>
        <w:spacing w:after="0" w:line="217" w:lineRule="exact"/>
        <w:rPr>
          <w:rFonts w:ascii="Arial" w:cs="Arial" w:eastAsia="Arial" w:hAnsi="Arial"/>
          <w:sz w:val="17"/>
          <w:szCs w:val="17"/>
          <w:color w:val="auto"/>
        </w:rPr>
      </w:pPr>
    </w:p>
    <w:p>
      <w:pPr>
        <w:ind w:left="880" w:hanging="394"/>
        <w:spacing w:after="0" w:line="251" w:lineRule="auto"/>
        <w:tabs>
          <w:tab w:leader="none" w:pos="767"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withdrawals, variation, or suspensions of current clearances or approvals and CE Certificates of Conformity, resulting in prohibitions on sales of our products; and</w:t>
      </w:r>
    </w:p>
    <w:p>
      <w:pPr>
        <w:spacing w:after="0" w:line="192" w:lineRule="exact"/>
        <w:rPr>
          <w:rFonts w:ascii="Arial" w:cs="Arial" w:eastAsia="Arial" w:hAnsi="Arial"/>
          <w:sz w:val="18"/>
          <w:szCs w:val="18"/>
          <w:color w:val="auto"/>
        </w:rPr>
      </w:pPr>
    </w:p>
    <w:p>
      <w:pPr>
        <w:ind w:left="720" w:hanging="234"/>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most serious cases, criminal penalties.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57" w:name="page58"/>
    <w:bookmarkEnd w:id="57"/>
    <w:p>
      <w:pPr>
        <w:jc w:val="both"/>
        <w:ind w:firstLine="439"/>
        <w:spacing w:after="0" w:line="249" w:lineRule="auto"/>
        <w:rPr>
          <w:sz w:val="20"/>
          <w:szCs w:val="20"/>
          <w:color w:val="auto"/>
        </w:rPr>
      </w:pPr>
      <w:r>
        <w:rPr>
          <w:rFonts w:ascii="Arial" w:cs="Arial" w:eastAsia="Arial" w:hAnsi="Arial"/>
          <w:sz w:val="18"/>
          <w:szCs w:val="18"/>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spacing w:after="0" w:line="208"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7"/>
          <w:szCs w:val="17"/>
          <w:color w:val="auto"/>
        </w:rPr>
        <w:t>Healthcare providers, distributors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and government authorities may conclude that our business practices do not comply with applicable fraud and abuse or other healthcare laws and regulations or guidance despite our good faith efforts to comply.</w:t>
      </w:r>
    </w:p>
    <w:p>
      <w:pPr>
        <w:spacing w:after="0" w:line="223" w:lineRule="exact"/>
        <w:rPr>
          <w:sz w:val="20"/>
          <w:szCs w:val="20"/>
          <w:color w:val="auto"/>
        </w:rPr>
      </w:pPr>
    </w:p>
    <w:p>
      <w:pPr>
        <w:jc w:val="both"/>
        <w:ind w:firstLine="439"/>
        <w:spacing w:after="0" w:line="270" w:lineRule="auto"/>
        <w:rPr>
          <w:sz w:val="20"/>
          <w:szCs w:val="20"/>
          <w:color w:val="auto"/>
        </w:rPr>
      </w:pPr>
      <w:r>
        <w:rPr>
          <w:rFonts w:ascii="Arial" w:cs="Arial" w:eastAsia="Arial" w:hAnsi="Arial"/>
          <w:sz w:val="17"/>
          <w:szCs w:val="17"/>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 For example, we are subject to the federal health care Anti-Kickback Statute, the federal civil False Claims Act, the Health Insurance Portability and Accountability Act (“HIPAA”) and the federal Physician Payment Sunshine Act, each of which is described in detail in Item 1 Business - Healthcare Fraud and Abuse” and “-Data Privacy and Security Laws” in our Annual Report on Form 10-K filed with the SEC on March 1, 2022.</w:t>
      </w:r>
    </w:p>
    <w:p>
      <w:pPr>
        <w:spacing w:after="0" w:line="205"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6"/>
          <w:szCs w:val="16"/>
          <w:color w:val="auto"/>
        </w:rPr>
        <w:t>Certain states also have enacted analogous state and foreign law equivalents of each of the above federal laws and certain states may also mandate implementation of corporate compliance programs, require compliance with the industry’s voluntary compliance guidelines, impose restrictions on device manufacturer marketing practices, and/or require tracking and reporting of gifts, compensation, and other remuneration to healthcare professionals and entities. Many of these state laws differ from each other in significant ways and may not have the same effect, thus complicating compliance efforts.</w:t>
      </w:r>
    </w:p>
    <w:p>
      <w:pPr>
        <w:spacing w:after="0" w:line="184" w:lineRule="exact"/>
        <w:rPr>
          <w:sz w:val="20"/>
          <w:szCs w:val="20"/>
          <w:color w:val="auto"/>
        </w:rPr>
      </w:pPr>
    </w:p>
    <w:p>
      <w:pPr>
        <w:jc w:val="both"/>
        <w:ind w:firstLine="639"/>
        <w:spacing w:after="0" w:line="243" w:lineRule="auto"/>
        <w:rPr>
          <w:sz w:val="20"/>
          <w:szCs w:val="20"/>
          <w:color w:val="auto"/>
        </w:rPr>
      </w:pPr>
      <w:r>
        <w:rPr>
          <w:rFonts w:ascii="Arial" w:cs="Arial" w:eastAsia="Arial" w:hAnsi="Arial"/>
          <w:sz w:val="18"/>
          <w:szCs w:val="18"/>
          <w:color w:val="auto"/>
        </w:rPr>
        <w:t>If we or our employees are found to have violated any of the above laws we may be subject to significant administrative, civil and criminal penalties, including imprisonment, exclusion from participation in federal healthcare programs, such as Medicare, Medicaid, and equivalent foreign programs, significant fines, monetary penalties and damages, imposition of compliance obligations and monitoring, the curtailment or restructuring of our operations, and damage to our reputation.</w:t>
      </w:r>
    </w:p>
    <w:p>
      <w:pPr>
        <w:spacing w:after="0" w:line="213" w:lineRule="exact"/>
        <w:rPr>
          <w:sz w:val="20"/>
          <w:szCs w:val="20"/>
          <w:color w:val="auto"/>
        </w:rPr>
      </w:pPr>
    </w:p>
    <w:p>
      <w:pPr>
        <w:jc w:val="both"/>
        <w:ind w:firstLine="444"/>
        <w:spacing w:after="0" w:line="273" w:lineRule="auto"/>
        <w:rPr>
          <w:sz w:val="20"/>
          <w:szCs w:val="20"/>
          <w:color w:val="auto"/>
        </w:rPr>
      </w:pPr>
      <w:r>
        <w:rPr>
          <w:rFonts w:ascii="Arial" w:cs="Arial" w:eastAsia="Arial" w:hAnsi="Arial"/>
          <w:sz w:val="16"/>
          <w:szCs w:val="16"/>
          <w:color w:val="auto"/>
        </w:rPr>
        <w:t>We have entered into consulting agreements and royalty agreements with physicians and healthcare executives, including some who are customers. We also engage in co-marketing arrangements with certain surgeons who use our products. In addition, prior to our IPO, a small number of our current customer surgeons acquired from us less than 1.0% of our current outstanding common stock, which they either purchased in an arm’s length transaction on terms identical to those offered to others or received from us as fair market value consideration for consulting services performed. While all of these transactions were structured to comply with applicable laws, including the federal Anti-Kickback Statute, state anti-kickback laws and other applicable laws, it is possible that regulatory agencies may view these transactions as prohibited arrangements that must be restructured, or discontinued, or for which we could be subject to significant penalties and criminal, civil and administrative liability.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193" w:lineRule="exact"/>
        <w:rPr>
          <w:sz w:val="20"/>
          <w:szCs w:val="20"/>
          <w:color w:val="auto"/>
        </w:rPr>
      </w:pPr>
    </w:p>
    <w:p>
      <w:pPr>
        <w:jc w:val="both"/>
        <w:ind w:firstLine="444"/>
        <w:spacing w:after="0" w:line="272" w:lineRule="auto"/>
        <w:rPr>
          <w:sz w:val="20"/>
          <w:szCs w:val="20"/>
          <w:color w:val="auto"/>
        </w:rPr>
      </w:pPr>
      <w:r>
        <w:rPr>
          <w:rFonts w:ascii="Arial" w:cs="Arial" w:eastAsia="Arial" w:hAnsi="Arial"/>
          <w:sz w:val="16"/>
          <w:szCs w:val="16"/>
          <w:color w:val="auto"/>
        </w:rPr>
        <w:t>Various state and federal regulatory and enforcement agencies continue actively to investigate violations of health care laws and regulations, and the U.S. Congress continues to strengthen the arsenal of enforcement tools. To enforce compliance with the federal laws, the U.S. Department of Justice has continued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deferred or non-prosecution agreement, or corporate integrity agreement. Any such investigation or settlement could increase our costs or otherwise have an adverse effect on our business. Even if we are not determined to have violated these laws, government investigations into these issues typically require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58" w:name="page59"/>
    <w:bookmarkEnd w:id="58"/>
    <w:p>
      <w:pPr>
        <w:jc w:val="both"/>
        <w:spacing w:after="0" w:line="251" w:lineRule="auto"/>
        <w:rPr>
          <w:sz w:val="20"/>
          <w:szCs w:val="20"/>
          <w:color w:val="auto"/>
        </w:rPr>
      </w:pPr>
      <w:r>
        <w:rPr>
          <w:rFonts w:ascii="Arial" w:cs="Arial" w:eastAsia="Arial" w:hAnsi="Arial"/>
          <w:sz w:val="18"/>
          <w:szCs w:val="18"/>
          <w:color w:val="auto"/>
        </w:rPr>
        <w:t>expenditure of significant resources and generate negative publicity, which could harm our financial condition and divert resources and the attention of our management from operating our business.</w:t>
      </w:r>
    </w:p>
    <w:p>
      <w:pPr>
        <w:spacing w:after="0" w:line="219" w:lineRule="exact"/>
        <w:rPr>
          <w:sz w:val="20"/>
          <w:szCs w:val="20"/>
          <w:color w:val="auto"/>
        </w:rPr>
      </w:pPr>
    </w:p>
    <w:p>
      <w:pPr>
        <w:jc w:val="both"/>
        <w:ind w:firstLine="444"/>
        <w:spacing w:after="0" w:line="283" w:lineRule="auto"/>
        <w:rPr>
          <w:sz w:val="20"/>
          <w:szCs w:val="20"/>
          <w:color w:val="auto"/>
        </w:rPr>
      </w:pPr>
      <w:r>
        <w:rPr>
          <w:rFonts w:ascii="Arial" w:cs="Arial" w:eastAsia="Arial" w:hAnsi="Arial"/>
          <w:sz w:val="16"/>
          <w:szCs w:val="16"/>
          <w:color w:val="auto"/>
        </w:rPr>
        <w:t>The scope and enforcement of these laws is uncertain and subject to rapid change. The shifting compliance environment and the need to build and maintain robust and expandable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adequately protect personal information in compliance with evolving legal requirements could harm our business.</w:t>
      </w:r>
    </w:p>
    <w:p>
      <w:pPr>
        <w:spacing w:after="0" w:line="206" w:lineRule="exact"/>
        <w:rPr>
          <w:sz w:val="20"/>
          <w:szCs w:val="20"/>
          <w:color w:val="auto"/>
        </w:rPr>
      </w:pPr>
    </w:p>
    <w:p>
      <w:pPr>
        <w:jc w:val="both"/>
        <w:ind w:firstLine="439"/>
        <w:spacing w:after="0" w:line="250" w:lineRule="auto"/>
        <w:rPr>
          <w:sz w:val="20"/>
          <w:szCs w:val="20"/>
          <w:color w:val="auto"/>
        </w:rPr>
      </w:pPr>
      <w:r>
        <w:rPr>
          <w:rFonts w:ascii="Arial" w:cs="Arial" w:eastAsia="Arial" w:hAnsi="Arial"/>
          <w:sz w:val="18"/>
          <w:szCs w:val="18"/>
          <w:color w:val="auto"/>
        </w:rPr>
        <w:t>In the ordinary course of our business, we collect and store sensitive data, including legally protected personally identifiable information. We collect this kind of information for billing, reimbursement support, marketing purposes, post-marketing safety vigilance, servicing potential warranty claims and during the course of clinical trials. In doing so, we are subject to various federal, state and foreign laws that protect the confidentiality of certain patient health information, including patient medical records, and restrict the use and disclosure of patient health information by healthcare providers, such as HIPAA in the U.S. and regulations in the European Union (“EU”), which are described in detail in Item 1 Business - Data Privacy and Security Laws” in our Annual Report on Form 10-K filed with the SEC on March 1, 2022.</w:t>
      </w:r>
    </w:p>
    <w:p>
      <w:pPr>
        <w:spacing w:after="0" w:line="224" w:lineRule="exact"/>
        <w:rPr>
          <w:sz w:val="20"/>
          <w:szCs w:val="20"/>
          <w:color w:val="auto"/>
        </w:rPr>
      </w:pPr>
    </w:p>
    <w:p>
      <w:pPr>
        <w:jc w:val="both"/>
        <w:ind w:firstLine="439"/>
        <w:spacing w:after="0" w:line="277" w:lineRule="auto"/>
        <w:rPr>
          <w:sz w:val="20"/>
          <w:szCs w:val="20"/>
          <w:color w:val="auto"/>
        </w:rPr>
      </w:pPr>
      <w:r>
        <w:rPr>
          <w:rFonts w:ascii="Arial" w:cs="Arial" w:eastAsia="Arial" w:hAnsi="Arial"/>
          <w:sz w:val="16"/>
          <w:szCs w:val="16"/>
          <w:color w:val="auto"/>
        </w:rPr>
        <w:t>The California Consumer Privacy Act (“CCPA”), which became effective on January 1, 2020, requires a broad range of businesses to honor the requests of California residents to access and require deletion of their personal information, opt out of certain personal information sharing, and receive detailed information about how their personal information is used and shared. The CCPA provides for civil penalties of up to $7,500 for intentional violations, and a private right of action for data breaches that allows private plaintiffs to seek the greater of actual damages or statutory damages of up to $750</w:t>
      </w:r>
    </w:p>
    <w:p>
      <w:pPr>
        <w:spacing w:after="0" w:line="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per consumer per data breach. These remedies are expected to increase data breach litigation. Although the CCPA includes exemptions for certain clinical trials data, and protected health information governed by HIPAA, the law may increase our compliance costs and potential liability with respect to other personal information we collect about California residents. Our compliance costs and potential liability with respect to personal information may also increase in response to other states adopting and considering initiative regarding protection of personal information. In March 2021, Virginia passed the Consumer Data Protection Act (“CDPA”) which will take effect on January 1, 2023. Virginia is the second state to pass comprehensive privacy litigation. Colorado passed the Colorado Privacy Act (“CPA”) on July 7, 2021 with enforcement to begin on July 1, 2023. In 2022, both Utah and Connecticut also enacted comprehensive data privacy legislation. While these laws are similar in certain respects, the laws differ and compliance with one law does not equate to compliance with the other laws. Several other states (including Washington, New York, and Minnesota) also are considering comprehensive privacy legislation that could further complicate and increase the cost of complying with various state privacy laws. If states pass a patchwork of privacy laws, this also could increase pressure on the U.S. Congress to harmonize privacy laws through federal legislation.</w:t>
      </w:r>
    </w:p>
    <w:p>
      <w:pPr>
        <w:spacing w:after="0" w:line="183" w:lineRule="exact"/>
        <w:rPr>
          <w:sz w:val="20"/>
          <w:szCs w:val="20"/>
          <w:color w:val="auto"/>
        </w:rPr>
      </w:pPr>
    </w:p>
    <w:p>
      <w:pPr>
        <w:jc w:val="both"/>
        <w:ind w:firstLine="444"/>
        <w:spacing w:after="0" w:line="264" w:lineRule="auto"/>
        <w:rPr>
          <w:sz w:val="20"/>
          <w:szCs w:val="20"/>
          <w:color w:val="auto"/>
        </w:rPr>
      </w:pPr>
      <w:r>
        <w:rPr>
          <w:rFonts w:ascii="Arial" w:cs="Arial" w:eastAsia="Arial" w:hAnsi="Arial"/>
          <w:sz w:val="16"/>
          <w:szCs w:val="16"/>
          <w:color w:val="auto"/>
        </w:rPr>
        <w:t>We have in the past, and could be in the future, subject to data breaches. 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our operations, financial performance, and business. Evolving and changing definitions of personal data and personal information, within the European Union, the U.S.,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We are subject to risks associated with our non-U.S. operations.</w:t>
      </w:r>
    </w:p>
    <w:p>
      <w:pPr>
        <w:spacing w:after="0" w:line="206" w:lineRule="exact"/>
        <w:rPr>
          <w:sz w:val="20"/>
          <w:szCs w:val="20"/>
          <w:color w:val="auto"/>
        </w:rPr>
      </w:pPr>
    </w:p>
    <w:p>
      <w:pPr>
        <w:jc w:val="both"/>
        <w:ind w:firstLine="439"/>
        <w:spacing w:after="0" w:line="255" w:lineRule="auto"/>
        <w:rPr>
          <w:sz w:val="20"/>
          <w:szCs w:val="20"/>
          <w:color w:val="auto"/>
        </w:rPr>
      </w:pPr>
      <w:r>
        <w:rPr>
          <w:rFonts w:ascii="Arial" w:cs="Arial" w:eastAsia="Arial" w:hAnsi="Arial"/>
          <w:sz w:val="17"/>
          <w:szCs w:val="17"/>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205" w:lineRule="exact"/>
        <w:rPr>
          <w:sz w:val="20"/>
          <w:szCs w:val="20"/>
          <w:color w:val="auto"/>
        </w:rPr>
      </w:pPr>
    </w:p>
    <w:p>
      <w:pPr>
        <w:jc w:val="both"/>
        <w:ind w:firstLine="439"/>
        <w:spacing w:after="0" w:line="239" w:lineRule="auto"/>
        <w:rPr>
          <w:sz w:val="20"/>
          <w:szCs w:val="20"/>
          <w:color w:val="auto"/>
        </w:rPr>
      </w:pPr>
      <w:r>
        <w:rPr>
          <w:rFonts w:ascii="Arial" w:cs="Arial" w:eastAsia="Arial" w:hAnsi="Arial"/>
          <w:sz w:val="18"/>
          <w:szCs w:val="18"/>
          <w:color w:val="auto"/>
        </w:rPr>
        <w:t>Furthermore, we are subject to anti-boycott laws, anti-money laundering laws, and the export controls and economic embargo rules and regulations of the U.S.,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181" w:lineRule="exact"/>
        <w:rPr>
          <w:sz w:val="20"/>
          <w:szCs w:val="20"/>
          <w:color w:val="auto"/>
        </w:rPr>
      </w:pPr>
    </w:p>
    <w:p>
      <w:pPr>
        <w:jc w:val="both"/>
        <w:ind w:firstLine="439"/>
        <w:spacing w:after="0" w:line="258" w:lineRule="auto"/>
        <w:rPr>
          <w:sz w:val="20"/>
          <w:szCs w:val="20"/>
          <w:color w:val="auto"/>
        </w:rPr>
      </w:pPr>
      <w:r>
        <w:rPr>
          <w:rFonts w:ascii="Arial" w:cs="Arial" w:eastAsia="Arial" w:hAnsi="Arial"/>
          <w:sz w:val="17"/>
          <w:szCs w:val="17"/>
          <w:color w:val="auto"/>
        </w:rPr>
        <w:t>For any product for which we obtain regulatory clearance or approval, or a CE Certificate of Conformity,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(“QSR”) and International Standards Organization (“ISO”)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77" w:lineRule="exact"/>
        <w:rPr>
          <w:sz w:val="20"/>
          <w:szCs w:val="20"/>
          <w:color w:val="auto"/>
        </w:rPr>
      </w:pPr>
    </w:p>
    <w:p>
      <w:pPr>
        <w:jc w:val="both"/>
        <w:ind w:firstLine="439"/>
        <w:spacing w:after="0" w:line="296" w:lineRule="auto"/>
        <w:rPr>
          <w:sz w:val="20"/>
          <w:szCs w:val="20"/>
          <w:color w:val="auto"/>
        </w:rPr>
      </w:pPr>
      <w:r>
        <w:rPr>
          <w:rFonts w:ascii="Arial" w:cs="Arial" w:eastAsia="Arial" w:hAnsi="Arial"/>
          <w:sz w:val="17"/>
          <w:szCs w:val="17"/>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143" w:lineRule="exact"/>
        <w:rPr>
          <w:sz w:val="20"/>
          <w:szCs w:val="20"/>
          <w:color w:val="auto"/>
        </w:rPr>
      </w:pPr>
    </w:p>
    <w:p>
      <w:pPr>
        <w:ind w:left="720" w:hanging="234"/>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and civil penalties;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refusing or delaying our requests for 510(k) clearance or premarket approval and conformity assessments of new products or modified products;</w:t>
      </w:r>
    </w:p>
    <w:p>
      <w:pPr>
        <w:spacing w:after="0" w:line="241" w:lineRule="exact"/>
        <w:rPr>
          <w:rFonts w:ascii="Arial" w:cs="Arial" w:eastAsia="Arial" w:hAnsi="Arial"/>
          <w:sz w:val="16"/>
          <w:szCs w:val="16"/>
          <w:color w:val="auto"/>
        </w:rPr>
      </w:pPr>
    </w:p>
    <w:p>
      <w:pPr>
        <w:ind w:left="720" w:hanging="234"/>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the intended uses for which the product may be marketed;</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variation or withdrawal of CE Certificates of Conformity;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60" w:name="page61"/>
    <w:bookmarkEnd w:id="60"/>
    <w:p>
      <w:pPr>
        <w:ind w:left="720" w:hanging="234"/>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and</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9" w:lineRule="exact"/>
        <w:rPr>
          <w:sz w:val="20"/>
          <w:szCs w:val="20"/>
          <w:color w:val="auto"/>
        </w:rPr>
      </w:pPr>
    </w:p>
    <w:p>
      <w:pPr>
        <w:jc w:val="both"/>
        <w:ind w:firstLine="439"/>
        <w:spacing w:after="0" w:line="238" w:lineRule="auto"/>
        <w:rPr>
          <w:sz w:val="20"/>
          <w:szCs w:val="20"/>
          <w:color w:val="auto"/>
        </w:rPr>
      </w:pPr>
      <w:r>
        <w:rPr>
          <w:rFonts w:ascii="Arial" w:cs="Arial" w:eastAsia="Arial" w:hAnsi="Arial"/>
          <w:sz w:val="18"/>
          <w:szCs w:val="18"/>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222" w:lineRule="exact"/>
        <w:rPr>
          <w:sz w:val="20"/>
          <w:szCs w:val="20"/>
          <w:color w:val="auto"/>
        </w:rPr>
      </w:pPr>
    </w:p>
    <w:p>
      <w:pPr>
        <w:jc w:val="both"/>
        <w:ind w:firstLine="439"/>
        <w:spacing w:after="0" w:line="241" w:lineRule="auto"/>
        <w:rPr>
          <w:sz w:val="20"/>
          <w:szCs w:val="20"/>
          <w:color w:val="auto"/>
        </w:rPr>
      </w:pPr>
      <w:r>
        <w:rPr>
          <w:rFonts w:ascii="Arial" w:cs="Arial" w:eastAsia="Arial" w:hAnsi="Arial"/>
          <w:sz w:val="18"/>
          <w:szCs w:val="18"/>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 Any of these actions would harm our reputation and cause our product sales and profitability to suffer and may prevent us from generating revenue.</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167"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7"/>
          <w:szCs w:val="17"/>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state and foreign healthcare laws and regulations, data privacy laws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may be subject to enforcement action, including fines, penalties or injunctions, if we are determined to be engaging in the off-label promotion of our products.</w:t>
      </w:r>
    </w:p>
    <w:p>
      <w:pPr>
        <w:spacing w:after="0" w:line="167" w:lineRule="exact"/>
        <w:rPr>
          <w:sz w:val="20"/>
          <w:szCs w:val="20"/>
          <w:color w:val="auto"/>
        </w:rPr>
      </w:pPr>
    </w:p>
    <w:p>
      <w:pPr>
        <w:jc w:val="both"/>
        <w:ind w:firstLine="439"/>
        <w:spacing w:after="0" w:line="254" w:lineRule="auto"/>
        <w:rPr>
          <w:sz w:val="20"/>
          <w:szCs w:val="20"/>
          <w:color w:val="auto"/>
        </w:rPr>
      </w:pPr>
      <w:r>
        <w:rPr>
          <w:rFonts w:ascii="Arial" w:cs="Arial" w:eastAsia="Arial" w:hAnsi="Arial"/>
          <w:sz w:val="17"/>
          <w:szCs w:val="17"/>
          <w:color w:val="auto"/>
        </w:rPr>
        <w:t>Our promotional materials and training methods must comply with FDA and other applicable national and foreign laws and regulations, including the prohibition of the promotion of off-label use. Physicians may use our products off-label, as the FDA and equivalent third country authorities do not restrict or regulate a physician’s choice of treatment within the practice of medicine. In the U.S., the full indication for the iFuse Implant System is: “The iFuse Implant System is intended for sacroiliac fusion for the following conditions: (i) Sacroiliac joint dysfunction that is a direct result of sacroiliac joint disruption and degenerative sacroiliitis. This includes conditions whose symptoms began during pregnancy or in the peripartum period and have persisted postpartum for more than 6 months. (ii) To augment immobilization and stabilization of the sacroiliac joint in skeletally mature patients undergoing sacropelvic fixation as part of a lumbar or thoracolumbar fusion. (iii) Acute, non-acute, and non-traumatic fractures involving the sacroiliac joint.” In the U.S., our marketing strategies must adhere to the above statements. In all other countries, the indication statement for the iFuse Implant System (including iFuse-3D) more broadly indicates that the device is indicated for sacroiliac joint fusion. The above-described potential limitation in indication statements in the U.S. does not apply in other geographies.</w:t>
      </w:r>
    </w:p>
    <w:p>
      <w:pPr>
        <w:spacing w:after="0" w:line="208" w:lineRule="exact"/>
        <w:rPr>
          <w:sz w:val="20"/>
          <w:szCs w:val="20"/>
          <w:color w:val="auto"/>
        </w:rPr>
      </w:pPr>
    </w:p>
    <w:p>
      <w:pPr>
        <w:jc w:val="both"/>
        <w:ind w:firstLine="439"/>
        <w:spacing w:after="0" w:line="277" w:lineRule="auto"/>
        <w:rPr>
          <w:sz w:val="20"/>
          <w:szCs w:val="20"/>
          <w:color w:val="auto"/>
        </w:rPr>
      </w:pPr>
      <w:r>
        <w:rPr>
          <w:rFonts w:ascii="Arial" w:cs="Arial" w:eastAsia="Arial" w:hAnsi="Arial"/>
          <w:sz w:val="16"/>
          <w:szCs w:val="16"/>
          <w:color w:val="auto"/>
        </w:rPr>
        <w:t>We believe that the specific surgical procedures for which our products are marketed fall within the scope of the surgical applications that have been cleared by the FDA and our notified body. However, if the FDA or an equivalent third country authority determines that our promotional materials or training constitutes promotion of an off-label use, it could request that we modify our training or promotional materials, require us to stop promoting our products for those specific procedures until we obtain FDA or third country authority clearance or approval for them, or subject us to regulatory or enforcement actions, including the issuance of an untitled letter, a warning letter, injunction, seizure, civil fines, and criminal penalties. It is also possible that other federal, state or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61" w:name="page62"/>
    <w:bookmarkEnd w:id="61"/>
    <w:p>
      <w:pPr>
        <w:jc w:val="both"/>
        <w:spacing w:after="0" w:line="239" w:lineRule="auto"/>
        <w:rPr>
          <w:sz w:val="20"/>
          <w:szCs w:val="20"/>
          <w:color w:val="auto"/>
        </w:rPr>
      </w:pPr>
      <w:r>
        <w:rPr>
          <w:rFonts w:ascii="Arial" w:cs="Arial" w:eastAsia="Arial" w:hAnsi="Arial"/>
          <w:sz w:val="18"/>
          <w:szCs w:val="18"/>
          <w:color w:val="auto"/>
        </w:rPr>
        <w:t>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167" w:lineRule="exact"/>
        <w:rPr>
          <w:sz w:val="20"/>
          <w:szCs w:val="20"/>
          <w:color w:val="auto"/>
        </w:rPr>
      </w:pPr>
    </w:p>
    <w:p>
      <w:pPr>
        <w:jc w:val="both"/>
        <w:ind w:firstLine="439"/>
        <w:spacing w:after="0"/>
        <w:rPr>
          <w:sz w:val="20"/>
          <w:szCs w:val="20"/>
          <w:color w:val="auto"/>
        </w:rPr>
      </w:pPr>
      <w:r>
        <w:rPr>
          <w:rFonts w:ascii="Arial" w:cs="Arial" w:eastAsia="Arial" w:hAnsi="Arial"/>
          <w:sz w:val="18"/>
          <w:szCs w:val="18"/>
          <w:color w:val="auto"/>
        </w:rPr>
        <w:t>Under the FDA’s medical device reporting, regulations, and equivalent rules of other countries we are required to report to the FDA or a similar authority in such other country, any information that our product may have caused or contributed to a death or serious injury or in which our product malfunctioned and, if the malfunction were to recur, would likely cause or contribute to death or serious injury. In the EEA, we must report serious incidents and field safety corrective actions through the Commission’s electronic system on vigilance and post-market surveillance, which reports are transmitted to the competent authority of the Member State in which the incident occurred.</w:t>
      </w:r>
    </w:p>
    <w:p>
      <w:pPr>
        <w:spacing w:after="0" w:line="203" w:lineRule="exact"/>
        <w:rPr>
          <w:sz w:val="20"/>
          <w:szCs w:val="20"/>
          <w:color w:val="auto"/>
        </w:rPr>
      </w:pPr>
    </w:p>
    <w:p>
      <w:pPr>
        <w:jc w:val="both"/>
        <w:ind w:firstLine="439"/>
        <w:spacing w:after="0" w:line="238" w:lineRule="auto"/>
        <w:rPr>
          <w:sz w:val="20"/>
          <w:szCs w:val="20"/>
          <w:color w:val="auto"/>
        </w:rPr>
      </w:pPr>
      <w:r>
        <w:rPr>
          <w:rFonts w:ascii="Arial" w:cs="Arial" w:eastAsia="Arial" w:hAnsi="Arial"/>
          <w:sz w:val="18"/>
          <w:szCs w:val="18"/>
          <w:color w:val="auto"/>
        </w:rPr>
        <w:t>If we fail to report these events to the FDA or applicable authority in another country within the required timeframes, or at all, FDA, or the applicable authority in the other country could take enforcement action against us. Any such adverse event involving our products or repeated product malfunctions may result in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206" w:lineRule="exact"/>
        <w:rPr>
          <w:sz w:val="20"/>
          <w:szCs w:val="20"/>
          <w:color w:val="auto"/>
        </w:rPr>
      </w:pPr>
    </w:p>
    <w:p>
      <w:pPr>
        <w:jc w:val="both"/>
        <w:ind w:firstLine="439"/>
        <w:spacing w:after="0" w:line="255" w:lineRule="auto"/>
        <w:rPr>
          <w:sz w:val="20"/>
          <w:szCs w:val="20"/>
          <w:color w:val="auto"/>
        </w:rPr>
      </w:pPr>
      <w:r>
        <w:rPr>
          <w:rFonts w:ascii="Arial" w:cs="Arial" w:eastAsia="Arial" w:hAnsi="Arial"/>
          <w:sz w:val="17"/>
          <w:szCs w:val="17"/>
          <w:color w:val="auto"/>
        </w:rPr>
        <w:t>Any adverse event involving our products, whether in the U.S.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202" w:lineRule="exact"/>
        <w:rPr>
          <w:sz w:val="20"/>
          <w:szCs w:val="20"/>
          <w:color w:val="auto"/>
        </w:rPr>
      </w:pPr>
    </w:p>
    <w:p>
      <w:pPr>
        <w:jc w:val="both"/>
        <w:ind w:firstLine="439"/>
        <w:spacing w:after="0" w:line="241" w:lineRule="auto"/>
        <w:rPr>
          <w:sz w:val="20"/>
          <w:szCs w:val="20"/>
          <w:color w:val="auto"/>
        </w:rPr>
      </w:pPr>
      <w:r>
        <w:rPr>
          <w:rFonts w:ascii="Arial" w:cs="Arial" w:eastAsia="Arial" w:hAnsi="Arial"/>
          <w:sz w:val="18"/>
          <w:szCs w:val="18"/>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228"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7"/>
          <w:szCs w:val="17"/>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222" w:lineRule="exact"/>
        <w:rPr>
          <w:sz w:val="20"/>
          <w:szCs w:val="20"/>
          <w:color w:val="auto"/>
        </w:rPr>
      </w:pPr>
    </w:p>
    <w:p>
      <w:pPr>
        <w:jc w:val="both"/>
        <w:ind w:firstLine="439"/>
        <w:spacing w:after="0" w:line="238" w:lineRule="auto"/>
        <w:rPr>
          <w:sz w:val="20"/>
          <w:szCs w:val="20"/>
          <w:color w:val="auto"/>
        </w:rPr>
      </w:pPr>
      <w:r>
        <w:rPr>
          <w:rFonts w:ascii="Arial" w:cs="Arial" w:eastAsia="Arial" w:hAnsi="Arial"/>
          <w:sz w:val="18"/>
          <w:szCs w:val="18"/>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 Equivalent procedures and penalties have been established in other countries including EU Member States.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62" w:name="page63"/>
    <w:bookmarkEnd w:id="62"/>
    <w:p>
      <w:pPr>
        <w:jc w:val="both"/>
        <w:spacing w:after="0" w:line="312" w:lineRule="auto"/>
        <w:rPr>
          <w:sz w:val="20"/>
          <w:szCs w:val="20"/>
          <w:color w:val="auto"/>
        </w:rPr>
      </w:pPr>
      <w:r>
        <w:rPr>
          <w:rFonts w:ascii="Arial" w:cs="Arial" w:eastAsia="Arial" w:hAnsi="Arial"/>
          <w:sz w:val="16"/>
          <w:szCs w:val="16"/>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47" w:lineRule="exact"/>
        <w:rPr>
          <w:sz w:val="20"/>
          <w:szCs w:val="20"/>
          <w:color w:val="auto"/>
        </w:rPr>
      </w:pPr>
    </w:p>
    <w:p>
      <w:pPr>
        <w:jc w:val="both"/>
        <w:ind w:firstLine="439"/>
        <w:spacing w:after="0" w:line="238" w:lineRule="auto"/>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w:t>
      </w:r>
    </w:p>
    <w:p>
      <w:pPr>
        <w:spacing w:after="0" w:line="233" w:lineRule="exact"/>
        <w:rPr>
          <w:sz w:val="20"/>
          <w:szCs w:val="20"/>
          <w:color w:val="auto"/>
        </w:rPr>
      </w:pPr>
    </w:p>
    <w:p>
      <w:pPr>
        <w:jc w:val="both"/>
        <w:ind w:firstLine="439"/>
        <w:spacing w:after="0" w:line="277" w:lineRule="auto"/>
        <w:rPr>
          <w:sz w:val="20"/>
          <w:szCs w:val="20"/>
          <w:color w:val="auto"/>
        </w:rPr>
      </w:pPr>
      <w:r>
        <w:rPr>
          <w:rFonts w:ascii="Arial" w:cs="Arial" w:eastAsia="Arial" w:hAnsi="Arial"/>
          <w:sz w:val="16"/>
          <w:szCs w:val="16"/>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In these circumstances, we may be subject to significant enforcement actions, regulatory fines, or penalties, which could require us to redesign our products and harm our operating results.</w:t>
      </w:r>
    </w:p>
    <w:p>
      <w:pPr>
        <w:spacing w:after="0" w:line="190" w:lineRule="exact"/>
        <w:rPr>
          <w:sz w:val="20"/>
          <w:szCs w:val="20"/>
          <w:color w:val="auto"/>
        </w:rPr>
      </w:pPr>
    </w:p>
    <w:p>
      <w:pPr>
        <w:jc w:val="both"/>
        <w:ind w:firstLine="439"/>
        <w:spacing w:after="0" w:line="277" w:lineRule="auto"/>
        <w:rPr>
          <w:sz w:val="20"/>
          <w:szCs w:val="20"/>
          <w:color w:val="auto"/>
        </w:rPr>
      </w:pPr>
      <w:r>
        <w:rPr>
          <w:rFonts w:ascii="Arial" w:cs="Arial" w:eastAsia="Arial" w:hAnsi="Arial"/>
          <w:sz w:val="16"/>
          <w:szCs w:val="16"/>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90" w:lineRule="exact"/>
        <w:rPr>
          <w:sz w:val="20"/>
          <w:szCs w:val="20"/>
          <w:color w:val="auto"/>
        </w:rPr>
      </w:pPr>
    </w:p>
    <w:p>
      <w:pPr>
        <w:jc w:val="both"/>
        <w:ind w:firstLine="439"/>
        <w:spacing w:after="0" w:line="239" w:lineRule="auto"/>
        <w:rPr>
          <w:sz w:val="20"/>
          <w:szCs w:val="20"/>
          <w:color w:val="auto"/>
        </w:rPr>
      </w:pPr>
      <w:r>
        <w:rPr>
          <w:rFonts w:ascii="Arial" w:cs="Arial" w:eastAsia="Arial" w:hAnsi="Arial"/>
          <w:sz w:val="18"/>
          <w:szCs w:val="18"/>
          <w:color w:val="auto"/>
        </w:rPr>
        <w:t>In the EEA, we must inform the Notified Body that carried out the conformity assessment of the medical devices we market or sell in the EEA of any planned substantial changes to our quality system, manufacturing process, or changes to our devices which could affect compliance with the essential requirements or the devices’ intended use. The Notified Body will then assess the changes and verify whether they affect the products’ conformity with Essential Requirements and related applicable laws. There can be no assurances that the assessment will be favorable and that the Notified Body will attest to our compliance with the essential requirements, which will prevent us from selling our products in the EEA. Moreover, any substantial changes that take place in the coming years may impact the continuing effectiveness of our CE Certificates of Conformity that were issued on the basis of the Medical Device Directive.</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business prospects.</w:t>
      </w:r>
    </w:p>
    <w:p>
      <w:pPr>
        <w:spacing w:after="0" w:line="202" w:lineRule="exact"/>
        <w:rPr>
          <w:sz w:val="20"/>
          <w:szCs w:val="20"/>
          <w:color w:val="auto"/>
        </w:rPr>
      </w:pPr>
    </w:p>
    <w:p>
      <w:pPr>
        <w:jc w:val="both"/>
        <w:ind w:firstLine="439"/>
        <w:spacing w:after="0" w:line="252" w:lineRule="auto"/>
        <w:rPr>
          <w:sz w:val="20"/>
          <w:szCs w:val="20"/>
          <w:color w:val="auto"/>
        </w:rPr>
      </w:pPr>
      <w:r>
        <w:rPr>
          <w:rFonts w:ascii="Arial" w:cs="Arial" w:eastAsia="Arial" w:hAnsi="Arial"/>
          <w:sz w:val="17"/>
          <w:szCs w:val="17"/>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or significant clinical evidence to support regulatory approval and we may not successfully complete these clinical trials. 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adversely affect our business prospects.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and our Notified Body may refuse to issue new CE Certificates of Conformity. Failure to receive clearance, approval, or Certificates of Conformity for our new products would have an adverse effect on our ability to expand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obtain or maintain foreign regulatory approvals to market our products in other countries.</w:t>
      </w:r>
    </w:p>
    <w:p>
      <w:pPr>
        <w:spacing w:after="0" w:line="206" w:lineRule="exact"/>
        <w:rPr>
          <w:sz w:val="20"/>
          <w:szCs w:val="20"/>
          <w:color w:val="auto"/>
        </w:rPr>
      </w:pPr>
    </w:p>
    <w:p>
      <w:pPr>
        <w:jc w:val="both"/>
        <w:ind w:firstLine="439"/>
        <w:spacing w:after="0" w:line="258" w:lineRule="auto"/>
        <w:rPr>
          <w:sz w:val="20"/>
          <w:szCs w:val="20"/>
          <w:color w:val="auto"/>
        </w:rPr>
      </w:pPr>
      <w:r>
        <w:rPr>
          <w:rFonts w:ascii="Arial" w:cs="Arial" w:eastAsia="Arial" w:hAnsi="Arial"/>
          <w:sz w:val="17"/>
          <w:szCs w:val="17"/>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87"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Clearance or approval by the FDA or obtaining a CE Certificate of Conformity does not ensure approval or certification by regulatory authorities in other countries or jurisdictions, and approval or certification by one foreign regulatory authority does not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63" w:name="page64"/>
    <w:bookmarkEnd w:id="63"/>
    <w:p>
      <w:pPr>
        <w:jc w:val="both"/>
        <w:spacing w:after="0" w:line="239" w:lineRule="auto"/>
        <w:rPr>
          <w:sz w:val="20"/>
          <w:szCs w:val="20"/>
          <w:color w:val="auto"/>
        </w:rPr>
      </w:pPr>
      <w:r>
        <w:rPr>
          <w:rFonts w:ascii="Arial" w:cs="Arial" w:eastAsia="Arial" w:hAnsi="Arial"/>
          <w:sz w:val="18"/>
          <w:szCs w:val="18"/>
          <w:color w:val="auto"/>
        </w:rPr>
        <w:t>ensure approval or certification by regulatory authorities in other foreign countries or by the FDA.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Clinical trials necessary to support a De Novo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or new indications for use for existing products, and will adversely affect our business, operating results and prospects.</w:t>
      </w:r>
    </w:p>
    <w:p>
      <w:pPr>
        <w:spacing w:after="0" w:line="200" w:lineRule="exact"/>
        <w:rPr>
          <w:sz w:val="20"/>
          <w:szCs w:val="20"/>
          <w:color w:val="auto"/>
        </w:rPr>
      </w:pPr>
    </w:p>
    <w:p>
      <w:pPr>
        <w:jc w:val="both"/>
        <w:ind w:firstLine="439"/>
        <w:spacing w:after="0" w:line="243" w:lineRule="auto"/>
        <w:rPr>
          <w:sz w:val="20"/>
          <w:szCs w:val="20"/>
          <w:color w:val="auto"/>
        </w:rPr>
      </w:pPr>
      <w:r>
        <w:rPr>
          <w:rFonts w:ascii="Arial" w:cs="Arial" w:eastAsia="Arial" w:hAnsi="Arial"/>
          <w:sz w:val="18"/>
          <w:szCs w:val="18"/>
          <w:color w:val="auto"/>
        </w:rPr>
        <w:t>Initiating and completing clinical trials necessary to support a De Novo 510(k) or PMA application for our possible future products or to support a conformity assessment procedure for a new CE Certificate of Conformity would be time consuming and expensive and the outcome uncertain. Moreover, the results of early clinical trials are not necessarily predictive of future results, and any product, or new indication for use, we advance into clinical trials may not have favorable results in later clinical trials.</w:t>
      </w:r>
    </w:p>
    <w:p>
      <w:pPr>
        <w:spacing w:after="0" w:line="187"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7"/>
          <w:szCs w:val="17"/>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and support staff, the proximity of patients to clinical sites, and the ability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For example, the COVID-19 pandemic has caused substantial delays in site initiation and patient enrollment in our SILVIA trial designed to assess the safety and efficacy of our Bedrock technique.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83" w:lineRule="exact"/>
        <w:rPr>
          <w:sz w:val="20"/>
          <w:szCs w:val="20"/>
          <w:color w:val="auto"/>
        </w:rPr>
      </w:pPr>
    </w:p>
    <w:p>
      <w:pPr>
        <w:jc w:val="both"/>
        <w:ind w:firstLine="439"/>
        <w:spacing w:after="0" w:line="262" w:lineRule="auto"/>
        <w:rPr>
          <w:sz w:val="20"/>
          <w:szCs w:val="20"/>
          <w:color w:val="auto"/>
        </w:rPr>
      </w:pPr>
      <w:r>
        <w:rPr>
          <w:rFonts w:ascii="Arial" w:cs="Arial" w:eastAsia="Arial" w:hAnsi="Arial"/>
          <w:sz w:val="17"/>
          <w:szCs w:val="17"/>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our clinical trials may not support our product candidate claims or may result in the occurrence of adverse events.</w:t>
      </w:r>
    </w:p>
    <w:p>
      <w:pPr>
        <w:spacing w:after="0" w:line="206" w:lineRule="exact"/>
        <w:rPr>
          <w:sz w:val="20"/>
          <w:szCs w:val="20"/>
          <w:color w:val="auto"/>
        </w:rPr>
      </w:pPr>
    </w:p>
    <w:p>
      <w:pPr>
        <w:jc w:val="both"/>
        <w:ind w:firstLine="439"/>
        <w:spacing w:after="0" w:line="274" w:lineRule="auto"/>
        <w:rPr>
          <w:sz w:val="20"/>
          <w:szCs w:val="20"/>
          <w:color w:val="auto"/>
        </w:rPr>
      </w:pPr>
      <w:r>
        <w:rPr>
          <w:rFonts w:ascii="Arial" w:cs="Arial" w:eastAsia="Arial" w:hAnsi="Arial"/>
          <w:sz w:val="16"/>
          <w:szCs w:val="16"/>
          <w:color w:val="auto"/>
        </w:rPr>
        <w:t>Even if our clinical trials are completed as planned, or on a delayed basis,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events that are not currently part of the product candidate’s profile.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64" w:name="page65"/>
    <w:bookmarkEnd w:id="64"/>
    <w:p>
      <w:pPr>
        <w:jc w:val="both"/>
        <w:spacing w:after="0" w:line="312" w:lineRule="auto"/>
        <w:rPr>
          <w:sz w:val="20"/>
          <w:szCs w:val="20"/>
          <w:color w:val="auto"/>
        </w:rPr>
      </w:pPr>
      <w:r>
        <w:rPr>
          <w:rFonts w:ascii="Arial" w:cs="Arial" w:eastAsia="Arial" w:hAnsi="Arial"/>
          <w:sz w:val="16"/>
          <w:szCs w:val="16"/>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74" w:lineRule="exact"/>
        <w:rPr>
          <w:sz w:val="20"/>
          <w:szCs w:val="20"/>
          <w:color w:val="auto"/>
        </w:rPr>
      </w:pPr>
    </w:p>
    <w:p>
      <w:pPr>
        <w:jc w:val="both"/>
        <w:ind w:firstLine="439"/>
        <w:spacing w:after="0" w:line="238" w:lineRule="auto"/>
        <w:rPr>
          <w:sz w:val="20"/>
          <w:szCs w:val="20"/>
          <w:color w:val="auto"/>
        </w:rPr>
      </w:pPr>
      <w:r>
        <w:rPr>
          <w:rFonts w:ascii="Arial" w:cs="Arial" w:eastAsia="Arial" w:hAnsi="Arial"/>
          <w:sz w:val="18"/>
          <w:szCs w:val="18"/>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Moreover, the new Medical Device Regulation entered into application on May 26, 2021. Any new regulations or revisions or reinterpretations of existing regulations may impose additional costs or lengthen review times of future products. It is impossible to predict whether legislative changes will be enacted or FDA regulations, guidance, or interpretations changed, and what the impact of such changes, if any, may be.</w:t>
      </w:r>
    </w:p>
    <w:p>
      <w:pPr>
        <w:spacing w:after="0" w:line="233" w:lineRule="exact"/>
        <w:rPr>
          <w:sz w:val="20"/>
          <w:szCs w:val="20"/>
          <w:color w:val="auto"/>
        </w:rPr>
      </w:pPr>
    </w:p>
    <w:p>
      <w:pPr>
        <w:jc w:val="both"/>
        <w:ind w:firstLine="439"/>
        <w:spacing w:after="0"/>
        <w:rPr>
          <w:sz w:val="20"/>
          <w:szCs w:val="20"/>
          <w:color w:val="auto"/>
        </w:rPr>
      </w:pPr>
      <w:r>
        <w:rPr>
          <w:rFonts w:ascii="Arial" w:cs="Arial" w:eastAsia="Arial" w:hAnsi="Arial"/>
          <w:sz w:val="18"/>
          <w:szCs w:val="18"/>
          <w:color w:val="auto"/>
        </w:rPr>
        <w:t>Leadership, personnel and structural changes within the FDA as well as recent federal election outcomes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216" w:lineRule="exact"/>
        <w:rPr>
          <w:sz w:val="20"/>
          <w:szCs w:val="20"/>
          <w:color w:val="auto"/>
        </w:rPr>
      </w:pPr>
    </w:p>
    <w:p>
      <w:pPr>
        <w:jc w:val="both"/>
        <w:ind w:firstLine="439"/>
        <w:spacing w:after="0" w:line="249" w:lineRule="auto"/>
        <w:rPr>
          <w:sz w:val="20"/>
          <w:szCs w:val="20"/>
          <w:color w:val="auto"/>
        </w:rPr>
      </w:pPr>
      <w:r>
        <w:rPr>
          <w:rFonts w:ascii="Arial" w:cs="Arial" w:eastAsia="Arial" w:hAnsi="Arial"/>
          <w:sz w:val="18"/>
          <w:szCs w:val="18"/>
          <w:color w:val="auto"/>
        </w:rPr>
        <w:t>Another example can be found in the EEA. The Medical Devices Regulation (“MDR”) entered into application on May 26, 2021. MDR introduced substantial changes to the obligations with which medical device manufacturers must comply in the EEA. Examples of the changes which will be introduced by these regulations include the following:</w:t>
      </w:r>
    </w:p>
    <w:p>
      <w:pPr>
        <w:spacing w:after="0" w:line="181" w:lineRule="exact"/>
        <w:rPr>
          <w:sz w:val="20"/>
          <w:szCs w:val="20"/>
          <w:color w:val="auto"/>
        </w:rPr>
      </w:pPr>
    </w:p>
    <w:p>
      <w:pPr>
        <w:ind w:left="720" w:hanging="234"/>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scrutiny during the conformity assessment procedure for high risk medical devices;</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strengthening of the clinical data requirements related to medical devices;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strengthening of the designation and monitoring processes governing notified bodies;</w:t>
      </w:r>
    </w:p>
    <w:p>
      <w:pPr>
        <w:spacing w:after="0" w:line="205" w:lineRule="exact"/>
        <w:rPr>
          <w:rFonts w:ascii="Arial" w:cs="Arial" w:eastAsia="Arial" w:hAnsi="Arial"/>
          <w:sz w:val="18"/>
          <w:szCs w:val="18"/>
          <w:color w:val="auto"/>
        </w:rPr>
      </w:pPr>
    </w:p>
    <w:p>
      <w:pPr>
        <w:ind w:left="880" w:hanging="394"/>
        <w:spacing w:after="0" w:line="266" w:lineRule="auto"/>
        <w:tabs>
          <w:tab w:leader="none" w:pos="84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obligation for manufacturers and authorized representative to have a person responsible for regulatory compliance continuously at their disposal;</w:t>
      </w:r>
    </w:p>
    <w:p>
      <w:pPr>
        <w:spacing w:after="0" w:line="166" w:lineRule="exact"/>
        <w:rPr>
          <w:rFonts w:ascii="Arial" w:cs="Arial" w:eastAsia="Arial" w:hAnsi="Arial"/>
          <w:sz w:val="18"/>
          <w:szCs w:val="18"/>
          <w:color w:val="auto"/>
        </w:rPr>
      </w:pPr>
    </w:p>
    <w:p>
      <w:pPr>
        <w:ind w:left="720" w:hanging="234"/>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authorized representatives held legally responsible and liable for defective products placed on the EU market;</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traceability of medical devices following the introduction of a Unique Device Identification (“UDI”), system;</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rules governing the reprocessing of medical devices; and</w:t>
      </w:r>
    </w:p>
    <w:p>
      <w:pPr>
        <w:spacing w:after="0" w:line="205" w:lineRule="exact"/>
        <w:rPr>
          <w:rFonts w:ascii="Arial" w:cs="Arial" w:eastAsia="Arial" w:hAnsi="Arial"/>
          <w:sz w:val="18"/>
          <w:szCs w:val="18"/>
          <w:color w:val="auto"/>
        </w:rPr>
      </w:pPr>
    </w:p>
    <w:p>
      <w:pPr>
        <w:ind w:left="880" w:hanging="394"/>
        <w:spacing w:after="0" w:line="249" w:lineRule="auto"/>
        <w:tabs>
          <w:tab w:leader="none" w:pos="741"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transparency with the establishment of European database on medical devices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181" w:lineRule="exact"/>
        <w:rPr>
          <w:sz w:val="20"/>
          <w:szCs w:val="20"/>
          <w:color w:val="auto"/>
        </w:rPr>
      </w:pPr>
    </w:p>
    <w:p>
      <w:pPr>
        <w:jc w:val="both"/>
        <w:ind w:firstLine="439"/>
        <w:spacing w:after="0" w:line="241" w:lineRule="auto"/>
        <w:rPr>
          <w:sz w:val="20"/>
          <w:szCs w:val="20"/>
          <w:color w:val="auto"/>
        </w:rPr>
      </w:pPr>
      <w:r>
        <w:rPr>
          <w:rFonts w:ascii="Arial" w:cs="Arial" w:eastAsia="Arial" w:hAnsi="Arial"/>
          <w:sz w:val="18"/>
          <w:szCs w:val="18"/>
          <w:color w:val="auto"/>
        </w:rPr>
        <w:t>The Medical Device Regulation also substantially impacts clinical investigations of medical devices. Among other things, it imposes specific obligations concerning incapacitated subjects, minors, pregnant or breastfeeding women and clinical investigations in emergency situations. In addition to detailed provisions concerning the authorization and conduct of clinical investigations, the Regulation imposes on non-EU sponsors a responsibility to appoint a legal representative established in the EU and an obligation on EU Member States to ensure that systems for compensation for any damage suffered by a subject resulting from participation in a clinical investigation conducted on their territory are in place and places on sponsors and investigators the obligation to ensure they make use of these systems.</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Transition from the regulation of our products under the Medical Device Directive, and implementing legislation in each EU Member State, to</w:t>
      </w:r>
    </w:p>
    <w:p>
      <w:pPr>
        <w:spacing w:after="0" w:line="3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regulation under the Medical Devices Regulation has required and will continue to require a substantial transition effort by us. In addition, detail as to how certain aspects of the Medical Devices Regulation will be applied remains unclear. Failure to update our quality system and regulatory documentation could delay our transition to compliance with the Medical Devices Regulation and delay or prevent us from obtaining new CE Certificates of Conformity under the Regulation. Transition from compliance with the Medical Device Directive to the Medical Devices Regulation could result in disruption to our business in the EEA which could adversely affect our business, results of operation and financial condition.</w:t>
      </w:r>
    </w:p>
    <w:p>
      <w:pPr>
        <w:spacing w:after="0" w:line="203" w:lineRule="exact"/>
        <w:rPr>
          <w:sz w:val="20"/>
          <w:szCs w:val="20"/>
          <w:color w:val="auto"/>
        </w:rPr>
      </w:pPr>
    </w:p>
    <w:p>
      <w:pPr>
        <w:jc w:val="both"/>
        <w:ind w:firstLine="439"/>
        <w:spacing w:after="0" w:line="230" w:lineRule="auto"/>
        <w:rPr>
          <w:sz w:val="20"/>
          <w:szCs w:val="20"/>
          <w:color w:val="auto"/>
        </w:rPr>
      </w:pPr>
      <w:r>
        <w:rPr>
          <w:rFonts w:ascii="Arial" w:cs="Arial" w:eastAsia="Arial" w:hAnsi="Arial"/>
          <w:sz w:val="18"/>
          <w:szCs w:val="18"/>
          <w:color w:val="auto"/>
        </w:rPr>
        <w:t>In addition, any changes to the membership of the European Union, such as the departure of the United Kingdom from the EU, may impact the regulatory requirements for the impacted countries and impair our business operations and our ability to market products in such countries. For example, pursuant to guidance issued by the UK Government as a result of the UK formally withdrawing from the European Union, the Medicines and Healthcare products Regulatory Agency (“MHRA”) became the standalone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65" w:name="page66"/>
    <w:bookmarkEnd w:id="65"/>
    <w:p>
      <w:pPr>
        <w:jc w:val="both"/>
        <w:spacing w:after="0" w:line="266" w:lineRule="auto"/>
        <w:rPr>
          <w:sz w:val="20"/>
          <w:szCs w:val="20"/>
          <w:color w:val="auto"/>
        </w:rPr>
      </w:pPr>
      <w:r>
        <w:rPr>
          <w:rFonts w:ascii="Arial" w:cs="Arial" w:eastAsia="Arial" w:hAnsi="Arial"/>
          <w:sz w:val="16"/>
          <w:szCs w:val="16"/>
          <w:color w:val="auto"/>
        </w:rPr>
        <w:t>medicines and medical devices regulator for the UK as of January 1, 2021. A new mark referred to as “UKCA” (UK Conformity Assessed) has also been introduced and will replace the CE conformity mark. Although CE conformity marketing and certificates issued by Notified Bodies will continue to be recognized in the UK through June 2023, all medical devices must be registered with the MHRA as of January 1, 2021. Complying with this new regulatory framework will require us to invest in additional resources and could be expensive, time-consuming and disruptive to our existing operations in the UK.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06" w:lineRule="exact"/>
        <w:rPr>
          <w:sz w:val="20"/>
          <w:szCs w:val="20"/>
          <w:color w:val="auto"/>
        </w:rPr>
      </w:pPr>
    </w:p>
    <w:p>
      <w:pPr>
        <w:jc w:val="both"/>
        <w:ind w:firstLine="439"/>
        <w:spacing w:after="0" w:line="257" w:lineRule="auto"/>
        <w:rPr>
          <w:sz w:val="20"/>
          <w:szCs w:val="20"/>
          <w:color w:val="auto"/>
        </w:rPr>
      </w:pPr>
      <w:r>
        <w:rPr>
          <w:rFonts w:ascii="Arial" w:cs="Arial" w:eastAsia="Arial" w:hAnsi="Arial"/>
          <w:sz w:val="17"/>
          <w:szCs w:val="17"/>
          <w:color w:val="auto"/>
        </w:rPr>
        <w:t>Our business exposes us to potential product liability claims that are inherent in the testing, design, manufacture, and sale of surgical devices. Sacroiliac joint and other orthopedic spine surgeries involve significant risk of serious complications, including bleeding, nerve injury, paralysis, and even death. Surgeons may misuse or ineffectively use our products, which may result in unsatisfactory patient outcomes or patient injury. In addition, if longer-term patient results and experience indicate that our products or any component of a product cause tissue damage, motor impairment, or other adverse effects, we could be subject to significant liability.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176" w:lineRule="exact"/>
        <w:rPr>
          <w:sz w:val="20"/>
          <w:szCs w:val="20"/>
          <w:color w:val="auto"/>
        </w:rPr>
      </w:pPr>
    </w:p>
    <w:p>
      <w:pPr>
        <w:jc w:val="both"/>
        <w:ind w:firstLine="439"/>
        <w:spacing w:after="0" w:line="243" w:lineRule="auto"/>
        <w:rPr>
          <w:sz w:val="20"/>
          <w:szCs w:val="20"/>
          <w:color w:val="auto"/>
        </w:rPr>
      </w:pPr>
      <w:r>
        <w:rPr>
          <w:rFonts w:ascii="Arial" w:cs="Arial" w:eastAsia="Arial" w:hAnsi="Arial"/>
          <w:sz w:val="18"/>
          <w:szCs w:val="18"/>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87" w:lineRule="exact"/>
        <w:rPr>
          <w:sz w:val="20"/>
          <w:szCs w:val="20"/>
          <w:color w:val="auto"/>
        </w:rPr>
      </w:pPr>
    </w:p>
    <w:p>
      <w:pPr>
        <w:jc w:val="both"/>
        <w:ind w:firstLine="439"/>
        <w:spacing w:after="0" w:line="249" w:lineRule="auto"/>
        <w:rPr>
          <w:sz w:val="20"/>
          <w:szCs w:val="20"/>
          <w:color w:val="auto"/>
        </w:rPr>
      </w:pPr>
      <w:r>
        <w:rPr>
          <w:rFonts w:ascii="Arial" w:cs="Arial" w:eastAsia="Arial" w:hAnsi="Arial"/>
          <w:sz w:val="18"/>
          <w:szCs w:val="18"/>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environmental laws and regulations that can impose significant costs and expose us to potential financial liabilities.</w:t>
      </w:r>
    </w:p>
    <w:p>
      <w:pPr>
        <w:spacing w:after="0" w:line="230" w:lineRule="exact"/>
        <w:rPr>
          <w:sz w:val="20"/>
          <w:szCs w:val="20"/>
          <w:color w:val="auto"/>
        </w:rPr>
      </w:pPr>
    </w:p>
    <w:p>
      <w:pPr>
        <w:jc w:val="both"/>
        <w:ind w:firstLine="439"/>
        <w:spacing w:after="0" w:line="277" w:lineRule="auto"/>
        <w:rPr>
          <w:sz w:val="20"/>
          <w:szCs w:val="20"/>
          <w:color w:val="auto"/>
        </w:rPr>
      </w:pPr>
      <w:r>
        <w:rPr>
          <w:rFonts w:ascii="Arial" w:cs="Arial" w:eastAsia="Arial" w:hAnsi="Arial"/>
          <w:sz w:val="16"/>
          <w:szCs w:val="16"/>
          <w:color w:val="auto"/>
        </w:rPr>
        <w:t>The manufacture of certain of our products, including our implants and products, and the handling of materials used in the product testing process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We own and operate certain x-ray equipment at our facilities which requires adoption of a radiation safety plan. Our failure to follow such safety plan or otherwise use this equipment properly could be hazardous to our employees and expose us to liability as the employer.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products are derived from human tissue and are or could be subject to additional regulations and requirements.</w:t>
      </w:r>
    </w:p>
    <w:p>
      <w:pPr>
        <w:spacing w:after="0" w:line="232" w:lineRule="exact"/>
        <w:rPr>
          <w:sz w:val="20"/>
          <w:szCs w:val="20"/>
          <w:color w:val="auto"/>
        </w:rPr>
      </w:pPr>
    </w:p>
    <w:p>
      <w:pPr>
        <w:jc w:val="both"/>
        <w:ind w:firstLine="399"/>
        <w:spacing w:after="0" w:line="277" w:lineRule="auto"/>
        <w:rPr>
          <w:sz w:val="20"/>
          <w:szCs w:val="20"/>
          <w:color w:val="auto"/>
        </w:rPr>
      </w:pPr>
      <w:r>
        <w:rPr>
          <w:rFonts w:ascii="Arial" w:cs="Arial" w:eastAsia="Arial" w:hAnsi="Arial"/>
          <w:sz w:val="16"/>
          <w:szCs w:val="16"/>
          <w:color w:val="auto"/>
        </w:rPr>
        <w:t>Our iFuse Bone product is derived from human bone tissue, and as a result is subject to FDA and certain state regulations regarding human cells, tissues and cellular or tissue-based products, or HCT/Ps. To date, iFuse Bone is our only HCT/P product, and as a product regulated under Section 361 of the Public Health Service Act, we have not been required to file a 510(k) with respect to iFuse Bone. However, the FDA could require us to obtain a 510(k) clearance for future tissue products not regulated as 361 HCT/Ps. The process of obtaining a 510(k) clearance could take time and consume resources, and failing to receive such a clearance would render us unable to market and sell such products, which could have a material and adverse effect on our business.</w:t>
      </w:r>
    </w:p>
    <w:p>
      <w:pPr>
        <w:spacing w:after="0" w:line="203" w:lineRule="exact"/>
        <w:rPr>
          <w:sz w:val="20"/>
          <w:szCs w:val="20"/>
          <w:color w:val="auto"/>
        </w:rPr>
      </w:pPr>
    </w:p>
    <w:p>
      <w:pPr>
        <w:jc w:val="both"/>
        <w:ind w:firstLine="399"/>
        <w:spacing w:after="0" w:line="272" w:lineRule="auto"/>
        <w:rPr>
          <w:sz w:val="20"/>
          <w:szCs w:val="20"/>
          <w:color w:val="auto"/>
        </w:rPr>
      </w:pPr>
      <w:r>
        <w:rPr>
          <w:rFonts w:ascii="Arial" w:cs="Arial" w:eastAsia="Arial" w:hAnsi="Arial"/>
          <w:sz w:val="16"/>
          <w:szCs w:val="16"/>
          <w:color w:val="auto"/>
        </w:rPr>
        <w:t>In addition, procurement of certain human organs and tissue for transplantation is subject to the National Organ Transplant Act, or NOTA, which prohibits the transfer of certain human organs, including skin and related tissue, for valuable consideration, but permits the reasonable payment for costs associated with the removal, transportation, implantation, processing, preservation, quality control and storage of human tissue and skin. We reimburse tissue banks for their expenses associated with the recovery, storage and transportation of donated human tissue they provide to us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we can recover in our pricing for our products, thereby reducing our future revenue and profitability. If we were to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66" w:name="page67"/>
    <w:bookmarkEnd w:id="66"/>
    <w:p>
      <w:pPr>
        <w:jc w:val="both"/>
        <w:spacing w:after="0" w:line="251" w:lineRule="auto"/>
        <w:rPr>
          <w:sz w:val="20"/>
          <w:szCs w:val="20"/>
          <w:color w:val="auto"/>
        </w:rPr>
      </w:pPr>
      <w:r>
        <w:rPr>
          <w:rFonts w:ascii="Arial" w:cs="Arial" w:eastAsia="Arial" w:hAnsi="Arial"/>
          <w:sz w:val="18"/>
          <w:szCs w:val="18"/>
          <w:color w:val="auto"/>
        </w:rPr>
        <w:t>be found to have violated NOTA’s prohibition on the sale or transfer of human tissue for valuable consideration, we would potentially be subject to criminal enforcement sanctions, which could materially and adversely affect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170" w:lineRule="exact"/>
        <w:rPr>
          <w:sz w:val="20"/>
          <w:szCs w:val="20"/>
          <w:color w:val="auto"/>
        </w:rPr>
      </w:pPr>
    </w:p>
    <w:p>
      <w:pPr>
        <w:jc w:val="both"/>
        <w:ind w:firstLine="479"/>
        <w:spacing w:after="0" w:line="255" w:lineRule="auto"/>
        <w:rPr>
          <w:sz w:val="20"/>
          <w:szCs w:val="20"/>
          <w:color w:val="auto"/>
        </w:rPr>
      </w:pPr>
      <w:r>
        <w:rPr>
          <w:rFonts w:ascii="Arial" w:cs="Arial" w:eastAsia="Arial" w:hAnsi="Arial"/>
          <w:sz w:val="17"/>
          <w:szCs w:val="17"/>
          <w:color w:val="auto"/>
        </w:rPr>
        <w:t>We rely primarily on patent, copyright, trademark and trade secret laws, as well as confidentiality and nondisclosure agreements and other methods, to protect our proprietary technologies and know-how. As of September 30, 2022, we owned 49 issued U.S. patents and had 32 pending U.S. patent applications, and we owned 15 issued foreign patents and had 19 pending foreign patent applications. We have focused the majority of our foreign patent efforts in China, Europe, and Japan. Our current U.S. patents on iFuse, including the triangular shape, expire in November 2024. Competitors may market similar triangular shaped devices upon the expiration of the patents in late 2024. Our current U.S. patents on iFuse-3D, including the fenestrated design, expire in September 2035. Our foreign patents will expire between August 2025 and October 2031.</w:t>
      </w:r>
    </w:p>
    <w:p>
      <w:pPr>
        <w:spacing w:after="0" w:line="192" w:lineRule="exact"/>
        <w:rPr>
          <w:sz w:val="20"/>
          <w:szCs w:val="20"/>
          <w:color w:val="auto"/>
        </w:rPr>
      </w:pPr>
    </w:p>
    <w:p>
      <w:pPr>
        <w:ind w:right="100" w:firstLine="479"/>
        <w:spacing w:after="0" w:line="251" w:lineRule="auto"/>
        <w:rPr>
          <w:sz w:val="20"/>
          <w:szCs w:val="20"/>
          <w:color w:val="auto"/>
        </w:rPr>
      </w:pPr>
      <w:r>
        <w:rPr>
          <w:rFonts w:ascii="Arial" w:cs="Arial" w:eastAsia="Arial" w:hAnsi="Arial"/>
          <w:sz w:val="18"/>
          <w:szCs w:val="18"/>
          <w:color w:val="auto"/>
        </w:rPr>
        <w:t>As of September 30, 2022, we have 19 registered trademarks in the U.S. and have filed for 8 more. We have sought protection for at least two of these trademarks in 60 countries including the 27 European member countries of the Madrid Protocol.</w:t>
      </w:r>
    </w:p>
    <w:p>
      <w:pPr>
        <w:spacing w:after="0" w:line="179" w:lineRule="exact"/>
        <w:rPr>
          <w:sz w:val="20"/>
          <w:szCs w:val="20"/>
          <w:color w:val="auto"/>
        </w:rPr>
      </w:pPr>
    </w:p>
    <w:p>
      <w:pPr>
        <w:jc w:val="both"/>
        <w:ind w:firstLine="439"/>
        <w:spacing w:after="0" w:line="271" w:lineRule="auto"/>
        <w:rPr>
          <w:sz w:val="20"/>
          <w:szCs w:val="20"/>
          <w:color w:val="auto"/>
        </w:rPr>
      </w:pPr>
      <w:r>
        <w:rPr>
          <w:rFonts w:ascii="Arial" w:cs="Arial" w:eastAsia="Arial" w:hAnsi="Arial"/>
          <w:sz w:val="16"/>
          <w:szCs w:val="16"/>
          <w:color w:val="auto"/>
        </w:rPr>
        <w:t>We have applied for patent protection relating to certain existing and proposed products and processes. While we generally apply for patents in those countries where we intend to make, have made, use, or sell our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U.S. Even if patents are granted outside the U.S., effective enforcement in those countries may not be available. Since most of our issued patents are for the U.S.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196" w:lineRule="exact"/>
        <w:rPr>
          <w:sz w:val="20"/>
          <w:szCs w:val="20"/>
          <w:color w:val="auto"/>
        </w:rPr>
      </w:pPr>
    </w:p>
    <w:p>
      <w:pPr>
        <w:jc w:val="both"/>
        <w:ind w:firstLine="439"/>
        <w:spacing w:after="0" w:line="282" w:lineRule="auto"/>
        <w:rPr>
          <w:sz w:val="20"/>
          <w:szCs w:val="20"/>
          <w:color w:val="auto"/>
        </w:rPr>
      </w:pPr>
      <w:r>
        <w:rPr>
          <w:rFonts w:ascii="Arial" w:cs="Arial" w:eastAsia="Arial" w:hAnsi="Arial"/>
          <w:sz w:val="16"/>
          <w:szCs w:val="16"/>
          <w:color w:val="auto"/>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spacing w:after="0" w:line="184" w:lineRule="exact"/>
        <w:rPr>
          <w:sz w:val="20"/>
          <w:szCs w:val="20"/>
          <w:color w:val="auto"/>
        </w:rPr>
      </w:pPr>
    </w:p>
    <w:p>
      <w:pPr>
        <w:jc w:val="both"/>
        <w:ind w:firstLine="439"/>
        <w:spacing w:after="0" w:line="254" w:lineRule="auto"/>
        <w:rPr>
          <w:sz w:val="20"/>
          <w:szCs w:val="20"/>
          <w:color w:val="auto"/>
        </w:rPr>
      </w:pPr>
      <w:r>
        <w:rPr>
          <w:rFonts w:ascii="Arial" w:cs="Arial" w:eastAsia="Arial" w:hAnsi="Arial"/>
          <w:sz w:val="17"/>
          <w:szCs w:val="17"/>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209" w:lineRule="exact"/>
        <w:rPr>
          <w:sz w:val="20"/>
          <w:szCs w:val="20"/>
          <w:color w:val="auto"/>
        </w:rPr>
      </w:pPr>
    </w:p>
    <w:p>
      <w:pPr>
        <w:jc w:val="both"/>
        <w:ind w:firstLine="439"/>
        <w:spacing w:after="0" w:line="274" w:lineRule="auto"/>
        <w:rPr>
          <w:sz w:val="20"/>
          <w:szCs w:val="20"/>
          <w:color w:val="auto"/>
        </w:rPr>
      </w:pPr>
      <w:r>
        <w:rPr>
          <w:rFonts w:ascii="Arial" w:cs="Arial" w:eastAsia="Arial" w:hAnsi="Arial"/>
          <w:sz w:val="16"/>
          <w:szCs w:val="16"/>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67" w:name="page68"/>
    <w:bookmarkEnd w:id="67"/>
    <w:p>
      <w:pPr>
        <w:jc w:val="both"/>
        <w:ind w:firstLine="439"/>
        <w:spacing w:after="0" w:line="241" w:lineRule="auto"/>
        <w:rPr>
          <w:sz w:val="20"/>
          <w:szCs w:val="20"/>
          <w:color w:val="auto"/>
        </w:rPr>
      </w:pPr>
      <w:r>
        <w:rPr>
          <w:rFonts w:ascii="Arial" w:cs="Arial" w:eastAsia="Arial" w:hAnsi="Arial"/>
          <w:sz w:val="18"/>
          <w:szCs w:val="18"/>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19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147" w:lineRule="exact"/>
        <w:rPr>
          <w:sz w:val="20"/>
          <w:szCs w:val="20"/>
          <w:color w:val="auto"/>
        </w:rPr>
      </w:pPr>
    </w:p>
    <w:p>
      <w:pPr>
        <w:jc w:val="both"/>
        <w:ind w:firstLine="439"/>
        <w:spacing w:after="0" w:line="271" w:lineRule="auto"/>
        <w:rPr>
          <w:sz w:val="20"/>
          <w:szCs w:val="20"/>
          <w:color w:val="auto"/>
        </w:rPr>
      </w:pPr>
      <w:r>
        <w:rPr>
          <w:rFonts w:ascii="Arial" w:cs="Arial" w:eastAsia="Arial" w:hAnsi="Arial"/>
          <w:sz w:val="16"/>
          <w:szCs w:val="16"/>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occur,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207" w:lineRule="exact"/>
        <w:rPr>
          <w:sz w:val="20"/>
          <w:szCs w:val="20"/>
          <w:color w:val="auto"/>
        </w:rPr>
      </w:pPr>
    </w:p>
    <w:p>
      <w:pPr>
        <w:jc w:val="both"/>
        <w:spacing w:after="0" w:line="391" w:lineRule="auto"/>
        <w:rPr>
          <w:sz w:val="20"/>
          <w:szCs w:val="20"/>
          <w:color w:val="auto"/>
        </w:rPr>
      </w:pPr>
      <w:r>
        <w:rPr>
          <w:rFonts w:ascii="Arial" w:cs="Arial" w:eastAsia="Arial" w:hAnsi="Arial"/>
          <w:sz w:val="14"/>
          <w:szCs w:val="14"/>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88" w:lineRule="exact"/>
        <w:rPr>
          <w:sz w:val="20"/>
          <w:szCs w:val="20"/>
          <w:color w:val="auto"/>
        </w:rPr>
      </w:pPr>
    </w:p>
    <w:p>
      <w:pPr>
        <w:jc w:val="both"/>
        <w:ind w:firstLine="439"/>
        <w:spacing w:after="0" w:line="252" w:lineRule="auto"/>
        <w:rPr>
          <w:sz w:val="20"/>
          <w:szCs w:val="20"/>
          <w:color w:val="auto"/>
        </w:rPr>
      </w:pPr>
      <w:r>
        <w:rPr>
          <w:rFonts w:ascii="Arial" w:cs="Arial" w:eastAsia="Arial" w:hAnsi="Arial"/>
          <w:sz w:val="17"/>
          <w:szCs w:val="17"/>
          <w:color w:val="auto"/>
        </w:rPr>
        <w:t>Our commercial success will depend in part on not infringing the patents or violating the other proprietary rights of third parties. Significant litigation regarding patent rights exists in our industry. Our competitors in both the U.S.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w:t>
      </w:r>
    </w:p>
    <w:p>
      <w:pPr>
        <w:spacing w:after="0" w:line="190" w:lineRule="exact"/>
        <w:rPr>
          <w:sz w:val="20"/>
          <w:szCs w:val="20"/>
          <w:color w:val="auto"/>
        </w:rPr>
      </w:pPr>
    </w:p>
    <w:p>
      <w:pPr>
        <w:jc w:val="both"/>
        <w:ind w:firstLine="439"/>
        <w:spacing w:after="0" w:line="241" w:lineRule="auto"/>
        <w:rPr>
          <w:sz w:val="20"/>
          <w:szCs w:val="20"/>
          <w:color w:val="auto"/>
        </w:rPr>
      </w:pPr>
      <w:r>
        <w:rPr>
          <w:rFonts w:ascii="Arial" w:cs="Arial" w:eastAsia="Arial" w:hAnsi="Arial"/>
          <w:sz w:val="18"/>
          <w:szCs w:val="18"/>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an investment in our common stock could decline.</w:t>
      </w:r>
    </w:p>
    <w:p>
      <w:pPr>
        <w:spacing w:after="0" w:line="219" w:lineRule="exact"/>
        <w:rPr>
          <w:sz w:val="20"/>
          <w:szCs w:val="20"/>
          <w:color w:val="auto"/>
        </w:rPr>
      </w:pPr>
    </w:p>
    <w:p>
      <w:pPr>
        <w:jc w:val="both"/>
        <w:ind w:firstLine="439"/>
        <w:spacing w:after="0" w:line="241" w:lineRule="auto"/>
        <w:rPr>
          <w:sz w:val="20"/>
          <w:szCs w:val="20"/>
          <w:color w:val="auto"/>
        </w:rPr>
      </w:pPr>
      <w:r>
        <w:rPr>
          <w:rFonts w:ascii="Arial" w:cs="Arial" w:eastAsia="Arial" w:hAnsi="Arial"/>
          <w:sz w:val="18"/>
          <w:szCs w:val="18"/>
          <w:color w:val="auto"/>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spacing w:after="0" w:line="202" w:lineRule="exact"/>
        <w:rPr>
          <w:sz w:val="20"/>
          <w:szCs w:val="20"/>
          <w:color w:val="auto"/>
        </w:rPr>
      </w:pPr>
    </w:p>
    <w:p>
      <w:pPr>
        <w:ind w:left="720" w:hanging="234"/>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that the COVID-19 pandemic has on our business;</w:t>
      </w:r>
    </w:p>
    <w:p>
      <w:pPr>
        <w:spacing w:after="0" w:line="205" w:lineRule="exact"/>
        <w:rPr>
          <w:rFonts w:ascii="Arial" w:cs="Arial" w:eastAsia="Arial" w:hAnsi="Arial"/>
          <w:sz w:val="18"/>
          <w:szCs w:val="18"/>
          <w:color w:val="auto"/>
        </w:rPr>
      </w:pPr>
    </w:p>
    <w:p>
      <w:pPr>
        <w:ind w:left="880" w:right="320" w:hanging="394"/>
        <w:spacing w:after="0" w:line="251" w:lineRule="auto"/>
        <w:tabs>
          <w:tab w:leader="none" w:pos="8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interest rates, investor risk appetite and other macroeconomic factors impacting the market for securities issued by medical device companies;</w:t>
      </w:r>
    </w:p>
    <w:p>
      <w:pPr>
        <w:spacing w:after="0" w:line="192" w:lineRule="exact"/>
        <w:rPr>
          <w:rFonts w:ascii="Arial" w:cs="Arial" w:eastAsia="Arial" w:hAnsi="Arial"/>
          <w:sz w:val="18"/>
          <w:szCs w:val="18"/>
          <w:color w:val="auto"/>
        </w:rPr>
      </w:pPr>
    </w:p>
    <w:p>
      <w:pPr>
        <w:ind w:left="880" w:right="220" w:hanging="394"/>
        <w:spacing w:after="0" w:line="251" w:lineRule="auto"/>
        <w:tabs>
          <w:tab w:leader="none" w:pos="8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 of inflation, interest rate increases and other macroeconomic factors impacting patients’ economic ability and likelihood of undergoing elective procedures, whether real or as perceived by investors;</w:t>
      </w:r>
    </w:p>
    <w:p>
      <w:pPr>
        <w:spacing w:after="0" w:line="179" w:lineRule="exact"/>
        <w:rPr>
          <w:rFonts w:ascii="Arial" w:cs="Arial" w:eastAsia="Arial" w:hAnsi="Arial"/>
          <w:sz w:val="18"/>
          <w:szCs w:val="18"/>
          <w:color w:val="auto"/>
        </w:rPr>
      </w:pPr>
    </w:p>
    <w:p>
      <w:pPr>
        <w:ind w:left="880" w:hanging="39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of our clinical trials and that of our competitors’ products;</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205" w:lineRule="exact"/>
        <w:rPr>
          <w:rFonts w:ascii="Arial" w:cs="Arial" w:eastAsia="Arial" w:hAnsi="Arial"/>
          <w:sz w:val="18"/>
          <w:szCs w:val="18"/>
          <w:color w:val="auto"/>
        </w:rPr>
      </w:pPr>
    </w:p>
    <w:p>
      <w:pPr>
        <w:ind w:left="880" w:hanging="394"/>
        <w:spacing w:after="0" w:line="266" w:lineRule="auto"/>
        <w:tabs>
          <w:tab w:leader="none" w:pos="8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w:t>
      </w:r>
    </w:p>
    <w:p>
      <w:pPr>
        <w:spacing w:after="0" w:line="166" w:lineRule="exact"/>
        <w:rPr>
          <w:rFonts w:ascii="Arial" w:cs="Arial" w:eastAsia="Arial" w:hAnsi="Arial"/>
          <w:sz w:val="18"/>
          <w:szCs w:val="18"/>
          <w:color w:val="auto"/>
        </w:rPr>
      </w:pPr>
    </w:p>
    <w:p>
      <w:pPr>
        <w:ind w:left="720" w:hanging="234"/>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05" w:lineRule="exact"/>
        <w:rPr>
          <w:rFonts w:ascii="Arial" w:cs="Arial" w:eastAsia="Arial" w:hAnsi="Arial"/>
          <w:sz w:val="18"/>
          <w:szCs w:val="18"/>
          <w:color w:val="auto"/>
        </w:rPr>
      </w:pPr>
    </w:p>
    <w:p>
      <w:pPr>
        <w:ind w:left="880" w:right="20" w:hanging="394"/>
        <w:spacing w:after="0" w:line="266"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healthcare companies, in general, and of companies in the medical device industry in particular;</w:t>
      </w:r>
    </w:p>
    <w:p>
      <w:pPr>
        <w:spacing w:after="0" w:line="166" w:lineRule="exact"/>
        <w:rPr>
          <w:rFonts w:ascii="Arial" w:cs="Arial" w:eastAsia="Arial" w:hAnsi="Arial"/>
          <w:sz w:val="18"/>
          <w:szCs w:val="18"/>
          <w:color w:val="auto"/>
        </w:rPr>
      </w:pPr>
    </w:p>
    <w:p>
      <w:pPr>
        <w:ind w:left="720" w:hanging="234"/>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negative publicity;</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 or those expectations change;</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developments in the U.S., foreign countries, or both;</w:t>
      </w:r>
    </w:p>
    <w:p>
      <w:pPr>
        <w:spacing w:after="0" w:line="218" w:lineRule="exact"/>
        <w:rPr>
          <w:rFonts w:ascii="Arial" w:cs="Arial" w:eastAsia="Arial" w:hAnsi="Arial"/>
          <w:sz w:val="18"/>
          <w:szCs w:val="18"/>
          <w:color w:val="auto"/>
        </w:rPr>
      </w:pPr>
    </w:p>
    <w:p>
      <w:pPr>
        <w:ind w:left="720" w:hanging="234"/>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lock-up releases and sales of large blocks of our common stock;</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or departures of key employees or scientific personnel; and</w:t>
      </w:r>
    </w:p>
    <w:p>
      <w:pPr>
        <w:spacing w:after="0" w:line="205" w:lineRule="exact"/>
        <w:rPr>
          <w:rFonts w:ascii="Arial" w:cs="Arial" w:eastAsia="Arial" w:hAnsi="Arial"/>
          <w:sz w:val="18"/>
          <w:szCs w:val="18"/>
          <w:color w:val="auto"/>
        </w:rPr>
      </w:pPr>
    </w:p>
    <w:p>
      <w:pPr>
        <w:ind w:left="720" w:hanging="234"/>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19" w:lineRule="exact"/>
        <w:rPr>
          <w:sz w:val="20"/>
          <w:szCs w:val="20"/>
          <w:color w:val="auto"/>
        </w:rPr>
      </w:pPr>
    </w:p>
    <w:p>
      <w:pPr>
        <w:jc w:val="both"/>
        <w:ind w:firstLine="439"/>
        <w:spacing w:after="0" w:line="274" w:lineRule="auto"/>
        <w:rPr>
          <w:sz w:val="20"/>
          <w:szCs w:val="20"/>
          <w:color w:val="auto"/>
        </w:rPr>
      </w:pPr>
      <w:r>
        <w:rPr>
          <w:rFonts w:ascii="Arial" w:cs="Arial" w:eastAsia="Arial" w:hAnsi="Arial"/>
          <w:sz w:val="16"/>
          <w:szCs w:val="16"/>
          <w:color w:val="auto"/>
        </w:rPr>
        <w:t>In addition, if the market for healthcare stocks or the stock market, in general, experience a further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sales volumes and our operating results may fluctuate over the course of the year, which could affect the price of our common stock.</w:t>
      </w:r>
    </w:p>
    <w:p>
      <w:pPr>
        <w:spacing w:after="0" w:line="217" w:lineRule="exact"/>
        <w:rPr>
          <w:sz w:val="20"/>
          <w:szCs w:val="20"/>
          <w:color w:val="auto"/>
        </w:rPr>
      </w:pPr>
    </w:p>
    <w:p>
      <w:pPr>
        <w:jc w:val="both"/>
        <w:ind w:firstLine="444"/>
        <w:spacing w:after="0" w:line="251" w:lineRule="auto"/>
        <w:rPr>
          <w:sz w:val="20"/>
          <w:szCs w:val="20"/>
          <w:color w:val="auto"/>
        </w:rPr>
      </w:pPr>
      <w:r>
        <w:rPr>
          <w:rFonts w:ascii="Arial" w:cs="Arial" w:eastAsia="Arial" w:hAnsi="Arial"/>
          <w:sz w:val="18"/>
          <w:szCs w:val="18"/>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179" w:lineRule="exact"/>
        <w:rPr>
          <w:sz w:val="20"/>
          <w:szCs w:val="20"/>
          <w:color w:val="auto"/>
        </w:rPr>
      </w:pPr>
    </w:p>
    <w:p>
      <w:pPr>
        <w:ind w:left="880" w:hanging="39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that the COVID-19 pandemic has on our business;</w:t>
      </w:r>
    </w:p>
    <w:p>
      <w:pPr>
        <w:sectPr>
          <w:pgSz w:w="11900" w:h="16838" w:orient="portrait"/>
          <w:cols w:equalWidth="0" w:num="1">
            <w:col w:w="11240"/>
          </w:cols>
          <w:pgMar w:left="320" w:top="9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type w:val="continuous"/>
        </w:sectPr>
      </w:pPr>
    </w:p>
    <w:bookmarkStart w:id="69" w:name="page70"/>
    <w:bookmarkEnd w:id="69"/>
    <w:p>
      <w:pPr>
        <w:ind w:left="880" w:hanging="39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payor coverage and reimbursement;</w:t>
      </w:r>
    </w:p>
    <w:p>
      <w:pPr>
        <w:spacing w:after="0" w:line="205" w:lineRule="exact"/>
        <w:rPr>
          <w:rFonts w:ascii="Arial" w:cs="Arial" w:eastAsia="Arial" w:hAnsi="Arial"/>
          <w:sz w:val="18"/>
          <w:szCs w:val="18"/>
          <w:color w:val="auto"/>
        </w:rPr>
      </w:pPr>
    </w:p>
    <w:p>
      <w:pPr>
        <w:ind w:left="880" w:hanging="39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products sold in the quarter and our ability to drive increased sales of our products;</w:t>
      </w:r>
    </w:p>
    <w:p>
      <w:pPr>
        <w:spacing w:after="0" w:line="218" w:lineRule="exact"/>
        <w:rPr>
          <w:rFonts w:ascii="Arial" w:cs="Arial" w:eastAsia="Arial" w:hAnsi="Arial"/>
          <w:sz w:val="18"/>
          <w:szCs w:val="18"/>
          <w:color w:val="auto"/>
        </w:rPr>
      </w:pPr>
    </w:p>
    <w:p>
      <w:pPr>
        <w:ind w:left="880" w:hanging="39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pacing w:after="0" w:line="205" w:lineRule="exact"/>
        <w:rPr>
          <w:rFonts w:ascii="Arial" w:cs="Arial" w:eastAsia="Arial" w:hAnsi="Arial"/>
          <w:sz w:val="18"/>
          <w:szCs w:val="18"/>
          <w:color w:val="auto"/>
        </w:rPr>
      </w:pPr>
    </w:p>
    <w:p>
      <w:pPr>
        <w:ind w:left="880" w:hanging="39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w:t>
      </w:r>
    </w:p>
    <w:p>
      <w:pPr>
        <w:spacing w:after="0" w:line="205" w:lineRule="exact"/>
        <w:rPr>
          <w:rFonts w:ascii="Arial" w:cs="Arial" w:eastAsia="Arial" w:hAnsi="Arial"/>
          <w:sz w:val="18"/>
          <w:szCs w:val="18"/>
          <w:color w:val="auto"/>
        </w:rPr>
      </w:pPr>
    </w:p>
    <w:p>
      <w:pPr>
        <w:ind w:left="880" w:hanging="39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products and products in development;</w:t>
      </w:r>
    </w:p>
    <w:p>
      <w:pPr>
        <w:spacing w:after="0" w:line="218" w:lineRule="exact"/>
        <w:rPr>
          <w:rFonts w:ascii="Arial" w:cs="Arial" w:eastAsia="Arial" w:hAnsi="Arial"/>
          <w:sz w:val="18"/>
          <w:szCs w:val="18"/>
          <w:color w:val="auto"/>
        </w:rPr>
      </w:pPr>
    </w:p>
    <w:p>
      <w:pPr>
        <w:ind w:left="880" w:hanging="39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mix of our products sold because profit margins differ amongst our products;</w:t>
      </w:r>
    </w:p>
    <w:p>
      <w:pPr>
        <w:spacing w:after="0" w:line="205" w:lineRule="exact"/>
        <w:rPr>
          <w:rFonts w:ascii="Arial" w:cs="Arial" w:eastAsia="Arial" w:hAnsi="Arial"/>
          <w:sz w:val="18"/>
          <w:szCs w:val="18"/>
          <w:color w:val="auto"/>
        </w:rPr>
      </w:pPr>
    </w:p>
    <w:p>
      <w:pPr>
        <w:ind w:left="880" w:hanging="39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05" w:lineRule="exact"/>
        <w:rPr>
          <w:rFonts w:ascii="Arial" w:cs="Arial" w:eastAsia="Arial" w:hAnsi="Arial"/>
          <w:sz w:val="18"/>
          <w:szCs w:val="18"/>
          <w:color w:val="auto"/>
        </w:rPr>
      </w:pPr>
    </w:p>
    <w:p>
      <w:pPr>
        <w:ind w:left="880" w:hanging="39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218" w:lineRule="exact"/>
        <w:rPr>
          <w:rFonts w:ascii="Arial" w:cs="Arial" w:eastAsia="Arial" w:hAnsi="Arial"/>
          <w:sz w:val="18"/>
          <w:szCs w:val="18"/>
          <w:color w:val="auto"/>
        </w:rPr>
      </w:pPr>
    </w:p>
    <w:p>
      <w:pPr>
        <w:ind w:left="880" w:hanging="39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evolving product offerings of our competitors;</w:t>
      </w:r>
    </w:p>
    <w:p>
      <w:pPr>
        <w:spacing w:after="0" w:line="205" w:lineRule="exact"/>
        <w:rPr>
          <w:rFonts w:ascii="Arial" w:cs="Arial" w:eastAsia="Arial" w:hAnsi="Arial"/>
          <w:sz w:val="18"/>
          <w:szCs w:val="18"/>
          <w:color w:val="auto"/>
        </w:rPr>
      </w:pPr>
    </w:p>
    <w:p>
      <w:pPr>
        <w:ind w:left="880" w:hanging="39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205" w:lineRule="exact"/>
        <w:rPr>
          <w:rFonts w:ascii="Arial" w:cs="Arial" w:eastAsia="Arial" w:hAnsi="Arial"/>
          <w:sz w:val="18"/>
          <w:szCs w:val="18"/>
          <w:color w:val="auto"/>
        </w:rPr>
      </w:pPr>
    </w:p>
    <w:p>
      <w:pPr>
        <w:ind w:left="880" w:hanging="39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pacing w:after="0" w:line="218" w:lineRule="exact"/>
        <w:rPr>
          <w:rFonts w:ascii="Arial" w:cs="Arial" w:eastAsia="Arial" w:hAnsi="Arial"/>
          <w:sz w:val="18"/>
          <w:szCs w:val="18"/>
          <w:color w:val="auto"/>
        </w:rPr>
      </w:pPr>
    </w:p>
    <w:p>
      <w:pPr>
        <w:ind w:left="880" w:right="20" w:hanging="394"/>
        <w:spacing w:after="0" w:line="251" w:lineRule="auto"/>
        <w:tabs>
          <w:tab w:leader="none" w:pos="8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domestic and international regulatory clearances or approvals, or CE Certificates of Conformity, and legislative changes affecting the products we may offer or those of our competitors;</w:t>
      </w:r>
    </w:p>
    <w:p>
      <w:pPr>
        <w:spacing w:after="0" w:line="179" w:lineRule="exact"/>
        <w:rPr>
          <w:rFonts w:ascii="Arial" w:cs="Arial" w:eastAsia="Arial" w:hAnsi="Arial"/>
          <w:sz w:val="18"/>
          <w:szCs w:val="18"/>
          <w:color w:val="auto"/>
        </w:rPr>
      </w:pPr>
    </w:p>
    <w:p>
      <w:pPr>
        <w:ind w:left="880" w:hanging="39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18" w:lineRule="exact"/>
        <w:rPr>
          <w:rFonts w:ascii="Arial" w:cs="Arial" w:eastAsia="Arial" w:hAnsi="Arial"/>
          <w:sz w:val="18"/>
          <w:szCs w:val="18"/>
          <w:color w:val="auto"/>
        </w:rPr>
      </w:pPr>
    </w:p>
    <w:p>
      <w:pPr>
        <w:ind w:left="880" w:hanging="39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of competing technological, industry and market developments;</w:t>
      </w:r>
    </w:p>
    <w:p>
      <w:pPr>
        <w:spacing w:after="0" w:line="205" w:lineRule="exact"/>
        <w:rPr>
          <w:rFonts w:ascii="Arial" w:cs="Arial" w:eastAsia="Arial" w:hAnsi="Arial"/>
          <w:sz w:val="18"/>
          <w:szCs w:val="18"/>
          <w:color w:val="auto"/>
        </w:rPr>
      </w:pPr>
    </w:p>
    <w:p>
      <w:pPr>
        <w:ind w:left="880" w:hanging="39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expand the geographic reach of our sales and marketing efforts;</w:t>
      </w:r>
    </w:p>
    <w:p>
      <w:pPr>
        <w:spacing w:after="0" w:line="205" w:lineRule="exact"/>
        <w:rPr>
          <w:rFonts w:ascii="Arial" w:cs="Arial" w:eastAsia="Arial" w:hAnsi="Arial"/>
          <w:sz w:val="18"/>
          <w:szCs w:val="18"/>
          <w:color w:val="auto"/>
        </w:rPr>
      </w:pPr>
    </w:p>
    <w:p>
      <w:pPr>
        <w:ind w:left="880" w:hanging="39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w:t>
      </w:r>
    </w:p>
    <w:p>
      <w:pPr>
        <w:spacing w:after="0" w:line="218" w:lineRule="exact"/>
        <w:rPr>
          <w:rFonts w:ascii="Arial" w:cs="Arial" w:eastAsia="Arial" w:hAnsi="Arial"/>
          <w:sz w:val="18"/>
          <w:szCs w:val="18"/>
          <w:color w:val="auto"/>
        </w:rPr>
      </w:pPr>
    </w:p>
    <w:p>
      <w:pPr>
        <w:ind w:left="880" w:hanging="39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and cost of components and materials;</w:t>
      </w:r>
    </w:p>
    <w:p>
      <w:pPr>
        <w:spacing w:after="0" w:line="205" w:lineRule="exact"/>
        <w:rPr>
          <w:rFonts w:ascii="Arial" w:cs="Arial" w:eastAsia="Arial" w:hAnsi="Arial"/>
          <w:sz w:val="18"/>
          <w:szCs w:val="18"/>
          <w:color w:val="auto"/>
        </w:rPr>
      </w:pPr>
    </w:p>
    <w:p>
      <w:pPr>
        <w:ind w:left="880" w:hanging="39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selling days in the quarter;</w:t>
      </w:r>
    </w:p>
    <w:p>
      <w:pPr>
        <w:spacing w:after="0" w:line="205" w:lineRule="exact"/>
        <w:rPr>
          <w:rFonts w:ascii="Arial" w:cs="Arial" w:eastAsia="Arial" w:hAnsi="Arial"/>
          <w:sz w:val="18"/>
          <w:szCs w:val="18"/>
          <w:color w:val="auto"/>
        </w:rPr>
      </w:pPr>
    </w:p>
    <w:p>
      <w:pPr>
        <w:ind w:left="880" w:hanging="39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 in foreign currency exchange rates; and</w:t>
      </w:r>
    </w:p>
    <w:p>
      <w:pPr>
        <w:spacing w:after="0" w:line="218" w:lineRule="exact"/>
        <w:rPr>
          <w:rFonts w:ascii="Arial" w:cs="Arial" w:eastAsia="Arial" w:hAnsi="Arial"/>
          <w:sz w:val="18"/>
          <w:szCs w:val="18"/>
          <w:color w:val="auto"/>
        </w:rPr>
      </w:pPr>
    </w:p>
    <w:p>
      <w:pPr>
        <w:ind w:left="880" w:hanging="39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impairment and other special charges.</w:t>
      </w:r>
    </w:p>
    <w:p>
      <w:pPr>
        <w:spacing w:after="0" w:line="206" w:lineRule="exact"/>
        <w:rPr>
          <w:sz w:val="20"/>
          <w:szCs w:val="20"/>
          <w:color w:val="auto"/>
        </w:rPr>
      </w:pPr>
    </w:p>
    <w:p>
      <w:pPr>
        <w:jc w:val="both"/>
        <w:ind w:firstLine="444"/>
        <w:spacing w:after="0" w:line="274" w:lineRule="auto"/>
        <w:rPr>
          <w:sz w:val="20"/>
          <w:szCs w:val="20"/>
          <w:color w:val="auto"/>
        </w:rPr>
      </w:pPr>
      <w:r>
        <w:rPr>
          <w:rFonts w:ascii="Arial" w:cs="Arial" w:eastAsia="Arial" w:hAnsi="Arial"/>
          <w:sz w:val="16"/>
          <w:szCs w:val="16"/>
          <w:color w:val="auto"/>
        </w:rPr>
        <w:t>Some of the products we may seek to develop and introduce in the future will require FDA clearance or approval before commercialization in the U.S., and commercialization of such products outside of the U.S.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We may be unable to utilize our federal and state net operating loss carryforwards to reduce our income taxes.</w:t>
      </w:r>
    </w:p>
    <w:p>
      <w:pPr>
        <w:spacing w:after="0" w:line="206" w:lineRule="exact"/>
        <w:rPr>
          <w:sz w:val="20"/>
          <w:szCs w:val="20"/>
          <w:color w:val="auto"/>
        </w:rPr>
      </w:pPr>
    </w:p>
    <w:p>
      <w:pPr>
        <w:jc w:val="both"/>
        <w:ind w:firstLine="439"/>
        <w:spacing w:after="0" w:line="281" w:lineRule="auto"/>
        <w:rPr>
          <w:sz w:val="20"/>
          <w:szCs w:val="20"/>
          <w:color w:val="auto"/>
        </w:rPr>
      </w:pPr>
      <w:r>
        <w:rPr>
          <w:rFonts w:ascii="Arial" w:cs="Arial" w:eastAsia="Arial" w:hAnsi="Arial"/>
          <w:sz w:val="16"/>
          <w:szCs w:val="16"/>
          <w:color w:val="auto"/>
        </w:rPr>
        <w:t>As of December 31, 2021, we had net operating loss (“NOL”) carryforwards of $255.5 million and $203.2 million available to reduce future taxable income, if any, for U.S. federal income tax and state income tax purposes, respectively. If not utilized, our federal and state NOL carryforwards begin to expire in 2029 and 2022, respectively, subject to the recent California franchise tax law change affecting California state NOLs mentioned below. Portions of these NOL carryforwards could expire unused and be unavailable to offset future income tax liabilities. Under legislation enacted in 2017, as modified by</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legislation enacted in 2020, unused U.S. federal NOLs generated in tax years beginning after December 31, 2017</w:t>
      </w:r>
      <w:r>
        <w:rPr>
          <w:rFonts w:ascii="Arial" w:cs="Arial" w:eastAsia="Arial" w:hAnsi="Arial"/>
          <w:sz w:val="20"/>
          <w:szCs w:val="20"/>
          <w:color w:val="auto"/>
        </w:rPr>
        <w:t>,</w:t>
      </w:r>
      <w:r>
        <w:rPr>
          <w:rFonts w:ascii="Arial" w:cs="Arial" w:eastAsia="Arial" w:hAnsi="Arial"/>
          <w:sz w:val="17"/>
          <w:szCs w:val="17"/>
          <w:color w:val="auto"/>
        </w:rPr>
        <w:t xml:space="preserve"> will not expire and may be carried forward indefinitely, but the deductibility of such federal NOLs in taxable years beginning after December 31, 2020, is limited to 80% of taxable income. At the state level, there may be periods during which the use of NOLs is suspended or otherwise limited.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updated our Section 382 ownership change analysis through December 31, 2020. The analysis determined that we have experienced Section 382 ownership changes in 2010 and 2020. A total of $1.4 million of our NOLs and tax credit carryforwards are subject to limitation as a result of the ownership change.</w:t>
      </w:r>
    </w:p>
    <w:p>
      <w:pPr>
        <w:spacing w:after="0" w:line="208" w:lineRule="exact"/>
        <w:rPr>
          <w:sz w:val="20"/>
          <w:szCs w:val="20"/>
          <w:color w:val="auto"/>
        </w:rPr>
      </w:pPr>
    </w:p>
    <w:p>
      <w:pPr>
        <w:jc w:val="both"/>
        <w:ind w:firstLine="439"/>
        <w:spacing w:after="0" w:line="250" w:lineRule="auto"/>
        <w:rPr>
          <w:sz w:val="20"/>
          <w:szCs w:val="20"/>
          <w:color w:val="auto"/>
        </w:rPr>
      </w:pPr>
      <w:r>
        <w:rPr>
          <w:rFonts w:ascii="Arial" w:cs="Arial" w:eastAsia="Arial" w:hAnsi="Arial"/>
          <w:sz w:val="18"/>
          <w:szCs w:val="18"/>
          <w:color w:val="auto"/>
        </w:rPr>
        <w:t>The California Assembly Bill 85 (AB 85) was signed into law by Governor Gavin Newsom on June 29, 2020. The legislation suspends the California NOL deductions for 2020, 2021 and 2022 for certain taxpayers and imposes a limitation of certain California Tax Credits for 2020, 2021 and 2022. The legislation disallows the use of California NOL deductions if the taxpayer recognizes business income and its adjusted gross income is greater than $1.0 million. The carryover periods for NOL deductions disallowed by this provision will be extended. On February 9, 2022, California Senate Bill 133 (SB 133) was signed into law. The new bill lifted the limitation for California NOL and credit utilization disallowed by AB 85. We will continue to monitor the possible California NOLs and credit limitation in future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lead to management entrenchment.</w:t>
      </w:r>
    </w:p>
    <w:p>
      <w:pPr>
        <w:spacing w:after="0" w:line="206" w:lineRule="exact"/>
        <w:rPr>
          <w:sz w:val="20"/>
          <w:szCs w:val="20"/>
          <w:color w:val="auto"/>
        </w:rPr>
      </w:pPr>
    </w:p>
    <w:p>
      <w:pPr>
        <w:jc w:val="both"/>
        <w:ind w:firstLine="439"/>
        <w:spacing w:after="0" w:line="270"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66" w:lineRule="exact"/>
        <w:rPr>
          <w:sz w:val="20"/>
          <w:szCs w:val="20"/>
          <w:color w:val="auto"/>
        </w:rPr>
      </w:pPr>
    </w:p>
    <w:p>
      <w:pPr>
        <w:ind w:left="880" w:hanging="394"/>
        <w:spacing w:after="0" w:line="251" w:lineRule="auto"/>
        <w:tabs>
          <w:tab w:leader="none" w:pos="81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79" w:lineRule="exact"/>
        <w:rPr>
          <w:rFonts w:ascii="Arial" w:cs="Arial" w:eastAsia="Arial" w:hAnsi="Arial"/>
          <w:sz w:val="18"/>
          <w:szCs w:val="18"/>
          <w:color w:val="auto"/>
        </w:rPr>
      </w:pPr>
    </w:p>
    <w:p>
      <w:pPr>
        <w:ind w:left="880" w:hanging="394"/>
        <w:spacing w:after="0" w:line="296" w:lineRule="auto"/>
        <w:tabs>
          <w:tab w:leader="none" w:pos="827"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43" w:lineRule="exact"/>
        <w:rPr>
          <w:rFonts w:ascii="Arial" w:cs="Arial" w:eastAsia="Arial" w:hAnsi="Arial"/>
          <w:sz w:val="17"/>
          <w:szCs w:val="17"/>
          <w:color w:val="auto"/>
        </w:rPr>
      </w:pPr>
    </w:p>
    <w:p>
      <w:pPr>
        <w:ind w:left="880" w:right="20" w:hanging="394"/>
        <w:spacing w:after="0" w:line="280" w:lineRule="auto"/>
        <w:tabs>
          <w:tab w:leader="none" w:pos="72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69" w:lineRule="exact"/>
        <w:rPr>
          <w:rFonts w:ascii="Arial" w:cs="Arial" w:eastAsia="Arial" w:hAnsi="Arial"/>
          <w:sz w:val="17"/>
          <w:szCs w:val="17"/>
          <w:color w:val="auto"/>
        </w:rPr>
      </w:pPr>
    </w:p>
    <w:p>
      <w:pPr>
        <w:ind w:left="880" w:hanging="394"/>
        <w:spacing w:after="0" w:line="251" w:lineRule="auto"/>
        <w:tabs>
          <w:tab w:leader="none" w:pos="841"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79" w:lineRule="exact"/>
        <w:rPr>
          <w:rFonts w:ascii="Arial" w:cs="Arial" w:eastAsia="Arial" w:hAnsi="Arial"/>
          <w:sz w:val="18"/>
          <w:szCs w:val="18"/>
          <w:color w:val="auto"/>
        </w:rPr>
      </w:pPr>
    </w:p>
    <w:p>
      <w:pPr>
        <w:ind w:left="880" w:hanging="394"/>
        <w:spacing w:after="0" w:line="249" w:lineRule="auto"/>
        <w:tabs>
          <w:tab w:leader="none" w:pos="75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81" w:lineRule="exact"/>
        <w:rPr>
          <w:rFonts w:ascii="Arial" w:cs="Arial" w:eastAsia="Arial" w:hAnsi="Arial"/>
          <w:sz w:val="18"/>
          <w:szCs w:val="18"/>
          <w:color w:val="auto"/>
        </w:rPr>
      </w:pPr>
    </w:p>
    <w:p>
      <w:pPr>
        <w:ind w:left="880" w:hanging="394"/>
        <w:spacing w:after="0" w:line="243" w:lineRule="auto"/>
        <w:tabs>
          <w:tab w:leader="none" w:pos="7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200" w:lineRule="exact"/>
        <w:rPr>
          <w:rFonts w:ascii="Arial" w:cs="Arial" w:eastAsia="Arial" w:hAnsi="Arial"/>
          <w:sz w:val="18"/>
          <w:szCs w:val="18"/>
          <w:color w:val="auto"/>
        </w:rPr>
      </w:pPr>
    </w:p>
    <w:p>
      <w:pPr>
        <w:ind w:left="880" w:hanging="394"/>
        <w:spacing w:after="0" w:line="241" w:lineRule="auto"/>
        <w:tabs>
          <w:tab w:leader="none" w:pos="733"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71" w:name="page72"/>
    <w:bookmarkEnd w:id="71"/>
    <w:p>
      <w:pPr>
        <w:jc w:val="both"/>
        <w:ind w:firstLine="439"/>
        <w:spacing w:after="0" w:line="312"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47" w:lineRule="exact"/>
        <w:rPr>
          <w:sz w:val="20"/>
          <w:szCs w:val="20"/>
          <w:color w:val="auto"/>
        </w:rPr>
      </w:pPr>
    </w:p>
    <w:p>
      <w:pPr>
        <w:jc w:val="both"/>
        <w:ind w:firstLine="439"/>
        <w:spacing w:after="0" w:line="312" w:lineRule="auto"/>
        <w:rPr>
          <w:sz w:val="20"/>
          <w:szCs w:val="20"/>
          <w:color w:val="auto"/>
        </w:rPr>
      </w:pPr>
      <w:r>
        <w:rPr>
          <w:rFonts w:ascii="Arial" w:cs="Arial" w:eastAsia="Arial" w:hAnsi="Arial"/>
          <w:sz w:val="16"/>
          <w:szCs w:val="16"/>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34"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6"/>
          <w:szCs w:val="16"/>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our stockholders to realize value in a corporate transaction.</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U.S. federal district courts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185" w:lineRule="exact"/>
        <w:rPr>
          <w:sz w:val="20"/>
          <w:szCs w:val="20"/>
          <w:color w:val="auto"/>
        </w:rPr>
      </w:pPr>
    </w:p>
    <w:p>
      <w:pPr>
        <w:jc w:val="both"/>
        <w:ind w:firstLine="439"/>
        <w:spacing w:after="0" w:line="255"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spacing w:after="0" w:line="192" w:lineRule="exact"/>
        <w:rPr>
          <w:sz w:val="20"/>
          <w:szCs w:val="20"/>
          <w:color w:val="auto"/>
        </w:rPr>
      </w:pPr>
    </w:p>
    <w:p>
      <w:pPr>
        <w:jc w:val="both"/>
        <w:ind w:firstLine="439"/>
        <w:spacing w:after="0" w:line="251" w:lineRule="auto"/>
        <w:rPr>
          <w:sz w:val="20"/>
          <w:szCs w:val="20"/>
          <w:color w:val="auto"/>
        </w:rPr>
      </w:pPr>
      <w:r>
        <w:rPr>
          <w:rFonts w:ascii="Arial" w:cs="Arial" w:eastAsia="Arial" w:hAnsi="Arial"/>
          <w:sz w:val="18"/>
          <w:szCs w:val="18"/>
          <w:color w:val="auto"/>
        </w:rPr>
        <w:t>Our amended and restated certificate of incorporation also provides that the U.S. federal district courts are the exclusive forum for resolving any complaint asserting a cause of action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Nothing to report.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Item 6. Exhibits</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60" w:type="dxa"/>
            <w:vAlign w:val="bottom"/>
            <w:gridSpan w:val="5"/>
          </w:tcPr>
          <w:p>
            <w:pPr>
              <w:ind w:left="120"/>
              <w:spacing w:after="0"/>
              <w:rPr>
                <w:sz w:val="20"/>
                <w:szCs w:val="20"/>
                <w:color w:val="auto"/>
              </w:rPr>
            </w:pPr>
            <w:r>
              <w:rPr>
                <w:rFonts w:ascii="Arial" w:cs="Arial" w:eastAsia="Arial" w:hAnsi="Arial"/>
                <w:sz w:val="14"/>
                <w:szCs w:val="14"/>
                <w:b w:val="1"/>
                <w:bCs w:val="1"/>
                <w:color w:val="auto"/>
                <w:w w:val="93"/>
              </w:rPr>
              <w:t>Incorporation By Reference</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2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0" w:type="dxa"/>
            <w:vAlign w:val="bottom"/>
            <w:gridSpan w:val="17"/>
            <w:vMerge w:val="restart"/>
          </w:tcPr>
          <w:p>
            <w:pPr>
              <w:ind w:left="16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vMerge w:val="restart"/>
          </w:tcPr>
          <w:p>
            <w:pPr>
              <w:spacing w:after="0"/>
              <w:rPr>
                <w:sz w:val="11"/>
                <w:szCs w:val="11"/>
                <w:color w:val="auto"/>
              </w:rPr>
            </w:pPr>
          </w:p>
        </w:tc>
        <w:tc>
          <w:tcPr>
            <w:tcW w:w="800" w:type="dxa"/>
            <w:vAlign w:val="bottom"/>
            <w:tcBorders>
              <w:top w:val="single" w:sz="8" w:color="auto"/>
            </w:tcBorders>
            <w:vMerge w:val="restart"/>
          </w:tcPr>
          <w:p>
            <w:pPr>
              <w:jc w:val="center"/>
              <w:ind w:left="56"/>
              <w:spacing w:after="0"/>
              <w:rPr>
                <w:sz w:val="20"/>
                <w:szCs w:val="20"/>
                <w:color w:val="auto"/>
              </w:rPr>
            </w:pPr>
            <w:r>
              <w:rPr>
                <w:rFonts w:ascii="Arial" w:cs="Arial" w:eastAsia="Arial" w:hAnsi="Arial"/>
                <w:sz w:val="14"/>
                <w:szCs w:val="14"/>
                <w:b w:val="1"/>
                <w:bCs w:val="1"/>
                <w:color w:val="auto"/>
                <w:w w:val="97"/>
              </w:rPr>
              <w:t>Form</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SEC File No.</w:t>
            </w:r>
          </w:p>
        </w:tc>
        <w:tc>
          <w:tcPr>
            <w:tcW w:w="180" w:type="dxa"/>
            <w:vAlign w:val="bottom"/>
            <w:tcBorders>
              <w:top w:val="single" w:sz="8" w:color="auto"/>
            </w:tcBorders>
            <w:vMerge w:val="restart"/>
          </w:tcPr>
          <w:p>
            <w:pPr>
              <w:spacing w:after="0"/>
              <w:rPr>
                <w:sz w:val="11"/>
                <w:szCs w:val="11"/>
                <w:color w:val="auto"/>
              </w:rPr>
            </w:pPr>
          </w:p>
        </w:tc>
        <w:tc>
          <w:tcPr>
            <w:tcW w:w="180" w:type="dxa"/>
            <w:vAlign w:val="bottom"/>
            <w:tcBorders>
              <w:top w:val="single" w:sz="8" w:color="auto"/>
            </w:tcBorders>
            <w:vMerge w:val="restart"/>
          </w:tcPr>
          <w:p>
            <w:pPr>
              <w:spacing w:after="0"/>
              <w:rPr>
                <w:sz w:val="11"/>
                <w:szCs w:val="11"/>
                <w:color w:val="auto"/>
              </w:rPr>
            </w:pPr>
          </w:p>
        </w:tc>
        <w:tc>
          <w:tcPr>
            <w:tcW w:w="900" w:type="dxa"/>
            <w:vAlign w:val="bottom"/>
            <w:tcBorders>
              <w:top w:val="single" w:sz="8" w:color="auto"/>
            </w:tcBorders>
          </w:tcPr>
          <w:p>
            <w:pPr>
              <w:jc w:val="center"/>
              <w:ind w:right="118"/>
              <w:spacing w:after="0" w:line="131" w:lineRule="exact"/>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1"/>
                <w:szCs w:val="11"/>
                <w:color w:val="auto"/>
              </w:rPr>
            </w:pPr>
          </w:p>
        </w:tc>
        <w:tc>
          <w:tcPr>
            <w:tcW w:w="12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0"/>
        </w:trPr>
        <w:tc>
          <w:tcPr>
            <w:tcW w:w="10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gridSpan w:val="17"/>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1"/>
              </w:rPr>
              <w:t>Reference</w:t>
            </w:r>
          </w:p>
        </w:tc>
        <w:tc>
          <w:tcPr>
            <w:tcW w:w="16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60" w:type="dxa"/>
            <w:vAlign w:val="bottom"/>
          </w:tcPr>
          <w:p>
            <w:pPr>
              <w:ind w:left="20"/>
              <w:spacing w:after="0" w:line="185"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Borders>
              <w:bottom w:val="single" w:sz="8" w:color="0000FF"/>
            </w:tcBorders>
            <w:gridSpan w:val="7"/>
          </w:tcPr>
          <w:p>
            <w:pPr>
              <w:spacing w:after="0" w:line="185" w:lineRule="exact"/>
              <w:rPr>
                <w:rFonts w:ascii="Arial" w:cs="Arial" w:eastAsia="Arial" w:hAnsi="Arial"/>
                <w:sz w:val="18"/>
                <w:szCs w:val="18"/>
                <w:color w:val="0000FF"/>
                <w:w w:val="89"/>
              </w:rPr>
            </w:pPr>
            <w:hyperlink r:id="rId84">
              <w:r>
                <w:rPr>
                  <w:rFonts w:ascii="Arial" w:cs="Arial" w:eastAsia="Arial" w:hAnsi="Arial"/>
                  <w:sz w:val="18"/>
                  <w:szCs w:val="18"/>
                  <w:color w:val="0000FF"/>
                  <w:w w:val="89"/>
                </w:rPr>
                <w:t>Amended and Restated Certificate of Incorporation.</w:t>
              </w:r>
            </w:hyperlink>
          </w:p>
        </w:tc>
        <w:tc>
          <w:tcPr>
            <w:tcW w:w="1300" w:type="dxa"/>
            <w:vAlign w:val="bottom"/>
            <w:gridSpan w:val="12"/>
          </w:tcPr>
          <w:p>
            <w:pPr>
              <w:spacing w:after="0"/>
              <w:rPr>
                <w:sz w:val="16"/>
                <w:szCs w:val="16"/>
                <w:color w:val="auto"/>
              </w:rPr>
            </w:pPr>
          </w:p>
        </w:tc>
        <w:tc>
          <w:tcPr>
            <w:tcW w:w="800" w:type="dxa"/>
            <w:vAlign w:val="bottom"/>
          </w:tcPr>
          <w:p>
            <w:pPr>
              <w:jc w:val="center"/>
              <w:ind w:left="76"/>
              <w:spacing w:after="0" w:line="185" w:lineRule="exact"/>
              <w:rPr>
                <w:sz w:val="20"/>
                <w:szCs w:val="20"/>
                <w:color w:val="auto"/>
              </w:rPr>
            </w:pPr>
            <w:r>
              <w:rPr>
                <w:rFonts w:ascii="Arial" w:cs="Arial" w:eastAsia="Arial" w:hAnsi="Arial"/>
                <w:sz w:val="18"/>
                <w:szCs w:val="18"/>
                <w:color w:val="auto"/>
                <w:w w:val="99"/>
              </w:rPr>
              <w:t>8-K</w:t>
            </w:r>
          </w:p>
        </w:tc>
        <w:tc>
          <w:tcPr>
            <w:tcW w:w="1500" w:type="dxa"/>
            <w:vAlign w:val="bottom"/>
            <w:gridSpan w:val="3"/>
          </w:tcPr>
          <w:p>
            <w:pPr>
              <w:jc w:val="center"/>
              <w:ind w:left="236"/>
              <w:spacing w:after="0" w:line="185" w:lineRule="exact"/>
              <w:rPr>
                <w:sz w:val="20"/>
                <w:szCs w:val="20"/>
                <w:color w:val="auto"/>
              </w:rPr>
            </w:pPr>
            <w:r>
              <w:rPr>
                <w:rFonts w:ascii="Arial" w:cs="Arial" w:eastAsia="Arial" w:hAnsi="Arial"/>
                <w:sz w:val="18"/>
                <w:szCs w:val="18"/>
                <w:color w:val="auto"/>
                <w:w w:val="90"/>
              </w:rPr>
              <w:t>001-38701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ind w:right="118"/>
              <w:spacing w:after="0" w:line="185" w:lineRule="exact"/>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6"/>
                <w:szCs w:val="16"/>
                <w:color w:val="auto"/>
              </w:rPr>
            </w:pPr>
          </w:p>
        </w:tc>
        <w:tc>
          <w:tcPr>
            <w:tcW w:w="1220" w:type="dxa"/>
            <w:vAlign w:val="bottom"/>
          </w:tcPr>
          <w:p>
            <w:pPr>
              <w:jc w:val="center"/>
              <w:spacing w:after="0" w:line="185" w:lineRule="exact"/>
              <w:rPr>
                <w:sz w:val="20"/>
                <w:szCs w:val="20"/>
                <w:color w:val="auto"/>
              </w:rPr>
            </w:pPr>
            <w:r>
              <w:rPr>
                <w:rFonts w:ascii="Arial" w:cs="Arial" w:eastAsia="Arial" w:hAnsi="Arial"/>
                <w:sz w:val="18"/>
                <w:szCs w:val="18"/>
                <w:color w:val="auto"/>
                <w:w w:val="90"/>
              </w:rPr>
              <w:t>10/19/2018</w:t>
            </w:r>
          </w:p>
        </w:tc>
        <w:tc>
          <w:tcPr>
            <w:tcW w:w="0" w:type="dxa"/>
            <w:vAlign w:val="bottom"/>
          </w:tcPr>
          <w:p>
            <w:pPr>
              <w:spacing w:after="0"/>
              <w:rPr>
                <w:sz w:val="1"/>
                <w:szCs w:val="1"/>
                <w:color w:val="auto"/>
              </w:rPr>
            </w:pPr>
          </w:p>
        </w:tc>
      </w:tr>
      <w:tr>
        <w:trPr>
          <w:trHeight w:val="260"/>
        </w:trPr>
        <w:tc>
          <w:tcPr>
            <w:tcW w:w="1060" w:type="dxa"/>
            <w:vAlign w:val="bottom"/>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60" w:type="dxa"/>
            <w:vAlign w:val="bottom"/>
            <w:tcBorders>
              <w:bottom w:val="single" w:sz="8" w:color="0000FF"/>
            </w:tcBorders>
            <w:gridSpan w:val="3"/>
          </w:tcPr>
          <w:p>
            <w:pPr>
              <w:spacing w:after="0"/>
              <w:rPr>
                <w:rFonts w:ascii="Arial" w:cs="Arial" w:eastAsia="Arial" w:hAnsi="Arial"/>
                <w:sz w:val="18"/>
                <w:szCs w:val="18"/>
                <w:color w:val="0000FF"/>
                <w:w w:val="87"/>
              </w:rPr>
            </w:pPr>
            <w:hyperlink r:id="rId85">
              <w:r>
                <w:rPr>
                  <w:rFonts w:ascii="Arial" w:cs="Arial" w:eastAsia="Arial" w:hAnsi="Arial"/>
                  <w:sz w:val="18"/>
                  <w:szCs w:val="18"/>
                  <w:color w:val="0000FF"/>
                  <w:w w:val="87"/>
                </w:rPr>
                <w:t>Amended and Restated Bylaws.</w:t>
              </w:r>
            </w:hyperlink>
          </w:p>
        </w:tc>
        <w:tc>
          <w:tcPr>
            <w:tcW w:w="2720" w:type="dxa"/>
            <w:vAlign w:val="bottom"/>
            <w:gridSpan w:val="16"/>
          </w:tcPr>
          <w:p>
            <w:pPr>
              <w:spacing w:after="0"/>
              <w:rPr>
                <w:sz w:val="22"/>
                <w:szCs w:val="22"/>
                <w:color w:val="auto"/>
              </w:rPr>
            </w:pPr>
          </w:p>
        </w:tc>
        <w:tc>
          <w:tcPr>
            <w:tcW w:w="800" w:type="dxa"/>
            <w:vAlign w:val="bottom"/>
          </w:tcPr>
          <w:p>
            <w:pPr>
              <w:jc w:val="center"/>
              <w:ind w:left="56"/>
              <w:spacing w:after="0"/>
              <w:rPr>
                <w:sz w:val="20"/>
                <w:szCs w:val="20"/>
                <w:color w:val="auto"/>
              </w:rPr>
            </w:pPr>
            <w:r>
              <w:rPr>
                <w:rFonts w:ascii="Arial" w:cs="Arial" w:eastAsia="Arial" w:hAnsi="Arial"/>
                <w:sz w:val="18"/>
                <w:szCs w:val="18"/>
                <w:color w:val="auto"/>
                <w:w w:val="93"/>
              </w:rPr>
              <w:t>S-1/A</w:t>
            </w:r>
          </w:p>
        </w:tc>
        <w:tc>
          <w:tcPr>
            <w:tcW w:w="1500" w:type="dxa"/>
            <w:vAlign w:val="bottom"/>
            <w:gridSpan w:val="3"/>
          </w:tcPr>
          <w:p>
            <w:pPr>
              <w:jc w:val="center"/>
              <w:ind w:left="236"/>
              <w:spacing w:after="0"/>
              <w:rPr>
                <w:sz w:val="20"/>
                <w:szCs w:val="20"/>
                <w:color w:val="auto"/>
              </w:rPr>
            </w:pPr>
            <w:r>
              <w:rPr>
                <w:rFonts w:ascii="Arial" w:cs="Arial" w:eastAsia="Arial" w:hAnsi="Arial"/>
                <w:sz w:val="18"/>
                <w:szCs w:val="18"/>
                <w:color w:val="auto"/>
                <w:w w:val="89"/>
              </w:rPr>
              <w:t>333-227445</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center"/>
              <w:ind w:right="118"/>
              <w:spacing w:after="0"/>
              <w:rPr>
                <w:sz w:val="20"/>
                <w:szCs w:val="20"/>
                <w:color w:val="auto"/>
              </w:rPr>
            </w:pPr>
            <w:r>
              <w:rPr>
                <w:rFonts w:ascii="Arial" w:cs="Arial" w:eastAsia="Arial" w:hAnsi="Arial"/>
                <w:sz w:val="18"/>
                <w:szCs w:val="18"/>
                <w:color w:val="auto"/>
                <w:w w:val="87"/>
              </w:rPr>
              <w:t>3.4</w:t>
            </w:r>
          </w:p>
        </w:tc>
        <w:tc>
          <w:tcPr>
            <w:tcW w:w="16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10/5/2018</w:t>
            </w:r>
          </w:p>
        </w:tc>
        <w:tc>
          <w:tcPr>
            <w:tcW w:w="0" w:type="dxa"/>
            <w:vAlign w:val="bottom"/>
          </w:tcPr>
          <w:p>
            <w:pPr>
              <w:spacing w:after="0"/>
              <w:rPr>
                <w:sz w:val="1"/>
                <w:szCs w:val="1"/>
                <w:color w:val="auto"/>
              </w:rPr>
            </w:pPr>
          </w:p>
        </w:tc>
      </w:tr>
      <w:tr>
        <w:trPr>
          <w:trHeight w:val="260"/>
        </w:trPr>
        <w:tc>
          <w:tcPr>
            <w:tcW w:w="1060" w:type="dxa"/>
            <w:vAlign w:val="bottom"/>
          </w:tcPr>
          <w:p>
            <w:pPr>
              <w:ind w:left="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40" w:type="dxa"/>
            <w:vAlign w:val="bottom"/>
            <w:tcBorders>
              <w:bottom w:val="single" w:sz="8" w:color="0000FF"/>
            </w:tcBorders>
            <w:gridSpan w:val="8"/>
          </w:tcPr>
          <w:p>
            <w:pPr>
              <w:spacing w:after="0"/>
              <w:rPr>
                <w:rFonts w:ascii="Arial" w:cs="Arial" w:eastAsia="Arial" w:hAnsi="Arial"/>
                <w:sz w:val="18"/>
                <w:szCs w:val="18"/>
                <w:color w:val="0000FF"/>
                <w:w w:val="90"/>
              </w:rPr>
            </w:pPr>
            <w:hyperlink r:id="rId86">
              <w:r>
                <w:rPr>
                  <w:rFonts w:ascii="Arial" w:cs="Arial" w:eastAsia="Arial" w:hAnsi="Arial"/>
                  <w:sz w:val="18"/>
                  <w:szCs w:val="18"/>
                  <w:color w:val="0000FF"/>
                  <w:w w:val="90"/>
                </w:rPr>
                <w:t>Form of Common Stock Certificate of the Company.</w:t>
              </w:r>
            </w:hyperlink>
          </w:p>
        </w:tc>
        <w:tc>
          <w:tcPr>
            <w:tcW w:w="1240" w:type="dxa"/>
            <w:vAlign w:val="bottom"/>
            <w:gridSpan w:val="11"/>
          </w:tcPr>
          <w:p>
            <w:pPr>
              <w:spacing w:after="0"/>
              <w:rPr>
                <w:sz w:val="22"/>
                <w:szCs w:val="22"/>
                <w:color w:val="auto"/>
              </w:rPr>
            </w:pPr>
          </w:p>
        </w:tc>
        <w:tc>
          <w:tcPr>
            <w:tcW w:w="800" w:type="dxa"/>
            <w:vAlign w:val="bottom"/>
          </w:tcPr>
          <w:p>
            <w:pPr>
              <w:jc w:val="center"/>
              <w:ind w:left="56"/>
              <w:spacing w:after="0"/>
              <w:rPr>
                <w:sz w:val="20"/>
                <w:szCs w:val="20"/>
                <w:color w:val="auto"/>
              </w:rPr>
            </w:pPr>
            <w:r>
              <w:rPr>
                <w:rFonts w:ascii="Arial" w:cs="Arial" w:eastAsia="Arial" w:hAnsi="Arial"/>
                <w:sz w:val="18"/>
                <w:szCs w:val="18"/>
                <w:color w:val="auto"/>
                <w:w w:val="93"/>
              </w:rPr>
              <w:t>S-1/A</w:t>
            </w:r>
          </w:p>
        </w:tc>
        <w:tc>
          <w:tcPr>
            <w:tcW w:w="1500" w:type="dxa"/>
            <w:vAlign w:val="bottom"/>
            <w:gridSpan w:val="3"/>
          </w:tcPr>
          <w:p>
            <w:pPr>
              <w:jc w:val="center"/>
              <w:ind w:left="236"/>
              <w:spacing w:after="0"/>
              <w:rPr>
                <w:sz w:val="20"/>
                <w:szCs w:val="20"/>
                <w:color w:val="auto"/>
              </w:rPr>
            </w:pPr>
            <w:r>
              <w:rPr>
                <w:rFonts w:ascii="Arial" w:cs="Arial" w:eastAsia="Arial" w:hAnsi="Arial"/>
                <w:sz w:val="18"/>
                <w:szCs w:val="18"/>
                <w:color w:val="auto"/>
                <w:w w:val="89"/>
              </w:rPr>
              <w:t>333-227445</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center"/>
              <w:ind w:right="118"/>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10/5/2018</w:t>
            </w:r>
          </w:p>
        </w:tc>
        <w:tc>
          <w:tcPr>
            <w:tcW w:w="0" w:type="dxa"/>
            <w:vAlign w:val="bottom"/>
          </w:tcPr>
          <w:p>
            <w:pPr>
              <w:spacing w:after="0"/>
              <w:rPr>
                <w:sz w:val="1"/>
                <w:szCs w:val="1"/>
                <w:color w:val="auto"/>
              </w:rPr>
            </w:pPr>
          </w:p>
        </w:tc>
      </w:tr>
      <w:tr>
        <w:trPr>
          <w:trHeight w:val="260"/>
        </w:trPr>
        <w:tc>
          <w:tcPr>
            <w:tcW w:w="1060" w:type="dxa"/>
            <w:vAlign w:val="bottom"/>
          </w:tcPr>
          <w:p>
            <w:pPr>
              <w:ind w:left="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80" w:type="dxa"/>
            <w:vAlign w:val="bottom"/>
            <w:gridSpan w:val="19"/>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84">
              <w:r>
                <w:rPr>
                  <w:rFonts w:ascii="Arial" w:cs="Arial" w:eastAsia="Arial" w:hAnsi="Arial"/>
                  <w:sz w:val="18"/>
                  <w:szCs w:val="18"/>
                  <w:color w:val="0000FF"/>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85">
              <w:r>
                <w:rPr>
                  <w:rFonts w:ascii="Arial" w:cs="Arial" w:eastAsia="Arial" w:hAnsi="Arial"/>
                  <w:sz w:val="18"/>
                  <w:szCs w:val="18"/>
                  <w:color w:val="0000FF"/>
                </w:rPr>
                <w:t>3.2</w:t>
              </w:r>
            </w:hyperlink>
            <w:r>
              <w:rPr>
                <w:rFonts w:ascii="Arial" w:cs="Arial" w:eastAsia="Arial" w:hAnsi="Arial"/>
                <w:sz w:val="18"/>
                <w:szCs w:val="18"/>
                <w:color w:val="auto"/>
              </w:rPr>
              <w:t>.</w:t>
            </w: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060" w:type="dxa"/>
            <w:vAlign w:val="bottom"/>
          </w:tcPr>
          <w:p>
            <w:pPr>
              <w:ind w:left="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Form of Restricted Stock Unit Grant Notice and Award Agreement</w:t>
            </w:r>
          </w:p>
        </w:tc>
        <w:tc>
          <w:tcPr>
            <w:tcW w:w="220" w:type="dxa"/>
            <w:vAlign w:val="bottom"/>
            <w:gridSpan w:val="2"/>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3"/>
        </w:trPr>
        <w:tc>
          <w:tcPr>
            <w:tcW w:w="1060" w:type="dxa"/>
            <w:vAlign w:val="bottom"/>
          </w:tcPr>
          <w:p>
            <w:pPr>
              <w:ind w:left="2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9"/>
          </w:tcPr>
          <w:p>
            <w:pPr>
              <w:spacing w:after="0"/>
              <w:rPr>
                <w:sz w:val="20"/>
                <w:szCs w:val="20"/>
                <w:color w:val="auto"/>
              </w:rPr>
            </w:pPr>
            <w:r>
              <w:rPr>
                <w:rFonts w:ascii="Arial" w:cs="Arial" w:eastAsia="Arial" w:hAnsi="Arial"/>
                <w:sz w:val="18"/>
                <w:szCs w:val="18"/>
                <w:color w:val="0000FF"/>
              </w:rPr>
              <w:t>Form of Performance-Based Restricted Unit Agreement</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580" w:type="dxa"/>
            <w:vAlign w:val="bottom"/>
            <w:gridSpan w:val="8"/>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060" w:type="dxa"/>
            <w:vAlign w:val="bottom"/>
          </w:tcPr>
          <w:p>
            <w:pPr>
              <w:ind w:left="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9"/>
          </w:tcPr>
          <w:p>
            <w:pPr>
              <w:spacing w:after="0"/>
              <w:rPr>
                <w:sz w:val="20"/>
                <w:szCs w:val="20"/>
                <w:color w:val="auto"/>
              </w:rPr>
            </w:pPr>
            <w:r>
              <w:rPr>
                <w:rFonts w:ascii="Arial" w:cs="Arial" w:eastAsia="Arial" w:hAnsi="Arial"/>
                <w:sz w:val="18"/>
                <w:szCs w:val="18"/>
                <w:color w:val="0000FF"/>
                <w:w w:val="95"/>
              </w:rPr>
              <w:t>Certification of Principal Executive Officer Pursuant to Rules 13a-</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15"/>
          </w:tcPr>
          <w:p>
            <w:pPr>
              <w:spacing w:after="0" w:line="153" w:lineRule="exact"/>
              <w:rPr>
                <w:sz w:val="20"/>
                <w:szCs w:val="20"/>
                <w:color w:val="auto"/>
              </w:rPr>
            </w:pPr>
            <w:r>
              <w:rPr>
                <w:rFonts w:ascii="Arial" w:cs="Arial" w:eastAsia="Arial" w:hAnsi="Arial"/>
                <w:sz w:val="17"/>
                <w:szCs w:val="17"/>
                <w:color w:val="0000FF"/>
                <w:w w:val="92"/>
              </w:rPr>
              <w:t>14(a) and 15d-14(a) under the Securities Exchange Act of 1934, as</w:t>
            </w:r>
          </w:p>
        </w:tc>
        <w:tc>
          <w:tcPr>
            <w:tcW w:w="20" w:type="dxa"/>
            <w:vAlign w:val="bottom"/>
            <w:tcBorders>
              <w:bottom w:val="single" w:sz="8" w:color="0000FF"/>
            </w:tcBorders>
          </w:tcPr>
          <w:p>
            <w:pPr>
              <w:spacing w:after="0"/>
              <w:rPr>
                <w:sz w:val="13"/>
                <w:szCs w:val="13"/>
                <w:color w:val="auto"/>
              </w:rPr>
            </w:pPr>
          </w:p>
        </w:tc>
        <w:tc>
          <w:tcPr>
            <w:tcW w:w="240" w:type="dxa"/>
            <w:vAlign w:val="bottom"/>
            <w:gridSpan w:val="3"/>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gridSpan w:val="16"/>
          </w:tcPr>
          <w:p>
            <w:pPr>
              <w:spacing w:after="0" w:line="166" w:lineRule="exact"/>
              <w:rPr>
                <w:sz w:val="20"/>
                <w:szCs w:val="20"/>
                <w:color w:val="auto"/>
              </w:rPr>
            </w:pPr>
            <w:r>
              <w:rPr>
                <w:rFonts w:ascii="Arial" w:cs="Arial" w:eastAsia="Arial" w:hAnsi="Arial"/>
                <w:sz w:val="18"/>
                <w:szCs w:val="18"/>
                <w:color w:val="0000FF"/>
                <w:w w:val="94"/>
              </w:rPr>
              <w:t>Adopted Pursuant to Section 302 of the Sarbanes-Oxley Act of</w:t>
            </w:r>
          </w:p>
        </w:tc>
        <w:tc>
          <w:tcPr>
            <w:tcW w:w="24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top w:val="single" w:sz="8" w:color="0000FF"/>
              <w:bottom w:val="single" w:sz="8" w:color="0000FF"/>
            </w:tcBorders>
          </w:tcPr>
          <w:p>
            <w:pPr>
              <w:spacing w:after="0" w:line="153" w:lineRule="exact"/>
              <w:rPr>
                <w:sz w:val="20"/>
                <w:szCs w:val="20"/>
                <w:color w:val="auto"/>
              </w:rPr>
            </w:pPr>
            <w:r>
              <w:rPr>
                <w:rFonts w:ascii="Arial" w:cs="Arial" w:eastAsia="Arial" w:hAnsi="Arial"/>
                <w:sz w:val="17"/>
                <w:szCs w:val="17"/>
                <w:color w:val="0000FF"/>
                <w:w w:val="84"/>
              </w:rPr>
              <w:t>2002.</w:t>
            </w:r>
          </w:p>
        </w:tc>
        <w:tc>
          <w:tcPr>
            <w:tcW w:w="17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1060" w:type="dxa"/>
            <w:vAlign w:val="bottom"/>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0"/>
              </w:rPr>
              <w:t>Certification of Principal Financial Officer Pursuant to Rules 13a-</w:t>
            </w:r>
          </w:p>
        </w:tc>
        <w:tc>
          <w:tcPr>
            <w:tcW w:w="300" w:type="dxa"/>
            <w:vAlign w:val="bottom"/>
            <w:gridSpan w:val="5"/>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gridSpan w:val="19"/>
          </w:tcPr>
          <w:p>
            <w:pPr>
              <w:spacing w:after="0" w:line="153" w:lineRule="exact"/>
              <w:rPr>
                <w:sz w:val="20"/>
                <w:szCs w:val="20"/>
                <w:color w:val="auto"/>
              </w:rPr>
            </w:pPr>
            <w:r>
              <w:rPr>
                <w:rFonts w:ascii="Arial" w:cs="Arial" w:eastAsia="Arial" w:hAnsi="Arial"/>
                <w:sz w:val="17"/>
                <w:szCs w:val="17"/>
                <w:color w:val="0000FF"/>
                <w:w w:val="98"/>
              </w:rPr>
              <w:t>14(a) and 15d-14(a) under the Securities Exchange Act of 1934, as</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tcBorders>
            <w:gridSpan w:val="16"/>
          </w:tcPr>
          <w:p>
            <w:pPr>
              <w:spacing w:after="0" w:line="166" w:lineRule="exact"/>
              <w:rPr>
                <w:sz w:val="20"/>
                <w:szCs w:val="20"/>
                <w:color w:val="auto"/>
              </w:rPr>
            </w:pPr>
            <w:r>
              <w:rPr>
                <w:rFonts w:ascii="Arial" w:cs="Arial" w:eastAsia="Arial" w:hAnsi="Arial"/>
                <w:sz w:val="18"/>
                <w:szCs w:val="18"/>
                <w:color w:val="0000FF"/>
                <w:w w:val="94"/>
              </w:rPr>
              <w:t>Adopted Pursuant to Section 302 of the Sarbanes-Oxley Act of</w:t>
            </w:r>
          </w:p>
        </w:tc>
        <w:tc>
          <w:tcPr>
            <w:tcW w:w="24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top w:val="single" w:sz="8" w:color="0000FF"/>
              <w:bottom w:val="single" w:sz="8" w:color="0000FF"/>
            </w:tcBorders>
          </w:tcPr>
          <w:p>
            <w:pPr>
              <w:spacing w:after="0" w:line="153" w:lineRule="exact"/>
              <w:rPr>
                <w:sz w:val="20"/>
                <w:szCs w:val="20"/>
                <w:color w:val="auto"/>
              </w:rPr>
            </w:pPr>
            <w:r>
              <w:rPr>
                <w:rFonts w:ascii="Arial" w:cs="Arial" w:eastAsia="Arial" w:hAnsi="Arial"/>
                <w:sz w:val="17"/>
                <w:szCs w:val="17"/>
                <w:color w:val="0000FF"/>
                <w:w w:val="84"/>
              </w:rPr>
              <w:t>2002.</w:t>
            </w:r>
          </w:p>
        </w:tc>
        <w:tc>
          <w:tcPr>
            <w:tcW w:w="17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1060" w:type="dxa"/>
            <w:vAlign w:val="bottom"/>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80" w:type="dxa"/>
            <w:vAlign w:val="bottom"/>
            <w:gridSpan w:val="19"/>
          </w:tcPr>
          <w:p>
            <w:pPr>
              <w:spacing w:after="0"/>
              <w:rPr>
                <w:sz w:val="20"/>
                <w:szCs w:val="20"/>
                <w:color w:val="auto"/>
              </w:rPr>
            </w:pPr>
            <w:r>
              <w:rPr>
                <w:rFonts w:ascii="Arial" w:cs="Arial" w:eastAsia="Arial" w:hAnsi="Arial"/>
                <w:sz w:val="18"/>
                <w:szCs w:val="18"/>
                <w:color w:val="0000FF"/>
              </w:rPr>
              <w:t>Certification of Principal Executive Officer and Principal</w:t>
            </w: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tcBorders>
            <w:gridSpan w:val="10"/>
          </w:tcPr>
          <w:p>
            <w:pPr>
              <w:spacing w:after="0" w:line="153" w:lineRule="exact"/>
              <w:rPr>
                <w:sz w:val="20"/>
                <w:szCs w:val="20"/>
                <w:color w:val="auto"/>
              </w:rPr>
            </w:pPr>
            <w:r>
              <w:rPr>
                <w:rFonts w:ascii="Arial" w:cs="Arial" w:eastAsia="Arial" w:hAnsi="Arial"/>
                <w:sz w:val="17"/>
                <w:szCs w:val="17"/>
                <w:color w:val="0000FF"/>
                <w:w w:val="95"/>
              </w:rPr>
              <w:t>Financial Officer Pursuant to 18 U.S.C. Section 1350, as</w:t>
            </w:r>
          </w:p>
        </w:tc>
        <w:tc>
          <w:tcPr>
            <w:tcW w:w="920" w:type="dxa"/>
            <w:vAlign w:val="bottom"/>
            <w:gridSpan w:val="9"/>
          </w:tcPr>
          <w:p>
            <w:pPr>
              <w:spacing w:after="0" w:line="153" w:lineRule="exact"/>
              <w:rPr>
                <w:sz w:val="20"/>
                <w:szCs w:val="20"/>
                <w:color w:val="auto"/>
              </w:rPr>
            </w:pPr>
            <w:r>
              <w:rPr>
                <w:rFonts w:ascii="Arial" w:cs="Arial" w:eastAsia="Arial" w:hAnsi="Arial"/>
                <w:sz w:val="17"/>
                <w:szCs w:val="17"/>
                <w:color w:val="0000FF"/>
              </w:rPr>
              <w:t>Adopted</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tcBorders>
              <w:top w:val="single" w:sz="8" w:color="0000FF"/>
            </w:tcBorders>
            <w:gridSpan w:val="13"/>
          </w:tcPr>
          <w:p>
            <w:pPr>
              <w:spacing w:after="0" w:line="166" w:lineRule="exact"/>
              <w:rPr>
                <w:sz w:val="20"/>
                <w:szCs w:val="20"/>
                <w:color w:val="auto"/>
              </w:rPr>
            </w:pPr>
            <w:r>
              <w:rPr>
                <w:rFonts w:ascii="Arial" w:cs="Arial" w:eastAsia="Arial" w:hAnsi="Arial"/>
                <w:sz w:val="18"/>
                <w:szCs w:val="18"/>
                <w:color w:val="0000FF"/>
                <w:w w:val="97"/>
              </w:rPr>
              <w:t>Pursuant to Section 906 of the Sarbanes-Oxley Act of 2002.</w:t>
            </w:r>
          </w:p>
        </w:tc>
        <w:tc>
          <w:tcPr>
            <w:tcW w:w="320" w:type="dxa"/>
            <w:vAlign w:val="bottom"/>
            <w:gridSpan w:val="6"/>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gridSpan w:val="11"/>
            <w:shd w:val="clear" w:color="auto" w:fill="0000FF"/>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4980" w:type="dxa"/>
            <w:vAlign w:val="bottom"/>
            <w:gridSpan w:val="19"/>
          </w:tcPr>
          <w:p>
            <w:pPr>
              <w:spacing w:after="0"/>
              <w:rPr>
                <w:sz w:val="20"/>
                <w:szCs w:val="20"/>
                <w:color w:val="auto"/>
              </w:rPr>
            </w:pPr>
            <w:r>
              <w:rPr>
                <w:rFonts w:ascii="Arial" w:cs="Arial" w:eastAsia="Arial" w:hAnsi="Arial"/>
                <w:sz w:val="18"/>
                <w:szCs w:val="18"/>
                <w:color w:val="auto"/>
                <w:w w:val="94"/>
              </w:rPr>
              <w:t>Inline XBRL Instance Document - the instance document does not</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80" w:type="dxa"/>
            <w:vAlign w:val="bottom"/>
            <w:gridSpan w:val="19"/>
          </w:tcPr>
          <w:p>
            <w:pPr>
              <w:spacing w:after="0" w:line="187" w:lineRule="exact"/>
              <w:rPr>
                <w:sz w:val="20"/>
                <w:szCs w:val="20"/>
                <w:color w:val="auto"/>
              </w:rPr>
            </w:pPr>
            <w:r>
              <w:rPr>
                <w:rFonts w:ascii="Arial" w:cs="Arial" w:eastAsia="Arial" w:hAnsi="Arial"/>
                <w:sz w:val="18"/>
                <w:szCs w:val="18"/>
                <w:color w:val="auto"/>
              </w:rPr>
              <w:t>appear in the Interactive Data File because its XBRL tags are</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80" w:type="dxa"/>
            <w:vAlign w:val="bottom"/>
            <w:gridSpan w:val="19"/>
          </w:tcPr>
          <w:p>
            <w:pPr>
              <w:spacing w:after="0"/>
              <w:rPr>
                <w:sz w:val="20"/>
                <w:szCs w:val="20"/>
                <w:color w:val="auto"/>
              </w:rPr>
            </w:pPr>
            <w:r>
              <w:rPr>
                <w:rFonts w:ascii="Arial" w:cs="Arial" w:eastAsia="Arial" w:hAnsi="Arial"/>
                <w:sz w:val="18"/>
                <w:szCs w:val="18"/>
                <w:color w:val="auto"/>
              </w:rPr>
              <w:t>embedded within the Inline XBRL document.</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498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498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8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1"/>
                <w:szCs w:val="21"/>
                <w:color w:val="auto"/>
              </w:rPr>
            </w:pPr>
          </w:p>
        </w:tc>
        <w:tc>
          <w:tcPr>
            <w:tcW w:w="498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w:t>
            </w: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8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498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4980" w:type="dxa"/>
            <w:vAlign w:val="bottom"/>
            <w:gridSpan w:val="19"/>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8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280" w:right="5340" w:hanging="1229"/>
        <w:spacing w:after="0" w:line="230" w:lineRule="auto"/>
        <w:tabs>
          <w:tab w:leader="none" w:pos="12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3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7" w:lineRule="exact"/>
        <w:rPr>
          <w:rFonts w:ascii="Arial" w:cs="Arial" w:eastAsia="Arial" w:hAnsi="Arial"/>
          <w:sz w:val="18"/>
          <w:szCs w:val="18"/>
          <w:color w:val="auto"/>
        </w:rPr>
      </w:pPr>
    </w:p>
    <w:p>
      <w:pPr>
        <w:ind w:left="320" w:right="180" w:hanging="314"/>
        <w:spacing w:after="0" w:line="249" w:lineRule="auto"/>
        <w:tabs>
          <w:tab w:leader="none" w:pos="3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761365</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firstLine="439"/>
        <w:spacing w:after="0" w:line="296"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 in Santa Clara, California, on November 8, 2022.</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SI-BONE, Inc.</w:t>
      </w:r>
    </w:p>
    <w:p>
      <w:pPr>
        <w:spacing w:after="0" w:line="272" w:lineRule="exact"/>
        <w:rPr>
          <w:sz w:val="20"/>
          <w:szCs w:val="20"/>
          <w:color w:val="auto"/>
        </w:rPr>
      </w:pPr>
    </w:p>
    <w:p>
      <w:pPr>
        <w:ind w:left="920"/>
        <w:spacing w:after="0"/>
        <w:tabs>
          <w:tab w:leader="none" w:pos="1540" w:val="left"/>
          <w:tab w:leader="none" w:pos="5460" w:val="left"/>
          <w:tab w:leader="none" w:pos="6160" w:val="left"/>
        </w:tabs>
        <w:rPr>
          <w:sz w:val="20"/>
          <w:szCs w:val="20"/>
          <w:color w:val="auto"/>
        </w:rPr>
      </w:pPr>
      <w:r>
        <w:rPr>
          <w:rFonts w:ascii="Arial" w:cs="Arial" w:eastAsia="Arial" w:hAnsi="Arial"/>
          <w:sz w:val="18"/>
          <w:szCs w:val="18"/>
          <w:color w:val="auto"/>
        </w:rPr>
        <w:t>Date:</w:t>
        <w:tab/>
        <w:t>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11430</wp:posOffset>
            </wp:positionV>
            <wp:extent cx="26543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2654300" cy="8255"/>
                    </a:xfrm>
                    <a:prstGeom prst="rect">
                      <a:avLst/>
                    </a:prstGeom>
                    <a:noFill/>
                  </pic:spPr>
                </pic:pic>
              </a:graphicData>
            </a:graphic>
          </wp:anchor>
        </w:drawing>
      </w:r>
    </w:p>
    <w:p>
      <w:pPr>
        <w:spacing w:after="0" w:line="2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Laura A. Francis</w:t>
      </w:r>
    </w:p>
    <w:p>
      <w:pPr>
        <w:spacing w:after="0" w:line="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1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(Duly Authorized Officer and Principal Executive</w:t>
      </w:r>
    </w:p>
    <w:p>
      <w:pPr>
        <w:ind w:left="6180"/>
        <w:spacing w:after="0"/>
        <w:rPr>
          <w:sz w:val="20"/>
          <w:szCs w:val="20"/>
          <w:color w:val="auto"/>
        </w:rPr>
      </w:pPr>
      <w:r>
        <w:rPr>
          <w:rFonts w:ascii="Arial" w:cs="Arial" w:eastAsia="Arial" w:hAnsi="Arial"/>
          <w:sz w:val="18"/>
          <w:szCs w:val="18"/>
          <w:color w:val="auto"/>
        </w:rPr>
        <w:t>Officer</w:t>
      </w:r>
      <w:r>
        <w:rPr>
          <w:rFonts w:ascii="Arial" w:cs="Arial" w:eastAsia="Arial" w:hAnsi="Arial"/>
          <w:sz w:val="14"/>
          <w:szCs w:val="14"/>
          <w:color w:val="auto"/>
        </w:rPr>
        <w:t>)</w:t>
      </w:r>
    </w:p>
    <w:p>
      <w:pPr>
        <w:spacing w:after="0" w:line="200" w:lineRule="exact"/>
        <w:rPr>
          <w:sz w:val="20"/>
          <w:szCs w:val="20"/>
          <w:color w:val="auto"/>
        </w:rPr>
      </w:pPr>
    </w:p>
    <w:p>
      <w:pPr>
        <w:spacing w:after="0" w:line="2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SI-BONE, Inc.</w:t>
      </w:r>
    </w:p>
    <w:p>
      <w:pPr>
        <w:spacing w:after="0" w:line="272" w:lineRule="exact"/>
        <w:rPr>
          <w:sz w:val="20"/>
          <w:szCs w:val="20"/>
          <w:color w:val="auto"/>
        </w:rPr>
      </w:pPr>
    </w:p>
    <w:p>
      <w:pPr>
        <w:ind w:left="920"/>
        <w:spacing w:after="0"/>
        <w:tabs>
          <w:tab w:leader="none" w:pos="1540" w:val="left"/>
          <w:tab w:leader="none" w:pos="5460" w:val="left"/>
          <w:tab w:leader="none" w:pos="6160" w:val="left"/>
        </w:tabs>
        <w:rPr>
          <w:sz w:val="20"/>
          <w:szCs w:val="20"/>
          <w:color w:val="auto"/>
        </w:rPr>
      </w:pPr>
      <w:r>
        <w:rPr>
          <w:rFonts w:ascii="Arial" w:cs="Arial" w:eastAsia="Arial" w:hAnsi="Arial"/>
          <w:sz w:val="18"/>
          <w:szCs w:val="18"/>
          <w:color w:val="auto"/>
        </w:rPr>
        <w:t>Date:</w:t>
        <w:tab/>
        <w:t>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11430</wp:posOffset>
            </wp:positionV>
            <wp:extent cx="26543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2654300" cy="8255"/>
                    </a:xfrm>
                    <a:prstGeom prst="rect">
                      <a:avLst/>
                    </a:prstGeom>
                    <a:noFill/>
                  </pic:spPr>
                </pic:pic>
              </a:graphicData>
            </a:graphic>
          </wp:anchor>
        </w:drawing>
      </w:r>
    </w:p>
    <w:p>
      <w:pPr>
        <w:spacing w:after="0" w:line="2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Anshul Maheshwari</w:t>
      </w:r>
    </w:p>
    <w:p>
      <w:pPr>
        <w:spacing w:after="0" w:line="5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(Duly Authorized Officer and Principal Financial and</w:t>
      </w:r>
    </w:p>
    <w:p>
      <w:pPr>
        <w:ind w:left="618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240"/>
          </w:cols>
          <w:pgMar w:left="320" w:top="121" w:right="339" w:bottom="1440" w:gutter="0" w:footer="0" w:header="0"/>
        </w:sectPr>
      </w:pPr>
    </w:p>
    <w:bookmarkStart w:id="74" w:name="page75"/>
    <w:bookmarkEnd w:id="74"/>
    <w:p>
      <w:pPr>
        <w:spacing w:after="0" w:line="15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10.1</w:t>
      </w:r>
    </w:p>
    <w:p>
      <w:pPr>
        <w:spacing w:after="0" w:line="183" w:lineRule="exact"/>
        <w:rPr>
          <w:sz w:val="20"/>
          <w:szCs w:val="20"/>
          <w:color w:val="auto"/>
        </w:rPr>
      </w:pPr>
    </w:p>
    <w:p>
      <w:pPr>
        <w:ind w:left="5000"/>
        <w:spacing w:after="0"/>
        <w:rPr>
          <w:sz w:val="20"/>
          <w:szCs w:val="20"/>
          <w:color w:val="auto"/>
        </w:rPr>
      </w:pPr>
      <w:r>
        <w:rPr>
          <w:rFonts w:ascii="Arial" w:cs="Arial" w:eastAsia="Arial" w:hAnsi="Arial"/>
          <w:sz w:val="20"/>
          <w:szCs w:val="20"/>
          <w:b w:val="1"/>
          <w:bCs w:val="1"/>
          <w:color w:val="auto"/>
        </w:rPr>
        <w:t>SI-BONE, Inc.</w:t>
      </w:r>
    </w:p>
    <w:p>
      <w:pPr>
        <w:spacing w:after="0" w:line="163"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Restricted Stock Unit Grant Notice</w:t>
      </w:r>
    </w:p>
    <w:p>
      <w:pPr>
        <w:jc w:val="center"/>
        <w:spacing w:after="0"/>
        <w:rPr>
          <w:sz w:val="20"/>
          <w:szCs w:val="20"/>
          <w:color w:val="auto"/>
        </w:rPr>
      </w:pPr>
      <w:r>
        <w:rPr>
          <w:rFonts w:ascii="Arial" w:cs="Arial" w:eastAsia="Arial" w:hAnsi="Arial"/>
          <w:sz w:val="20"/>
          <w:szCs w:val="20"/>
          <w:b w:val="1"/>
          <w:bCs w:val="1"/>
          <w:color w:val="auto"/>
        </w:rPr>
        <w:t>(2018 Equity Incentive Plan)</w:t>
      </w:r>
    </w:p>
    <w:p>
      <w:pPr>
        <w:spacing w:after="0" w:line="15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SI-BONE,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its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hereby awards to Participant a Restricted Stock Unit Award for the number of shares of the Company’s Common Stock (“</w:t>
      </w: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 set forth below (the</w:t>
      </w:r>
    </w:p>
    <w:p>
      <w:pPr>
        <w:spacing w:after="0" w:line="20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The Award is subject to all of the terms and conditions as set forth in this notice of grant (this “</w:t>
      </w:r>
      <w:r>
        <w:rPr>
          <w:rFonts w:ascii="Arial" w:cs="Arial" w:eastAsia="Arial" w:hAnsi="Arial"/>
          <w:sz w:val="20"/>
          <w:szCs w:val="20"/>
          <w:b w:val="1"/>
          <w:bCs w:val="1"/>
          <w:i w:val="1"/>
          <w:iCs w:val="1"/>
          <w:color w:val="auto"/>
        </w:rPr>
        <w:t>Restricted Stock Unit</w:t>
      </w:r>
    </w:p>
    <w:p>
      <w:pPr>
        <w:spacing w:after="0" w:line="1" w:lineRule="exact"/>
        <w:rPr>
          <w:sz w:val="20"/>
          <w:szCs w:val="20"/>
          <w:color w:val="auto"/>
        </w:rPr>
      </w:pPr>
    </w:p>
    <w:p>
      <w:pPr>
        <w:spacing w:after="0" w:line="223" w:lineRule="auto"/>
        <w:rPr>
          <w:sz w:val="20"/>
          <w:szCs w:val="20"/>
          <w:color w:val="auto"/>
        </w:rPr>
      </w:pP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in the Plan and the Restricted Stock Unit Award Agreement, both of which are attached hereto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incorporated herein in their entirety. Capitalized terms not explicitly defined herein will have the meanings set forth in the Plan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the Restricted Stock Unit Award Agreement. In the event of any conflict between the terms in this Restricted Stock Unit Grant Notice or the Restricted Stock Unit Award Agreement and the Plan, the terms of the Plan will control.</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-5715</wp:posOffset>
            </wp:positionV>
            <wp:extent cx="1377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137795" cy="8255"/>
                    </a:xfrm>
                    <a:prstGeom prst="rect">
                      <a:avLst/>
                    </a:prstGeom>
                    <a:noFill/>
                  </pic:spPr>
                </pic:pic>
              </a:graphicData>
            </a:graphic>
          </wp:anchor>
        </w:drawing>
      </w:r>
    </w:p>
    <w:p>
      <w:pPr>
        <w:ind w:left="640"/>
        <w:spacing w:after="0" w:line="208" w:lineRule="auto"/>
        <w:rPr>
          <w:sz w:val="20"/>
          <w:szCs w:val="20"/>
          <w:color w:val="auto"/>
        </w:rPr>
      </w:pPr>
      <w:r>
        <w:rPr>
          <w:rFonts w:ascii="Arial" w:cs="Arial" w:eastAsia="Arial" w:hAnsi="Arial"/>
          <w:sz w:val="20"/>
          <w:szCs w:val="20"/>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-5080</wp:posOffset>
            </wp:positionV>
            <wp:extent cx="1377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137795" cy="8255"/>
                    </a:xfrm>
                    <a:prstGeom prst="rect">
                      <a:avLst/>
                    </a:prstGeom>
                    <a:noFill/>
                  </pic:spPr>
                </pic:pic>
              </a:graphicData>
            </a:graphic>
          </wp:anchor>
        </w:drawing>
      </w:r>
    </w:p>
    <w:p>
      <w:pPr>
        <w:ind w:left="640"/>
        <w:spacing w:after="0" w:line="194" w:lineRule="auto"/>
        <w:rPr>
          <w:sz w:val="20"/>
          <w:szCs w:val="20"/>
          <w:color w:val="auto"/>
        </w:rPr>
      </w:pPr>
      <w:r>
        <w:rPr>
          <w:rFonts w:ascii="Arial" w:cs="Arial" w:eastAsia="Arial" w:hAnsi="Arial"/>
          <w:sz w:val="20"/>
          <w:szCs w:val="20"/>
          <w:color w:val="auto"/>
        </w:rPr>
        <w:t>Vesting Commencement Date: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2261870</wp:posOffset>
            </wp:positionH>
            <wp:positionV relativeFrom="paragraph">
              <wp:posOffset>-142875</wp:posOffset>
            </wp:positionV>
            <wp:extent cx="1377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13779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-24765</wp:posOffset>
            </wp:positionV>
            <wp:extent cx="1377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13779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tabs>
          <w:tab w:leader="none" w:pos="1940" w:val="left"/>
        </w:tabs>
        <w:rPr>
          <w:sz w:val="20"/>
          <w:szCs w:val="20"/>
          <w:color w:val="auto"/>
        </w:rPr>
      </w:pPr>
      <w:r>
        <w:rPr>
          <w:rFonts w:ascii="Arial" w:cs="Arial" w:eastAsia="Arial" w:hAnsi="Arial"/>
          <w:sz w:val="20"/>
          <w:szCs w:val="20"/>
          <w:b w:val="1"/>
          <w:bCs w:val="1"/>
          <w:color w:val="auto"/>
        </w:rPr>
        <w:t>Vesting Schedule:</w:t>
      </w:r>
      <w:r>
        <w:rPr>
          <w:sz w:val="20"/>
          <w:szCs w:val="20"/>
          <w:color w:val="auto"/>
        </w:rPr>
        <w:tab/>
      </w:r>
      <w:r>
        <w:rPr>
          <w:rFonts w:ascii="Arial" w:cs="Arial" w:eastAsia="Arial" w:hAnsi="Arial"/>
          <w:sz w:val="18"/>
          <w:szCs w:val="18"/>
          <w:color w:val="auto"/>
        </w:rPr>
        <w:t>[__________________], subject to Participant’s Continuous Service through each such vesting date.</w:t>
      </w:r>
    </w:p>
    <w:p>
      <w:pPr>
        <w:spacing w:after="0" w:line="209" w:lineRule="exact"/>
        <w:rPr>
          <w:sz w:val="20"/>
          <w:szCs w:val="20"/>
          <w:color w:val="auto"/>
        </w:rPr>
      </w:pPr>
    </w:p>
    <w:p>
      <w:pPr>
        <w:ind w:left="1920" w:hanging="1916"/>
        <w:spacing w:after="0" w:line="219" w:lineRule="auto"/>
        <w:tabs>
          <w:tab w:leader="none" w:pos="1900" w:val="left"/>
        </w:tabs>
        <w:rPr>
          <w:sz w:val="20"/>
          <w:szCs w:val="20"/>
          <w:color w:val="auto"/>
        </w:rPr>
      </w:pPr>
      <w:r>
        <w:rPr>
          <w:rFonts w:ascii="Arial" w:cs="Arial" w:eastAsia="Arial" w:hAnsi="Arial"/>
          <w:sz w:val="20"/>
          <w:szCs w:val="20"/>
          <w:b w:val="1"/>
          <w:bCs w:val="1"/>
          <w:color w:val="auto"/>
        </w:rPr>
        <w:t>Issuance Schedule:</w:t>
      </w:r>
      <w:r>
        <w:rPr>
          <w:sz w:val="20"/>
          <w:szCs w:val="20"/>
          <w:color w:val="auto"/>
        </w:rPr>
        <w:tab/>
      </w:r>
      <w:r>
        <w:rPr>
          <w:rFonts w:ascii="Arial" w:cs="Arial" w:eastAsia="Arial" w:hAnsi="Arial"/>
          <w:sz w:val="20"/>
          <w:szCs w:val="20"/>
          <w:color w:val="auto"/>
        </w:rPr>
        <w:t>Subject to any Capitalization Adjustment, one share of Common Stock will be issued for each Restricted Stock Unit that vests at the time set forth in Section 6 of the Restricted Stock Unit Award Agreement.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[Mandatory] Sale to Cover Withholding Tax:</w:t>
      </w:r>
    </w:p>
    <w:p>
      <w:pPr>
        <w:spacing w:after="0" w:line="220" w:lineRule="exact"/>
        <w:rPr>
          <w:sz w:val="20"/>
          <w:szCs w:val="20"/>
          <w:color w:val="auto"/>
        </w:rPr>
      </w:pPr>
    </w:p>
    <w:p>
      <w:pPr>
        <w:jc w:val="right"/>
        <w:ind w:left="240"/>
        <w:spacing w:after="0" w:line="208" w:lineRule="auto"/>
        <w:rPr>
          <w:sz w:val="20"/>
          <w:szCs w:val="20"/>
          <w:color w:val="auto"/>
        </w:rPr>
      </w:pPr>
      <w:r>
        <w:rPr>
          <w:rFonts w:ascii="Arial" w:cs="Arial" w:eastAsia="Arial" w:hAnsi="Arial"/>
          <w:sz w:val="20"/>
          <w:szCs w:val="20"/>
          <w:color w:val="auto"/>
        </w:rPr>
        <w:t>As a condition to acceptance of this Award, to the greatest extent permitted under the Plan and applicable law, any withholding obligations for applicable Tax-Related Items (as defined in Section 9 of the Award Agreement) will be</w:t>
      </w:r>
    </w:p>
    <w:p>
      <w:pPr>
        <w:spacing w:after="0" w:line="1" w:lineRule="exact"/>
        <w:rPr>
          <w:sz w:val="20"/>
          <w:szCs w:val="20"/>
          <w:color w:val="auto"/>
        </w:rPr>
      </w:pPr>
    </w:p>
    <w:p>
      <w:pPr>
        <w:ind w:left="1920"/>
        <w:spacing w:after="0" w:line="223" w:lineRule="auto"/>
        <w:rPr>
          <w:sz w:val="20"/>
          <w:szCs w:val="20"/>
          <w:color w:val="auto"/>
        </w:rPr>
      </w:pPr>
      <w:r>
        <w:rPr>
          <w:rFonts w:ascii="Arial" w:cs="Arial" w:eastAsia="Arial" w:hAnsi="Arial"/>
          <w:sz w:val="18"/>
          <w:szCs w:val="18"/>
          <w:color w:val="auto"/>
        </w:rPr>
        <w:t>satisfied through the sale of a number of the shares of Common Stock subject to the Award as determined in accordance with Section 9 of the Award Agreement and the remittance of the cash proceeds of such sale</w:t>
      </w:r>
    </w:p>
    <w:p>
      <w:pPr>
        <w:ind w:left="1920"/>
        <w:spacing w:after="0" w:line="209" w:lineRule="auto"/>
        <w:rPr>
          <w:sz w:val="20"/>
          <w:szCs w:val="20"/>
          <w:color w:val="auto"/>
        </w:rPr>
      </w:pPr>
      <w:r>
        <w:rPr>
          <w:rFonts w:ascii="Arial" w:cs="Arial" w:eastAsia="Arial" w:hAnsi="Arial"/>
          <w:sz w:val="20"/>
          <w:szCs w:val="20"/>
          <w:color w:val="auto"/>
        </w:rPr>
        <w:t>to the Company. Under the Award Agreement, the Company is authorized and directed by Participant to</w:t>
      </w:r>
    </w:p>
    <w:p>
      <w:pPr>
        <w:spacing w:after="0" w:line="1" w:lineRule="exact"/>
        <w:rPr>
          <w:sz w:val="20"/>
          <w:szCs w:val="20"/>
          <w:color w:val="auto"/>
        </w:rPr>
      </w:pPr>
    </w:p>
    <w:p>
      <w:pPr>
        <w:ind w:left="1920"/>
        <w:spacing w:after="0" w:line="201" w:lineRule="auto"/>
        <w:rPr>
          <w:sz w:val="20"/>
          <w:szCs w:val="20"/>
          <w:color w:val="auto"/>
        </w:rPr>
      </w:pPr>
      <w:r>
        <w:rPr>
          <w:rFonts w:ascii="Arial" w:cs="Arial" w:eastAsia="Arial" w:hAnsi="Arial"/>
          <w:sz w:val="20"/>
          <w:szCs w:val="20"/>
          <w:color w:val="auto"/>
        </w:rPr>
        <w:t>make payment from the cash proceeds of this sale directly to the appropriate taxing authorities in an amount equal to the withholding obligation for Tax-Related Items. It is the Company’s intent that the</w:t>
      </w:r>
    </w:p>
    <w:p>
      <w:pPr>
        <w:ind w:left="1920"/>
        <w:spacing w:after="0" w:line="209" w:lineRule="auto"/>
        <w:rPr>
          <w:sz w:val="20"/>
          <w:szCs w:val="20"/>
          <w:color w:val="auto"/>
        </w:rPr>
      </w:pPr>
      <w:r>
        <w:rPr>
          <w:rFonts w:ascii="Arial" w:cs="Arial" w:eastAsia="Arial" w:hAnsi="Arial"/>
          <w:sz w:val="20"/>
          <w:szCs w:val="20"/>
          <w:color w:val="auto"/>
        </w:rPr>
        <w:t>mandatory sale to cover withholding obligations for Tax-Related Items imposed by the Company on</w:t>
      </w:r>
    </w:p>
    <w:p>
      <w:pPr>
        <w:ind w:left="1920"/>
        <w:spacing w:after="0" w:line="216" w:lineRule="auto"/>
        <w:rPr>
          <w:sz w:val="20"/>
          <w:szCs w:val="20"/>
          <w:color w:val="auto"/>
        </w:rPr>
      </w:pPr>
      <w:r>
        <w:rPr>
          <w:rFonts w:ascii="Arial" w:cs="Arial" w:eastAsia="Arial" w:hAnsi="Arial"/>
          <w:sz w:val="18"/>
          <w:szCs w:val="18"/>
          <w:color w:val="auto"/>
        </w:rPr>
        <w:t>Participant in connection with the receipt of this Award comply with the requirements of Rule 10b5-1(c)(1)(i)</w:t>
      </w:r>
    </w:p>
    <w:p>
      <w:pPr>
        <w:ind w:left="1920"/>
        <w:spacing w:after="0"/>
        <w:rPr>
          <w:sz w:val="20"/>
          <w:szCs w:val="20"/>
          <w:color w:val="auto"/>
        </w:rPr>
      </w:pPr>
      <w:r>
        <w:rPr>
          <w:rFonts w:ascii="Arial" w:cs="Arial" w:eastAsia="Arial" w:hAnsi="Arial"/>
          <w:sz w:val="20"/>
          <w:szCs w:val="20"/>
          <w:color w:val="auto"/>
        </w:rPr>
        <w:t>(B) under the Exchange Act and be interpreted to comply with the requirements of Rule 10b5-1(c).</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Additional Terms/Acknowledgements: </w:t>
      </w:r>
      <w:r>
        <w:rPr>
          <w:rFonts w:ascii="Arial" w:cs="Arial" w:eastAsia="Arial" w:hAnsi="Arial"/>
          <w:sz w:val="20"/>
          <w:szCs w:val="20"/>
          <w:color w:val="auto"/>
        </w:rPr>
        <w:t>Participant acknowledges receipt of, and understands and agrees to, this Restricted</w:t>
      </w:r>
    </w:p>
    <w:p>
      <w:pPr>
        <w:spacing w:after="0" w:line="223" w:lineRule="auto"/>
        <w:rPr>
          <w:sz w:val="20"/>
          <w:szCs w:val="20"/>
          <w:color w:val="auto"/>
        </w:rPr>
      </w:pPr>
      <w:r>
        <w:rPr>
          <w:rFonts w:ascii="Arial" w:cs="Arial" w:eastAsia="Arial" w:hAnsi="Arial"/>
          <w:sz w:val="18"/>
          <w:szCs w:val="18"/>
          <w:color w:val="auto"/>
        </w:rPr>
        <w:t>Stock Unit Grant Notice, the Restricted Stock Unit Award Agreement and the Plan. Participant further acknowledges that as of the Date of Grant, this Restricted Stock Unit Grant Notice, the Restricted Stock Unit Award Agreement and the Plan set forth the</w:t>
      </w:r>
    </w:p>
    <w:p>
      <w:pPr>
        <w:spacing w:after="0" w:line="233" w:lineRule="auto"/>
        <w:rPr>
          <w:sz w:val="20"/>
          <w:szCs w:val="20"/>
          <w:color w:val="auto"/>
        </w:rPr>
      </w:pPr>
      <w:r>
        <w:rPr>
          <w:rFonts w:ascii="Arial" w:cs="Arial" w:eastAsia="Arial" w:hAnsi="Arial"/>
          <w:sz w:val="18"/>
          <w:szCs w:val="18"/>
          <w:color w:val="auto"/>
        </w:rPr>
        <w:t>entire understanding between Participant and the Company regarding the acquisition of the Common Stock pursuant to the Award</w:t>
      </w:r>
    </w:p>
    <w:p>
      <w:pPr>
        <w:spacing w:after="0" w:line="223" w:lineRule="auto"/>
        <w:rPr>
          <w:sz w:val="20"/>
          <w:szCs w:val="20"/>
          <w:color w:val="auto"/>
        </w:rPr>
      </w:pPr>
      <w:r>
        <w:rPr>
          <w:rFonts w:ascii="Arial" w:cs="Arial" w:eastAsia="Arial" w:hAnsi="Arial"/>
          <w:sz w:val="18"/>
          <w:szCs w:val="18"/>
          <w:color w:val="auto"/>
        </w:rPr>
        <w:t>specified above and supersede all prior oral and written agreements on the terms of this Award, with the exception, if applicable, of (i) equity awards previously granted and delivered to Participant, (ii) any compensation recovery policy that is adopted by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Company or is otherwise required by applicable law; and (iii) any written employment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1.</w:t>
      </w:r>
    </w:p>
    <w:p>
      <w:pPr>
        <w:sectPr>
          <w:pgSz w:w="11900" w:h="16838" w:orient="portrait"/>
          <w:cols w:equalWidth="0" w:num="1">
            <w:col w:w="11240"/>
          </w:cols>
          <w:pgMar w:left="320" w:top="1440" w:right="339" w:bottom="1440" w:gutter="0" w:footer="0" w:header="0"/>
        </w:sectPr>
      </w:pPr>
    </w:p>
    <w:bookmarkStart w:id="75" w:name="page76"/>
    <w:bookmarkEnd w:id="75"/>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severance arrangement that would provide for vesting acceleration of this Award upon the terms and conditions set forth therein.</w:t>
      </w:r>
    </w:p>
    <w:p>
      <w:pPr>
        <w:spacing w:after="0" w:line="99"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By accepting this Award, Participant acknowledges having received and read the Restricted Stock Unit Grant Notice, the Restricted Stock Unit Award Agreement and the Plan and agrees to all of the terms and conditions set forth in these documents.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Participant consents to receive such documents by electronic delivery and to participate in the Plan through an on-line or electronic system established and maintained by the Company or a third party designated by the Company.</w:t>
      </w:r>
    </w:p>
    <w:p>
      <w:pPr>
        <w:spacing w:after="0" w:line="248" w:lineRule="exact"/>
        <w:rPr>
          <w:sz w:val="20"/>
          <w:szCs w:val="20"/>
          <w:color w:val="auto"/>
        </w:rPr>
      </w:pPr>
    </w:p>
    <w:p>
      <w:pPr>
        <w:spacing w:after="0"/>
        <w:tabs>
          <w:tab w:leader="none" w:pos="1460" w:val="left"/>
        </w:tabs>
        <w:rPr>
          <w:sz w:val="20"/>
          <w:szCs w:val="20"/>
          <w:color w:val="auto"/>
        </w:rPr>
      </w:pPr>
      <w:r>
        <w:rPr>
          <w:rFonts w:ascii="Arial" w:cs="Arial" w:eastAsia="Arial" w:hAnsi="Arial"/>
          <w:sz w:val="20"/>
          <w:szCs w:val="20"/>
          <w:b w:val="1"/>
          <w:bCs w:val="1"/>
          <w:color w:val="auto"/>
        </w:rPr>
        <w:t>SI-BONE, Inc.</w:t>
      </w:r>
      <w:r>
        <w:rPr>
          <w:sz w:val="20"/>
          <w:szCs w:val="20"/>
          <w:color w:val="auto"/>
        </w:rPr>
        <w:tab/>
      </w:r>
      <w:r>
        <w:rPr>
          <w:rFonts w:ascii="Arial" w:cs="Arial" w:eastAsia="Arial" w:hAnsi="Arial"/>
          <w:sz w:val="18"/>
          <w:szCs w:val="18"/>
          <w:b w:val="1"/>
          <w:bCs w:val="1"/>
          <w:color w:val="auto"/>
        </w:rPr>
        <w:t>Participant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-5715</wp:posOffset>
            </wp:positionV>
            <wp:extent cx="1377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137795" cy="8255"/>
                    </a:xfrm>
                    <a:prstGeom prst="rect">
                      <a:avLst/>
                    </a:prstGeom>
                    <a:noFill/>
                  </pic:spPr>
                </pic:pic>
              </a:graphicData>
            </a:graphic>
          </wp:anchor>
        </w:drawing>
        <w:drawing>
          <wp:anchor simplePos="0" relativeHeight="251657728" behindDoc="1" locked="0" layoutInCell="0" allowOverlap="1">
            <wp:simplePos x="0" y="0"/>
            <wp:positionH relativeFrom="column">
              <wp:posOffset>492760</wp:posOffset>
            </wp:positionH>
            <wp:positionV relativeFrom="paragraph">
              <wp:posOffset>-5715</wp:posOffset>
            </wp:positionV>
            <wp:extent cx="1377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137795" cy="8255"/>
                    </a:xfrm>
                    <a:prstGeom prst="rect">
                      <a:avLst/>
                    </a:prstGeom>
                    <a:noFill/>
                  </pic:spPr>
                </pic:pic>
              </a:graphicData>
            </a:graphic>
          </wp:anchor>
        </w:drawing>
      </w:r>
    </w:p>
    <w:p>
      <w:pPr>
        <w:ind w:left="220"/>
        <w:spacing w:after="0"/>
        <w:tabs>
          <w:tab w:leader="none" w:pos="1260" w:val="left"/>
        </w:tabs>
        <w:rPr>
          <w:sz w:val="20"/>
          <w:szCs w:val="20"/>
          <w:color w:val="auto"/>
        </w:rPr>
      </w:pPr>
      <w:r>
        <w:rPr>
          <w:rFonts w:ascii="Arial" w:cs="Arial" w:eastAsia="Arial" w:hAnsi="Arial"/>
          <w:sz w:val="20"/>
          <w:szCs w:val="20"/>
          <w:color w:val="auto"/>
        </w:rPr>
        <w:t>Signature</w:t>
        <w:tab/>
        <w:t>Signature</w:t>
      </w:r>
    </w:p>
    <w:p>
      <w:pPr>
        <w:spacing w:after="0" w:line="169"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-24765</wp:posOffset>
            </wp:positionV>
            <wp:extent cx="1377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137795" cy="8255"/>
                    </a:xfrm>
                    <a:prstGeom prst="rect">
                      <a:avLst/>
                    </a:prstGeom>
                    <a:noFill/>
                  </pic:spPr>
                </pic:pic>
              </a:graphicData>
            </a:graphic>
          </wp:anchor>
        </w:drawing>
        <w:drawing>
          <wp:anchor simplePos="0" relativeHeight="251657728" behindDoc="1" locked="0" layoutInCell="0" allowOverlap="1">
            <wp:simplePos x="0" y="0"/>
            <wp:positionH relativeFrom="column">
              <wp:posOffset>908050</wp:posOffset>
            </wp:positionH>
            <wp:positionV relativeFrom="paragraph">
              <wp:posOffset>-24765</wp:posOffset>
            </wp:positionV>
            <wp:extent cx="1377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137795"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-24765</wp:posOffset>
            </wp:positionV>
            <wp:extent cx="1377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137795" cy="8255"/>
                    </a:xfrm>
                    <a:prstGeom prst="rect">
                      <a:avLst/>
                    </a:prstGeom>
                    <a:noFill/>
                  </pic:spPr>
                </pic:pic>
              </a:graphicData>
            </a:graphic>
          </wp:anchor>
        </w:drawing>
      </w:r>
    </w:p>
    <w:p>
      <w:pPr>
        <w:spacing w:after="0" w:line="139"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b w:val="1"/>
          <w:bCs w:val="1"/>
          <w:color w:val="auto"/>
        </w:rPr>
        <w:t>Attachments</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Restricted Stock Unit Award Agreement and 2018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2.</w:t>
      </w:r>
    </w:p>
    <w:p>
      <w:pPr>
        <w:sectPr>
          <w:pgSz w:w="11900" w:h="16838" w:orient="portrait"/>
          <w:cols w:equalWidth="0" w:num="1">
            <w:col w:w="11240"/>
          </w:cols>
          <w:pgMar w:left="320" w:top="1440" w:right="339" w:bottom="1440" w:gutter="0" w:footer="0" w:header="0"/>
        </w:sectPr>
      </w:pPr>
    </w:p>
    <w:bookmarkStart w:id="76" w:name="page77"/>
    <w:bookmarkEnd w:id="76"/>
    <w:p>
      <w:pPr>
        <w:ind w:left="5040"/>
        <w:spacing w:after="0"/>
        <w:rPr>
          <w:sz w:val="20"/>
          <w:szCs w:val="20"/>
          <w:color w:val="auto"/>
        </w:rPr>
      </w:pPr>
      <w:r>
        <w:rPr>
          <w:rFonts w:ascii="Arial" w:cs="Arial" w:eastAsia="Arial" w:hAnsi="Arial"/>
          <w:sz w:val="20"/>
          <w:szCs w:val="20"/>
          <w:b w:val="1"/>
          <w:bCs w:val="1"/>
          <w:color w:val="auto"/>
        </w:rPr>
        <w:t>Attachment I</w:t>
      </w:r>
    </w:p>
    <w:p>
      <w:pPr>
        <w:spacing w:after="0" w:line="183" w:lineRule="exact"/>
        <w:rPr>
          <w:sz w:val="20"/>
          <w:szCs w:val="20"/>
          <w:color w:val="auto"/>
        </w:rPr>
      </w:pPr>
    </w:p>
    <w:p>
      <w:pPr>
        <w:ind w:left="5000"/>
        <w:spacing w:after="0"/>
        <w:rPr>
          <w:sz w:val="20"/>
          <w:szCs w:val="20"/>
          <w:color w:val="auto"/>
        </w:rPr>
      </w:pPr>
      <w:r>
        <w:rPr>
          <w:rFonts w:ascii="Arial" w:cs="Arial" w:eastAsia="Arial" w:hAnsi="Arial"/>
          <w:sz w:val="20"/>
          <w:szCs w:val="20"/>
          <w:b w:val="1"/>
          <w:bCs w:val="1"/>
          <w:color w:val="auto"/>
        </w:rPr>
        <w:t>SI-BONE, Inc.</w:t>
      </w:r>
    </w:p>
    <w:p>
      <w:pPr>
        <w:spacing w:after="0" w:line="163"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2018 Equity Incentive Plan</w:t>
      </w: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185" w:lineRule="exact"/>
        <w:rPr>
          <w:sz w:val="20"/>
          <w:szCs w:val="20"/>
          <w:color w:val="auto"/>
        </w:rPr>
      </w:pPr>
    </w:p>
    <w:p>
      <w:pPr>
        <w:ind w:firstLine="639"/>
        <w:spacing w:after="0" w:line="237" w:lineRule="auto"/>
        <w:rPr>
          <w:sz w:val="20"/>
          <w:szCs w:val="20"/>
          <w:color w:val="auto"/>
        </w:rPr>
      </w:pPr>
      <w:r>
        <w:rPr>
          <w:rFonts w:ascii="Arial" w:cs="Arial" w:eastAsia="Arial" w:hAnsi="Arial"/>
          <w:sz w:val="18"/>
          <w:szCs w:val="18"/>
          <w:color w:val="auto"/>
        </w:rPr>
        <w:t>Pursuant to the Restricted Stock Unit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this Restricted Stock Unit Award Agreement, SI-BONE,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you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a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pursuant to the</w:t>
      </w:r>
    </w:p>
    <w:p>
      <w:pPr>
        <w:spacing w:after="0" w:line="232" w:lineRule="auto"/>
        <w:rPr>
          <w:sz w:val="20"/>
          <w:szCs w:val="20"/>
          <w:color w:val="auto"/>
        </w:rPr>
      </w:pPr>
      <w:r>
        <w:rPr>
          <w:rFonts w:ascii="Arial" w:cs="Arial" w:eastAsia="Arial" w:hAnsi="Arial"/>
          <w:sz w:val="18"/>
          <w:szCs w:val="18"/>
          <w:color w:val="auto"/>
        </w:rPr>
        <w:t>Company’s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for the number of Restricted Stock Units/shares indicated in the Grant Notice.</w:t>
      </w:r>
    </w:p>
    <w:p>
      <w:pPr>
        <w:spacing w:after="0" w:line="1" w:lineRule="exact"/>
        <w:rPr>
          <w:sz w:val="20"/>
          <w:szCs w:val="20"/>
          <w:color w:val="auto"/>
        </w:rPr>
      </w:pPr>
    </w:p>
    <w:p>
      <w:pPr>
        <w:spacing w:after="0" w:line="219" w:lineRule="auto"/>
        <w:rPr>
          <w:sz w:val="20"/>
          <w:szCs w:val="20"/>
          <w:color w:val="auto"/>
        </w:rPr>
      </w:pPr>
      <w:r>
        <w:rPr>
          <w:rFonts w:ascii="Arial" w:cs="Arial" w:eastAsia="Arial" w:hAnsi="Arial"/>
          <w:sz w:val="20"/>
          <w:szCs w:val="20"/>
          <w:color w:val="auto"/>
        </w:rPr>
        <w:t>Capitalized terms not explicitly defined in this Restricted Stock Unit Award Agreement or the Grant Notice will have the same meanings given to them in the Plan. The terms of your Award, in addition to those set forth in the Grant Notice, are as follows.</w:t>
      </w:r>
    </w:p>
    <w:p>
      <w:pPr>
        <w:spacing w:after="0" w:line="169" w:lineRule="exact"/>
        <w:rPr>
          <w:sz w:val="20"/>
          <w:szCs w:val="20"/>
          <w:color w:val="auto"/>
        </w:rPr>
      </w:pPr>
    </w:p>
    <w:p>
      <w:pPr>
        <w:jc w:val="both"/>
        <w:ind w:firstLine="645"/>
        <w:spacing w:after="0" w:line="208" w:lineRule="auto"/>
        <w:tabs>
          <w:tab w:leader="none" w:pos="1278" w:val="left"/>
        </w:tabs>
        <w:numPr>
          <w:ilvl w:val="0"/>
          <w:numId w:val="38"/>
        </w:numPr>
        <w:rPr>
          <w:rFonts w:ascii="Arial" w:cs="Arial" w:eastAsia="Arial" w:hAnsi="Arial"/>
          <w:sz w:val="21"/>
          <w:szCs w:val="21"/>
          <w:b w:val="1"/>
          <w:bCs w:val="1"/>
          <w:color w:val="auto"/>
        </w:rPr>
      </w:pPr>
      <w:r>
        <w:rPr>
          <w:rFonts w:ascii="Arial" w:cs="Arial" w:eastAsia="Arial" w:hAnsi="Arial"/>
          <w:sz w:val="20"/>
          <w:szCs w:val="20"/>
          <w:b w:val="1"/>
          <w:bCs w:val="1"/>
          <w:color w:val="auto"/>
        </w:rPr>
        <w:t xml:space="preserve">Grant of the Award. </w:t>
      </w:r>
      <w:r>
        <w:rPr>
          <w:rFonts w:ascii="Arial" w:cs="Arial" w:eastAsia="Arial" w:hAnsi="Arial"/>
          <w:sz w:val="20"/>
          <w:szCs w:val="20"/>
          <w:color w:val="auto"/>
        </w:rPr>
        <w:t>This Award represents the right to be issued on a future date one (1) share of Common Stock</w:t>
      </w:r>
      <w:r>
        <w:rPr>
          <w:rFonts w:ascii="Arial" w:cs="Arial" w:eastAsia="Arial" w:hAnsi="Arial"/>
          <w:sz w:val="20"/>
          <w:szCs w:val="20"/>
          <w:b w:val="1"/>
          <w:bCs w:val="1"/>
          <w:color w:val="auto"/>
        </w:rPr>
        <w:t xml:space="preserve"> </w:t>
      </w:r>
      <w:r>
        <w:rPr>
          <w:rFonts w:ascii="Arial" w:cs="Arial" w:eastAsia="Arial" w:hAnsi="Arial"/>
          <w:sz w:val="20"/>
          <w:szCs w:val="20"/>
          <w:color w:val="auto"/>
        </w:rPr>
        <w:t>for each Restricted Stock Unit that vests on the applicable vesting date(s) (subject to any adjustment under Section 3 below) as indicated in the Grant Notice. As of the Date of Grant, the Company will credit to a bookkeeping account maintained by the Company for your benefit (the “</w:t>
      </w:r>
      <w:r>
        <w:rPr>
          <w:rFonts w:ascii="Arial" w:cs="Arial" w:eastAsia="Arial" w:hAnsi="Arial"/>
          <w:sz w:val="20"/>
          <w:szCs w:val="20"/>
          <w:b w:val="1"/>
          <w:bCs w:val="1"/>
          <w:i w:val="1"/>
          <w:iCs w:val="1"/>
          <w:color w:val="auto"/>
        </w:rPr>
        <w:t>Account</w:t>
      </w:r>
      <w:r>
        <w:rPr>
          <w:rFonts w:ascii="Arial" w:cs="Arial" w:eastAsia="Arial" w:hAnsi="Arial"/>
          <w:sz w:val="20"/>
          <w:szCs w:val="20"/>
          <w:color w:val="auto"/>
        </w:rPr>
        <w:t>”) the number of Restricted Stock Units/shares of Common Stock subject to the Award. This Award was granted in consideration of your services to the Company. Except as otherwise provided herein, you will not be required to make any payment to the Company or an Affiliate (other than services to the Company or an Affiliate) with respect to your receipt of the Award, the vesting of the Restricted Stock Units or the delivery of the Company’s Common Stock to be issued in respect of the Award. Notwithstanding the foregoing, the Company reserves the right to issue you the cash equivalent of Common Stock, in part or in full satisfaction of the delivery of Common Stock upon the vesting of the Restricted Stock Units, and, to the extent applicable, references in this Restricted Stock Unit Award Agreement and the Grant Notice to Common Stock issuable in connection with your Restricted Stock Units will include the potential issuance of its cash equivalent pursuant to such right.</w:t>
      </w:r>
    </w:p>
    <w:p>
      <w:pPr>
        <w:spacing w:after="0" w:line="167" w:lineRule="exact"/>
        <w:rPr>
          <w:rFonts w:ascii="Arial" w:cs="Arial" w:eastAsia="Arial" w:hAnsi="Arial"/>
          <w:sz w:val="21"/>
          <w:szCs w:val="21"/>
          <w:b w:val="1"/>
          <w:bCs w:val="1"/>
          <w:color w:val="auto"/>
        </w:rPr>
      </w:pPr>
    </w:p>
    <w:p>
      <w:pPr>
        <w:jc w:val="both"/>
        <w:ind w:firstLine="645"/>
        <w:spacing w:after="0" w:line="225" w:lineRule="auto"/>
        <w:tabs>
          <w:tab w:leader="none" w:pos="1278" w:val="left"/>
        </w:tabs>
        <w:numPr>
          <w:ilvl w:val="0"/>
          <w:numId w:val="38"/>
        </w:numPr>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Vesting. </w:t>
      </w:r>
      <w:r>
        <w:rPr>
          <w:rFonts w:ascii="Arial" w:cs="Arial" w:eastAsia="Arial" w:hAnsi="Arial"/>
          <w:sz w:val="19"/>
          <w:szCs w:val="19"/>
          <w:color w:val="auto"/>
        </w:rPr>
        <w:t>Subject to the limitations contained herein, your Award will vest, if at all, in accordance with the vesting</w:t>
      </w:r>
      <w:r>
        <w:rPr>
          <w:rFonts w:ascii="Arial" w:cs="Arial" w:eastAsia="Arial" w:hAnsi="Arial"/>
          <w:sz w:val="19"/>
          <w:szCs w:val="19"/>
          <w:b w:val="1"/>
          <w:bCs w:val="1"/>
          <w:color w:val="auto"/>
        </w:rPr>
        <w:t xml:space="preserve"> </w:t>
      </w:r>
      <w:r>
        <w:rPr>
          <w:rFonts w:ascii="Arial" w:cs="Arial" w:eastAsia="Arial" w:hAnsi="Arial"/>
          <w:sz w:val="19"/>
          <w:szCs w:val="19"/>
          <w:color w:val="auto"/>
        </w:rPr>
        <w:t>schedule provided in the Grant Notice, provided that vesting will cease upon the termination of your Continuous Service. Upon such termination of your Continuous Service, the Restricted Stock Units/shares of Common Stock credited to the Account that were not vested on the date of such termination will be forfeited at no cost to the Company and you will have no further right, title or interest in or to such underlying shares of Common Stock. Notwithstanding the foregoing, if your Continuous Service terminates as a result of your death or Disability, 100% of the unvested Restricted Stock Units shall vest as of the date of such termination.</w:t>
      </w:r>
    </w:p>
    <w:p>
      <w:pPr>
        <w:spacing w:after="0" w:line="157" w:lineRule="exact"/>
        <w:rPr>
          <w:rFonts w:ascii="Arial" w:cs="Arial" w:eastAsia="Arial" w:hAnsi="Arial"/>
          <w:sz w:val="20"/>
          <w:szCs w:val="20"/>
          <w:b w:val="1"/>
          <w:bCs w:val="1"/>
          <w:color w:val="auto"/>
        </w:rPr>
      </w:pPr>
    </w:p>
    <w:p>
      <w:pPr>
        <w:jc w:val="both"/>
        <w:ind w:firstLine="645"/>
        <w:spacing w:after="0" w:line="213" w:lineRule="auto"/>
        <w:tabs>
          <w:tab w:leader="none" w:pos="1278" w:val="left"/>
        </w:tabs>
        <w:numPr>
          <w:ilvl w:val="0"/>
          <w:numId w:val="38"/>
        </w:numPr>
        <w:rPr>
          <w:rFonts w:ascii="Arial" w:cs="Arial" w:eastAsia="Arial" w:hAnsi="Arial"/>
          <w:sz w:val="21"/>
          <w:szCs w:val="21"/>
          <w:b w:val="1"/>
          <w:bCs w:val="1"/>
          <w:color w:val="auto"/>
        </w:rPr>
      </w:pPr>
      <w:r>
        <w:rPr>
          <w:rFonts w:ascii="Arial" w:cs="Arial" w:eastAsia="Arial" w:hAnsi="Arial"/>
          <w:sz w:val="20"/>
          <w:szCs w:val="20"/>
          <w:b w:val="1"/>
          <w:bCs w:val="1"/>
          <w:color w:val="auto"/>
        </w:rPr>
        <w:t xml:space="preserve">Number of Shares. </w:t>
      </w:r>
      <w:r>
        <w:rPr>
          <w:rFonts w:ascii="Arial" w:cs="Arial" w:eastAsia="Arial" w:hAnsi="Arial"/>
          <w:sz w:val="20"/>
          <w:szCs w:val="20"/>
          <w:color w:val="auto"/>
        </w:rPr>
        <w:t>The number of Restricted Stock Units subject to your Award may be adjusted from time to time</w:t>
      </w:r>
      <w:r>
        <w:rPr>
          <w:rFonts w:ascii="Arial" w:cs="Arial" w:eastAsia="Arial" w:hAnsi="Arial"/>
          <w:sz w:val="20"/>
          <w:szCs w:val="20"/>
          <w:b w:val="1"/>
          <w:bCs w:val="1"/>
          <w:color w:val="auto"/>
        </w:rPr>
        <w:t xml:space="preserve"> </w:t>
      </w:r>
      <w:r>
        <w:rPr>
          <w:rFonts w:ascii="Arial" w:cs="Arial" w:eastAsia="Arial" w:hAnsi="Arial"/>
          <w:sz w:val="20"/>
          <w:szCs w:val="20"/>
          <w:color w:val="auto"/>
        </w:rPr>
        <w:t>for Capitalization Adjustments, as provided in the Plan. Any additional Restricted Stock Units, shares, cash or other property that becomes subject to the Award pursuant to this Section 3, if any, will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will be created pursuant to this Section 3. Any fraction of a share will be rounded down to the nearest whole share.</w:t>
      </w:r>
    </w:p>
    <w:p>
      <w:pPr>
        <w:spacing w:after="0" w:line="158" w:lineRule="exact"/>
        <w:rPr>
          <w:rFonts w:ascii="Arial" w:cs="Arial" w:eastAsia="Arial" w:hAnsi="Arial"/>
          <w:sz w:val="21"/>
          <w:szCs w:val="21"/>
          <w:b w:val="1"/>
          <w:bCs w:val="1"/>
          <w:color w:val="auto"/>
        </w:rPr>
      </w:pPr>
    </w:p>
    <w:p>
      <w:pPr>
        <w:jc w:val="both"/>
        <w:ind w:firstLine="645"/>
        <w:spacing w:after="0" w:line="220" w:lineRule="auto"/>
        <w:tabs>
          <w:tab w:leader="none" w:pos="1278" w:val="left"/>
        </w:tabs>
        <w:numPr>
          <w:ilvl w:val="0"/>
          <w:numId w:val="38"/>
        </w:numPr>
        <w:rPr>
          <w:rFonts w:ascii="Arial" w:cs="Arial" w:eastAsia="Arial" w:hAnsi="Arial"/>
          <w:sz w:val="21"/>
          <w:szCs w:val="21"/>
          <w:b w:val="1"/>
          <w:bCs w:val="1"/>
          <w:color w:val="auto"/>
        </w:rPr>
      </w:pPr>
      <w:r>
        <w:rPr>
          <w:rFonts w:ascii="Arial" w:cs="Arial" w:eastAsia="Arial" w:hAnsi="Arial"/>
          <w:sz w:val="20"/>
          <w:szCs w:val="20"/>
          <w:b w:val="1"/>
          <w:bCs w:val="1"/>
          <w:color w:val="auto"/>
        </w:rPr>
        <w:t>Securities Law Compliance</w:t>
      </w:r>
      <w:r>
        <w:rPr>
          <w:rFonts w:ascii="Arial" w:cs="Arial" w:eastAsia="Arial" w:hAnsi="Arial"/>
          <w:sz w:val="20"/>
          <w:szCs w:val="20"/>
          <w:color w:val="auto"/>
        </w:rPr>
        <w:t>. You may not be issued any Common Stock under your Award unless the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will not receive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3.</w:t>
      </w:r>
    </w:p>
    <w:p>
      <w:pPr>
        <w:sectPr>
          <w:pgSz w:w="11900" w:h="16838" w:orient="portrait"/>
          <w:cols w:equalWidth="0" w:num="1">
            <w:col w:w="11240"/>
          </w:cols>
          <w:pgMar w:left="320" w:top="137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Common Stock if the Company determines that such receipt would not be in material compliance with such laws and regulations.</w:t>
      </w:r>
    </w:p>
    <w:p>
      <w:pPr>
        <w:spacing w:after="0" w:line="195" w:lineRule="exact"/>
        <w:rPr>
          <w:sz w:val="20"/>
          <w:szCs w:val="20"/>
          <w:color w:val="auto"/>
        </w:rPr>
      </w:pPr>
    </w:p>
    <w:p>
      <w:pPr>
        <w:jc w:val="both"/>
        <w:ind w:firstLine="645"/>
        <w:spacing w:after="0" w:line="209" w:lineRule="auto"/>
        <w:tabs>
          <w:tab w:leader="none" w:pos="1278" w:val="left"/>
        </w:tabs>
        <w:numPr>
          <w:ilvl w:val="0"/>
          <w:numId w:val="39"/>
        </w:numPr>
        <w:rPr>
          <w:rFonts w:ascii="Arial" w:cs="Arial" w:eastAsia="Arial" w:hAnsi="Arial"/>
          <w:sz w:val="21"/>
          <w:szCs w:val="21"/>
          <w:b w:val="1"/>
          <w:bCs w:val="1"/>
          <w:color w:val="auto"/>
        </w:rPr>
      </w:pPr>
      <w:r>
        <w:rPr>
          <w:rFonts w:ascii="Arial" w:cs="Arial" w:eastAsia="Arial" w:hAnsi="Arial"/>
          <w:sz w:val="20"/>
          <w:szCs w:val="20"/>
          <w:b w:val="1"/>
          <w:bCs w:val="1"/>
          <w:color w:val="auto"/>
        </w:rPr>
        <w:t>Transfer Restrictions</w:t>
      </w:r>
      <w:r>
        <w:rPr>
          <w:rFonts w:ascii="Arial" w:cs="Arial" w:eastAsia="Arial" w:hAnsi="Arial"/>
          <w:sz w:val="20"/>
          <w:szCs w:val="20"/>
          <w:color w:val="auto"/>
        </w:rPr>
        <w:t>. Prior to the time that shares of Common Stock have been delivered to you, you may not</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pledge, 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 Notwithstanding the foregoing, by delivering written notice to the Company, in a form satisfactory to the Company, you may designate a third party who, in the event of your death, will thereafter be entitled to receive any distribution of Common Stock to which you were entitled at the time of your death pursuant to this Restricted Stock Unit Award Agreement. In the absence of such a designation, your legal representative will be entitled to receive, on behalf of your estate, such Common Stock or other consideration.</w:t>
      </w:r>
    </w:p>
    <w:p>
      <w:pPr>
        <w:spacing w:after="0" w:line="170" w:lineRule="exact"/>
        <w:rPr>
          <w:rFonts w:ascii="Arial" w:cs="Arial" w:eastAsia="Arial" w:hAnsi="Arial"/>
          <w:sz w:val="21"/>
          <w:szCs w:val="21"/>
          <w:b w:val="1"/>
          <w:bCs w:val="1"/>
          <w:color w:val="auto"/>
        </w:rPr>
      </w:pPr>
    </w:p>
    <w:p>
      <w:pPr>
        <w:jc w:val="both"/>
        <w:ind w:firstLine="1284"/>
        <w:spacing w:after="0" w:line="217" w:lineRule="auto"/>
        <w:tabs>
          <w:tab w:leader="none" w:pos="1912" w:val="left"/>
        </w:tabs>
        <w:numPr>
          <w:ilvl w:val="1"/>
          <w:numId w:val="39"/>
        </w:numPr>
        <w:rPr>
          <w:rFonts w:ascii="Arial" w:cs="Arial" w:eastAsia="Arial" w:hAnsi="Arial"/>
          <w:sz w:val="21"/>
          <w:szCs w:val="21"/>
          <w:b w:val="1"/>
          <w:bCs w:val="1"/>
          <w:color w:val="auto"/>
        </w:rPr>
      </w:pPr>
      <w:r>
        <w:rPr>
          <w:rFonts w:ascii="Arial" w:cs="Arial" w:eastAsia="Arial" w:hAnsi="Arial"/>
          <w:sz w:val="20"/>
          <w:szCs w:val="20"/>
          <w:b w:val="1"/>
          <w:bCs w:val="1"/>
          <w:color w:val="auto"/>
        </w:rPr>
        <w:t>Death</w:t>
      </w:r>
      <w:r>
        <w:rPr>
          <w:rFonts w:ascii="Arial" w:cs="Arial" w:eastAsia="Arial" w:hAnsi="Arial"/>
          <w:sz w:val="20"/>
          <w:szCs w:val="20"/>
          <w:color w:val="auto"/>
        </w:rPr>
        <w:t>. Your Award is transferable by will and by the laws of descent and distribution. At your death,100% of</w:t>
      </w:r>
      <w:r>
        <w:rPr>
          <w:rFonts w:ascii="Arial" w:cs="Arial" w:eastAsia="Arial" w:hAnsi="Arial"/>
          <w:sz w:val="20"/>
          <w:szCs w:val="20"/>
          <w:b w:val="1"/>
          <w:bCs w:val="1"/>
          <w:color w:val="auto"/>
        </w:rPr>
        <w:t xml:space="preserve"> </w:t>
      </w:r>
      <w:r>
        <w:rPr>
          <w:rFonts w:ascii="Arial" w:cs="Arial" w:eastAsia="Arial" w:hAnsi="Arial"/>
          <w:sz w:val="20"/>
          <w:szCs w:val="20"/>
          <w:color w:val="auto"/>
        </w:rPr>
        <w:t>the unvested Restricted Stock Units in your Award will vest as of the date your Continuous Employment terminates, and your executor or administrator of your estate will be entitled to receive, on behalf of your estate, any Common Stock or other consideration that vested but was not issued before your death.</w:t>
      </w:r>
    </w:p>
    <w:p>
      <w:pPr>
        <w:spacing w:after="0" w:line="169" w:lineRule="exact"/>
        <w:rPr>
          <w:rFonts w:ascii="Arial" w:cs="Arial" w:eastAsia="Arial" w:hAnsi="Arial"/>
          <w:sz w:val="21"/>
          <w:szCs w:val="21"/>
          <w:b w:val="1"/>
          <w:bCs w:val="1"/>
          <w:color w:val="auto"/>
        </w:rPr>
      </w:pPr>
    </w:p>
    <w:p>
      <w:pPr>
        <w:jc w:val="both"/>
        <w:ind w:firstLine="1284"/>
        <w:spacing w:after="0" w:line="211" w:lineRule="auto"/>
        <w:tabs>
          <w:tab w:leader="none" w:pos="1911" w:val="left"/>
        </w:tabs>
        <w:numPr>
          <w:ilvl w:val="1"/>
          <w:numId w:val="39"/>
        </w:numPr>
        <w:rPr>
          <w:rFonts w:ascii="Arial" w:cs="Arial" w:eastAsia="Arial" w:hAnsi="Arial"/>
          <w:sz w:val="21"/>
          <w:szCs w:val="21"/>
          <w:b w:val="1"/>
          <w:bCs w:val="1"/>
          <w:color w:val="auto"/>
        </w:rPr>
      </w:pPr>
      <w:r>
        <w:rPr>
          <w:rFonts w:ascii="Arial" w:cs="Arial" w:eastAsia="Arial" w:hAnsi="Arial"/>
          <w:sz w:val="20"/>
          <w:szCs w:val="20"/>
          <w:b w:val="1"/>
          <w:bCs w:val="1"/>
          <w:color w:val="auto"/>
        </w:rPr>
        <w:t xml:space="preserve">Domestic Relations Orders. </w:t>
      </w:r>
      <w:r>
        <w:rPr>
          <w:rFonts w:ascii="Arial" w:cs="Arial" w:eastAsia="Arial" w:hAnsi="Arial"/>
          <w:sz w:val="20"/>
          <w:szCs w:val="20"/>
          <w:color w:val="auto"/>
        </w:rPr>
        <w:t>Upon receiving written permission from the Board or its duly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designee, and provided that you and the designated transferee enter into transfer and other agreements required by the Company, you may transfer your right to receive the distribution of Common Stock or other consideration hereunder, pursuant to a domestic relations order, official marital settlement agreement or other divorce or separation instrument as permitted by applicable law that contains the information required by the Company to effectuate the transfer. You are encouraged to discuss the proposed terms of any division of this Award with the Company’s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56" w:lineRule="exact"/>
        <w:rPr>
          <w:rFonts w:ascii="Arial" w:cs="Arial" w:eastAsia="Arial" w:hAnsi="Arial"/>
          <w:sz w:val="21"/>
          <w:szCs w:val="21"/>
          <w:b w:val="1"/>
          <w:bCs w:val="1"/>
          <w:color w:val="auto"/>
        </w:rPr>
      </w:pPr>
    </w:p>
    <w:p>
      <w:pPr>
        <w:ind w:left="1280" w:hanging="635"/>
        <w:spacing w:after="0"/>
        <w:tabs>
          <w:tab w:leader="none" w:pos="1280" w:val="left"/>
        </w:tabs>
        <w:numPr>
          <w:ilvl w:val="0"/>
          <w:numId w:val="39"/>
        </w:numPr>
        <w:rPr>
          <w:rFonts w:ascii="Arial" w:cs="Arial" w:eastAsia="Arial" w:hAnsi="Arial"/>
          <w:sz w:val="21"/>
          <w:szCs w:val="21"/>
          <w:b w:val="1"/>
          <w:bCs w:val="1"/>
          <w:color w:val="auto"/>
        </w:rPr>
      </w:pPr>
      <w:r>
        <w:rPr>
          <w:rFonts w:ascii="Arial" w:cs="Arial" w:eastAsia="Arial" w:hAnsi="Arial"/>
          <w:sz w:val="20"/>
          <w:szCs w:val="20"/>
          <w:b w:val="1"/>
          <w:bCs w:val="1"/>
          <w:color w:val="auto"/>
        </w:rPr>
        <w:t>Date of Issuance.</w:t>
      </w:r>
    </w:p>
    <w:p>
      <w:pPr>
        <w:spacing w:after="0" w:line="208" w:lineRule="exact"/>
        <w:rPr>
          <w:rFonts w:ascii="Arial" w:cs="Arial" w:eastAsia="Arial" w:hAnsi="Arial"/>
          <w:sz w:val="21"/>
          <w:szCs w:val="21"/>
          <w:b w:val="1"/>
          <w:bCs w:val="1"/>
          <w:color w:val="auto"/>
        </w:rPr>
      </w:pPr>
    </w:p>
    <w:p>
      <w:pPr>
        <w:jc w:val="both"/>
        <w:ind w:firstLine="1284"/>
        <w:spacing w:after="0" w:line="210" w:lineRule="auto"/>
        <w:tabs>
          <w:tab w:leader="none" w:pos="1914" w:val="left"/>
        </w:tabs>
        <w:numPr>
          <w:ilvl w:val="1"/>
          <w:numId w:val="40"/>
        </w:numPr>
        <w:rPr>
          <w:rFonts w:ascii="Arial" w:cs="Arial" w:eastAsia="Arial" w:hAnsi="Arial"/>
          <w:sz w:val="21"/>
          <w:szCs w:val="21"/>
          <w:b w:val="1"/>
          <w:bCs w:val="1"/>
          <w:color w:val="auto"/>
        </w:rPr>
      </w:pPr>
      <w:r>
        <w:rPr>
          <w:rFonts w:ascii="Arial" w:cs="Arial" w:eastAsia="Arial" w:hAnsi="Arial"/>
          <w:sz w:val="20"/>
          <w:szCs w:val="20"/>
          <w:color w:val="auto"/>
        </w:rPr>
        <w:t>The issuance of shares in respect of the Restricted Stock Units is intended to comply with Treasury Regulations Section 1.409A-1(b)(4) and will be construed and administered in such a manner. Subject to the satisfaction of any Tax-Related Items (as defined in Section 9 below), in the event one or more Restricted Stock Units vests, the Company will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Arial" w:cs="Arial" w:eastAsia="Arial" w:hAnsi="Arial"/>
          <w:sz w:val="20"/>
          <w:szCs w:val="20"/>
          <w:b w:val="1"/>
          <w:bCs w:val="1"/>
          <w:i w:val="1"/>
          <w:iCs w:val="1"/>
          <w:color w:val="auto"/>
        </w:rPr>
        <w:t>Original Issuance Date</w:t>
      </w:r>
      <w:r>
        <w:rPr>
          <w:rFonts w:ascii="Arial" w:cs="Arial" w:eastAsia="Arial" w:hAnsi="Arial"/>
          <w:sz w:val="20"/>
          <w:szCs w:val="20"/>
          <w:color w:val="auto"/>
        </w:rPr>
        <w:t>”.</w:t>
      </w:r>
    </w:p>
    <w:p>
      <w:pPr>
        <w:spacing w:after="0" w:line="193" w:lineRule="exact"/>
        <w:rPr>
          <w:rFonts w:ascii="Arial" w:cs="Arial" w:eastAsia="Arial" w:hAnsi="Arial"/>
          <w:sz w:val="21"/>
          <w:szCs w:val="21"/>
          <w:b w:val="1"/>
          <w:bCs w:val="1"/>
          <w:color w:val="auto"/>
        </w:rPr>
      </w:pPr>
    </w:p>
    <w:p>
      <w:pPr>
        <w:ind w:right="20" w:firstLine="1284"/>
        <w:spacing w:after="0" w:line="221" w:lineRule="auto"/>
        <w:tabs>
          <w:tab w:leader="none" w:pos="1911" w:val="left"/>
        </w:tabs>
        <w:numPr>
          <w:ilvl w:val="1"/>
          <w:numId w:val="40"/>
        </w:numPr>
        <w:rPr>
          <w:rFonts w:ascii="Arial" w:cs="Arial" w:eastAsia="Arial" w:hAnsi="Arial"/>
          <w:sz w:val="21"/>
          <w:szCs w:val="21"/>
          <w:b w:val="1"/>
          <w:bCs w:val="1"/>
          <w:color w:val="auto"/>
        </w:rPr>
      </w:pPr>
      <w:r>
        <w:rPr>
          <w:rFonts w:ascii="Arial" w:cs="Arial" w:eastAsia="Arial" w:hAnsi="Arial"/>
          <w:sz w:val="20"/>
          <w:szCs w:val="20"/>
          <w:color w:val="auto"/>
        </w:rPr>
        <w:t>If the Original Issuance Date falls on a date that is not a business day, delivery will instead occur on the next following business day. In addition, if:</w:t>
      </w:r>
    </w:p>
    <w:p>
      <w:pPr>
        <w:spacing w:after="0" w:line="178" w:lineRule="exact"/>
        <w:rPr>
          <w:rFonts w:ascii="Arial" w:cs="Arial" w:eastAsia="Arial" w:hAnsi="Arial"/>
          <w:sz w:val="21"/>
          <w:szCs w:val="21"/>
          <w:b w:val="1"/>
          <w:bCs w:val="1"/>
          <w:color w:val="auto"/>
        </w:rPr>
      </w:pPr>
    </w:p>
    <w:p>
      <w:pPr>
        <w:jc w:val="both"/>
        <w:ind w:firstLine="1923"/>
        <w:spacing w:after="0" w:line="210" w:lineRule="auto"/>
        <w:tabs>
          <w:tab w:leader="none" w:pos="2544" w:val="left"/>
        </w:tabs>
        <w:numPr>
          <w:ilvl w:val="2"/>
          <w:numId w:val="40"/>
        </w:numPr>
        <w:rPr>
          <w:rFonts w:ascii="Arial" w:cs="Arial" w:eastAsia="Arial" w:hAnsi="Arial"/>
          <w:sz w:val="21"/>
          <w:szCs w:val="21"/>
          <w:b w:val="1"/>
          <w:bCs w:val="1"/>
          <w:color w:val="auto"/>
        </w:rPr>
      </w:pPr>
      <w:r>
        <w:rPr>
          <w:rFonts w:ascii="Arial" w:cs="Arial" w:eastAsia="Arial" w:hAnsi="Arial"/>
          <w:sz w:val="20"/>
          <w:szCs w:val="20"/>
          <w:color w:val="auto"/>
        </w:rPr>
        <w:t>the Original Issuance Date does not occur (1) during an “open window period” applicable to you, as determined by the Company in accordance with the Company’s then-effective policy on trading in Company securities (“</w:t>
      </w:r>
      <w:r>
        <w:rPr>
          <w:rFonts w:ascii="Arial" w:cs="Arial" w:eastAsia="Arial" w:hAnsi="Arial"/>
          <w:sz w:val="20"/>
          <w:szCs w:val="20"/>
          <w:b w:val="1"/>
          <w:bCs w:val="1"/>
          <w:i w:val="1"/>
          <w:iCs w:val="1"/>
          <w:color w:val="auto"/>
        </w:rPr>
        <w:t>Insider</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Trading Policy</w:t>
      </w:r>
      <w:r>
        <w:rPr>
          <w:rFonts w:ascii="Arial" w:cs="Arial" w:eastAsia="Arial" w:hAnsi="Arial"/>
          <w:sz w:val="20"/>
          <w:szCs w:val="20"/>
          <w:color w:val="auto"/>
        </w:rPr>
        <w:t>”), or (2) on a date when you are otherwise permitted to sell shares of Common Stock on an established stock</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20"/>
          <w:szCs w:val="20"/>
          <w:b w:val="1"/>
          <w:bCs w:val="1"/>
          <w:i w:val="1"/>
          <w:iCs w:val="1"/>
          <w:color w:val="auto"/>
        </w:rPr>
        <w:t>10b5-1</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Arrangement</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4.</w:t>
      </w:r>
    </w:p>
    <w:p>
      <w:pPr>
        <w:sectPr>
          <w:pgSz w:w="11900" w:h="16838" w:orient="portrait"/>
          <w:cols w:equalWidth="0" w:num="1">
            <w:col w:w="11240"/>
          </w:cols>
          <w:pgMar w:left="320" w:top="1401" w:right="339" w:bottom="1440" w:gutter="0" w:footer="0" w:header="0"/>
        </w:sectPr>
      </w:pPr>
    </w:p>
    <w:bookmarkStart w:id="78" w:name="page79"/>
    <w:bookmarkEnd w:id="78"/>
    <w:p>
      <w:pPr>
        <w:jc w:val="both"/>
        <w:ind w:firstLine="1923"/>
        <w:spacing w:after="0" w:line="210" w:lineRule="auto"/>
        <w:tabs>
          <w:tab w:leader="none" w:pos="2550" w:val="left"/>
        </w:tabs>
        <w:numPr>
          <w:ilvl w:val="0"/>
          <w:numId w:val="41"/>
        </w:numPr>
        <w:rPr>
          <w:rFonts w:ascii="Arial" w:cs="Arial" w:eastAsia="Arial" w:hAnsi="Arial"/>
          <w:sz w:val="21"/>
          <w:szCs w:val="21"/>
          <w:b w:val="1"/>
          <w:bCs w:val="1"/>
          <w:color w:val="auto"/>
        </w:rPr>
      </w:pPr>
      <w:r>
        <w:rPr>
          <w:rFonts w:ascii="Arial" w:cs="Arial" w:eastAsia="Arial" w:hAnsi="Arial"/>
          <w:sz w:val="20"/>
          <w:szCs w:val="20"/>
          <w:color w:val="auto"/>
        </w:rPr>
        <w:t>either (1) the Company’s then-effective Insider Trading Policy does not permit sell to cover transactions in satisfaction of applicable Tax-Related Items, (2) Tax-Related Items do not apply, or (3) the Company decides, prior to the Original Issuance Date, (A) not to satisfy the Tax-Related Items by withholding shares of Common Stock from the shares otherwise due, on the Original Issuance Date, to you under this Award, and (B) not to permit you to enter into a “same day sale” commitment with a broker-dealer pursuant to Section 9 of this Restricted Stock Unit Award Agreement (including but not limited to a commitment under a 10b5-1 Arrangement) and (C) not to permit you to pay your Tax-Related Items in cash,</w:t>
      </w:r>
    </w:p>
    <w:p>
      <w:pPr>
        <w:spacing w:after="0" w:line="167" w:lineRule="exact"/>
        <w:rPr>
          <w:sz w:val="20"/>
          <w:szCs w:val="20"/>
          <w:color w:val="auto"/>
        </w:rPr>
      </w:pPr>
    </w:p>
    <w:p>
      <w:pPr>
        <w:ind w:firstLine="639"/>
        <w:spacing w:after="0" w:line="231" w:lineRule="auto"/>
        <w:rPr>
          <w:sz w:val="20"/>
          <w:szCs w:val="20"/>
          <w:color w:val="auto"/>
        </w:rPr>
      </w:pPr>
      <w:r>
        <w:rPr>
          <w:rFonts w:ascii="Arial" w:cs="Arial" w:eastAsia="Arial" w:hAnsi="Arial"/>
          <w:sz w:val="18"/>
          <w:szCs w:val="18"/>
          <w:u w:val="single" w:color="auto"/>
          <w:color w:val="auto"/>
        </w:rPr>
        <w:t>then</w:t>
      </w:r>
      <w:r>
        <w:rPr>
          <w:rFonts w:ascii="Arial" w:cs="Arial" w:eastAsia="Arial" w:hAnsi="Arial"/>
          <w:sz w:val="18"/>
          <w:szCs w:val="18"/>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w:t>
      </w:r>
    </w:p>
    <w:p>
      <w:pPr>
        <w:spacing w:after="0" w:line="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 xml:space="preserve">Company’s Common Stock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8"/>
          <w:szCs w:val="18"/>
          <w:u w:val="single" w:color="auto"/>
          <w:color w:val="auto"/>
        </w:rPr>
        <w:t>if and only</w:t>
      </w:r>
    </w:p>
    <w:p>
      <w:pPr>
        <w:spacing w:after="0" w:line="209" w:lineRule="auto"/>
        <w:rPr>
          <w:sz w:val="20"/>
          <w:szCs w:val="20"/>
          <w:color w:val="auto"/>
        </w:rPr>
      </w:pPr>
      <w:r>
        <w:rPr>
          <w:rFonts w:ascii="Arial" w:cs="Arial" w:eastAsia="Arial" w:hAnsi="Arial"/>
          <w:sz w:val="20"/>
          <w:szCs w:val="20"/>
          <w:u w:val="single" w:color="auto"/>
          <w:color w:val="auto"/>
        </w:rPr>
        <w:t>if</w:t>
      </w:r>
      <w:r>
        <w:rPr>
          <w:rFonts w:ascii="Arial" w:cs="Arial" w:eastAsia="Arial" w:hAnsi="Arial"/>
          <w:sz w:val="20"/>
          <w:szCs w:val="20"/>
          <w:color w:val="auto"/>
        </w:rPr>
        <w:t xml:space="preserve"> permitted in a manner that complies with Treasury Regulations Section 1.409A-1(b)(4), no later than the date that is the 15th</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85" w:lineRule="exact"/>
        <w:rPr>
          <w:sz w:val="20"/>
          <w:szCs w:val="20"/>
          <w:color w:val="auto"/>
        </w:rPr>
      </w:pPr>
    </w:p>
    <w:p>
      <w:pPr>
        <w:ind w:firstLine="1284"/>
        <w:spacing w:after="0" w:line="221" w:lineRule="auto"/>
        <w:tabs>
          <w:tab w:leader="none" w:pos="1914" w:val="left"/>
        </w:tabs>
        <w:numPr>
          <w:ilvl w:val="1"/>
          <w:numId w:val="42"/>
        </w:numPr>
        <w:rPr>
          <w:rFonts w:ascii="Arial" w:cs="Arial" w:eastAsia="Arial" w:hAnsi="Arial"/>
          <w:sz w:val="21"/>
          <w:szCs w:val="21"/>
          <w:b w:val="1"/>
          <w:bCs w:val="1"/>
          <w:color w:val="auto"/>
        </w:rPr>
      </w:pPr>
      <w:r>
        <w:rPr>
          <w:rFonts w:ascii="Arial" w:cs="Arial" w:eastAsia="Arial" w:hAnsi="Arial"/>
          <w:sz w:val="20"/>
          <w:szCs w:val="20"/>
          <w:color w:val="auto"/>
        </w:rPr>
        <w:t>The form of delivery of the shares of Common Stock in respect of your Award (e.g., a stock certificate or electronic entry evidencing such shares) will be determined by the Company.</w:t>
      </w:r>
    </w:p>
    <w:p>
      <w:pPr>
        <w:spacing w:after="0" w:line="167" w:lineRule="exact"/>
        <w:rPr>
          <w:rFonts w:ascii="Arial" w:cs="Arial" w:eastAsia="Arial" w:hAnsi="Arial"/>
          <w:sz w:val="21"/>
          <w:szCs w:val="21"/>
          <w:b w:val="1"/>
          <w:bCs w:val="1"/>
          <w:color w:val="auto"/>
        </w:rPr>
      </w:pPr>
    </w:p>
    <w:p>
      <w:pPr>
        <w:jc w:val="both"/>
        <w:ind w:firstLine="645"/>
        <w:spacing w:after="0" w:line="217" w:lineRule="auto"/>
        <w:tabs>
          <w:tab w:leader="none" w:pos="1278" w:val="left"/>
        </w:tabs>
        <w:numPr>
          <w:ilvl w:val="0"/>
          <w:numId w:val="43"/>
        </w:numPr>
        <w:rPr>
          <w:rFonts w:ascii="Arial" w:cs="Arial" w:eastAsia="Arial" w:hAnsi="Arial"/>
          <w:sz w:val="21"/>
          <w:szCs w:val="21"/>
          <w:b w:val="1"/>
          <w:bCs w:val="1"/>
          <w:color w:val="auto"/>
        </w:rPr>
      </w:pPr>
      <w:r>
        <w:rPr>
          <w:rFonts w:ascii="Arial" w:cs="Arial" w:eastAsia="Arial" w:hAnsi="Arial"/>
          <w:sz w:val="20"/>
          <w:szCs w:val="20"/>
          <w:b w:val="1"/>
          <w:bCs w:val="1"/>
          <w:color w:val="auto"/>
        </w:rPr>
        <w:t xml:space="preserve">Dividends. </w:t>
      </w:r>
      <w:r>
        <w:rPr>
          <w:rFonts w:ascii="Arial" w:cs="Arial" w:eastAsia="Arial" w:hAnsi="Arial"/>
          <w:sz w:val="20"/>
          <w:szCs w:val="20"/>
          <w:color w:val="auto"/>
        </w:rPr>
        <w:t>You will receive no benefit or adjustment to your Award with respect to any cash dividend, stock</w:t>
      </w:r>
      <w:r>
        <w:rPr>
          <w:rFonts w:ascii="Arial" w:cs="Arial" w:eastAsia="Arial" w:hAnsi="Arial"/>
          <w:sz w:val="20"/>
          <w:szCs w:val="20"/>
          <w:b w:val="1"/>
          <w:bCs w:val="1"/>
          <w:color w:val="auto"/>
        </w:rPr>
        <w:t xml:space="preserve"> </w:t>
      </w:r>
      <w:r>
        <w:rPr>
          <w:rFonts w:ascii="Arial" w:cs="Arial" w:eastAsia="Arial" w:hAnsi="Arial"/>
          <w:sz w:val="20"/>
          <w:szCs w:val="20"/>
          <w:color w:val="auto"/>
        </w:rPr>
        <w:t>dividend or other distribution that does not result from a Capitalization Adjustment; provided, however, that this sentence will not apply with respect to any shares of Common Stock that are delivered to you in connection with your Award after such shares have been delivered to you.</w:t>
      </w:r>
    </w:p>
    <w:p>
      <w:pPr>
        <w:spacing w:after="0" w:line="169" w:lineRule="exact"/>
        <w:rPr>
          <w:rFonts w:ascii="Arial" w:cs="Arial" w:eastAsia="Arial" w:hAnsi="Arial"/>
          <w:sz w:val="21"/>
          <w:szCs w:val="21"/>
          <w:b w:val="1"/>
          <w:bCs w:val="1"/>
          <w:color w:val="auto"/>
        </w:rPr>
      </w:pPr>
    </w:p>
    <w:p>
      <w:pPr>
        <w:ind w:left="1280" w:hanging="635"/>
        <w:spacing w:after="0"/>
        <w:tabs>
          <w:tab w:leader="none" w:pos="1280" w:val="left"/>
        </w:tabs>
        <w:numPr>
          <w:ilvl w:val="0"/>
          <w:numId w:val="43"/>
        </w:numPr>
        <w:rPr>
          <w:rFonts w:ascii="Arial" w:cs="Arial" w:eastAsia="Arial" w:hAnsi="Arial"/>
          <w:sz w:val="21"/>
          <w:szCs w:val="21"/>
          <w:b w:val="1"/>
          <w:bCs w:val="1"/>
          <w:color w:val="auto"/>
        </w:rPr>
      </w:pPr>
      <w:r>
        <w:rPr>
          <w:rFonts w:ascii="Arial" w:cs="Arial" w:eastAsia="Arial" w:hAnsi="Arial"/>
          <w:sz w:val="20"/>
          <w:szCs w:val="20"/>
          <w:b w:val="1"/>
          <w:bCs w:val="1"/>
          <w:color w:val="auto"/>
        </w:rPr>
        <w:t>Award not a Service Contract</w:t>
      </w:r>
      <w:r>
        <w:rPr>
          <w:rFonts w:ascii="Arial" w:cs="Arial" w:eastAsia="Arial" w:hAnsi="Arial"/>
          <w:sz w:val="20"/>
          <w:szCs w:val="20"/>
          <w:color w:val="auto"/>
        </w:rPr>
        <w:t>.</w:t>
      </w:r>
    </w:p>
    <w:p>
      <w:pPr>
        <w:spacing w:after="0" w:line="208" w:lineRule="exact"/>
        <w:rPr>
          <w:rFonts w:ascii="Arial" w:cs="Arial" w:eastAsia="Arial" w:hAnsi="Arial"/>
          <w:sz w:val="21"/>
          <w:szCs w:val="21"/>
          <w:b w:val="1"/>
          <w:bCs w:val="1"/>
          <w:color w:val="auto"/>
        </w:rPr>
      </w:pPr>
    </w:p>
    <w:p>
      <w:pPr>
        <w:jc w:val="both"/>
        <w:ind w:firstLine="1284"/>
        <w:spacing w:after="0" w:line="217" w:lineRule="auto"/>
        <w:tabs>
          <w:tab w:leader="none" w:pos="1917" w:val="left"/>
        </w:tabs>
        <w:numPr>
          <w:ilvl w:val="1"/>
          <w:numId w:val="43"/>
        </w:numPr>
        <w:rPr>
          <w:rFonts w:ascii="Arial" w:cs="Arial" w:eastAsia="Arial" w:hAnsi="Arial"/>
          <w:sz w:val="20"/>
          <w:szCs w:val="20"/>
          <w:b w:val="1"/>
          <w:bCs w:val="1"/>
          <w:color w:val="auto"/>
        </w:rPr>
      </w:pPr>
      <w:r>
        <w:rPr>
          <w:rFonts w:ascii="Arial" w:cs="Arial" w:eastAsia="Arial" w:hAnsi="Arial"/>
          <w:sz w:val="19"/>
          <w:szCs w:val="19"/>
          <w:color w:val="auto"/>
        </w:rPr>
        <w:t>Your Continuous Service with the Company or an Affiliate is not for any specified term and may be terminated by you or by the Company or an Affiliate at any time, for any reason, with or without cause and with or without notice. Nothing in this Restricted Stock Unit Award Agreement (including, but not limited to, the vesting of your Award or the issuance of the shares subject to your Award), the Plan or any covenant of good faith and fair dealing that may be found implicit in this Restricted Stock Unit Award Agreement or the Plan will: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Restricted Stock Unit Award Agreement or the Plan unless such right or benefit has specifically accrued under the terms of this Restricted Stock Unit Award Agreement or Plan; or (iv) deprive the Company of the right to terminate you at will and without regard to any future vesting opportunity that you may have.</w:t>
      </w:r>
    </w:p>
    <w:p>
      <w:pPr>
        <w:spacing w:after="0" w:line="183" w:lineRule="exact"/>
        <w:rPr>
          <w:rFonts w:ascii="Arial" w:cs="Arial" w:eastAsia="Arial" w:hAnsi="Arial"/>
          <w:sz w:val="20"/>
          <w:szCs w:val="20"/>
          <w:b w:val="1"/>
          <w:bCs w:val="1"/>
          <w:color w:val="auto"/>
        </w:rPr>
      </w:pPr>
    </w:p>
    <w:p>
      <w:pPr>
        <w:jc w:val="both"/>
        <w:ind w:firstLine="1284"/>
        <w:spacing w:after="0" w:line="210" w:lineRule="auto"/>
        <w:tabs>
          <w:tab w:leader="none" w:pos="1912" w:val="left"/>
        </w:tabs>
        <w:numPr>
          <w:ilvl w:val="1"/>
          <w:numId w:val="43"/>
        </w:numPr>
        <w:rPr>
          <w:rFonts w:ascii="Arial" w:cs="Arial" w:eastAsia="Arial" w:hAnsi="Arial"/>
          <w:sz w:val="21"/>
          <w:szCs w:val="21"/>
          <w:b w:val="1"/>
          <w:bCs w:val="1"/>
          <w:color w:val="auto"/>
        </w:rPr>
      </w:pPr>
      <w:r>
        <w:rPr>
          <w:rFonts w:ascii="Arial" w:cs="Arial" w:eastAsia="Arial" w:hAnsi="Arial"/>
          <w:sz w:val="20"/>
          <w:szCs w:val="20"/>
          <w:color w:val="auto"/>
        </w:rPr>
        <w:t>By accepting this Award, you acknowledge and agree that the right to continue vesting in the Award is earned only by continuing as an employee, director or consultant at the will of the Company or an Affiliate and that the Company has the right to reorganize, sell, spin-out or otherwise restructure one or more of its businesses or Affiliates at any time or from time to time, as it deems appropriate (a “</w:t>
      </w:r>
      <w:r>
        <w:rPr>
          <w:rFonts w:ascii="Arial" w:cs="Arial" w:eastAsia="Arial" w:hAnsi="Arial"/>
          <w:sz w:val="20"/>
          <w:szCs w:val="20"/>
          <w:b w:val="1"/>
          <w:bCs w:val="1"/>
          <w:i w:val="1"/>
          <w:iCs w:val="1"/>
          <w:color w:val="auto"/>
        </w:rPr>
        <w:t>reorganization</w:t>
      </w:r>
      <w:r>
        <w:rPr>
          <w:rFonts w:ascii="Arial" w:cs="Arial" w:eastAsia="Arial" w:hAnsi="Arial"/>
          <w:sz w:val="20"/>
          <w:szCs w:val="20"/>
          <w:color w:val="auto"/>
        </w:rPr>
        <w:t>”). You acknowledge and agree that such a reorganization could result in the termination of your Continuous Service, or the termination of Affiliate status of your employer and the loss of benefits available to you under this Restricted Stock Unit Award Agreement, including but not limited to, the termination of the right to continue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5.</w:t>
      </w:r>
    </w:p>
    <w:p>
      <w:pPr>
        <w:sectPr>
          <w:pgSz w:w="11900" w:h="16838" w:orient="portrait"/>
          <w:cols w:equalWidth="0" w:num="1">
            <w:col w:w="11240"/>
          </w:cols>
          <w:pgMar w:left="320" w:top="1414" w:right="339" w:bottom="1440" w:gutter="0" w:footer="0" w:header="0"/>
        </w:sectPr>
      </w:pPr>
    </w:p>
    <w:bookmarkStart w:id="79" w:name="page80"/>
    <w:bookmarkEnd w:id="79"/>
    <w:p>
      <w:pPr>
        <w:spacing w:after="0"/>
        <w:rPr>
          <w:sz w:val="20"/>
          <w:szCs w:val="20"/>
          <w:color w:val="auto"/>
        </w:rPr>
      </w:pPr>
      <w:r>
        <w:rPr>
          <w:rFonts w:ascii="Arial" w:cs="Arial" w:eastAsia="Arial" w:hAnsi="Arial"/>
          <w:sz w:val="20"/>
          <w:szCs w:val="20"/>
          <w:color w:val="auto"/>
        </w:rPr>
        <w:t>in the Award. You further acknowledge and agree that this Restricted Stock Unit Award Agreement, the Plan, the transactions</w:t>
      </w:r>
    </w:p>
    <w:p>
      <w:pPr>
        <w:spacing w:after="0" w:line="201" w:lineRule="auto"/>
        <w:rPr>
          <w:sz w:val="20"/>
          <w:szCs w:val="20"/>
          <w:color w:val="auto"/>
        </w:rPr>
      </w:pPr>
      <w:r>
        <w:rPr>
          <w:rFonts w:ascii="Arial" w:cs="Arial" w:eastAsia="Arial" w:hAnsi="Arial"/>
          <w:sz w:val="20"/>
          <w:szCs w:val="20"/>
          <w:color w:val="auto"/>
        </w:rPr>
        <w:t>contemplated hereunder and the vesting schedule set forth herein or any covenant of good faith and fair dealing that may be found implicit in any of them do not constitute an express or implied promise of continued engagement as an employee or</w:t>
      </w:r>
    </w:p>
    <w:p>
      <w:pPr>
        <w:spacing w:after="0" w:line="209" w:lineRule="auto"/>
        <w:rPr>
          <w:sz w:val="20"/>
          <w:szCs w:val="20"/>
          <w:color w:val="auto"/>
        </w:rPr>
      </w:pPr>
      <w:r>
        <w:rPr>
          <w:rFonts w:ascii="Arial" w:cs="Arial" w:eastAsia="Arial" w:hAnsi="Arial"/>
          <w:sz w:val="20"/>
          <w:szCs w:val="20"/>
          <w:color w:val="auto"/>
        </w:rPr>
        <w:t>consultant for the term of this Restricted Stock Unit Award Agreement, for any period, or at all, and will not interfere in any way</w:t>
      </w:r>
    </w:p>
    <w:p>
      <w:pPr>
        <w:spacing w:after="0" w:line="219" w:lineRule="auto"/>
        <w:rPr>
          <w:sz w:val="20"/>
          <w:szCs w:val="20"/>
          <w:color w:val="auto"/>
        </w:rPr>
      </w:pPr>
      <w:r>
        <w:rPr>
          <w:rFonts w:ascii="Arial" w:cs="Arial" w:eastAsia="Arial" w:hAnsi="Arial"/>
          <w:sz w:val="20"/>
          <w:szCs w:val="20"/>
          <w:color w:val="auto"/>
        </w:rPr>
        <w:t>with the Company’s right to terminate your Continuous Service at any time, with or without your cause or notice, or to conduct a reorganization.</w:t>
      </w:r>
    </w:p>
    <w:p>
      <w:pPr>
        <w:spacing w:after="0" w:line="169" w:lineRule="exact"/>
        <w:rPr>
          <w:sz w:val="20"/>
          <w:szCs w:val="20"/>
          <w:color w:val="auto"/>
        </w:rPr>
      </w:pPr>
    </w:p>
    <w:p>
      <w:pPr>
        <w:ind w:left="1280" w:hanging="635"/>
        <w:spacing w:after="0"/>
        <w:tabs>
          <w:tab w:leader="none" w:pos="1280" w:val="left"/>
        </w:tabs>
        <w:numPr>
          <w:ilvl w:val="0"/>
          <w:numId w:val="44"/>
        </w:numPr>
        <w:rPr>
          <w:rFonts w:ascii="Arial" w:cs="Arial" w:eastAsia="Arial" w:hAnsi="Arial"/>
          <w:sz w:val="21"/>
          <w:szCs w:val="21"/>
          <w:b w:val="1"/>
          <w:bCs w:val="1"/>
          <w:color w:val="auto"/>
        </w:rPr>
      </w:pPr>
      <w:r>
        <w:rPr>
          <w:rFonts w:ascii="Arial" w:cs="Arial" w:eastAsia="Arial" w:hAnsi="Arial"/>
          <w:sz w:val="20"/>
          <w:szCs w:val="20"/>
          <w:b w:val="1"/>
          <w:bCs w:val="1"/>
          <w:color w:val="auto"/>
        </w:rPr>
        <w:t>Responsibility for taxes</w:t>
      </w:r>
      <w:r>
        <w:rPr>
          <w:rFonts w:ascii="Arial" w:cs="Arial" w:eastAsia="Arial" w:hAnsi="Arial"/>
          <w:sz w:val="20"/>
          <w:szCs w:val="20"/>
          <w:color w:val="auto"/>
        </w:rPr>
        <w:t>.</w:t>
      </w:r>
    </w:p>
    <w:p>
      <w:pPr>
        <w:spacing w:after="0" w:line="208" w:lineRule="exact"/>
        <w:rPr>
          <w:rFonts w:ascii="Arial" w:cs="Arial" w:eastAsia="Arial" w:hAnsi="Arial"/>
          <w:sz w:val="21"/>
          <w:szCs w:val="21"/>
          <w:b w:val="1"/>
          <w:bCs w:val="1"/>
          <w:color w:val="auto"/>
        </w:rPr>
      </w:pPr>
    </w:p>
    <w:p>
      <w:pPr>
        <w:jc w:val="both"/>
        <w:ind w:firstLine="1923"/>
        <w:spacing w:after="0" w:line="206" w:lineRule="auto"/>
        <w:tabs>
          <w:tab w:leader="none" w:pos="2544" w:val="left"/>
        </w:tabs>
        <w:numPr>
          <w:ilvl w:val="1"/>
          <w:numId w:val="44"/>
        </w:numPr>
        <w:rPr>
          <w:rFonts w:ascii="Arial" w:cs="Arial" w:eastAsia="Arial" w:hAnsi="Arial"/>
          <w:sz w:val="21"/>
          <w:szCs w:val="21"/>
          <w:b w:val="1"/>
          <w:bCs w:val="1"/>
          <w:color w:val="auto"/>
        </w:rPr>
      </w:pPr>
      <w:r>
        <w:rPr>
          <w:rFonts w:ascii="Arial" w:cs="Arial" w:eastAsia="Arial" w:hAnsi="Arial"/>
          <w:sz w:val="20"/>
          <w:szCs w:val="20"/>
          <w:color w:val="auto"/>
        </w:rPr>
        <w:t>You acknowledge that, regardless of any action the Company or, if different, your employer (the “</w:t>
      </w:r>
      <w:r>
        <w:rPr>
          <w:rFonts w:ascii="Arial" w:cs="Arial" w:eastAsia="Arial" w:hAnsi="Arial"/>
          <w:sz w:val="20"/>
          <w:szCs w:val="20"/>
          <w:b w:val="1"/>
          <w:bCs w:val="1"/>
          <w:i w:val="1"/>
          <w:iCs w:val="1"/>
          <w:color w:val="auto"/>
        </w:rPr>
        <w:t>Employer</w:t>
      </w:r>
      <w:r>
        <w:rPr>
          <w:rFonts w:ascii="Arial" w:cs="Arial" w:eastAsia="Arial" w:hAnsi="Arial"/>
          <w:sz w:val="20"/>
          <w:szCs w:val="20"/>
          <w:i w:val="1"/>
          <w:iCs w:val="1"/>
          <w:color w:val="auto"/>
        </w:rPr>
        <w:t>”)</w:t>
      </w:r>
      <w:r>
        <w:rPr>
          <w:rFonts w:ascii="Arial" w:cs="Arial" w:eastAsia="Arial" w:hAnsi="Arial"/>
          <w:sz w:val="20"/>
          <w:szCs w:val="20"/>
          <w:color w:val="auto"/>
        </w:rPr>
        <w:t xml:space="preserve"> takes with respect to any or all income tax, social insurance, payroll tax, fringe benefit tax, payment on account or other tax-related withholding (“</w:t>
      </w:r>
      <w:r>
        <w:rPr>
          <w:rFonts w:ascii="Arial" w:cs="Arial" w:eastAsia="Arial" w:hAnsi="Arial"/>
          <w:sz w:val="20"/>
          <w:szCs w:val="20"/>
          <w:b w:val="1"/>
          <w:bCs w:val="1"/>
          <w:i w:val="1"/>
          <w:iCs w:val="1"/>
          <w:color w:val="auto"/>
        </w:rPr>
        <w:t>Tax-Related Items</w:t>
      </w:r>
      <w:r>
        <w:rPr>
          <w:rFonts w:ascii="Arial" w:cs="Arial" w:eastAsia="Arial" w:hAnsi="Arial"/>
          <w:sz w:val="20"/>
          <w:szCs w:val="20"/>
          <w:color w:val="auto"/>
        </w:rPr>
        <w:t>”), the ultimate liability for all Tax-Related Items is and remains your responsibility and may exceed the amount actually withheld by the Company or the Employer. You further acknowledge that the Company and the Employer (i) make no representations or undertakings regarding the treatment of any Tax-Related Items in connection with any aspect of your Restricted Stock Units, including the grant of the Restricted Stock Units, the vesting and settlement of the Restricted Stock Units, the delivery or sale of any shares of Common Stock and the issuance of any dividends, and (ii) do not commit to and are under no obligation to structure the terms of the grant or any aspect of your Award to reduce or eliminate your liability for Tax-Related Items or achieve any particular tax result. You acknowledge and agree that you will not make any claim against the Company, or any of its Officers, Directors, Employees or Affiliates for Tax-Related Items arising from your Award or your other compensation. Further, if you are subject to Tax-Related Items in more than one jurisdiction, you acknowledge that the Company and/or the Employer may be required to withhold or account for Tax-Related Items in more than one jurisdiction.</w:t>
      </w:r>
    </w:p>
    <w:p>
      <w:pPr>
        <w:spacing w:after="0" w:line="193" w:lineRule="exact"/>
        <w:rPr>
          <w:sz w:val="20"/>
          <w:szCs w:val="20"/>
          <w:color w:val="auto"/>
        </w:rPr>
      </w:pPr>
    </w:p>
    <w:p>
      <w:pPr>
        <w:jc w:val="both"/>
        <w:ind w:firstLine="645"/>
        <w:spacing w:after="0" w:line="205" w:lineRule="auto"/>
        <w:tabs>
          <w:tab w:leader="none" w:pos="1273" w:val="left"/>
        </w:tabs>
        <w:numPr>
          <w:ilvl w:val="0"/>
          <w:numId w:val="45"/>
        </w:numPr>
        <w:rPr>
          <w:rFonts w:ascii="Arial" w:cs="Arial" w:eastAsia="Arial" w:hAnsi="Arial"/>
          <w:sz w:val="21"/>
          <w:szCs w:val="21"/>
          <w:b w:val="1"/>
          <w:bCs w:val="1"/>
          <w:color w:val="auto"/>
        </w:rPr>
      </w:pPr>
      <w:r>
        <w:rPr>
          <w:rFonts w:ascii="Arial" w:cs="Arial" w:eastAsia="Arial" w:hAnsi="Arial"/>
          <w:sz w:val="20"/>
          <w:szCs w:val="20"/>
          <w:color w:val="auto"/>
        </w:rPr>
        <w:t>Prior to the relevant taxable or tax withholding event, as applicable, you agree to make adequate arrangements satisfactory to the Company and/or the Employer to satisfy all Tax-Related Items. Specifically, pursuant to Section 10(d) below, you have agreed to a “same day sale” commitment with a broker-dealer that is a member of the Financial Industry Regulatory Authority (a “</w:t>
      </w:r>
      <w:r>
        <w:rPr>
          <w:rFonts w:ascii="Arial" w:cs="Arial" w:eastAsia="Arial" w:hAnsi="Arial"/>
          <w:sz w:val="20"/>
          <w:szCs w:val="20"/>
          <w:b w:val="1"/>
          <w:bCs w:val="1"/>
          <w:i w:val="1"/>
          <w:iCs w:val="1"/>
          <w:color w:val="auto"/>
        </w:rPr>
        <w:t>FINRA Dealer</w:t>
      </w:r>
      <w:r>
        <w:rPr>
          <w:rFonts w:ascii="Arial" w:cs="Arial" w:eastAsia="Arial" w:hAnsi="Arial"/>
          <w:sz w:val="20"/>
          <w:szCs w:val="20"/>
          <w:color w:val="auto"/>
        </w:rPr>
        <w:t xml:space="preserve">”) whereby you have (except in the case of Officers, as set forth below) irrevocably agreed to sell a portion of the shares of Common Stock to be delivered in connection with your Restricted Stock Units to satisfy any withholding obligations for Tax-Related Items and whereby the FINRA Dealer has committed to forward the proceeds necessary to satisfy any withholding obligations for Tax-Related Items directly to the Company and/or the Employer. If, for any reason, such “same day sale” commitment pursuant to Section 10(d) does not result in sufficient proceeds to satisfy any withholding obligations for Tax-Related Items, or you are an Officer and have provided notice to the Company at least five business days prior to a vesting date of your election to opt out of the “same day sale” commitment under Section 10(d) with respect to such vesting date, you authorize the Company and/or the Employer, or their respective agents, at their discretion, to satisfy their withholding obligations with regard to all Tax-Related Items by one or a combination of the following: (i) withholding from your wages or other cash compensation paid to you by the Company or the Employer; (ii) withholding a number of shares of Common Stock having a fair market value determined by the Company as of the date of the relevant taxable or tax withholding event, as applicable, that are otherwise deliverable to you upon settlement;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to the extent necessary to qualify for an exemption from application of Section 16(b) of the Exchange Act, if applicable, such share withholding procedure be subject to the express prior approval of the Compensation Committee; or (iv) causing you to tender a cash payment (which may be in the form of a check, electronic wire transfer or other method permitted by the Company).</w:t>
      </w:r>
    </w:p>
    <w:p>
      <w:pPr>
        <w:spacing w:after="0" w:line="194" w:lineRule="exact"/>
        <w:rPr>
          <w:rFonts w:ascii="Arial" w:cs="Arial" w:eastAsia="Arial" w:hAnsi="Arial"/>
          <w:sz w:val="21"/>
          <w:szCs w:val="21"/>
          <w:b w:val="1"/>
          <w:bCs w:val="1"/>
          <w:color w:val="auto"/>
        </w:rPr>
      </w:pPr>
    </w:p>
    <w:p>
      <w:pPr>
        <w:ind w:right="20" w:firstLine="645"/>
        <w:spacing w:after="0" w:line="221" w:lineRule="auto"/>
        <w:tabs>
          <w:tab w:leader="none" w:pos="1272" w:val="left"/>
        </w:tabs>
        <w:numPr>
          <w:ilvl w:val="0"/>
          <w:numId w:val="45"/>
        </w:numPr>
        <w:rPr>
          <w:rFonts w:ascii="Arial" w:cs="Arial" w:eastAsia="Arial" w:hAnsi="Arial"/>
          <w:sz w:val="21"/>
          <w:szCs w:val="21"/>
          <w:b w:val="1"/>
          <w:bCs w:val="1"/>
          <w:color w:val="auto"/>
        </w:rPr>
      </w:pPr>
      <w:r>
        <w:rPr>
          <w:rFonts w:ascii="Arial" w:cs="Arial" w:eastAsia="Arial" w:hAnsi="Arial"/>
          <w:sz w:val="20"/>
          <w:szCs w:val="20"/>
          <w:color w:val="auto"/>
        </w:rPr>
        <w:t>Depending on the withholding method, the Company or the Employer may withhold or account for Tax-Related Items by considering applicable minimum statutory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6.</w:t>
      </w:r>
    </w:p>
    <w:p>
      <w:pPr>
        <w:sectPr>
          <w:pgSz w:w="11900" w:h="16838" w:orient="portrait"/>
          <w:cols w:equalWidth="0" w:num="1">
            <w:col w:w="11240"/>
          </w:cols>
          <w:pgMar w:left="320" w:top="1370"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amounts or other applicable withholding rates, including maximum applicable rates, in which case you may receive a refund of any</w:t>
      </w:r>
    </w:p>
    <w:p>
      <w:pPr>
        <w:spacing w:after="0" w:line="223" w:lineRule="auto"/>
        <w:rPr>
          <w:sz w:val="20"/>
          <w:szCs w:val="20"/>
          <w:color w:val="auto"/>
        </w:rPr>
      </w:pPr>
      <w:r>
        <w:rPr>
          <w:rFonts w:ascii="Arial" w:cs="Arial" w:eastAsia="Arial" w:hAnsi="Arial"/>
          <w:sz w:val="18"/>
          <w:szCs w:val="18"/>
          <w:color w:val="auto"/>
        </w:rPr>
        <w:t>over-withheld amount in cash and will have no entitlement to the Common Stock equivalent. If the obligation for Tax-Related Items is satisfied by withholding in shares of Common Stock, for tax purposes, you are deemed to have been issued the full number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shares of Common Stock subject to the vested Restricted Stock Units notwithstanding that a number of the shares of Common Stock are held back solely for the purpose of paying the Tax-Related Items.</w:t>
      </w:r>
    </w:p>
    <w:p>
      <w:pPr>
        <w:spacing w:after="0" w:line="172" w:lineRule="exact"/>
        <w:rPr>
          <w:sz w:val="20"/>
          <w:szCs w:val="20"/>
          <w:color w:val="auto"/>
        </w:rPr>
      </w:pPr>
    </w:p>
    <w:p>
      <w:pPr>
        <w:ind w:left="1280" w:hanging="635"/>
        <w:spacing w:after="0"/>
        <w:tabs>
          <w:tab w:leader="none" w:pos="1280" w:val="left"/>
        </w:tabs>
        <w:numPr>
          <w:ilvl w:val="0"/>
          <w:numId w:val="46"/>
        </w:numPr>
        <w:rPr>
          <w:rFonts w:ascii="Arial" w:cs="Arial" w:eastAsia="Arial" w:hAnsi="Arial"/>
          <w:sz w:val="21"/>
          <w:szCs w:val="21"/>
          <w:b w:val="1"/>
          <w:bCs w:val="1"/>
          <w:color w:val="auto"/>
        </w:rPr>
      </w:pPr>
      <w:r>
        <w:rPr>
          <w:rFonts w:ascii="Arial" w:cs="Arial" w:eastAsia="Arial" w:hAnsi="Arial"/>
          <w:sz w:val="20"/>
          <w:szCs w:val="20"/>
          <w:color w:val="auto"/>
        </w:rPr>
        <w:t>You hereby acknowledge and agree to the following:</w:t>
      </w:r>
    </w:p>
    <w:p>
      <w:pPr>
        <w:spacing w:after="0" w:line="191" w:lineRule="exact"/>
        <w:rPr>
          <w:rFonts w:ascii="Arial" w:cs="Arial" w:eastAsia="Arial" w:hAnsi="Arial"/>
          <w:sz w:val="21"/>
          <w:szCs w:val="21"/>
          <w:b w:val="1"/>
          <w:bCs w:val="1"/>
          <w:color w:val="auto"/>
        </w:rPr>
      </w:pPr>
    </w:p>
    <w:p>
      <w:pPr>
        <w:ind w:firstLine="1923"/>
        <w:spacing w:after="0" w:line="221" w:lineRule="auto"/>
        <w:tabs>
          <w:tab w:leader="none" w:pos="2550" w:val="left"/>
        </w:tabs>
        <w:numPr>
          <w:ilvl w:val="1"/>
          <w:numId w:val="46"/>
        </w:numPr>
        <w:rPr>
          <w:rFonts w:ascii="Arial" w:cs="Arial" w:eastAsia="Arial" w:hAnsi="Arial"/>
          <w:sz w:val="21"/>
          <w:szCs w:val="21"/>
          <w:b w:val="1"/>
          <w:bCs w:val="1"/>
          <w:color w:val="auto"/>
        </w:rPr>
      </w:pPr>
      <w:r>
        <w:rPr>
          <w:rFonts w:ascii="Arial" w:cs="Arial" w:eastAsia="Arial" w:hAnsi="Arial"/>
          <w:sz w:val="20"/>
          <w:szCs w:val="20"/>
          <w:color w:val="auto"/>
        </w:rPr>
        <w:t>I hereby appoint Morgan Stanley Smith Barney LLC (or any successor agent determined by the Company) as my agent (the “</w:t>
      </w:r>
      <w:r>
        <w:rPr>
          <w:rFonts w:ascii="Arial" w:cs="Arial" w:eastAsia="Arial" w:hAnsi="Arial"/>
          <w:sz w:val="20"/>
          <w:szCs w:val="20"/>
          <w:b w:val="1"/>
          <w:bCs w:val="1"/>
          <w:i w:val="1"/>
          <w:iCs w:val="1"/>
          <w:color w:val="auto"/>
        </w:rPr>
        <w:t>Agent</w:t>
      </w:r>
      <w:r>
        <w:rPr>
          <w:rFonts w:ascii="Arial" w:cs="Arial" w:eastAsia="Arial" w:hAnsi="Arial"/>
          <w:sz w:val="20"/>
          <w:szCs w:val="20"/>
          <w:color w:val="auto"/>
        </w:rPr>
        <w:t>”), and authorize the Agent to:</w:t>
      </w:r>
    </w:p>
    <w:p>
      <w:pPr>
        <w:spacing w:after="0" w:line="178" w:lineRule="exact"/>
        <w:rPr>
          <w:rFonts w:ascii="Arial" w:cs="Arial" w:eastAsia="Arial" w:hAnsi="Arial"/>
          <w:sz w:val="21"/>
          <w:szCs w:val="21"/>
          <w:b w:val="1"/>
          <w:bCs w:val="1"/>
          <w:color w:val="auto"/>
        </w:rPr>
      </w:pPr>
    </w:p>
    <w:p>
      <w:pPr>
        <w:jc w:val="both"/>
        <w:ind w:firstLine="2562"/>
        <w:spacing w:after="0" w:line="209" w:lineRule="auto"/>
        <w:tabs>
          <w:tab w:leader="none" w:pos="3167" w:val="left"/>
        </w:tabs>
        <w:numPr>
          <w:ilvl w:val="2"/>
          <w:numId w:val="46"/>
        </w:numPr>
        <w:rPr>
          <w:rFonts w:ascii="Arial" w:cs="Arial" w:eastAsia="Arial" w:hAnsi="Arial"/>
          <w:sz w:val="20"/>
          <w:szCs w:val="20"/>
          <w:color w:val="auto"/>
        </w:rPr>
      </w:pPr>
      <w:r>
        <w:rPr>
          <w:rFonts w:ascii="Arial" w:cs="Arial" w:eastAsia="Arial" w:hAnsi="Arial"/>
          <w:sz w:val="20"/>
          <w:szCs w:val="20"/>
          <w:color w:val="auto"/>
        </w:rPr>
        <w:t>Sell on the open market at the then prevailing market price(s), on my behalf, as soon as practicable on or after each date on which shares of Common Stock underlying my Restricted Stock Units vest and are issued, the number (rounded up to the next whole number) of the shares of Common Stock to be delivered to me in connection with the vesting of those shares sufficient to generate proceeds to cover (1) any withholding obligations for Tax-Related Items arising in connection with the Award, and (2) all applicable fees and commissions due to, or required to be collected by, the Agent with respect thereto; and</w:t>
      </w:r>
    </w:p>
    <w:p>
      <w:pPr>
        <w:spacing w:after="0" w:line="182" w:lineRule="exact"/>
        <w:rPr>
          <w:rFonts w:ascii="Arial" w:cs="Arial" w:eastAsia="Arial" w:hAnsi="Arial"/>
          <w:sz w:val="20"/>
          <w:szCs w:val="20"/>
          <w:color w:val="auto"/>
        </w:rPr>
      </w:pPr>
    </w:p>
    <w:p>
      <w:pPr>
        <w:ind w:left="3180" w:hanging="618"/>
        <w:spacing w:after="0"/>
        <w:tabs>
          <w:tab w:leader="none" w:pos="3180" w:val="left"/>
        </w:tabs>
        <w:numPr>
          <w:ilvl w:val="2"/>
          <w:numId w:val="46"/>
        </w:numPr>
        <w:rPr>
          <w:rFonts w:ascii="Arial" w:cs="Arial" w:eastAsia="Arial" w:hAnsi="Arial"/>
          <w:sz w:val="20"/>
          <w:szCs w:val="20"/>
          <w:color w:val="auto"/>
        </w:rPr>
      </w:pPr>
      <w:r>
        <w:rPr>
          <w:rFonts w:ascii="Arial" w:cs="Arial" w:eastAsia="Arial" w:hAnsi="Arial"/>
          <w:sz w:val="20"/>
          <w:szCs w:val="20"/>
          <w:color w:val="auto"/>
        </w:rPr>
        <w:t>Remit any remaining funds to me.</w:t>
      </w:r>
    </w:p>
    <w:p>
      <w:pPr>
        <w:spacing w:after="0" w:line="195" w:lineRule="exact"/>
        <w:rPr>
          <w:rFonts w:ascii="Arial" w:cs="Arial" w:eastAsia="Arial" w:hAnsi="Arial"/>
          <w:sz w:val="20"/>
          <w:szCs w:val="20"/>
          <w:color w:val="auto"/>
        </w:rPr>
      </w:pPr>
    </w:p>
    <w:p>
      <w:pPr>
        <w:jc w:val="both"/>
        <w:ind w:firstLine="1923"/>
        <w:spacing w:after="0" w:line="212" w:lineRule="auto"/>
        <w:tabs>
          <w:tab w:leader="none" w:pos="2556" w:val="left"/>
        </w:tabs>
        <w:numPr>
          <w:ilvl w:val="1"/>
          <w:numId w:val="46"/>
        </w:numPr>
        <w:rPr>
          <w:rFonts w:ascii="Arial" w:cs="Arial" w:eastAsia="Arial" w:hAnsi="Arial"/>
          <w:sz w:val="21"/>
          <w:szCs w:val="21"/>
          <w:b w:val="1"/>
          <w:bCs w:val="1"/>
          <w:color w:val="auto"/>
        </w:rPr>
      </w:pPr>
      <w:r>
        <w:rPr>
          <w:rFonts w:ascii="Arial" w:cs="Arial" w:eastAsia="Arial" w:hAnsi="Arial"/>
          <w:sz w:val="20"/>
          <w:szCs w:val="20"/>
          <w:color w:val="auto"/>
        </w:rPr>
        <w:t>I hereby authorize the Company and the Agent to cooperate and communicate with one another to determine the number of shares of Common Stock underlying my Restricted Stock Units that must be sold pursuant to this Section 9(d).</w:t>
      </w:r>
    </w:p>
    <w:p>
      <w:pPr>
        <w:spacing w:after="0" w:line="192" w:lineRule="exact"/>
        <w:rPr>
          <w:rFonts w:ascii="Arial" w:cs="Arial" w:eastAsia="Arial" w:hAnsi="Arial"/>
          <w:sz w:val="21"/>
          <w:szCs w:val="21"/>
          <w:b w:val="1"/>
          <w:bCs w:val="1"/>
          <w:color w:val="auto"/>
        </w:rPr>
      </w:pPr>
    </w:p>
    <w:p>
      <w:pPr>
        <w:jc w:val="both"/>
        <w:ind w:firstLine="1923"/>
        <w:spacing w:after="0" w:line="208" w:lineRule="auto"/>
        <w:tabs>
          <w:tab w:leader="none" w:pos="2544" w:val="left"/>
        </w:tabs>
        <w:numPr>
          <w:ilvl w:val="1"/>
          <w:numId w:val="46"/>
        </w:numPr>
        <w:rPr>
          <w:rFonts w:ascii="Arial" w:cs="Arial" w:eastAsia="Arial" w:hAnsi="Arial"/>
          <w:sz w:val="21"/>
          <w:szCs w:val="21"/>
          <w:b w:val="1"/>
          <w:bCs w:val="1"/>
          <w:color w:val="auto"/>
        </w:rPr>
      </w:pPr>
      <w:r>
        <w:rPr>
          <w:rFonts w:ascii="Arial" w:cs="Arial" w:eastAsia="Arial" w:hAnsi="Arial"/>
          <w:sz w:val="20"/>
          <w:szCs w:val="20"/>
          <w:color w:val="auto"/>
        </w:rPr>
        <w:t>I understand that the Agent may effect sales as provided in this Section 9(d) in one or more sales and that the average price for executions resulting from bunched orders will be assigned to my account. In addition, I acknowledge that it may not be possible to sell shares of Common Stock as provided by in this Section 9(d) due to (i) a legal or contractual restriction applicable to me or the Agent, (ii) a market disruption, (iii) rules governing order execution priority on the national exchange where the Common Stock may be traded or (iv) applicable law restricting such sale. In the event of the Agent’s inability to sell shares of Common Stock, I will continue to be responsible for the timely payment to the Company of all Tax-Related Items that are required by applicable laws and regulations to be withheld.</w:t>
      </w:r>
    </w:p>
    <w:p>
      <w:pPr>
        <w:spacing w:after="0" w:line="192" w:lineRule="exact"/>
        <w:rPr>
          <w:rFonts w:ascii="Arial" w:cs="Arial" w:eastAsia="Arial" w:hAnsi="Arial"/>
          <w:sz w:val="21"/>
          <w:szCs w:val="21"/>
          <w:b w:val="1"/>
          <w:bCs w:val="1"/>
          <w:color w:val="auto"/>
        </w:rPr>
      </w:pPr>
    </w:p>
    <w:p>
      <w:pPr>
        <w:jc w:val="both"/>
        <w:ind w:firstLine="1923"/>
        <w:spacing w:after="0" w:line="211" w:lineRule="auto"/>
        <w:tabs>
          <w:tab w:leader="none" w:pos="2551" w:val="left"/>
        </w:tabs>
        <w:numPr>
          <w:ilvl w:val="1"/>
          <w:numId w:val="46"/>
        </w:numPr>
        <w:rPr>
          <w:rFonts w:ascii="Arial" w:cs="Arial" w:eastAsia="Arial" w:hAnsi="Arial"/>
          <w:sz w:val="21"/>
          <w:szCs w:val="21"/>
          <w:b w:val="1"/>
          <w:bCs w:val="1"/>
          <w:color w:val="auto"/>
        </w:rPr>
      </w:pPr>
      <w:r>
        <w:rPr>
          <w:rFonts w:ascii="Arial" w:cs="Arial" w:eastAsia="Arial" w:hAnsi="Arial"/>
          <w:sz w:val="20"/>
          <w:szCs w:val="20"/>
          <w:color w:val="auto"/>
        </w:rPr>
        <w:t>I acknowledge that regardless of any other term or condition of this Section 9(d), the Agent will not be liable to me for (a) special, indirect, punitive, exemplary, or consequential damages, or incidental losses or damages of any kind, or (b) any failure to perform or for any delay in performance that results from a cause or circumstance that is beyond its reasonable control.</w:t>
      </w:r>
    </w:p>
    <w:p>
      <w:pPr>
        <w:spacing w:after="0" w:line="192" w:lineRule="exact"/>
        <w:rPr>
          <w:rFonts w:ascii="Arial" w:cs="Arial" w:eastAsia="Arial" w:hAnsi="Arial"/>
          <w:sz w:val="21"/>
          <w:szCs w:val="21"/>
          <w:b w:val="1"/>
          <w:bCs w:val="1"/>
          <w:color w:val="auto"/>
        </w:rPr>
      </w:pPr>
    </w:p>
    <w:p>
      <w:pPr>
        <w:jc w:val="both"/>
        <w:ind w:firstLine="1923"/>
        <w:spacing w:after="0" w:line="212" w:lineRule="auto"/>
        <w:tabs>
          <w:tab w:leader="none" w:pos="2544" w:val="left"/>
        </w:tabs>
        <w:numPr>
          <w:ilvl w:val="1"/>
          <w:numId w:val="46"/>
        </w:numPr>
        <w:rPr>
          <w:rFonts w:ascii="Arial" w:cs="Arial" w:eastAsia="Arial" w:hAnsi="Arial"/>
          <w:sz w:val="21"/>
          <w:szCs w:val="21"/>
          <w:b w:val="1"/>
          <w:bCs w:val="1"/>
          <w:color w:val="auto"/>
        </w:rPr>
      </w:pPr>
      <w:r>
        <w:rPr>
          <w:rFonts w:ascii="Arial" w:cs="Arial" w:eastAsia="Arial" w:hAnsi="Arial"/>
          <w:sz w:val="20"/>
          <w:szCs w:val="20"/>
          <w:color w:val="auto"/>
        </w:rPr>
        <w:t>I hereby agree to execute and deliver to the Agent any other agreements or documents as the Agent reasonably deems necessary or appropriate to carry out the purposes and intent of this Section 9(d). The Agent is a third-party beneficiary of this Section 9(d).</w:t>
      </w:r>
    </w:p>
    <w:p>
      <w:pPr>
        <w:spacing w:after="0" w:line="192" w:lineRule="exact"/>
        <w:rPr>
          <w:rFonts w:ascii="Arial" w:cs="Arial" w:eastAsia="Arial" w:hAnsi="Arial"/>
          <w:sz w:val="21"/>
          <w:szCs w:val="21"/>
          <w:b w:val="1"/>
          <w:bCs w:val="1"/>
          <w:color w:val="auto"/>
        </w:rPr>
      </w:pPr>
    </w:p>
    <w:p>
      <w:pPr>
        <w:ind w:firstLine="1923"/>
        <w:spacing w:after="0" w:line="221" w:lineRule="auto"/>
        <w:tabs>
          <w:tab w:leader="none" w:pos="2550" w:val="left"/>
        </w:tabs>
        <w:numPr>
          <w:ilvl w:val="1"/>
          <w:numId w:val="46"/>
        </w:numPr>
        <w:rPr>
          <w:rFonts w:ascii="Arial" w:cs="Arial" w:eastAsia="Arial" w:hAnsi="Arial"/>
          <w:sz w:val="21"/>
          <w:szCs w:val="21"/>
          <w:b w:val="1"/>
          <w:bCs w:val="1"/>
          <w:color w:val="auto"/>
        </w:rPr>
      </w:pPr>
      <w:r>
        <w:rPr>
          <w:rFonts w:ascii="Arial" w:cs="Arial" w:eastAsia="Arial" w:hAnsi="Arial"/>
          <w:sz w:val="20"/>
          <w:szCs w:val="20"/>
          <w:color w:val="auto"/>
        </w:rPr>
        <w:t>This Section 9(d) shall terminate not later than the date on which all Tax-Related Items arising in connection with the Award have been satisfied.</w:t>
      </w:r>
    </w:p>
    <w:p>
      <w:pPr>
        <w:spacing w:after="0" w:line="191" w:lineRule="exact"/>
        <w:rPr>
          <w:rFonts w:ascii="Arial" w:cs="Arial" w:eastAsia="Arial" w:hAnsi="Arial"/>
          <w:sz w:val="21"/>
          <w:szCs w:val="21"/>
          <w:b w:val="1"/>
          <w:bCs w:val="1"/>
          <w:color w:val="auto"/>
        </w:rPr>
      </w:pPr>
    </w:p>
    <w:p>
      <w:pPr>
        <w:ind w:firstLine="1923"/>
        <w:spacing w:after="0" w:line="221" w:lineRule="auto"/>
        <w:tabs>
          <w:tab w:leader="none" w:pos="2556" w:val="left"/>
        </w:tabs>
        <w:numPr>
          <w:ilvl w:val="1"/>
          <w:numId w:val="46"/>
        </w:numPr>
        <w:rPr>
          <w:rFonts w:ascii="Arial" w:cs="Arial" w:eastAsia="Arial" w:hAnsi="Arial"/>
          <w:sz w:val="21"/>
          <w:szCs w:val="21"/>
          <w:b w:val="1"/>
          <w:bCs w:val="1"/>
          <w:color w:val="auto"/>
        </w:rPr>
      </w:pPr>
      <w:r>
        <w:rPr>
          <w:rFonts w:ascii="Arial" w:cs="Arial" w:eastAsia="Arial" w:hAnsi="Arial"/>
          <w:sz w:val="20"/>
          <w:szCs w:val="20"/>
          <w:color w:val="auto"/>
        </w:rPr>
        <w:t>Officers may, on notice delivered five or more business days prior to a vesting date, opt out of the “same day sale” commitment under this Section 9(d)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7.</w:t>
      </w:r>
    </w:p>
    <w:p>
      <w:pPr>
        <w:sectPr>
          <w:pgSz w:w="11900" w:h="16838" w:orient="portrait"/>
          <w:cols w:equalWidth="0" w:num="1">
            <w:col w:w="11240"/>
          </w:cols>
          <w:pgMar w:left="320" w:top="1393" w:right="339" w:bottom="1440" w:gutter="0" w:footer="0" w:header="0"/>
        </w:sectPr>
      </w:pPr>
    </w:p>
    <w:bookmarkStart w:id="81" w:name="page82"/>
    <w:bookmarkEnd w:id="81"/>
    <w:p>
      <w:pPr>
        <w:spacing w:after="0" w:line="226" w:lineRule="auto"/>
        <w:rPr>
          <w:sz w:val="20"/>
          <w:szCs w:val="20"/>
          <w:color w:val="auto"/>
        </w:rPr>
      </w:pPr>
      <w:r>
        <w:rPr>
          <w:rFonts w:ascii="Arial" w:cs="Arial" w:eastAsia="Arial" w:hAnsi="Arial"/>
          <w:sz w:val="20"/>
          <w:szCs w:val="20"/>
          <w:color w:val="auto"/>
        </w:rPr>
        <w:t>such vesting date provided alternate arrangements acceptable to the Company to satisfy any withholding obligation for Tax-Related Items have been made, as described in Section 9(a).</w:t>
      </w:r>
    </w:p>
    <w:p>
      <w:pPr>
        <w:spacing w:after="0" w:line="179" w:lineRule="exact"/>
        <w:rPr>
          <w:sz w:val="20"/>
          <w:szCs w:val="20"/>
          <w:color w:val="auto"/>
        </w:rPr>
      </w:pPr>
    </w:p>
    <w:p>
      <w:pPr>
        <w:ind w:firstLine="1923"/>
        <w:spacing w:after="0" w:line="221" w:lineRule="auto"/>
        <w:tabs>
          <w:tab w:leader="none" w:pos="2544" w:val="left"/>
        </w:tabs>
        <w:numPr>
          <w:ilvl w:val="0"/>
          <w:numId w:val="47"/>
        </w:numPr>
        <w:rPr>
          <w:rFonts w:ascii="Arial" w:cs="Arial" w:eastAsia="Arial" w:hAnsi="Arial"/>
          <w:sz w:val="21"/>
          <w:szCs w:val="21"/>
          <w:b w:val="1"/>
          <w:bCs w:val="1"/>
          <w:color w:val="auto"/>
        </w:rPr>
      </w:pPr>
      <w:r>
        <w:rPr>
          <w:rFonts w:ascii="Arial" w:cs="Arial" w:eastAsia="Arial" w:hAnsi="Arial"/>
          <w:sz w:val="20"/>
          <w:szCs w:val="20"/>
          <w:color w:val="auto"/>
        </w:rPr>
        <w:t>I hereby authorize the Company to appoint a successor Agent should Morgan Stanley Smith Barney LLC (or its successor) resign as Agent or be replaced by the Company.</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You agree to pay to the Company or the Employer any amount of Tax-Related Items that the Company or the Employer</w:t>
      </w:r>
    </w:p>
    <w:p>
      <w:pPr>
        <w:jc w:val="both"/>
        <w:spacing w:after="0" w:line="223" w:lineRule="auto"/>
        <w:rPr>
          <w:sz w:val="20"/>
          <w:szCs w:val="20"/>
          <w:color w:val="auto"/>
        </w:rPr>
      </w:pPr>
      <w:r>
        <w:rPr>
          <w:rFonts w:ascii="Arial" w:cs="Arial" w:eastAsia="Arial" w:hAnsi="Arial"/>
          <w:sz w:val="18"/>
          <w:szCs w:val="18"/>
          <w:color w:val="auto"/>
        </w:rPr>
        <w:t>may be required to withhold or account for as a result of your participation in the Plan that cannot be satisfied by the means previously described. You acknowledge and agree that the Company may refuse to issue or deliver the shares of Common Stock,</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or the proceeds of the sale of shares of Common Stock, if you fail to comply with the your obligations in connection with the Tax-Related Items.</w:t>
      </w:r>
    </w:p>
    <w:p>
      <w:pPr>
        <w:spacing w:after="0" w:line="142" w:lineRule="exact"/>
        <w:rPr>
          <w:sz w:val="20"/>
          <w:szCs w:val="20"/>
          <w:color w:val="auto"/>
        </w:rPr>
      </w:pPr>
    </w:p>
    <w:p>
      <w:pPr>
        <w:jc w:val="both"/>
        <w:ind w:firstLine="645"/>
        <w:spacing w:after="0" w:line="216" w:lineRule="auto"/>
        <w:tabs>
          <w:tab w:leader="none" w:pos="114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Tax Consequences. </w:t>
      </w:r>
      <w:r>
        <w:rPr>
          <w:rFonts w:ascii="Arial" w:cs="Arial" w:eastAsia="Arial" w:hAnsi="Arial"/>
          <w:sz w:val="20"/>
          <w:szCs w:val="20"/>
          <w:color w:val="auto"/>
        </w:rPr>
        <w:t>The Company has no duty or obligation to minimize the tax consequences to you of this Award</w:t>
      </w:r>
      <w:r>
        <w:rPr>
          <w:rFonts w:ascii="Arial" w:cs="Arial" w:eastAsia="Arial" w:hAnsi="Arial"/>
          <w:sz w:val="20"/>
          <w:szCs w:val="20"/>
          <w:b w:val="1"/>
          <w:bCs w:val="1"/>
          <w:color w:val="auto"/>
        </w:rPr>
        <w:t xml:space="preserve"> </w:t>
      </w:r>
      <w:r>
        <w:rPr>
          <w:rFonts w:ascii="Arial" w:cs="Arial" w:eastAsia="Arial" w:hAnsi="Arial"/>
          <w:sz w:val="20"/>
          <w:szCs w:val="20"/>
          <w:color w:val="auto"/>
        </w:rPr>
        <w:t>and will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will be responsible for your own tax liability that may arise as a result of this investment or the transactions contemplated by this Award Agreement.</w:t>
      </w:r>
    </w:p>
    <w:p>
      <w:pPr>
        <w:spacing w:after="0" w:line="156" w:lineRule="exact"/>
        <w:rPr>
          <w:sz w:val="20"/>
          <w:szCs w:val="20"/>
          <w:color w:val="auto"/>
        </w:rPr>
      </w:pPr>
    </w:p>
    <w:p>
      <w:pPr>
        <w:jc w:val="both"/>
        <w:ind w:firstLine="645"/>
        <w:spacing w:after="0" w:line="211" w:lineRule="auto"/>
        <w:tabs>
          <w:tab w:leader="none" w:pos="1278" w:val="left"/>
        </w:tabs>
        <w:numPr>
          <w:ilvl w:val="0"/>
          <w:numId w:val="49"/>
        </w:numPr>
        <w:rPr>
          <w:rFonts w:ascii="Arial" w:cs="Arial" w:eastAsia="Arial" w:hAnsi="Arial"/>
          <w:sz w:val="21"/>
          <w:szCs w:val="21"/>
          <w:b w:val="1"/>
          <w:bCs w:val="1"/>
          <w:color w:val="auto"/>
        </w:rPr>
      </w:pPr>
      <w:r>
        <w:rPr>
          <w:rFonts w:ascii="Arial" w:cs="Arial" w:eastAsia="Arial" w:hAnsi="Arial"/>
          <w:sz w:val="20"/>
          <w:szCs w:val="20"/>
          <w:b w:val="1"/>
          <w:bCs w:val="1"/>
          <w:color w:val="auto"/>
        </w:rPr>
        <w:t xml:space="preserve">Unsecured Obligation. </w:t>
      </w:r>
      <w:r>
        <w:rPr>
          <w:rFonts w:ascii="Arial" w:cs="Arial" w:eastAsia="Arial" w:hAnsi="Arial"/>
          <w:sz w:val="20"/>
          <w:szCs w:val="20"/>
          <w:color w:val="auto"/>
        </w:rPr>
        <w:t>Your Award is unfunded, and as a holder of a vested Award, you will be considered an</w:t>
      </w:r>
      <w:r>
        <w:rPr>
          <w:rFonts w:ascii="Arial" w:cs="Arial" w:eastAsia="Arial" w:hAnsi="Arial"/>
          <w:sz w:val="20"/>
          <w:szCs w:val="20"/>
          <w:b w:val="1"/>
          <w:bCs w:val="1"/>
          <w:color w:val="auto"/>
        </w:rPr>
        <w:t xml:space="preserve"> </w:t>
      </w:r>
      <w:r>
        <w:rPr>
          <w:rFonts w:ascii="Arial" w:cs="Arial" w:eastAsia="Arial" w:hAnsi="Arial"/>
          <w:sz w:val="20"/>
          <w:szCs w:val="20"/>
          <w:color w:val="auto"/>
        </w:rPr>
        <w:t>unsecured creditor of the Company with respect to the Company’s obligation, if any, to issue shares or other property pursuant to this Restricted Stock Unit Award Agreement. You will not have voting or any other rights as a stockholder of the Company with respect to the shares to be issued pursuant to this Restricted Stock Unit Award Agreement until such shares are issued to you pursuant to Section 6 of this Restricted Stock Unit Award Agreement. Upon such issuance, you will obtain full voting and other rights as a stockholder of the Company. Nothing contained in this Restricted Stock Unit Award Agreement, and no action taken pursuant to its provisions, will create or be construed to create a trust of any kind or a fiduciary relationship between you and the Company or any other person.</w:t>
      </w:r>
    </w:p>
    <w:p>
      <w:pPr>
        <w:spacing w:after="0" w:line="169" w:lineRule="exact"/>
        <w:rPr>
          <w:rFonts w:ascii="Arial" w:cs="Arial" w:eastAsia="Arial" w:hAnsi="Arial"/>
          <w:sz w:val="21"/>
          <w:szCs w:val="21"/>
          <w:b w:val="1"/>
          <w:bCs w:val="1"/>
          <w:color w:val="auto"/>
        </w:rPr>
      </w:pPr>
    </w:p>
    <w:p>
      <w:pPr>
        <w:jc w:val="both"/>
        <w:ind w:firstLine="645"/>
        <w:spacing w:after="0" w:line="211" w:lineRule="auto"/>
        <w:tabs>
          <w:tab w:leader="none" w:pos="1266" w:val="left"/>
        </w:tabs>
        <w:numPr>
          <w:ilvl w:val="0"/>
          <w:numId w:val="49"/>
        </w:numPr>
        <w:rPr>
          <w:rFonts w:ascii="Arial" w:cs="Arial" w:eastAsia="Arial" w:hAnsi="Arial"/>
          <w:sz w:val="21"/>
          <w:szCs w:val="21"/>
          <w:b w:val="1"/>
          <w:bCs w:val="1"/>
          <w:color w:val="auto"/>
        </w:rPr>
      </w:pPr>
      <w:r>
        <w:rPr>
          <w:rFonts w:ascii="Arial" w:cs="Arial" w:eastAsia="Arial" w:hAnsi="Arial"/>
          <w:sz w:val="20"/>
          <w:szCs w:val="20"/>
          <w:b w:val="1"/>
          <w:bCs w:val="1"/>
          <w:color w:val="auto"/>
        </w:rPr>
        <w:t>Notices</w:t>
      </w:r>
      <w:r>
        <w:rPr>
          <w:rFonts w:ascii="Arial" w:cs="Arial" w:eastAsia="Arial" w:hAnsi="Arial"/>
          <w:sz w:val="20"/>
          <w:szCs w:val="20"/>
          <w:color w:val="auto"/>
        </w:rPr>
        <w:t>. Any notice or request required or permitted hereunder will be given in writing (including electronically) and</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171" w:lineRule="exact"/>
        <w:rPr>
          <w:rFonts w:ascii="Arial" w:cs="Arial" w:eastAsia="Arial" w:hAnsi="Arial"/>
          <w:sz w:val="21"/>
          <w:szCs w:val="21"/>
          <w:b w:val="1"/>
          <w:bCs w:val="1"/>
          <w:color w:val="auto"/>
        </w:rPr>
      </w:pPr>
    </w:p>
    <w:p>
      <w:pPr>
        <w:ind w:left="1280" w:hanging="635"/>
        <w:spacing w:after="0"/>
        <w:tabs>
          <w:tab w:leader="none" w:pos="1280" w:val="left"/>
        </w:tabs>
        <w:numPr>
          <w:ilvl w:val="0"/>
          <w:numId w:val="49"/>
        </w:numPr>
        <w:rPr>
          <w:rFonts w:ascii="Arial" w:cs="Arial" w:eastAsia="Arial" w:hAnsi="Arial"/>
          <w:sz w:val="21"/>
          <w:szCs w:val="21"/>
          <w:b w:val="1"/>
          <w:bCs w:val="1"/>
          <w:color w:val="auto"/>
        </w:rPr>
      </w:pPr>
      <w:r>
        <w:rPr>
          <w:rFonts w:ascii="Arial" w:cs="Arial" w:eastAsia="Arial" w:hAnsi="Arial"/>
          <w:sz w:val="20"/>
          <w:szCs w:val="20"/>
          <w:b w:val="1"/>
          <w:bCs w:val="1"/>
          <w:color w:val="auto"/>
        </w:rPr>
        <w:t xml:space="preserve">Additional Acknowledgements. </w:t>
      </w:r>
      <w:r>
        <w:rPr>
          <w:rFonts w:ascii="Arial" w:cs="Arial" w:eastAsia="Arial" w:hAnsi="Arial"/>
          <w:sz w:val="20"/>
          <w:szCs w:val="20"/>
          <w:color w:val="auto"/>
        </w:rPr>
        <w:t>You hereby consent and acknowledge that:</w:t>
      </w:r>
    </w:p>
    <w:p>
      <w:pPr>
        <w:spacing w:after="0" w:line="208" w:lineRule="exact"/>
        <w:rPr>
          <w:rFonts w:ascii="Arial" w:cs="Arial" w:eastAsia="Arial" w:hAnsi="Arial"/>
          <w:sz w:val="21"/>
          <w:szCs w:val="21"/>
          <w:b w:val="1"/>
          <w:bCs w:val="1"/>
          <w:color w:val="auto"/>
        </w:rPr>
      </w:pPr>
    </w:p>
    <w:p>
      <w:pPr>
        <w:jc w:val="both"/>
        <w:ind w:firstLine="1284"/>
        <w:spacing w:after="0" w:line="208" w:lineRule="auto"/>
        <w:tabs>
          <w:tab w:leader="none" w:pos="1911" w:val="left"/>
        </w:tabs>
        <w:numPr>
          <w:ilvl w:val="1"/>
          <w:numId w:val="49"/>
        </w:numPr>
        <w:rPr>
          <w:rFonts w:ascii="Arial" w:cs="Arial" w:eastAsia="Arial" w:hAnsi="Arial"/>
          <w:sz w:val="21"/>
          <w:szCs w:val="21"/>
          <w:b w:val="1"/>
          <w:bCs w:val="1"/>
          <w:color w:val="auto"/>
        </w:rPr>
      </w:pPr>
      <w:r>
        <w:rPr>
          <w:rFonts w:ascii="Arial" w:cs="Arial" w:eastAsia="Arial" w:hAnsi="Arial"/>
          <w:sz w:val="20"/>
          <w:szCs w:val="20"/>
          <w:color w:val="auto"/>
        </w:rPr>
        <w:t>Receipt of the Award is voluntary and therefore you must accept the terms and conditions of this Award Agreement and Grant Notice as a condition to receipt of this Award. This Award is voluntary and occasional and does not create any contractual or other right to receive future awards or other benefits in lieu of future awards, even if similar awards have been granted repeatedly in the past. All determinations with respect to any such future awards, including, but not limited to, the time or times when such awards are made, the size of such awards and performance and other conditions applied to the awards, will be at the sole discretion of the Company.</w:t>
      </w:r>
    </w:p>
    <w:p>
      <w:pPr>
        <w:spacing w:after="0" w:line="191" w:lineRule="exact"/>
        <w:rPr>
          <w:rFonts w:ascii="Arial" w:cs="Arial" w:eastAsia="Arial" w:hAnsi="Arial"/>
          <w:sz w:val="21"/>
          <w:szCs w:val="21"/>
          <w:b w:val="1"/>
          <w:bCs w:val="1"/>
          <w:color w:val="auto"/>
        </w:rPr>
      </w:pPr>
    </w:p>
    <w:p>
      <w:pPr>
        <w:ind w:right="20" w:firstLine="1284"/>
        <w:spacing w:after="0" w:line="221" w:lineRule="auto"/>
        <w:tabs>
          <w:tab w:leader="none" w:pos="1905" w:val="left"/>
        </w:tabs>
        <w:numPr>
          <w:ilvl w:val="1"/>
          <w:numId w:val="49"/>
        </w:numPr>
        <w:rPr>
          <w:rFonts w:ascii="Arial" w:cs="Arial" w:eastAsia="Arial" w:hAnsi="Arial"/>
          <w:sz w:val="21"/>
          <w:szCs w:val="21"/>
          <w:b w:val="1"/>
          <w:bCs w:val="1"/>
          <w:color w:val="auto"/>
        </w:rPr>
      </w:pPr>
      <w:r>
        <w:rPr>
          <w:rFonts w:ascii="Arial" w:cs="Arial" w:eastAsia="Arial" w:hAnsi="Arial"/>
          <w:sz w:val="20"/>
          <w:szCs w:val="20"/>
          <w:color w:val="auto"/>
        </w:rPr>
        <w:t>The future value of your Award is unknown and cannot be predicted with certainty. You do not have, and will not assert, any claim or entitlement to compensation, indemnity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8.</w:t>
      </w:r>
    </w:p>
    <w:p>
      <w:pPr>
        <w:sectPr>
          <w:pgSz w:w="11900" w:h="16838" w:orient="portrait"/>
          <w:cols w:equalWidth="0" w:num="1">
            <w:col w:w="11240"/>
          </w:cols>
          <w:pgMar w:left="320" w:top="1401" w:right="339" w:bottom="1440" w:gutter="0" w:footer="0" w:header="0"/>
        </w:sectPr>
      </w:pPr>
    </w:p>
    <w:bookmarkStart w:id="82" w:name="page83"/>
    <w:bookmarkEnd w:id="82"/>
    <w:p>
      <w:pPr>
        <w:spacing w:after="0" w:line="226" w:lineRule="auto"/>
        <w:rPr>
          <w:sz w:val="20"/>
          <w:szCs w:val="20"/>
          <w:color w:val="auto"/>
        </w:rPr>
      </w:pPr>
      <w:r>
        <w:rPr>
          <w:rFonts w:ascii="Arial" w:cs="Arial" w:eastAsia="Arial" w:hAnsi="Arial"/>
          <w:sz w:val="20"/>
          <w:szCs w:val="20"/>
          <w:color w:val="auto"/>
        </w:rPr>
        <w:t>or damages arising from the termination of this Award or diminution in value of this Award and you irrevocably release the Company, its Affiliates and, if applicable, your employer, if different from the Company, from any such claim that may arise.</w:t>
      </w:r>
    </w:p>
    <w:p>
      <w:pPr>
        <w:spacing w:after="0" w:line="179" w:lineRule="exact"/>
        <w:rPr>
          <w:sz w:val="20"/>
          <w:szCs w:val="20"/>
          <w:color w:val="auto"/>
        </w:rPr>
      </w:pPr>
    </w:p>
    <w:p>
      <w:pPr>
        <w:jc w:val="both"/>
        <w:ind w:firstLine="1284"/>
        <w:spacing w:after="0" w:line="216" w:lineRule="auto"/>
        <w:tabs>
          <w:tab w:leader="none" w:pos="1917" w:val="left"/>
        </w:tabs>
        <w:numPr>
          <w:ilvl w:val="1"/>
          <w:numId w:val="50"/>
        </w:numPr>
        <w:rPr>
          <w:rFonts w:ascii="Arial" w:cs="Arial" w:eastAsia="Arial" w:hAnsi="Arial"/>
          <w:sz w:val="21"/>
          <w:szCs w:val="21"/>
          <w:b w:val="1"/>
          <w:bCs w:val="1"/>
          <w:color w:val="auto"/>
        </w:rPr>
      </w:pPr>
      <w:r>
        <w:rPr>
          <w:rFonts w:ascii="Arial" w:cs="Arial" w:eastAsia="Arial" w:hAnsi="Arial"/>
          <w:sz w:val="20"/>
          <w:szCs w:val="20"/>
          <w:color w:val="auto"/>
        </w:rPr>
        <w:t>The rights and obligations of the Company under your Award will be transferable by the Company to any one or more persons or entities, and all covenants and agreements hereunder will inure to the benefit of, and be enforceable by, the Company’s successors and assigns.</w:t>
      </w:r>
    </w:p>
    <w:p>
      <w:pPr>
        <w:spacing w:after="0" w:line="194" w:lineRule="exact"/>
        <w:rPr>
          <w:rFonts w:ascii="Arial" w:cs="Arial" w:eastAsia="Arial" w:hAnsi="Arial"/>
          <w:sz w:val="21"/>
          <w:szCs w:val="21"/>
          <w:b w:val="1"/>
          <w:bCs w:val="1"/>
          <w:color w:val="auto"/>
        </w:rPr>
      </w:pPr>
    </w:p>
    <w:p>
      <w:pPr>
        <w:ind w:firstLine="1284"/>
        <w:spacing w:after="0" w:line="221" w:lineRule="auto"/>
        <w:tabs>
          <w:tab w:leader="none" w:pos="1911" w:val="left"/>
        </w:tabs>
        <w:numPr>
          <w:ilvl w:val="1"/>
          <w:numId w:val="50"/>
        </w:numPr>
        <w:rPr>
          <w:rFonts w:ascii="Arial" w:cs="Arial" w:eastAsia="Arial" w:hAnsi="Arial"/>
          <w:sz w:val="21"/>
          <w:szCs w:val="21"/>
          <w:b w:val="1"/>
          <w:bCs w:val="1"/>
          <w:color w:val="auto"/>
        </w:rPr>
      </w:pPr>
      <w:r>
        <w:rPr>
          <w:rFonts w:ascii="Arial" w:cs="Arial" w:eastAsia="Arial" w:hAnsi="Arial"/>
          <w:sz w:val="20"/>
          <w:szCs w:val="20"/>
          <w:color w:val="auto"/>
        </w:rPr>
        <w:t>You agree upon request to execute any further documents or instruments necessary or desirable in the sole determination of the Company to carry out the purposes or intent of your Award.</w:t>
      </w:r>
    </w:p>
    <w:p>
      <w:pPr>
        <w:spacing w:after="0" w:line="178" w:lineRule="exact"/>
        <w:rPr>
          <w:rFonts w:ascii="Arial" w:cs="Arial" w:eastAsia="Arial" w:hAnsi="Arial"/>
          <w:sz w:val="21"/>
          <w:szCs w:val="21"/>
          <w:b w:val="1"/>
          <w:bCs w:val="1"/>
          <w:color w:val="auto"/>
        </w:rPr>
      </w:pPr>
    </w:p>
    <w:p>
      <w:pPr>
        <w:ind w:firstLine="1284"/>
        <w:spacing w:after="0" w:line="221" w:lineRule="auto"/>
        <w:tabs>
          <w:tab w:leader="none" w:pos="1905" w:val="left"/>
        </w:tabs>
        <w:numPr>
          <w:ilvl w:val="1"/>
          <w:numId w:val="50"/>
        </w:numPr>
        <w:rPr>
          <w:rFonts w:ascii="Arial" w:cs="Arial" w:eastAsia="Arial" w:hAnsi="Arial"/>
          <w:sz w:val="21"/>
          <w:szCs w:val="21"/>
          <w:b w:val="1"/>
          <w:bCs w:val="1"/>
          <w:color w:val="auto"/>
        </w:rPr>
      </w:pPr>
      <w:r>
        <w:rPr>
          <w:rFonts w:ascii="Arial" w:cs="Arial" w:eastAsia="Arial" w:hAnsi="Arial"/>
          <w:sz w:val="20"/>
          <w:szCs w:val="20"/>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91" w:lineRule="exact"/>
        <w:rPr>
          <w:rFonts w:ascii="Arial" w:cs="Arial" w:eastAsia="Arial" w:hAnsi="Arial"/>
          <w:sz w:val="21"/>
          <w:szCs w:val="21"/>
          <w:b w:val="1"/>
          <w:bCs w:val="1"/>
          <w:color w:val="auto"/>
        </w:rPr>
      </w:pPr>
    </w:p>
    <w:p>
      <w:pPr>
        <w:ind w:firstLine="1284"/>
        <w:spacing w:after="0" w:line="221" w:lineRule="auto"/>
        <w:tabs>
          <w:tab w:leader="none" w:pos="1917" w:val="left"/>
        </w:tabs>
        <w:numPr>
          <w:ilvl w:val="1"/>
          <w:numId w:val="50"/>
        </w:numPr>
        <w:rPr>
          <w:rFonts w:ascii="Arial" w:cs="Arial" w:eastAsia="Arial" w:hAnsi="Arial"/>
          <w:sz w:val="21"/>
          <w:szCs w:val="21"/>
          <w:b w:val="1"/>
          <w:bCs w:val="1"/>
          <w:color w:val="auto"/>
        </w:rPr>
      </w:pPr>
      <w:r>
        <w:rPr>
          <w:rFonts w:ascii="Arial" w:cs="Arial" w:eastAsia="Arial" w:hAnsi="Arial"/>
          <w:sz w:val="20"/>
          <w:szCs w:val="20"/>
          <w:color w:val="auto"/>
        </w:rPr>
        <w:t>This Award Agreement will be subject to all applicable laws, rules, and regulations, and to such approvals by any governmental agencies or national securities exchanges as may be required.</w:t>
      </w:r>
    </w:p>
    <w:p>
      <w:pPr>
        <w:spacing w:after="0" w:line="191" w:lineRule="exact"/>
        <w:rPr>
          <w:rFonts w:ascii="Arial" w:cs="Arial" w:eastAsia="Arial" w:hAnsi="Arial"/>
          <w:sz w:val="21"/>
          <w:szCs w:val="21"/>
          <w:b w:val="1"/>
          <w:bCs w:val="1"/>
          <w:color w:val="auto"/>
        </w:rPr>
      </w:pPr>
    </w:p>
    <w:p>
      <w:pPr>
        <w:jc w:val="both"/>
        <w:ind w:firstLine="1284"/>
        <w:spacing w:after="0" w:line="212" w:lineRule="auto"/>
        <w:tabs>
          <w:tab w:leader="none" w:pos="1911" w:val="left"/>
        </w:tabs>
        <w:numPr>
          <w:ilvl w:val="1"/>
          <w:numId w:val="50"/>
        </w:numPr>
        <w:rPr>
          <w:rFonts w:ascii="Arial" w:cs="Arial" w:eastAsia="Arial" w:hAnsi="Arial"/>
          <w:sz w:val="21"/>
          <w:szCs w:val="21"/>
          <w:b w:val="1"/>
          <w:bCs w:val="1"/>
          <w:color w:val="auto"/>
        </w:rPr>
      </w:pPr>
      <w:r>
        <w:rPr>
          <w:rFonts w:ascii="Arial" w:cs="Arial" w:eastAsia="Arial" w:hAnsi="Arial"/>
          <w:sz w:val="20"/>
          <w:szCs w:val="20"/>
          <w:color w:val="auto"/>
        </w:rPr>
        <w:t>All obligations of the Company under the Plan and this Award Agreement will be binding on any successor to the Company, whether the existence of such successor is the result of a direct or indirect purchase, merger, consolidation, or otherwise, of all or substantially all of the business and assets of the Company.</w:t>
      </w:r>
    </w:p>
    <w:p>
      <w:pPr>
        <w:spacing w:after="0" w:line="168" w:lineRule="exact"/>
        <w:rPr>
          <w:rFonts w:ascii="Arial" w:cs="Arial" w:eastAsia="Arial" w:hAnsi="Arial"/>
          <w:sz w:val="21"/>
          <w:szCs w:val="21"/>
          <w:b w:val="1"/>
          <w:bCs w:val="1"/>
          <w:color w:val="auto"/>
        </w:rPr>
      </w:pPr>
    </w:p>
    <w:p>
      <w:pPr>
        <w:jc w:val="both"/>
        <w:ind w:firstLine="645"/>
        <w:spacing w:after="0" w:line="214" w:lineRule="auto"/>
        <w:tabs>
          <w:tab w:leader="none" w:pos="1278" w:val="left"/>
        </w:tabs>
        <w:numPr>
          <w:ilvl w:val="0"/>
          <w:numId w:val="51"/>
        </w:numPr>
        <w:rPr>
          <w:rFonts w:ascii="Arial" w:cs="Arial" w:eastAsia="Arial" w:hAnsi="Arial"/>
          <w:sz w:val="21"/>
          <w:szCs w:val="21"/>
          <w:b w:val="1"/>
          <w:bCs w:val="1"/>
          <w:color w:val="auto"/>
        </w:rPr>
      </w:pPr>
      <w:r>
        <w:rPr>
          <w:rFonts w:ascii="Arial" w:cs="Arial" w:eastAsia="Arial" w:hAnsi="Arial"/>
          <w:sz w:val="20"/>
          <w:szCs w:val="20"/>
          <w:b w:val="1"/>
          <w:bCs w:val="1"/>
          <w:color w:val="auto"/>
        </w:rPr>
        <w:t xml:space="preserve">Clawback. </w:t>
      </w:r>
      <w:r>
        <w:rPr>
          <w:rFonts w:ascii="Arial" w:cs="Arial" w:eastAsia="Arial" w:hAnsi="Arial"/>
          <w:sz w:val="20"/>
          <w:szCs w:val="20"/>
          <w:color w:val="auto"/>
        </w:rPr>
        <w:t>Your Award (and any compensation paid or shares issued under your Award) is subject to recoupment</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57" w:lineRule="exact"/>
        <w:rPr>
          <w:rFonts w:ascii="Arial" w:cs="Arial" w:eastAsia="Arial" w:hAnsi="Arial"/>
          <w:sz w:val="21"/>
          <w:szCs w:val="21"/>
          <w:b w:val="1"/>
          <w:bCs w:val="1"/>
          <w:color w:val="auto"/>
        </w:rPr>
      </w:pPr>
    </w:p>
    <w:p>
      <w:pPr>
        <w:jc w:val="both"/>
        <w:ind w:firstLine="645"/>
        <w:spacing w:after="0" w:line="211" w:lineRule="auto"/>
        <w:tabs>
          <w:tab w:leader="none" w:pos="1278" w:val="left"/>
        </w:tabs>
        <w:numPr>
          <w:ilvl w:val="0"/>
          <w:numId w:val="51"/>
        </w:numPr>
        <w:rPr>
          <w:rFonts w:ascii="Arial" w:cs="Arial" w:eastAsia="Arial" w:hAnsi="Arial"/>
          <w:sz w:val="21"/>
          <w:szCs w:val="21"/>
          <w:b w:val="1"/>
          <w:bCs w:val="1"/>
          <w:color w:val="auto"/>
        </w:rPr>
      </w:pPr>
      <w:r>
        <w:rPr>
          <w:rFonts w:ascii="Arial" w:cs="Arial" w:eastAsia="Arial" w:hAnsi="Arial"/>
          <w:sz w:val="20"/>
          <w:szCs w:val="20"/>
          <w:b w:val="1"/>
          <w:bCs w:val="1"/>
          <w:color w:val="auto"/>
        </w:rPr>
        <w:t>Governing Plan Document</w:t>
      </w:r>
      <w:r>
        <w:rPr>
          <w:rFonts w:ascii="Arial" w:cs="Arial" w:eastAsia="Arial" w:hAnsi="Arial"/>
          <w:sz w:val="20"/>
          <w:szCs w:val="20"/>
          <w:color w:val="auto"/>
        </w:rPr>
        <w:t>. Your Award is subject to all the provisions of the Plan, the provisions of which are</w:t>
      </w:r>
      <w:r>
        <w:rPr>
          <w:rFonts w:ascii="Arial" w:cs="Arial" w:eastAsia="Arial" w:hAnsi="Arial"/>
          <w:sz w:val="20"/>
          <w:szCs w:val="20"/>
          <w:b w:val="1"/>
          <w:bCs w:val="1"/>
          <w:color w:val="auto"/>
        </w:rPr>
        <w:t xml:space="preserve"> </w:t>
      </w:r>
      <w:r>
        <w:rPr>
          <w:rFonts w:ascii="Arial" w:cs="Arial" w:eastAsia="Arial" w:hAnsi="Arial"/>
          <w:sz w:val="20"/>
          <w:szCs w:val="20"/>
          <w:color w:val="auto"/>
        </w:rPr>
        <w:t>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69" w:lineRule="exact"/>
        <w:rPr>
          <w:rFonts w:ascii="Arial" w:cs="Arial" w:eastAsia="Arial" w:hAnsi="Arial"/>
          <w:sz w:val="21"/>
          <w:szCs w:val="21"/>
          <w:b w:val="1"/>
          <w:bCs w:val="1"/>
          <w:color w:val="auto"/>
        </w:rPr>
      </w:pPr>
    </w:p>
    <w:p>
      <w:pPr>
        <w:jc w:val="both"/>
        <w:ind w:firstLine="645"/>
        <w:spacing w:after="0" w:line="215" w:lineRule="auto"/>
        <w:tabs>
          <w:tab w:leader="none" w:pos="1278" w:val="left"/>
        </w:tabs>
        <w:numPr>
          <w:ilvl w:val="0"/>
          <w:numId w:val="51"/>
        </w:numPr>
        <w:rPr>
          <w:rFonts w:ascii="Arial" w:cs="Arial" w:eastAsia="Arial" w:hAnsi="Arial"/>
          <w:sz w:val="21"/>
          <w:szCs w:val="21"/>
          <w:b w:val="1"/>
          <w:bCs w:val="1"/>
          <w:color w:val="auto"/>
        </w:rPr>
      </w:pPr>
      <w:r>
        <w:rPr>
          <w:rFonts w:ascii="Arial" w:cs="Arial" w:eastAsia="Arial" w:hAnsi="Arial"/>
          <w:sz w:val="20"/>
          <w:szCs w:val="20"/>
          <w:b w:val="1"/>
          <w:bCs w:val="1"/>
          <w:color w:val="auto"/>
        </w:rPr>
        <w:t xml:space="preserve">Effect on Other Employee Benefit Plans. </w:t>
      </w:r>
      <w:r>
        <w:rPr>
          <w:rFonts w:ascii="Arial" w:cs="Arial" w:eastAsia="Arial" w:hAnsi="Arial"/>
          <w:sz w:val="20"/>
          <w:szCs w:val="20"/>
          <w:color w:val="auto"/>
        </w:rPr>
        <w:t>The value of the Award subject to this Restricted Stock Unit Award</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will not be included as 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57" w:lineRule="exact"/>
        <w:rPr>
          <w:rFonts w:ascii="Arial" w:cs="Arial" w:eastAsia="Arial" w:hAnsi="Arial"/>
          <w:sz w:val="21"/>
          <w:szCs w:val="21"/>
          <w:b w:val="1"/>
          <w:bCs w:val="1"/>
          <w:color w:val="auto"/>
        </w:rPr>
      </w:pPr>
    </w:p>
    <w:p>
      <w:pPr>
        <w:ind w:firstLine="645"/>
        <w:spacing w:after="0" w:line="233" w:lineRule="auto"/>
        <w:tabs>
          <w:tab w:leader="none" w:pos="1278" w:val="left"/>
        </w:tabs>
        <w:numPr>
          <w:ilvl w:val="0"/>
          <w:numId w:val="51"/>
        </w:numPr>
        <w:rPr>
          <w:rFonts w:ascii="Arial" w:cs="Arial" w:eastAsia="Arial" w:hAnsi="Arial"/>
          <w:sz w:val="21"/>
          <w:szCs w:val="21"/>
          <w:b w:val="1"/>
          <w:bCs w:val="1"/>
          <w:color w:val="auto"/>
        </w:rPr>
      </w:pPr>
      <w:r>
        <w:rPr>
          <w:rFonts w:ascii="Arial" w:cs="Arial" w:eastAsia="Arial" w:hAnsi="Arial"/>
          <w:sz w:val="20"/>
          <w:szCs w:val="20"/>
          <w:b w:val="1"/>
          <w:bCs w:val="1"/>
          <w:color w:val="auto"/>
        </w:rPr>
        <w:t>Severability</w:t>
      </w:r>
      <w:r>
        <w:rPr>
          <w:rFonts w:ascii="Arial" w:cs="Arial" w:eastAsia="Arial" w:hAnsi="Arial"/>
          <w:sz w:val="20"/>
          <w:szCs w:val="20"/>
          <w:color w:val="auto"/>
        </w:rPr>
        <w:t>. If all or any part of this Restricted Stock Unit Award Agreement or the Plan is declared by any court or</w:t>
      </w:r>
      <w:r>
        <w:rPr>
          <w:rFonts w:ascii="Arial" w:cs="Arial" w:eastAsia="Arial" w:hAnsi="Arial"/>
          <w:sz w:val="20"/>
          <w:szCs w:val="20"/>
          <w:b w:val="1"/>
          <w:bCs w:val="1"/>
          <w:color w:val="auto"/>
        </w:rPr>
        <w:t xml:space="preserve"> </w:t>
      </w:r>
      <w:r>
        <w:rPr>
          <w:rFonts w:ascii="Arial" w:cs="Arial" w:eastAsia="Arial" w:hAnsi="Arial"/>
          <w:sz w:val="20"/>
          <w:szCs w:val="20"/>
          <w:color w:val="auto"/>
        </w:rPr>
        <w:t>governmental authority to be unlawful or invalid,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9.</w:t>
      </w:r>
    </w:p>
    <w:p>
      <w:pPr>
        <w:sectPr>
          <w:pgSz w:w="11900" w:h="16838" w:orient="portrait"/>
          <w:cols w:equalWidth="0" w:num="1">
            <w:col w:w="11240"/>
          </w:cols>
          <w:pgMar w:left="320" w:top="140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unlawfulness or invalidity will not invalidate any portion of this Restricted Stock Unit Award Agreement or the Plan not declared to</w:t>
      </w:r>
    </w:p>
    <w:p>
      <w:pPr>
        <w:spacing w:after="0" w:line="223" w:lineRule="auto"/>
        <w:rPr>
          <w:sz w:val="20"/>
          <w:szCs w:val="20"/>
          <w:color w:val="auto"/>
        </w:rPr>
      </w:pPr>
      <w:r>
        <w:rPr>
          <w:rFonts w:ascii="Arial" w:cs="Arial" w:eastAsia="Arial" w:hAnsi="Arial"/>
          <w:sz w:val="18"/>
          <w:szCs w:val="18"/>
          <w:color w:val="auto"/>
        </w:rPr>
        <w:t>be unlawful or invalid. Any Section of this Restricted Stock Unit Award Agreement (or part of such a Section) so declared to be unlawful or invalid will, if possible, be construed in a manner which will give effect to the terms of such Section or part of a Section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to the fullest extent possible while remaining lawful and valid.</w:t>
      </w:r>
    </w:p>
    <w:p>
      <w:pPr>
        <w:spacing w:after="0" w:line="172" w:lineRule="exact"/>
        <w:rPr>
          <w:sz w:val="20"/>
          <w:szCs w:val="20"/>
          <w:color w:val="auto"/>
        </w:rPr>
      </w:pPr>
    </w:p>
    <w:p>
      <w:pPr>
        <w:jc w:val="both"/>
        <w:ind w:firstLine="645"/>
        <w:spacing w:after="0" w:line="217" w:lineRule="auto"/>
        <w:tabs>
          <w:tab w:leader="none" w:pos="1278" w:val="left"/>
        </w:tabs>
        <w:numPr>
          <w:ilvl w:val="0"/>
          <w:numId w:val="52"/>
        </w:numPr>
        <w:rPr>
          <w:rFonts w:ascii="Arial" w:cs="Arial" w:eastAsia="Arial" w:hAnsi="Arial"/>
          <w:sz w:val="21"/>
          <w:szCs w:val="21"/>
          <w:b w:val="1"/>
          <w:bCs w:val="1"/>
          <w:color w:val="auto"/>
        </w:rPr>
      </w:pPr>
      <w:r>
        <w:rPr>
          <w:rFonts w:ascii="Arial" w:cs="Arial" w:eastAsia="Arial" w:hAnsi="Arial"/>
          <w:sz w:val="20"/>
          <w:szCs w:val="20"/>
          <w:b w:val="1"/>
          <w:bCs w:val="1"/>
          <w:color w:val="auto"/>
        </w:rPr>
        <w:t>Other Documents</w:t>
      </w:r>
      <w:r>
        <w:rPr>
          <w:rFonts w:ascii="Arial" w:cs="Arial" w:eastAsia="Arial" w:hAnsi="Arial"/>
          <w:sz w:val="20"/>
          <w:szCs w:val="20"/>
          <w:color w:val="auto"/>
        </w:rPr>
        <w:t>. You hereby acknowledge receipt or the right to receive a document providing the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by Rule 428(b)(1) promulgated under the Securities Act. In addition, you acknowledge receipt of the Company’s policy permitting certain individuals to sell shares only during certain "window" periods and the Company's Insider Trading Policy, in effect from time to time.</w:t>
      </w:r>
    </w:p>
    <w:p>
      <w:pPr>
        <w:spacing w:after="0" w:line="169" w:lineRule="exact"/>
        <w:rPr>
          <w:rFonts w:ascii="Arial" w:cs="Arial" w:eastAsia="Arial" w:hAnsi="Arial"/>
          <w:sz w:val="21"/>
          <w:szCs w:val="21"/>
          <w:b w:val="1"/>
          <w:bCs w:val="1"/>
          <w:color w:val="auto"/>
        </w:rPr>
      </w:pPr>
    </w:p>
    <w:p>
      <w:pPr>
        <w:jc w:val="both"/>
        <w:ind w:firstLine="645"/>
        <w:spacing w:after="0" w:line="209" w:lineRule="auto"/>
        <w:tabs>
          <w:tab w:leader="none" w:pos="1278" w:val="left"/>
        </w:tabs>
        <w:numPr>
          <w:ilvl w:val="0"/>
          <w:numId w:val="52"/>
        </w:numPr>
        <w:rPr>
          <w:rFonts w:ascii="Arial" w:cs="Arial" w:eastAsia="Arial" w:hAnsi="Arial"/>
          <w:sz w:val="21"/>
          <w:szCs w:val="21"/>
          <w:b w:val="1"/>
          <w:bCs w:val="1"/>
          <w:color w:val="auto"/>
        </w:rPr>
      </w:pPr>
      <w:r>
        <w:rPr>
          <w:rFonts w:ascii="Arial" w:cs="Arial" w:eastAsia="Arial" w:hAnsi="Arial"/>
          <w:sz w:val="20"/>
          <w:szCs w:val="20"/>
          <w:b w:val="1"/>
          <w:bCs w:val="1"/>
          <w:color w:val="auto"/>
        </w:rPr>
        <w:t xml:space="preserve">Amendment. </w:t>
      </w:r>
      <w:r>
        <w:rPr>
          <w:rFonts w:ascii="Arial" w:cs="Arial" w:eastAsia="Arial" w:hAnsi="Arial"/>
          <w:sz w:val="20"/>
          <w:szCs w:val="20"/>
          <w:color w:val="auto"/>
        </w:rPr>
        <w:t>This Restricted Stock Unit Award Agreement may not be modified, amended or terminated except by</w:t>
      </w:r>
      <w:r>
        <w:rPr>
          <w:rFonts w:ascii="Arial" w:cs="Arial" w:eastAsia="Arial" w:hAnsi="Arial"/>
          <w:sz w:val="20"/>
          <w:szCs w:val="20"/>
          <w:b w:val="1"/>
          <w:bCs w:val="1"/>
          <w:color w:val="auto"/>
        </w:rPr>
        <w:t xml:space="preserve"> </w:t>
      </w:r>
      <w:r>
        <w:rPr>
          <w:rFonts w:ascii="Arial" w:cs="Arial" w:eastAsia="Arial" w:hAnsi="Arial"/>
          <w:sz w:val="20"/>
          <w:szCs w:val="20"/>
          <w:color w:val="auto"/>
        </w:rPr>
        <w:t>an instrument in writing, signed by you and by a duly authorized representative of the Company. Notwithstanding the foregoing, this Restricted Stock Unit Award Agreement may be amended solely by the Board by a writing which specifically states that it is amending this Restricted Stock Unit Award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Restricted Stock Unit Award Agreement in any way it may deem necessary or advisable to carry out the purpose of the Award as a result of any change in applicable laws or regulations or any future law, regulation, ruling, or judicial decision, provided that any such change will be applicable only to rights relating to that portion of the Award which is then subject to restrictions as provided herein.</w:t>
      </w:r>
    </w:p>
    <w:p>
      <w:pPr>
        <w:spacing w:after="0" w:line="170" w:lineRule="exact"/>
        <w:rPr>
          <w:rFonts w:ascii="Arial" w:cs="Arial" w:eastAsia="Arial" w:hAnsi="Arial"/>
          <w:sz w:val="21"/>
          <w:szCs w:val="21"/>
          <w:b w:val="1"/>
          <w:bCs w:val="1"/>
          <w:color w:val="auto"/>
        </w:rPr>
      </w:pPr>
    </w:p>
    <w:p>
      <w:pPr>
        <w:jc w:val="both"/>
        <w:ind w:firstLine="645"/>
        <w:spacing w:after="0" w:line="217" w:lineRule="auto"/>
        <w:tabs>
          <w:tab w:leader="none" w:pos="1278" w:val="left"/>
        </w:tabs>
        <w:numPr>
          <w:ilvl w:val="0"/>
          <w:numId w:val="52"/>
        </w:numPr>
        <w:rPr>
          <w:rFonts w:ascii="Arial" w:cs="Arial" w:eastAsia="Arial" w:hAnsi="Arial"/>
          <w:sz w:val="20"/>
          <w:szCs w:val="20"/>
          <w:b w:val="1"/>
          <w:bCs w:val="1"/>
          <w:color w:val="auto"/>
        </w:rPr>
      </w:pPr>
      <w:r>
        <w:rPr>
          <w:rFonts w:ascii="Arial" w:cs="Arial" w:eastAsia="Arial" w:hAnsi="Arial"/>
          <w:sz w:val="19"/>
          <w:szCs w:val="19"/>
          <w:b w:val="1"/>
          <w:bCs w:val="1"/>
          <w:color w:val="auto"/>
        </w:rPr>
        <w:t>Compliance with Section 409A of the Code</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This Award is intended to be exempt from the application of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409A of the Code, including but not limited to by reason of complying with the “short-term deferral” rule set forth in Treasury Regulation Section 1.409A-1(b)(4) and any ambiguities herein will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will comply with Section 409A to the extent necessary to avoid adverse personal tax consequences and any ambiguities herein will be interpreted accordingly. If it is determined that the Award is deferred compensation subject to Section 409A and you are a “Specified Employee” (within the meaning set forth in Section 409A(a)(2)(B)(i) of the Code) as of the date of your “Separation from Service” (as defined in Section 409A),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 Notwithstanding any contrary provision of the Notice of Grant or of this Restricted Stock Unit Award Agreement, under no circumstances will the Company reimburse you for any taxes or other costs under Section 409A or any other tax law or rule. All such taxes and costs are solely your responsibility.</w:t>
      </w:r>
    </w:p>
    <w:p>
      <w:pPr>
        <w:spacing w:after="0" w:line="182" w:lineRule="exact"/>
        <w:rPr>
          <w:rFonts w:ascii="Arial" w:cs="Arial" w:eastAsia="Arial" w:hAnsi="Arial"/>
          <w:sz w:val="20"/>
          <w:szCs w:val="20"/>
          <w:b w:val="1"/>
          <w:bCs w:val="1"/>
          <w:color w:val="auto"/>
        </w:rPr>
      </w:pPr>
    </w:p>
    <w:p>
      <w:pPr>
        <w:ind w:left="5320"/>
        <w:spacing w:after="0"/>
        <w:rPr>
          <w:rFonts w:ascii="Arial" w:cs="Arial" w:eastAsia="Arial" w:hAnsi="Arial"/>
          <w:sz w:val="20"/>
          <w:szCs w:val="20"/>
          <w:b w:val="1"/>
          <w:bCs w:val="1"/>
          <w:color w:val="auto"/>
        </w:rPr>
      </w:pPr>
      <w:r>
        <w:rPr>
          <w:rFonts w:ascii="Arial" w:cs="Arial" w:eastAsia="Arial" w:hAnsi="Arial"/>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10.</w:t>
      </w:r>
    </w:p>
    <w:p>
      <w:pPr>
        <w:sectPr>
          <w:pgSz w:w="11900" w:h="16838" w:orient="portrait"/>
          <w:cols w:equalWidth="0" w:num="1">
            <w:col w:w="11240"/>
          </w:cols>
          <w:pgMar w:left="320" w:top="1393" w:right="339" w:bottom="1440" w:gutter="0" w:footer="0" w:header="0"/>
        </w:sectPr>
      </w:pPr>
    </w:p>
    <w:bookmarkStart w:id="84" w:name="page85"/>
    <w:bookmarkEnd w:id="84"/>
    <w:p>
      <w:pPr>
        <w:ind w:firstLine="220"/>
        <w:spacing w:after="0" w:line="226" w:lineRule="auto"/>
        <w:rPr>
          <w:sz w:val="20"/>
          <w:szCs w:val="20"/>
          <w:color w:val="auto"/>
        </w:rPr>
      </w:pPr>
      <w:r>
        <w:rPr>
          <w:rFonts w:ascii="Arial" w:cs="Arial" w:eastAsia="Arial" w:hAnsi="Arial"/>
          <w:sz w:val="20"/>
          <w:szCs w:val="20"/>
          <w:color w:val="auto"/>
        </w:rPr>
        <w:t>This Restricted Stock Unit Award Agreement will be deemed to be signed by the Company and the Participant upon the signing by the Participant of the Restricted Stock Unit Grant Notice to which it is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11.</w:t>
      </w:r>
    </w:p>
    <w:p>
      <w:pPr>
        <w:sectPr>
          <w:pgSz w:w="11900" w:h="16838" w:orient="portrait"/>
          <w:cols w:equalWidth="0" w:num="1">
            <w:col w:w="11240"/>
          </w:cols>
          <w:pgMar w:left="320" w:top="1401" w:right="3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20"/>
          <w:szCs w:val="20"/>
          <w:b w:val="1"/>
          <w:bCs w:val="1"/>
          <w:color w:val="auto"/>
        </w:rPr>
        <w:t>Attachment II</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2018 Equity Incentive Plan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12.</w:t>
      </w:r>
    </w:p>
    <w:p>
      <w:pPr>
        <w:sectPr>
          <w:pgSz w:w="11900" w:h="16838" w:orient="portrait"/>
          <w:cols w:equalWidth="0" w:num="1">
            <w:col w:w="9019"/>
          </w:cols>
          <w:pgMar w:left="1440" w:top="1377" w:right="1440" w:bottom="1440" w:gutter="0" w:footer="0" w:header="0"/>
        </w:sectPr>
      </w:pPr>
    </w:p>
    <w:bookmarkStart w:id="86" w:name="page87"/>
    <w:bookmarkEnd w:id="86"/>
    <w:p>
      <w:pPr>
        <w:spacing w:after="0" w:line="150"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10.2</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21"/>
          <w:szCs w:val="21"/>
          <w:b w:val="1"/>
          <w:bCs w:val="1"/>
          <w:color w:val="auto"/>
        </w:rPr>
        <w:t>SI-BONE, Inc.</w:t>
      </w:r>
    </w:p>
    <w:p>
      <w:pPr>
        <w:spacing w:after="0" w:line="180" w:lineRule="exact"/>
        <w:rPr>
          <w:sz w:val="20"/>
          <w:szCs w:val="20"/>
          <w:color w:val="auto"/>
        </w:rPr>
      </w:pPr>
    </w:p>
    <w:p>
      <w:pPr>
        <w:ind w:left="4020"/>
        <w:spacing w:after="0"/>
        <w:rPr>
          <w:sz w:val="20"/>
          <w:szCs w:val="20"/>
          <w:color w:val="auto"/>
        </w:rPr>
      </w:pPr>
      <w:r>
        <w:rPr>
          <w:rFonts w:ascii="Arial" w:cs="Arial" w:eastAsia="Arial" w:hAnsi="Arial"/>
          <w:sz w:val="21"/>
          <w:szCs w:val="21"/>
          <w:b w:val="1"/>
          <w:bCs w:val="1"/>
          <w:color w:val="auto"/>
        </w:rPr>
        <w:t>Restricted Stock Unit Grant Notice</w:t>
      </w:r>
    </w:p>
    <w:p>
      <w:pPr>
        <w:jc w:val="center"/>
        <w:spacing w:after="0"/>
        <w:rPr>
          <w:sz w:val="20"/>
          <w:szCs w:val="20"/>
          <w:color w:val="auto"/>
        </w:rPr>
      </w:pPr>
      <w:r>
        <w:rPr>
          <w:rFonts w:ascii="Arial" w:cs="Arial" w:eastAsia="Arial" w:hAnsi="Arial"/>
          <w:sz w:val="21"/>
          <w:szCs w:val="21"/>
          <w:b w:val="1"/>
          <w:bCs w:val="1"/>
          <w:color w:val="auto"/>
        </w:rPr>
        <w:t>(2018 Equity Incentive Plan)</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SI-BONE,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pursuant to its 2018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hereby awards to Participant a Restricted</w:t>
      </w:r>
    </w:p>
    <w:p>
      <w:pPr>
        <w:spacing w:after="0" w:line="235" w:lineRule="auto"/>
        <w:rPr>
          <w:sz w:val="20"/>
          <w:szCs w:val="20"/>
          <w:color w:val="auto"/>
        </w:rPr>
      </w:pPr>
      <w:r>
        <w:rPr>
          <w:rFonts w:ascii="Arial" w:cs="Arial" w:eastAsia="Arial" w:hAnsi="Arial"/>
          <w:sz w:val="20"/>
          <w:szCs w:val="20"/>
          <w:color w:val="auto"/>
        </w:rPr>
        <w:t>Stock Unit Award for the number of shares of the Company’s Common Stock (“</w:t>
      </w:r>
      <w:r>
        <w:rPr>
          <w:rFonts w:ascii="Arial" w:cs="Arial" w:eastAsia="Arial" w:hAnsi="Arial"/>
          <w:sz w:val="20"/>
          <w:szCs w:val="20"/>
          <w:b w:val="1"/>
          <w:bCs w:val="1"/>
          <w:i w:val="1"/>
          <w:iCs w:val="1"/>
          <w:color w:val="auto"/>
        </w:rPr>
        <w:t>Restricted Stock Units</w:t>
      </w:r>
      <w:r>
        <w:rPr>
          <w:rFonts w:ascii="Arial" w:cs="Arial" w:eastAsia="Arial" w:hAnsi="Arial"/>
          <w:sz w:val="20"/>
          <w:szCs w:val="20"/>
          <w:color w:val="auto"/>
        </w:rPr>
        <w:t>”) set forth below (the</w:t>
      </w:r>
    </w:p>
    <w:p>
      <w:pPr>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The Award is subject to all of the terms and conditions as set forth in this notice of grant (this “</w:t>
      </w:r>
      <w:r>
        <w:rPr>
          <w:rFonts w:ascii="Arial" w:cs="Arial" w:eastAsia="Arial" w:hAnsi="Arial"/>
          <w:sz w:val="20"/>
          <w:szCs w:val="20"/>
          <w:b w:val="1"/>
          <w:bCs w:val="1"/>
          <w:i w:val="1"/>
          <w:iCs w:val="1"/>
          <w:color w:val="auto"/>
        </w:rPr>
        <w:t>Restricted Stock Unit</w:t>
      </w:r>
    </w:p>
    <w:p>
      <w:pPr>
        <w:spacing w:after="0" w:line="212" w:lineRule="auto"/>
        <w:rPr>
          <w:sz w:val="20"/>
          <w:szCs w:val="20"/>
          <w:color w:val="auto"/>
        </w:rPr>
      </w:pPr>
      <w:r>
        <w:rPr>
          <w:rFonts w:ascii="Arial" w:cs="Arial" w:eastAsia="Arial" w:hAnsi="Arial"/>
          <w:sz w:val="21"/>
          <w:szCs w:val="21"/>
          <w:b w:val="1"/>
          <w:bCs w:val="1"/>
          <w:i w:val="1"/>
          <w:iCs w:val="1"/>
          <w:color w:val="auto"/>
        </w:rPr>
        <w:t>Grant Notice</w:t>
      </w:r>
      <w:r>
        <w:rPr>
          <w:rFonts w:ascii="Arial" w:cs="Arial" w:eastAsia="Arial" w:hAnsi="Arial"/>
          <w:sz w:val="21"/>
          <w:szCs w:val="21"/>
          <w:color w:val="auto"/>
        </w:rPr>
        <w:t>”), and in the Plan and the Restricted Stock Unit Award Agreement, both of which are attached hereto and</w:t>
      </w:r>
    </w:p>
    <w:p>
      <w:pPr>
        <w:spacing w:after="0" w:line="234" w:lineRule="auto"/>
        <w:rPr>
          <w:sz w:val="20"/>
          <w:szCs w:val="20"/>
          <w:color w:val="auto"/>
        </w:rPr>
      </w:pPr>
      <w:r>
        <w:rPr>
          <w:rFonts w:ascii="Arial" w:cs="Arial" w:eastAsia="Arial" w:hAnsi="Arial"/>
          <w:sz w:val="19"/>
          <w:szCs w:val="19"/>
          <w:color w:val="auto"/>
        </w:rPr>
        <w:t>incorporated herein in their entirety. Capitalized terms not explicitly defined herein will have the meanings set forth in the Plan or</w:t>
      </w:r>
    </w:p>
    <w:p>
      <w:pPr>
        <w:spacing w:after="0" w:line="222" w:lineRule="auto"/>
        <w:rPr>
          <w:sz w:val="20"/>
          <w:szCs w:val="20"/>
          <w:color w:val="auto"/>
        </w:rPr>
      </w:pPr>
      <w:r>
        <w:rPr>
          <w:rFonts w:ascii="Arial" w:cs="Arial" w:eastAsia="Arial" w:hAnsi="Arial"/>
          <w:sz w:val="20"/>
          <w:szCs w:val="20"/>
          <w:color w:val="auto"/>
        </w:rPr>
        <w:t>the Restricted Stock Unit Award Agreement. In the event of any conflict between the terms in this Restricted Stock Unit Grant</w:t>
      </w:r>
    </w:p>
    <w:p>
      <w:pPr>
        <w:spacing w:after="0"/>
        <w:rPr>
          <w:sz w:val="20"/>
          <w:szCs w:val="20"/>
          <w:color w:val="auto"/>
        </w:rPr>
      </w:pPr>
      <w:r>
        <w:rPr>
          <w:rFonts w:ascii="Arial" w:cs="Arial" w:eastAsia="Arial" w:hAnsi="Arial"/>
          <w:sz w:val="21"/>
          <w:szCs w:val="21"/>
          <w:color w:val="auto"/>
        </w:rPr>
        <w:t>Notice or the Restricted Stock Unit Award Agreement and the Plan, the terms of the Plan will control.</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1168400</wp:posOffset>
            </wp:positionH>
            <wp:positionV relativeFrom="paragraph">
              <wp:posOffset>-5715</wp:posOffset>
            </wp:positionV>
            <wp:extent cx="2705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270510" cy="8255"/>
                    </a:xfrm>
                    <a:prstGeom prst="rect">
                      <a:avLst/>
                    </a:prstGeom>
                    <a:noFill/>
                  </pic:spPr>
                </pic:pic>
              </a:graphicData>
            </a:graphic>
          </wp:anchor>
        </w:drawing>
      </w:r>
    </w:p>
    <w:p>
      <w:pPr>
        <w:ind w:left="640"/>
        <w:spacing w:after="0" w:line="211" w:lineRule="auto"/>
        <w:rPr>
          <w:sz w:val="20"/>
          <w:szCs w:val="20"/>
          <w:color w:val="auto"/>
        </w:rPr>
      </w:pPr>
      <w:r>
        <w:rPr>
          <w:rFonts w:ascii="Arial" w:cs="Arial" w:eastAsia="Arial" w:hAnsi="Arial"/>
          <w:sz w:val="21"/>
          <w:szCs w:val="2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1326515</wp:posOffset>
            </wp:positionH>
            <wp:positionV relativeFrom="paragraph">
              <wp:posOffset>-5080</wp:posOffset>
            </wp:positionV>
            <wp:extent cx="135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135255" cy="8255"/>
                    </a:xfrm>
                    <a:prstGeom prst="rect">
                      <a:avLst/>
                    </a:prstGeom>
                    <a:noFill/>
                  </pic:spPr>
                </pic:pic>
              </a:graphicData>
            </a:graphic>
          </wp:anchor>
        </w:drawing>
      </w:r>
    </w:p>
    <w:p>
      <w:pPr>
        <w:ind w:left="640"/>
        <w:spacing w:after="0" w:line="212" w:lineRule="auto"/>
        <w:rPr>
          <w:sz w:val="20"/>
          <w:szCs w:val="20"/>
          <w:color w:val="auto"/>
        </w:rPr>
      </w:pPr>
      <w:r>
        <w:rPr>
          <w:rFonts w:ascii="Arial" w:cs="Arial" w:eastAsia="Arial" w:hAnsi="Arial"/>
          <w:sz w:val="21"/>
          <w:szCs w:val="21"/>
          <w:color w:val="auto"/>
        </w:rPr>
        <w:t>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-5715</wp:posOffset>
            </wp:positionV>
            <wp:extent cx="135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135255" cy="8255"/>
                    </a:xfrm>
                    <a:prstGeom prst="rect">
                      <a:avLst/>
                    </a:prstGeom>
                    <a:noFill/>
                  </pic:spPr>
                </pic:pic>
              </a:graphicData>
            </a:graphic>
          </wp:anchor>
        </w:drawing>
      </w:r>
    </w:p>
    <w:p>
      <w:pPr>
        <w:ind w:left="640"/>
        <w:spacing w:after="0" w:line="212" w:lineRule="auto"/>
        <w:rPr>
          <w:sz w:val="20"/>
          <w:szCs w:val="20"/>
          <w:color w:val="auto"/>
        </w:rPr>
      </w:pPr>
      <w:r>
        <w:rPr>
          <w:rFonts w:ascii="Arial" w:cs="Arial" w:eastAsia="Arial" w:hAnsi="Arial"/>
          <w:sz w:val="21"/>
          <w:szCs w:val="21"/>
          <w:color w:val="auto"/>
        </w:rPr>
        <w:t>Target 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2832100</wp:posOffset>
            </wp:positionH>
            <wp:positionV relativeFrom="paragraph">
              <wp:posOffset>-5715</wp:posOffset>
            </wp:positionV>
            <wp:extent cx="135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135255" cy="8255"/>
                    </a:xfrm>
                    <a:prstGeom prst="rect">
                      <a:avLst/>
                    </a:prstGeom>
                    <a:noFill/>
                  </pic:spPr>
                </pic:pic>
              </a:graphicData>
            </a:graphic>
          </wp:anchor>
        </w:drawing>
      </w:r>
    </w:p>
    <w:p>
      <w:pPr>
        <w:ind w:left="640"/>
        <w:spacing w:after="0"/>
        <w:rPr>
          <w:sz w:val="20"/>
          <w:szCs w:val="20"/>
          <w:color w:val="auto"/>
        </w:rPr>
      </w:pPr>
      <w:r>
        <w:rPr>
          <w:rFonts w:ascii="Arial" w:cs="Arial" w:eastAsia="Arial" w:hAnsi="Arial"/>
          <w:sz w:val="21"/>
          <w:szCs w:val="21"/>
          <w:color w:val="auto"/>
        </w:rPr>
        <w:t>Maximum 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-23495</wp:posOffset>
            </wp:positionV>
            <wp:extent cx="135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13525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880" w:right="80" w:hanging="1916"/>
        <w:spacing w:after="0" w:line="245" w:lineRule="auto"/>
        <w:tabs>
          <w:tab w:leader="none" w:pos="1860" w:val="left"/>
        </w:tabs>
        <w:rPr>
          <w:sz w:val="20"/>
          <w:szCs w:val="20"/>
          <w:color w:val="auto"/>
        </w:rPr>
      </w:pPr>
      <w:r>
        <w:rPr>
          <w:rFonts w:ascii="Arial" w:cs="Arial" w:eastAsia="Arial" w:hAnsi="Arial"/>
          <w:sz w:val="21"/>
          <w:szCs w:val="21"/>
          <w:b w:val="1"/>
          <w:bCs w:val="1"/>
          <w:color w:val="auto"/>
        </w:rPr>
        <w:t>Vesting Schedule:</w:t>
      </w:r>
      <w:r>
        <w:rPr>
          <w:sz w:val="20"/>
          <w:szCs w:val="20"/>
          <w:color w:val="auto"/>
        </w:rPr>
        <w:tab/>
      </w:r>
      <w:r>
        <w:rPr>
          <w:rFonts w:ascii="Arial" w:cs="Arial" w:eastAsia="Arial" w:hAnsi="Arial"/>
          <w:sz w:val="19"/>
          <w:szCs w:val="19"/>
          <w:color w:val="auto"/>
        </w:rPr>
        <w:t xml:space="preserve">The number of Restricted Stock Units subject to the Award that may vest will be determined in accordance with the Restricted Stock Unit Award Vesting Criteria set forth in </w:t>
      </w:r>
      <w:r>
        <w:rPr>
          <w:rFonts w:ascii="Arial" w:cs="Arial" w:eastAsia="Arial" w:hAnsi="Arial"/>
          <w:sz w:val="19"/>
          <w:szCs w:val="19"/>
          <w:u w:val="single" w:color="auto"/>
          <w:color w:val="auto"/>
        </w:rPr>
        <w:t>Attachment I</w:t>
      </w:r>
      <w:r>
        <w:rPr>
          <w:rFonts w:ascii="Arial" w:cs="Arial" w:eastAsia="Arial" w:hAnsi="Arial"/>
          <w:sz w:val="19"/>
          <w:szCs w:val="19"/>
          <w:color w:val="auto"/>
        </w:rPr>
        <w:t xml:space="preserve"> to this Restricted Stock Unit Grant Notice (the “</w:t>
      </w:r>
      <w:r>
        <w:rPr>
          <w:rFonts w:ascii="Arial" w:cs="Arial" w:eastAsia="Arial" w:hAnsi="Arial"/>
          <w:sz w:val="19"/>
          <w:szCs w:val="19"/>
          <w:b w:val="1"/>
          <w:bCs w:val="1"/>
          <w:i w:val="1"/>
          <w:iCs w:val="1"/>
          <w:color w:val="auto"/>
        </w:rPr>
        <w:t>Vesting Criteria</w:t>
      </w:r>
      <w:r>
        <w:rPr>
          <w:rFonts w:ascii="Arial" w:cs="Arial" w:eastAsia="Arial" w:hAnsi="Arial"/>
          <w:sz w:val="19"/>
          <w:szCs w:val="19"/>
          <w:color w:val="auto"/>
        </w:rPr>
        <w:t>”). The Target Number of Restricted Stock Units represent the number of Restricted Stock Units that would vest if the Participant satisfies the service vesting conditions set forth in the Vesting Criteria and the Company achieves 100% of the Company’s target performance goal specified in the Vesting Criteria. In no event will more than the Maximum Number of Restricted Stock Units vest.</w:t>
      </w:r>
    </w:p>
    <w:p>
      <w:pPr>
        <w:spacing w:after="0" w:line="179" w:lineRule="exact"/>
        <w:rPr>
          <w:sz w:val="20"/>
          <w:szCs w:val="20"/>
          <w:color w:val="auto"/>
        </w:rPr>
      </w:pPr>
    </w:p>
    <w:p>
      <w:pPr>
        <w:ind w:left="1920" w:right="360" w:hanging="1916"/>
        <w:spacing w:after="0" w:line="292" w:lineRule="auto"/>
        <w:tabs>
          <w:tab w:leader="none" w:pos="1900" w:val="left"/>
        </w:tabs>
        <w:rPr>
          <w:sz w:val="20"/>
          <w:szCs w:val="20"/>
          <w:color w:val="auto"/>
        </w:rPr>
      </w:pPr>
      <w:r>
        <w:rPr>
          <w:rFonts w:ascii="Arial" w:cs="Arial" w:eastAsia="Arial" w:hAnsi="Arial"/>
          <w:sz w:val="21"/>
          <w:szCs w:val="21"/>
          <w:b w:val="1"/>
          <w:bCs w:val="1"/>
          <w:color w:val="auto"/>
        </w:rPr>
        <w:t>Issuance Schedule:</w:t>
      </w:r>
      <w:r>
        <w:rPr>
          <w:sz w:val="20"/>
          <w:szCs w:val="20"/>
          <w:color w:val="auto"/>
        </w:rPr>
        <w:tab/>
      </w:r>
      <w:r>
        <w:rPr>
          <w:rFonts w:ascii="Arial" w:cs="Arial" w:eastAsia="Arial" w:hAnsi="Arial"/>
          <w:sz w:val="19"/>
          <w:szCs w:val="19"/>
          <w:color w:val="auto"/>
        </w:rPr>
        <w:t>Subject to any Capitalization Adjustment, one share of Common Stock will be issued for each Restricted Stock Unit that vests at the time set forth in Section 6 of the Restricted Stock Unit Award Agreement.</w:t>
      </w:r>
    </w:p>
    <w:p>
      <w:pPr>
        <w:spacing w:after="0" w:line="240" w:lineRule="exact"/>
        <w:rPr>
          <w:sz w:val="20"/>
          <w:szCs w:val="20"/>
          <w:color w:val="auto"/>
        </w:rPr>
      </w:pPr>
    </w:p>
    <w:p>
      <w:pPr>
        <w:ind w:right="60"/>
        <w:spacing w:after="0" w:line="239" w:lineRule="auto"/>
        <w:rPr>
          <w:sz w:val="20"/>
          <w:szCs w:val="20"/>
          <w:color w:val="auto"/>
        </w:rPr>
      </w:pPr>
      <w:r>
        <w:rPr>
          <w:rFonts w:ascii="Arial" w:cs="Arial" w:eastAsia="Arial" w:hAnsi="Arial"/>
          <w:sz w:val="19"/>
          <w:szCs w:val="19"/>
          <w:b w:val="1"/>
          <w:bCs w:val="1"/>
          <w:color w:val="auto"/>
        </w:rPr>
        <w:t xml:space="preserve">Additional Terms/Acknowledgements: </w:t>
      </w:r>
      <w:r>
        <w:rPr>
          <w:rFonts w:ascii="Arial" w:cs="Arial" w:eastAsia="Arial" w:hAnsi="Arial"/>
          <w:sz w:val="19"/>
          <w:szCs w:val="19"/>
          <w:color w:val="auto"/>
        </w:rPr>
        <w:t>Participant acknowledges receipt of, and understands and agrees to, this Restricted Stock</w:t>
      </w:r>
      <w:r>
        <w:rPr>
          <w:rFonts w:ascii="Arial" w:cs="Arial" w:eastAsia="Arial" w:hAnsi="Arial"/>
          <w:sz w:val="19"/>
          <w:szCs w:val="19"/>
          <w:b w:val="1"/>
          <w:bCs w:val="1"/>
          <w:color w:val="auto"/>
        </w:rPr>
        <w:t xml:space="preserve"> </w:t>
      </w:r>
      <w:r>
        <w:rPr>
          <w:rFonts w:ascii="Arial" w:cs="Arial" w:eastAsia="Arial" w:hAnsi="Arial"/>
          <w:sz w:val="19"/>
          <w:szCs w:val="19"/>
          <w:color w:val="auto"/>
        </w:rPr>
        <w:t>Unit Grant Notice, the Restricted Stock Unit Award Agreement and the Plan. Participant further acknowledges that as of the Date of Grant, this Restricted Stock Unit Grant Notice, the Restricted Stock Unit Award Agreement and the Plan set forth the entire understanding between Participant and the Company regarding the acquisition of the Common Stock pursuant to the Award specified above and supersede all prior oral and written agreements on the terms of this Award, with the exception, if applicable, of</w:t>
      </w:r>
    </w:p>
    <w:p>
      <w:pPr>
        <w:spacing w:after="0" w:line="1" w:lineRule="exact"/>
        <w:rPr>
          <w:sz w:val="20"/>
          <w:szCs w:val="20"/>
          <w:color w:val="auto"/>
        </w:rPr>
      </w:pPr>
    </w:p>
    <w:p>
      <w:pPr>
        <w:ind w:right="300" w:firstLine="6"/>
        <w:spacing w:after="0" w:line="225" w:lineRule="auto"/>
        <w:tabs>
          <w:tab w:leader="none" w:pos="254" w:val="left"/>
        </w:tabs>
        <w:numPr>
          <w:ilvl w:val="0"/>
          <w:numId w:val="53"/>
        </w:numPr>
        <w:rPr>
          <w:rFonts w:ascii="Arial" w:cs="Arial" w:eastAsia="Arial" w:hAnsi="Arial"/>
          <w:sz w:val="21"/>
          <w:szCs w:val="21"/>
          <w:color w:val="auto"/>
        </w:rPr>
      </w:pPr>
      <w:r>
        <w:rPr>
          <w:rFonts w:ascii="Arial" w:cs="Arial" w:eastAsia="Arial" w:hAnsi="Arial"/>
          <w:sz w:val="21"/>
          <w:szCs w:val="21"/>
          <w:color w:val="auto"/>
        </w:rPr>
        <w:t>equity awards previously granted and delivered to Participant, (ii) any compensation recovery policy that is adopted by the Company or is otherwise required by applicable law; and (iii) any written employment agreement or severance arrangement that would provide for vesting acceleration of this Award upon the terms and conditions set forth therein.</w:t>
      </w:r>
    </w:p>
    <w:p>
      <w:pPr>
        <w:spacing w:after="0" w:line="48" w:lineRule="exact"/>
        <w:rPr>
          <w:sz w:val="20"/>
          <w:szCs w:val="20"/>
          <w:color w:val="auto"/>
        </w:rPr>
      </w:pPr>
    </w:p>
    <w:p>
      <w:pPr>
        <w:ind w:right="20"/>
        <w:spacing w:after="0" w:line="231" w:lineRule="auto"/>
        <w:rPr>
          <w:sz w:val="20"/>
          <w:szCs w:val="20"/>
          <w:color w:val="auto"/>
        </w:rPr>
      </w:pPr>
      <w:r>
        <w:rPr>
          <w:rFonts w:ascii="Arial" w:cs="Arial" w:eastAsia="Arial" w:hAnsi="Arial"/>
          <w:sz w:val="21"/>
          <w:szCs w:val="21"/>
          <w:color w:val="auto"/>
        </w:rPr>
        <w:t>By accepting this Award, Participant acknowledges having received and read the Restricted Stock Unit Grant Notice, the Restricted Stock Unit Award Agreement and the Plan and agrees to all of the terms and conditions set forth in these documents. Participant consents to receive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440" w:right="339" w:bottom="1440" w:gutter="0" w:footer="0" w:header="0"/>
        </w:sectPr>
      </w:pPr>
    </w:p>
    <w:bookmarkStart w:id="87" w:name="page88"/>
    <w:bookmarkEnd w:id="87"/>
    <w:p>
      <w:pPr>
        <w:spacing w:after="0" w:line="50" w:lineRule="exact"/>
        <w:rPr>
          <w:sz w:val="20"/>
          <w:szCs w:val="20"/>
          <w:color w:val="auto"/>
        </w:rPr>
      </w:pPr>
    </w:p>
    <w:p>
      <w:pPr>
        <w:ind w:right="100"/>
        <w:spacing w:after="0" w:line="241" w:lineRule="auto"/>
        <w:rPr>
          <w:sz w:val="20"/>
          <w:szCs w:val="20"/>
          <w:color w:val="auto"/>
        </w:rPr>
      </w:pPr>
      <w:r>
        <w:rPr>
          <w:rFonts w:ascii="Arial" w:cs="Arial" w:eastAsia="Arial" w:hAnsi="Arial"/>
          <w:sz w:val="21"/>
          <w:szCs w:val="21"/>
          <w:color w:val="auto"/>
        </w:rPr>
        <w:t>documents by electronic delivery and to participate in the Plan through an on-line or electronic system established and maintained by the Company or a third party designated by the Company.</w:t>
      </w:r>
    </w:p>
    <w:p>
      <w:pPr>
        <w:spacing w:after="0" w:line="254" w:lineRule="exact"/>
        <w:rPr>
          <w:sz w:val="20"/>
          <w:szCs w:val="20"/>
          <w:color w:val="auto"/>
        </w:rPr>
      </w:pPr>
    </w:p>
    <w:p>
      <w:pPr>
        <w:spacing w:after="0"/>
        <w:tabs>
          <w:tab w:leader="none" w:pos="1540" w:val="left"/>
        </w:tabs>
        <w:rPr>
          <w:sz w:val="20"/>
          <w:szCs w:val="20"/>
          <w:color w:val="auto"/>
        </w:rPr>
      </w:pPr>
      <w:r>
        <w:rPr>
          <w:rFonts w:ascii="Arial" w:cs="Arial" w:eastAsia="Arial" w:hAnsi="Arial"/>
          <w:sz w:val="21"/>
          <w:szCs w:val="21"/>
          <w:b w:val="1"/>
          <w:bCs w:val="1"/>
          <w:color w:val="auto"/>
        </w:rPr>
        <w:t>SI-BONE, Inc.</w:t>
      </w:r>
      <w:r>
        <w:rPr>
          <w:sz w:val="20"/>
          <w:szCs w:val="20"/>
          <w:color w:val="auto"/>
        </w:rPr>
        <w:tab/>
      </w:r>
      <w:r>
        <w:rPr>
          <w:rFonts w:ascii="Arial" w:cs="Arial" w:eastAsia="Arial" w:hAnsi="Arial"/>
          <w:sz w:val="19"/>
          <w:szCs w:val="19"/>
          <w:b w:val="1"/>
          <w:bCs w:val="1"/>
          <w:color w:val="auto"/>
        </w:rPr>
        <w:t>Participant</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-5715</wp:posOffset>
            </wp:positionV>
            <wp:extent cx="135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135255" cy="825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-5715</wp:posOffset>
            </wp:positionV>
            <wp:extent cx="135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135255" cy="8255"/>
                    </a:xfrm>
                    <a:prstGeom prst="rect">
                      <a:avLst/>
                    </a:prstGeom>
                    <a:noFill/>
                  </pic:spPr>
                </pic:pic>
              </a:graphicData>
            </a:graphic>
          </wp:anchor>
        </w:drawing>
      </w:r>
    </w:p>
    <w:p>
      <w:pPr>
        <w:ind w:left="220"/>
        <w:spacing w:after="0"/>
        <w:tabs>
          <w:tab w:leader="none" w:pos="1220" w:val="left"/>
        </w:tabs>
        <w:rPr>
          <w:sz w:val="20"/>
          <w:szCs w:val="20"/>
          <w:color w:val="auto"/>
        </w:rPr>
      </w:pPr>
      <w:r>
        <w:rPr>
          <w:rFonts w:ascii="Arial" w:cs="Arial" w:eastAsia="Arial" w:hAnsi="Arial"/>
          <w:sz w:val="21"/>
          <w:szCs w:val="21"/>
          <w:color w:val="auto"/>
        </w:rPr>
        <w:t>Signature</w:t>
      </w:r>
      <w:r>
        <w:rPr>
          <w:sz w:val="20"/>
          <w:szCs w:val="20"/>
          <w:color w:val="auto"/>
        </w:rPr>
        <w:tab/>
      </w:r>
      <w:r>
        <w:rPr>
          <w:rFonts w:ascii="Arial" w:cs="Arial" w:eastAsia="Arial" w:hAnsi="Arial"/>
          <w:sz w:val="19"/>
          <w:szCs w:val="19"/>
          <w:color w:val="auto"/>
        </w:rPr>
        <w:t>Signature</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-12065</wp:posOffset>
            </wp:positionV>
            <wp:extent cx="135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135255" cy="825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-12065</wp:posOffset>
            </wp:positionV>
            <wp:extent cx="135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13525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-12065</wp:posOffset>
            </wp:positionV>
            <wp:extent cx="135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135255" cy="8255"/>
                    </a:xfrm>
                    <a:prstGeom prst="rect">
                      <a:avLst/>
                    </a:prstGeom>
                    <a:noFill/>
                  </pic:spPr>
                </pic:pic>
              </a:graphicData>
            </a:graphic>
          </wp:anchor>
        </w:drawing>
      </w:r>
    </w:p>
    <w:p>
      <w:pPr>
        <w:spacing w:after="0" w:line="158" w:lineRule="exact"/>
        <w:rPr>
          <w:sz w:val="20"/>
          <w:szCs w:val="20"/>
          <w:color w:val="auto"/>
        </w:rPr>
      </w:pPr>
    </w:p>
    <w:p>
      <w:pPr>
        <w:ind w:left="1500" w:hanging="1517"/>
        <w:spacing w:after="0" w:line="241" w:lineRule="auto"/>
        <w:tabs>
          <w:tab w:leader="none" w:pos="1480" w:val="left"/>
        </w:tabs>
        <w:rPr>
          <w:sz w:val="20"/>
          <w:szCs w:val="20"/>
          <w:color w:val="auto"/>
        </w:rPr>
      </w:pPr>
      <w:r>
        <w:rPr>
          <w:rFonts w:ascii="Arial" w:cs="Arial" w:eastAsia="Arial" w:hAnsi="Arial"/>
          <w:sz w:val="21"/>
          <w:szCs w:val="21"/>
          <w:b w:val="1"/>
          <w:bCs w:val="1"/>
          <w:color w:val="auto"/>
        </w:rPr>
        <w:t>Attachments</w:t>
      </w:r>
      <w:r>
        <w:rPr>
          <w:rFonts w:ascii="Arial" w:cs="Arial" w:eastAsia="Arial" w:hAnsi="Arial"/>
          <w:sz w:val="21"/>
          <w:szCs w:val="21"/>
          <w:color w:val="auto"/>
        </w:rPr>
        <w:t>:</w:t>
      </w:r>
      <w:r>
        <w:rPr>
          <w:sz w:val="20"/>
          <w:szCs w:val="20"/>
          <w:color w:val="auto"/>
        </w:rPr>
        <w:tab/>
      </w:r>
      <w:r>
        <w:rPr>
          <w:rFonts w:ascii="Arial" w:cs="Arial" w:eastAsia="Arial" w:hAnsi="Arial"/>
          <w:sz w:val="21"/>
          <w:szCs w:val="21"/>
          <w:color w:val="auto"/>
        </w:rPr>
        <w:t>Restricted Stock Unit Award Vesting Criteria, Restricted Stock Unit Award Agreement and 2018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00"/>
          </w:cols>
          <w:pgMar w:left="320" w:top="1440" w:right="379" w:bottom="1440" w:gutter="0" w:footer="0" w:header="0"/>
        </w:sectPr>
      </w:pPr>
    </w:p>
    <w:bookmarkStart w:id="88" w:name="page89"/>
    <w:bookmarkEnd w:id="88"/>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Attachment I</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Vesting Criteria</w:t>
      </w:r>
    </w:p>
    <w:p>
      <w:pPr>
        <w:spacing w:after="0" w:line="215" w:lineRule="exact"/>
        <w:rPr>
          <w:sz w:val="20"/>
          <w:szCs w:val="20"/>
          <w:color w:val="auto"/>
        </w:rPr>
      </w:pPr>
    </w:p>
    <w:p>
      <w:pPr>
        <w:ind w:firstLine="639"/>
        <w:spacing w:after="0" w:line="233" w:lineRule="auto"/>
        <w:rPr>
          <w:sz w:val="20"/>
          <w:szCs w:val="20"/>
          <w:color w:val="auto"/>
        </w:rPr>
      </w:pPr>
      <w:r>
        <w:rPr>
          <w:rFonts w:ascii="Arial" w:cs="Arial" w:eastAsia="Arial" w:hAnsi="Arial"/>
          <w:sz w:val="18"/>
          <w:szCs w:val="18"/>
          <w:color w:val="auto"/>
        </w:rPr>
        <w:t xml:space="preserve">The number of Restricted Stock Units that may vest will be determined in accordance with the following criteria. Capitalized terms not explicitly defined in this </w:t>
      </w:r>
      <w:r>
        <w:rPr>
          <w:rFonts w:ascii="Arial" w:cs="Arial" w:eastAsia="Arial" w:hAnsi="Arial"/>
          <w:sz w:val="18"/>
          <w:szCs w:val="18"/>
          <w:u w:val="single" w:color="auto"/>
          <w:color w:val="auto"/>
        </w:rPr>
        <w:t>Attachment I</w:t>
      </w:r>
      <w:r>
        <w:rPr>
          <w:rFonts w:ascii="Arial" w:cs="Arial" w:eastAsia="Arial" w:hAnsi="Arial"/>
          <w:sz w:val="18"/>
          <w:szCs w:val="18"/>
          <w:color w:val="auto"/>
        </w:rPr>
        <w:t xml:space="preserve"> shall have the same meanings given to them in the Plan, the Restricted Stock Unit Award Grant Notice</w:t>
      </w:r>
    </w:p>
    <w:p>
      <w:pPr>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or the Restricted Stock Unit Award Agreement, as applicable.</w:t>
      </w:r>
    </w:p>
    <w:p>
      <w:pPr>
        <w:spacing w:after="0" w:line="187" w:lineRule="exact"/>
        <w:rPr>
          <w:sz w:val="20"/>
          <w:szCs w:val="20"/>
          <w:color w:val="auto"/>
        </w:rPr>
      </w:pPr>
    </w:p>
    <w:p>
      <w:pPr>
        <w:ind w:left="320" w:hanging="314"/>
        <w:spacing w:after="0"/>
        <w:tabs>
          <w:tab w:leader="none" w:pos="320" w:val="left"/>
        </w:tabs>
        <w:numPr>
          <w:ilvl w:val="0"/>
          <w:numId w:val="54"/>
        </w:numPr>
        <w:rPr>
          <w:rFonts w:ascii="Arial" w:cs="Arial" w:eastAsia="Arial" w:hAnsi="Arial"/>
          <w:sz w:val="20"/>
          <w:szCs w:val="20"/>
          <w:color w:val="auto"/>
        </w:rPr>
      </w:pPr>
      <w:r>
        <w:rPr>
          <w:rFonts w:ascii="Arial" w:cs="Arial" w:eastAsia="Arial" w:hAnsi="Arial"/>
          <w:sz w:val="20"/>
          <w:szCs w:val="20"/>
          <w:b w:val="1"/>
          <w:bCs w:val="1"/>
          <w:color w:val="auto"/>
        </w:rPr>
        <w:t>Performance Period; Measurement Periods.</w:t>
      </w:r>
    </w:p>
    <w:p>
      <w:pPr>
        <w:spacing w:after="0" w:line="175" w:lineRule="exact"/>
        <w:rPr>
          <w:sz w:val="20"/>
          <w:szCs w:val="20"/>
          <w:color w:val="auto"/>
        </w:rPr>
      </w:pPr>
    </w:p>
    <w:p>
      <w:pPr>
        <w:ind w:firstLine="639"/>
        <w:spacing w:after="0" w:line="254" w:lineRule="auto"/>
        <w:rPr>
          <w:sz w:val="20"/>
          <w:szCs w:val="20"/>
          <w:color w:val="auto"/>
        </w:rPr>
      </w:pPr>
      <w:r>
        <w:rPr>
          <w:rFonts w:ascii="Arial" w:cs="Arial" w:eastAsia="Arial" w:hAnsi="Arial"/>
          <w:sz w:val="17"/>
          <w:szCs w:val="17"/>
          <w:color w:val="auto"/>
        </w:rPr>
        <w:t>The performance period for the Restricted Stock Units shall be the period of time beginning January 1, 2022 and ending on December 31, 2024 (the “</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During the Performance Period there will be three separate measurement periods of the Company’s TSR</w:t>
      </w:r>
    </w:p>
    <w:p>
      <w:pPr>
        <w:spacing w:after="0" w:line="2" w:lineRule="exact"/>
        <w:rPr>
          <w:sz w:val="20"/>
          <w:szCs w:val="20"/>
          <w:color w:val="auto"/>
        </w:rPr>
      </w:pPr>
    </w:p>
    <w:p>
      <w:pPr>
        <w:ind w:right="20"/>
        <w:spacing w:after="0" w:line="218" w:lineRule="auto"/>
        <w:rPr>
          <w:sz w:val="20"/>
          <w:szCs w:val="20"/>
          <w:color w:val="auto"/>
        </w:rPr>
      </w:pPr>
      <w:r>
        <w:rPr>
          <w:rFonts w:ascii="Arial" w:cs="Arial" w:eastAsia="Arial" w:hAnsi="Arial"/>
          <w:sz w:val="20"/>
          <w:szCs w:val="20"/>
          <w:color w:val="auto"/>
        </w:rPr>
        <w:t>as measured versus the TSR of the Median Peer Company (each, a “</w:t>
      </w:r>
      <w:r>
        <w:rPr>
          <w:rFonts w:ascii="Arial" w:cs="Arial" w:eastAsia="Arial" w:hAnsi="Arial"/>
          <w:sz w:val="20"/>
          <w:szCs w:val="20"/>
          <w:b w:val="1"/>
          <w:bCs w:val="1"/>
          <w:i w:val="1"/>
          <w:iCs w:val="1"/>
          <w:color w:val="auto"/>
        </w:rPr>
        <w:t>Measurement Period</w:t>
      </w:r>
      <w:r>
        <w:rPr>
          <w:rFonts w:ascii="Arial" w:cs="Arial" w:eastAsia="Arial" w:hAnsi="Arial"/>
          <w:sz w:val="20"/>
          <w:szCs w:val="20"/>
          <w:color w:val="auto"/>
        </w:rPr>
        <w:t>”). The Start Dates and End Dates for the First, Second and Third Measurement Periods are:</w:t>
      </w:r>
    </w:p>
    <w:p>
      <w:pPr>
        <w:spacing w:after="0" w:line="229" w:lineRule="exact"/>
        <w:rPr>
          <w:sz w:val="20"/>
          <w:szCs w:val="20"/>
          <w:color w:val="auto"/>
        </w:rPr>
      </w:pPr>
    </w:p>
    <w:tbl>
      <w:tblPr>
        <w:tblLayout w:type="fixed"/>
        <w:tblInd w:w="50" w:type="dxa"/>
        <w:tblCellMar>
          <w:top w:w="0" w:type="dxa"/>
          <w:left w:w="0" w:type="dxa"/>
          <w:bottom w:w="0" w:type="dxa"/>
          <w:right w:w="0" w:type="dxa"/>
        </w:tblCellMar>
      </w:tblPr>
      <w:tr>
        <w:trPr>
          <w:trHeight w:val="266"/>
        </w:trPr>
        <w:tc>
          <w:tcPr>
            <w:tcW w:w="1900" w:type="dxa"/>
            <w:vAlign w:val="bottom"/>
            <w:tcBorders>
              <w:top w:val="single" w:sz="8" w:color="auto"/>
              <w:left w:val="single" w:sz="8" w:color="auto"/>
              <w:bottom w:val="single" w:sz="8" w:color="auto"/>
              <w:right w:val="single" w:sz="8" w:color="auto"/>
            </w:tcBorders>
          </w:tcPr>
          <w:p>
            <w:pPr>
              <w:spacing w:after="0"/>
              <w:rPr>
                <w:sz w:val="23"/>
                <w:szCs w:val="23"/>
                <w:color w:val="auto"/>
              </w:rPr>
            </w:pPr>
          </w:p>
        </w:tc>
        <w:tc>
          <w:tcPr>
            <w:tcW w:w="3020" w:type="dxa"/>
            <w:vAlign w:val="bottom"/>
            <w:tcBorders>
              <w:top w:val="single" w:sz="8" w:color="auto"/>
              <w:bottom w:val="single" w:sz="8" w:color="auto"/>
              <w:right w:val="single" w:sz="8" w:color="auto"/>
            </w:tcBorders>
            <w:gridSpan w:val="2"/>
          </w:tcPr>
          <w:p>
            <w:pPr>
              <w:ind w:left="400"/>
              <w:spacing w:after="0"/>
              <w:rPr>
                <w:sz w:val="20"/>
                <w:szCs w:val="20"/>
                <w:color w:val="auto"/>
              </w:rPr>
            </w:pPr>
            <w:r>
              <w:rPr>
                <w:rFonts w:ascii="Arial" w:cs="Arial" w:eastAsia="Arial" w:hAnsi="Arial"/>
                <w:sz w:val="20"/>
                <w:szCs w:val="20"/>
                <w:b w:val="1"/>
                <w:bCs w:val="1"/>
                <w:color w:val="auto"/>
              </w:rPr>
              <w:t>First Measurement Period</w:t>
            </w:r>
          </w:p>
        </w:tc>
        <w:tc>
          <w:tcPr>
            <w:tcW w:w="3000" w:type="dxa"/>
            <w:vAlign w:val="bottom"/>
            <w:tcBorders>
              <w:top w:val="single" w:sz="8" w:color="auto"/>
              <w:bottom w:val="single" w:sz="8" w:color="auto"/>
              <w:right w:val="single" w:sz="8" w:color="auto"/>
            </w:tcBorders>
            <w:gridSpan w:val="2"/>
          </w:tcPr>
          <w:p>
            <w:pPr>
              <w:ind w:left="300"/>
              <w:spacing w:after="0"/>
              <w:rPr>
                <w:sz w:val="20"/>
                <w:szCs w:val="20"/>
                <w:color w:val="auto"/>
              </w:rPr>
            </w:pPr>
            <w:r>
              <w:rPr>
                <w:rFonts w:ascii="Arial" w:cs="Arial" w:eastAsia="Arial" w:hAnsi="Arial"/>
                <w:sz w:val="20"/>
                <w:szCs w:val="20"/>
                <w:b w:val="1"/>
                <w:bCs w:val="1"/>
                <w:color w:val="auto"/>
                <w:w w:val="96"/>
              </w:rPr>
              <w:t>Second Measurement Period</w:t>
            </w:r>
          </w:p>
        </w:tc>
        <w:tc>
          <w:tcPr>
            <w:tcW w:w="3020" w:type="dxa"/>
            <w:vAlign w:val="bottom"/>
            <w:tcBorders>
              <w:top w:val="single" w:sz="8" w:color="auto"/>
              <w:bottom w:val="single" w:sz="8" w:color="auto"/>
              <w:right w:val="single" w:sz="8" w:color="auto"/>
            </w:tcBorders>
            <w:gridSpan w:val="2"/>
          </w:tcPr>
          <w:p>
            <w:pPr>
              <w:ind w:left="360"/>
              <w:spacing w:after="0"/>
              <w:rPr>
                <w:sz w:val="20"/>
                <w:szCs w:val="20"/>
                <w:color w:val="auto"/>
              </w:rPr>
            </w:pPr>
            <w:r>
              <w:rPr>
                <w:rFonts w:ascii="Arial" w:cs="Arial" w:eastAsia="Arial" w:hAnsi="Arial"/>
                <w:sz w:val="20"/>
                <w:szCs w:val="20"/>
                <w:b w:val="1"/>
                <w:bCs w:val="1"/>
                <w:color w:val="auto"/>
              </w:rPr>
              <w:t>Third Measurement Period</w:t>
            </w:r>
          </w:p>
        </w:tc>
      </w:tr>
      <w:tr>
        <w:trPr>
          <w:trHeight w:val="246"/>
        </w:trPr>
        <w:tc>
          <w:tcPr>
            <w:tcW w:w="1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Start Date</w:t>
            </w: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w w:val="85"/>
              </w:rPr>
              <w:t>January 1,</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2022</w:t>
            </w: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w w:val="85"/>
              </w:rPr>
              <w:t>January 1,</w:t>
            </w:r>
          </w:p>
        </w:tc>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2022</w:t>
            </w: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w w:val="85"/>
              </w:rPr>
              <w:t>January 1,</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2022</w:t>
            </w:r>
          </w:p>
        </w:tc>
      </w:tr>
      <w:tr>
        <w:trPr>
          <w:trHeight w:val="246"/>
        </w:trPr>
        <w:tc>
          <w:tcPr>
            <w:tcW w:w="1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End Date</w:t>
            </w: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w w:val="86"/>
              </w:rPr>
              <w:t>December</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31, 2022</w:t>
            </w: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w w:val="86"/>
              </w:rPr>
              <w:t>December</w:t>
            </w:r>
          </w:p>
        </w:tc>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31, 2023</w:t>
            </w: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w w:val="86"/>
              </w:rPr>
              <w:t>December</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31, 2024</w:t>
            </w:r>
          </w:p>
        </w:tc>
      </w:tr>
    </w:tbl>
    <w:p>
      <w:pPr>
        <w:spacing w:after="0" w:line="200" w:lineRule="exact"/>
        <w:rPr>
          <w:sz w:val="20"/>
          <w:szCs w:val="20"/>
          <w:color w:val="auto"/>
        </w:rPr>
      </w:pPr>
    </w:p>
    <w:p>
      <w:pPr>
        <w:spacing w:after="0" w:line="336" w:lineRule="exact"/>
        <w:rPr>
          <w:sz w:val="20"/>
          <w:szCs w:val="20"/>
          <w:color w:val="auto"/>
        </w:rPr>
      </w:pPr>
    </w:p>
    <w:p>
      <w:pPr>
        <w:ind w:left="320" w:hanging="314"/>
        <w:spacing w:after="0"/>
        <w:tabs>
          <w:tab w:leader="none" w:pos="320" w:val="left"/>
        </w:tabs>
        <w:numPr>
          <w:ilvl w:val="0"/>
          <w:numId w:val="55"/>
        </w:numPr>
        <w:rPr>
          <w:rFonts w:ascii="Arial" w:cs="Arial" w:eastAsia="Arial" w:hAnsi="Arial"/>
          <w:sz w:val="20"/>
          <w:szCs w:val="20"/>
          <w:color w:val="auto"/>
        </w:rPr>
      </w:pPr>
      <w:r>
        <w:rPr>
          <w:rFonts w:ascii="Arial" w:cs="Arial" w:eastAsia="Arial" w:hAnsi="Arial"/>
          <w:sz w:val="20"/>
          <w:szCs w:val="20"/>
          <w:b w:val="1"/>
          <w:bCs w:val="1"/>
          <w:color w:val="auto"/>
        </w:rPr>
        <w:t>Target Number of Restricted Stock Units.</w:t>
      </w:r>
    </w:p>
    <w:p>
      <w:pPr>
        <w:spacing w:after="0" w:line="175" w:lineRule="exact"/>
        <w:rPr>
          <w:sz w:val="20"/>
          <w:szCs w:val="20"/>
          <w:color w:val="auto"/>
        </w:rPr>
      </w:pPr>
    </w:p>
    <w:p>
      <w:pPr>
        <w:ind w:firstLine="639"/>
        <w:spacing w:after="0"/>
        <w:rPr>
          <w:sz w:val="20"/>
          <w:szCs w:val="20"/>
          <w:color w:val="auto"/>
        </w:rPr>
      </w:pPr>
      <w:r>
        <w:rPr>
          <w:rFonts w:ascii="Arial" w:cs="Arial" w:eastAsia="Arial" w:hAnsi="Arial"/>
          <w:sz w:val="18"/>
          <w:szCs w:val="18"/>
          <w:color w:val="auto"/>
        </w:rPr>
        <w:t>The Target Number of Restricted Stock Units for each of the First and Second Measurement Periods is equal to one-third of the Target Number of Restricted Units specified in the Grant Notice (with the portions allocated to the First Measurement Period and Second</w:t>
      </w:r>
    </w:p>
    <w:p>
      <w:pPr>
        <w:spacing w:after="0" w:line="1"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Measurement Period rounded down to the nearest whole share). The Target Number of Restricted Stock Units for the Third Measurement Period is equal to the total Target Number of Restricted Stock Units in the Grant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7016115" cy="4648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016115" cy="464820"/>
                    </a:xfrm>
                    <a:prstGeom prst="rect">
                      <a:avLst/>
                    </a:prstGeom>
                    <a:noFill/>
                  </pic:spPr>
                </pic:pic>
              </a:graphicData>
            </a:graphic>
          </wp:anchor>
        </w:drawing>
      </w:r>
    </w:p>
    <w:p>
      <w:pPr>
        <w:spacing w:after="0" w:line="232" w:lineRule="exact"/>
        <w:rPr>
          <w:sz w:val="20"/>
          <w:szCs w:val="20"/>
          <w:color w:val="auto"/>
        </w:rPr>
      </w:pPr>
    </w:p>
    <w:tbl>
      <w:tblPr>
        <w:tblLayout w:type="fixed"/>
        <w:tblInd w:w="2700" w:type="dxa"/>
        <w:tblCellMar>
          <w:top w:w="0" w:type="dxa"/>
          <w:left w:w="0" w:type="dxa"/>
          <w:bottom w:w="0" w:type="dxa"/>
          <w:right w:w="0" w:type="dxa"/>
        </w:tblCellMar>
      </w:tblPr>
      <w:tr>
        <w:trPr>
          <w:trHeight w:val="254"/>
        </w:trPr>
        <w:tc>
          <w:tcPr>
            <w:tcW w:w="2500" w:type="dxa"/>
            <w:vAlign w:val="bottom"/>
          </w:tcPr>
          <w:p>
            <w:pPr>
              <w:spacing w:after="0"/>
              <w:rPr>
                <w:sz w:val="20"/>
                <w:szCs w:val="20"/>
                <w:color w:val="auto"/>
              </w:rPr>
            </w:pPr>
            <w:r>
              <w:rPr>
                <w:rFonts w:ascii="Arial" w:cs="Arial" w:eastAsia="Arial" w:hAnsi="Arial"/>
                <w:sz w:val="20"/>
                <w:szCs w:val="20"/>
                <w:b w:val="1"/>
                <w:bCs w:val="1"/>
                <w:color w:val="auto"/>
              </w:rPr>
              <w:t>First Measurement Period</w:t>
            </w:r>
          </w:p>
        </w:tc>
        <w:tc>
          <w:tcPr>
            <w:tcW w:w="2980" w:type="dxa"/>
            <w:vAlign w:val="bottom"/>
          </w:tcPr>
          <w:p>
            <w:pPr>
              <w:ind w:left="300"/>
              <w:spacing w:after="0"/>
              <w:rPr>
                <w:sz w:val="20"/>
                <w:szCs w:val="20"/>
                <w:color w:val="auto"/>
              </w:rPr>
            </w:pPr>
            <w:r>
              <w:rPr>
                <w:rFonts w:ascii="Arial" w:cs="Arial" w:eastAsia="Arial" w:hAnsi="Arial"/>
                <w:sz w:val="20"/>
                <w:szCs w:val="20"/>
                <w:b w:val="1"/>
                <w:bCs w:val="1"/>
                <w:color w:val="auto"/>
                <w:w w:val="96"/>
              </w:rPr>
              <w:t>Second Measurement Period</w:t>
            </w:r>
          </w:p>
        </w:tc>
        <w:tc>
          <w:tcPr>
            <w:tcW w:w="2560" w:type="dxa"/>
            <w:vAlign w:val="bottom"/>
          </w:tcPr>
          <w:p>
            <w:pPr>
              <w:ind w:left="280"/>
              <w:spacing w:after="0"/>
              <w:rPr>
                <w:sz w:val="20"/>
                <w:szCs w:val="20"/>
                <w:color w:val="auto"/>
              </w:rPr>
            </w:pPr>
            <w:r>
              <w:rPr>
                <w:rFonts w:ascii="Arial" w:cs="Arial" w:eastAsia="Arial" w:hAnsi="Arial"/>
                <w:sz w:val="20"/>
                <w:szCs w:val="20"/>
                <w:b w:val="1"/>
                <w:bCs w:val="1"/>
                <w:color w:val="auto"/>
                <w:w w:val="89"/>
              </w:rPr>
              <w:t>Third Measurement Period</w:t>
            </w:r>
          </w:p>
        </w:tc>
      </w:tr>
    </w:tbl>
    <w:p>
      <w:pPr>
        <w:spacing w:after="0" w:line="4"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Target Number of</w:t>
      </w:r>
    </w:p>
    <w:p>
      <w:pPr>
        <w:ind w:left="60"/>
        <w:spacing w:after="0"/>
        <w:rPr>
          <w:sz w:val="20"/>
          <w:szCs w:val="20"/>
          <w:color w:val="auto"/>
        </w:rPr>
      </w:pPr>
      <w:r>
        <w:rPr>
          <w:rFonts w:ascii="Arial" w:cs="Arial" w:eastAsia="Arial" w:hAnsi="Arial"/>
          <w:sz w:val="20"/>
          <w:szCs w:val="20"/>
          <w:b w:val="1"/>
          <w:bCs w:val="1"/>
          <w:color w:val="auto"/>
        </w:rPr>
        <w:t>Restricted Stock Units</w:t>
      </w:r>
    </w:p>
    <w:p>
      <w:pPr>
        <w:spacing w:after="0" w:line="200" w:lineRule="exact"/>
        <w:rPr>
          <w:sz w:val="20"/>
          <w:szCs w:val="20"/>
          <w:color w:val="auto"/>
        </w:rPr>
      </w:pPr>
    </w:p>
    <w:p>
      <w:pPr>
        <w:spacing w:after="0" w:line="320" w:lineRule="exact"/>
        <w:rPr>
          <w:sz w:val="20"/>
          <w:szCs w:val="20"/>
          <w:color w:val="auto"/>
        </w:rPr>
      </w:pPr>
    </w:p>
    <w:p>
      <w:pPr>
        <w:ind w:left="320" w:hanging="314"/>
        <w:spacing w:after="0"/>
        <w:tabs>
          <w:tab w:leader="none" w:pos="320" w:val="left"/>
        </w:tabs>
        <w:numPr>
          <w:ilvl w:val="0"/>
          <w:numId w:val="56"/>
        </w:numPr>
        <w:rPr>
          <w:rFonts w:ascii="Arial" w:cs="Arial" w:eastAsia="Arial" w:hAnsi="Arial"/>
          <w:sz w:val="20"/>
          <w:szCs w:val="20"/>
          <w:color w:val="auto"/>
        </w:rPr>
      </w:pPr>
      <w:r>
        <w:rPr>
          <w:rFonts w:ascii="Arial" w:cs="Arial" w:eastAsia="Arial" w:hAnsi="Arial"/>
          <w:sz w:val="20"/>
          <w:szCs w:val="20"/>
          <w:b w:val="1"/>
          <w:bCs w:val="1"/>
          <w:color w:val="auto"/>
        </w:rPr>
        <w:t>Relative TSR Requirement.</w:t>
      </w:r>
    </w:p>
    <w:p>
      <w:pPr>
        <w:spacing w:after="0" w:line="175" w:lineRule="exact"/>
        <w:rPr>
          <w:rFonts w:ascii="Arial" w:cs="Arial" w:eastAsia="Arial" w:hAnsi="Arial"/>
          <w:sz w:val="20"/>
          <w:szCs w:val="20"/>
          <w:color w:val="auto"/>
        </w:rPr>
      </w:pPr>
    </w:p>
    <w:p>
      <w:pPr>
        <w:jc w:val="both"/>
        <w:ind w:left="640" w:firstLine="5"/>
        <w:spacing w:after="0" w:line="247" w:lineRule="auto"/>
        <w:tabs>
          <w:tab w:leader="none" w:pos="1269"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number of Restricted Stock Units subject to the Award that may vest, subject to satisfaction of the Service Vesting Requirement described in Section 4 below, will be determined by reference to the Company’s TSR as measured versus the TSR of the Median Peer Company for each Measurement Period in accordance with the following TSR Performance Formula: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Target#NumberofRestrictedStockUnits * (100% + ((SIBNTSR-MedianPeerCompanyTSR) * 2)) = Shares Calculated</w:t>
      </w:r>
    </w:p>
    <w:p>
      <w:pPr>
        <w:spacing w:after="0" w:line="215" w:lineRule="exact"/>
        <w:rPr>
          <w:sz w:val="20"/>
          <w:szCs w:val="20"/>
          <w:color w:val="auto"/>
        </w:rPr>
      </w:pPr>
    </w:p>
    <w:p>
      <w:pPr>
        <w:jc w:val="both"/>
        <w:ind w:firstLine="639"/>
        <w:spacing w:after="0" w:line="233" w:lineRule="auto"/>
        <w:rPr>
          <w:sz w:val="20"/>
          <w:szCs w:val="20"/>
          <w:color w:val="auto"/>
        </w:rPr>
      </w:pPr>
      <w:r>
        <w:rPr>
          <w:rFonts w:ascii="Arial" w:cs="Arial" w:eastAsia="Arial" w:hAnsi="Arial"/>
          <w:sz w:val="18"/>
          <w:szCs w:val="18"/>
          <w:color w:val="auto"/>
        </w:rPr>
        <w:t>If the Company’s TSR is –50 points as compared to the Median Peer Company during any Measurement Period, no Restricted Stock Units are eligible to vest. If any company in the Relative TSR Peer Group is acquired before the end of the applicable Measurement Period,</w:t>
      </w:r>
    </w:p>
    <w:p>
      <w:pPr>
        <w:spacing w:after="0" w:line="225" w:lineRule="auto"/>
        <w:rPr>
          <w:sz w:val="20"/>
          <w:szCs w:val="20"/>
          <w:color w:val="auto"/>
        </w:rPr>
      </w:pPr>
      <w:r>
        <w:rPr>
          <w:rFonts w:ascii="Arial" w:cs="Arial" w:eastAsia="Arial" w:hAnsi="Arial"/>
          <w:sz w:val="20"/>
          <w:szCs w:val="20"/>
          <w:color w:val="auto"/>
        </w:rPr>
        <w:t>such company shall be excluded from the TSR Peer Group for purposes of determination of the TSR of the Median Peer Company for all Measurement Periods ending after the closing of the acquisition of such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89" w:name="page90"/>
    <w:bookmarkEnd w:id="89"/>
    <w:p>
      <w:pPr>
        <w:jc w:val="both"/>
        <w:ind w:left="640" w:firstLine="5"/>
        <w:spacing w:after="0" w:line="211" w:lineRule="auto"/>
        <w:tabs>
          <w:tab w:leader="none" w:pos="1267" w:val="left"/>
        </w:tabs>
        <w:numPr>
          <w:ilvl w:val="1"/>
          <w:numId w:val="57"/>
        </w:numPr>
        <w:rPr>
          <w:rFonts w:ascii="Arial" w:cs="Arial" w:eastAsia="Arial" w:hAnsi="Arial"/>
          <w:sz w:val="20"/>
          <w:szCs w:val="20"/>
          <w:color w:val="auto"/>
        </w:rPr>
      </w:pPr>
      <w:r>
        <w:rPr>
          <w:rFonts w:ascii="Arial" w:cs="Arial" w:eastAsia="Arial" w:hAnsi="Arial"/>
          <w:sz w:val="20"/>
          <w:szCs w:val="20"/>
          <w:color w:val="auto"/>
        </w:rPr>
        <w:t>As soon as practicable within the 45-day period following each Measurement Period’s End Date, the Compensation Committee of the Board (the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shall determine the applicable number of Restricted Stock Units that may vest based on the TSR Performance Formula as applied to the applicable Measurement Period. The date of the Committee’s determination is the “</w:t>
      </w:r>
      <w:r>
        <w:rPr>
          <w:rFonts w:ascii="Arial" w:cs="Arial" w:eastAsia="Arial" w:hAnsi="Arial"/>
          <w:sz w:val="20"/>
          <w:szCs w:val="20"/>
          <w:b w:val="1"/>
          <w:bCs w:val="1"/>
          <w:i w:val="1"/>
          <w:iCs w:val="1"/>
          <w:color w:val="auto"/>
        </w:rPr>
        <w:t>Determination Date</w:t>
      </w:r>
      <w:r>
        <w:rPr>
          <w:rFonts w:ascii="Arial" w:cs="Arial" w:eastAsia="Arial" w:hAnsi="Arial"/>
          <w:sz w:val="20"/>
          <w:szCs w:val="20"/>
          <w:color w:val="auto"/>
        </w:rPr>
        <w:t>.” Shares earned pursuant to this Restricted Stock Unit with respect to each Measurement Period shall be released to the Participant on February 15 of the year that follows such Measurement Period, or on the next trading day thereafter if February 15 is not a trading day (such date, the “</w:t>
      </w:r>
      <w:r>
        <w:rPr>
          <w:rFonts w:ascii="Arial" w:cs="Arial" w:eastAsia="Arial" w:hAnsi="Arial"/>
          <w:sz w:val="20"/>
          <w:szCs w:val="20"/>
          <w:b w:val="1"/>
          <w:bCs w:val="1"/>
          <w:i w:val="1"/>
          <w:iCs w:val="1"/>
          <w:color w:val="auto"/>
        </w:rPr>
        <w:t>Settlement Date</w:t>
      </w:r>
      <w:r>
        <w:rPr>
          <w:rFonts w:ascii="Arial" w:cs="Arial" w:eastAsia="Arial" w:hAnsi="Arial"/>
          <w:sz w:val="20"/>
          <w:szCs w:val="20"/>
          <w:color w:val="auto"/>
        </w:rPr>
        <w:t>”), subject to the provisions of Section 6 of the Restricted Stock Unit Award Agreement.</w:t>
      </w:r>
    </w:p>
    <w:p>
      <w:pPr>
        <w:spacing w:after="0" w:line="62" w:lineRule="exact"/>
        <w:rPr>
          <w:rFonts w:ascii="Arial" w:cs="Arial" w:eastAsia="Arial" w:hAnsi="Arial"/>
          <w:sz w:val="20"/>
          <w:szCs w:val="20"/>
          <w:color w:val="auto"/>
        </w:rPr>
      </w:pPr>
    </w:p>
    <w:p>
      <w:pPr>
        <w:jc w:val="both"/>
        <w:ind w:left="640" w:firstLine="5"/>
        <w:spacing w:after="0" w:line="242" w:lineRule="auto"/>
        <w:tabs>
          <w:tab w:leader="none" w:pos="1269" w:val="left"/>
        </w:tabs>
        <w:numPr>
          <w:ilvl w:val="1"/>
          <w:numId w:val="57"/>
        </w:numPr>
        <w:rPr>
          <w:rFonts w:ascii="Arial" w:cs="Arial" w:eastAsia="Arial" w:hAnsi="Arial"/>
          <w:sz w:val="18"/>
          <w:szCs w:val="18"/>
          <w:color w:val="auto"/>
        </w:rPr>
      </w:pPr>
      <w:r>
        <w:rPr>
          <w:rFonts w:ascii="Arial" w:cs="Arial" w:eastAsia="Arial" w:hAnsi="Arial"/>
          <w:sz w:val="18"/>
          <w:szCs w:val="18"/>
          <w:color w:val="auto"/>
        </w:rPr>
        <w:t>As determined by the Committee on the Determination Date following the First Measurement Period, the number of Restricted Stock Units that may vest shall be determined based on the TSR Performance Formula applied to the First Measurement Period, provided that the total number of Restricted Stock Units earned (the “</w:t>
      </w:r>
      <w:r>
        <w:rPr>
          <w:rFonts w:ascii="Arial" w:cs="Arial" w:eastAsia="Arial" w:hAnsi="Arial"/>
          <w:sz w:val="18"/>
          <w:szCs w:val="18"/>
          <w:b w:val="1"/>
          <w:bCs w:val="1"/>
          <w:i w:val="1"/>
          <w:iCs w:val="1"/>
          <w:color w:val="auto"/>
        </w:rPr>
        <w:t>Shares Released</w:t>
      </w:r>
      <w:r>
        <w:rPr>
          <w:rFonts w:ascii="Arial" w:cs="Arial" w:eastAsia="Arial" w:hAnsi="Arial"/>
          <w:sz w:val="18"/>
          <w:szCs w:val="18"/>
          <w:color w:val="auto"/>
        </w:rPr>
        <w:t>” with respect to the First Measurement Period) will not exceed 100% of the Target Number of Restricted Stock Units for the First Measurement Period.</w:t>
      </w:r>
    </w:p>
    <w:p>
      <w:pPr>
        <w:spacing w:after="0" w:line="150" w:lineRule="exact"/>
        <w:rPr>
          <w:rFonts w:ascii="Arial" w:cs="Arial" w:eastAsia="Arial" w:hAnsi="Arial"/>
          <w:sz w:val="18"/>
          <w:szCs w:val="18"/>
          <w:color w:val="auto"/>
        </w:rPr>
      </w:pPr>
    </w:p>
    <w:p>
      <w:pPr>
        <w:jc w:val="both"/>
        <w:ind w:left="640" w:firstLine="5"/>
        <w:spacing w:after="0" w:line="215" w:lineRule="auto"/>
        <w:tabs>
          <w:tab w:leader="none" w:pos="1267" w:val="left"/>
        </w:tabs>
        <w:numPr>
          <w:ilvl w:val="1"/>
          <w:numId w:val="57"/>
        </w:numPr>
        <w:rPr>
          <w:rFonts w:ascii="Arial" w:cs="Arial" w:eastAsia="Arial" w:hAnsi="Arial"/>
          <w:sz w:val="20"/>
          <w:szCs w:val="20"/>
          <w:color w:val="auto"/>
        </w:rPr>
      </w:pPr>
      <w:r>
        <w:rPr>
          <w:rFonts w:ascii="Arial" w:cs="Arial" w:eastAsia="Arial" w:hAnsi="Arial"/>
          <w:sz w:val="20"/>
          <w:szCs w:val="20"/>
          <w:color w:val="auto"/>
        </w:rPr>
        <w:t>As determined by the Committee on the Determination Date following the Second Measurement Period, the number of Restricted Stock Units that may vest shall be the number of Shares Calculated according to the TSR Performance Formula applied to the Second Measurement Period, provided that the total number of Restricted Stock Units earned (the “</w:t>
      </w:r>
      <w:r>
        <w:rPr>
          <w:rFonts w:ascii="Arial" w:cs="Arial" w:eastAsia="Arial" w:hAnsi="Arial"/>
          <w:sz w:val="20"/>
          <w:szCs w:val="20"/>
          <w:b w:val="1"/>
          <w:bCs w:val="1"/>
          <w:i w:val="1"/>
          <w:iCs w:val="1"/>
          <w:color w:val="auto"/>
        </w:rPr>
        <w:t>Shares Released</w:t>
      </w:r>
      <w:r>
        <w:rPr>
          <w:rFonts w:ascii="Arial" w:cs="Arial" w:eastAsia="Arial" w:hAnsi="Arial"/>
          <w:sz w:val="20"/>
          <w:szCs w:val="20"/>
          <w:color w:val="auto"/>
        </w:rPr>
        <w:t>” with respect the Second Measurement Period) will not exceed 200% of the Target Number of Restricted Stock Units for the Second Measurement Period.</w:t>
      </w:r>
    </w:p>
    <w:p>
      <w:pPr>
        <w:spacing w:after="0" w:line="167" w:lineRule="exact"/>
        <w:rPr>
          <w:rFonts w:ascii="Arial" w:cs="Arial" w:eastAsia="Arial" w:hAnsi="Arial"/>
          <w:sz w:val="20"/>
          <w:szCs w:val="20"/>
          <w:color w:val="auto"/>
        </w:rPr>
      </w:pPr>
    </w:p>
    <w:p>
      <w:pPr>
        <w:jc w:val="both"/>
        <w:ind w:left="640" w:firstLine="5"/>
        <w:spacing w:after="0" w:line="235" w:lineRule="auto"/>
        <w:tabs>
          <w:tab w:leader="none" w:pos="1269" w:val="left"/>
        </w:tabs>
        <w:numPr>
          <w:ilvl w:val="1"/>
          <w:numId w:val="57"/>
        </w:numPr>
        <w:rPr>
          <w:rFonts w:ascii="Arial" w:cs="Arial" w:eastAsia="Arial" w:hAnsi="Arial"/>
          <w:sz w:val="18"/>
          <w:szCs w:val="18"/>
          <w:color w:val="auto"/>
        </w:rPr>
      </w:pPr>
      <w:r>
        <w:rPr>
          <w:rFonts w:ascii="Arial" w:cs="Arial" w:eastAsia="Arial" w:hAnsi="Arial"/>
          <w:sz w:val="18"/>
          <w:szCs w:val="18"/>
          <w:color w:val="auto"/>
        </w:rPr>
        <w:t>As determined by the Committee on the Determination Date following the Third Measurement Period, the number of Restricted Stock Units that shall vest shall be determined based on the Shares Calculated according to TSR Performance Formula applied to the Third Measurement Period using the total Target Number of Restricted Stock Units specified in the Grant Notice (subject to the Maximum Number of Restricted Stock Units set forth in the Grant Notice), with such number of Shares Calculated (up to 200% of the total Target Number of Restricted Stock Units set forth in the Grant Notice) then reduced by the Shares Released pursuant to Section 3(c) and (d) (the “</w:t>
      </w:r>
      <w:r>
        <w:rPr>
          <w:rFonts w:ascii="Arial" w:cs="Arial" w:eastAsia="Arial" w:hAnsi="Arial"/>
          <w:sz w:val="18"/>
          <w:szCs w:val="18"/>
          <w:b w:val="1"/>
          <w:bCs w:val="1"/>
          <w:i w:val="1"/>
          <w:iCs w:val="1"/>
          <w:color w:val="auto"/>
        </w:rPr>
        <w:t>Shares Released</w:t>
      </w:r>
      <w:r>
        <w:rPr>
          <w:rFonts w:ascii="Arial" w:cs="Arial" w:eastAsia="Arial" w:hAnsi="Arial"/>
          <w:sz w:val="18"/>
          <w:szCs w:val="18"/>
          <w:color w:val="auto"/>
        </w:rPr>
        <w:t>” with respect to the Third Measurement Period).</w:t>
      </w:r>
    </w:p>
    <w:p>
      <w:pPr>
        <w:spacing w:after="0" w:line="155" w:lineRule="exact"/>
        <w:rPr>
          <w:rFonts w:ascii="Arial" w:cs="Arial" w:eastAsia="Arial" w:hAnsi="Arial"/>
          <w:sz w:val="18"/>
          <w:szCs w:val="18"/>
          <w:color w:val="auto"/>
        </w:rPr>
      </w:pPr>
    </w:p>
    <w:p>
      <w:pPr>
        <w:ind w:left="640" w:right="20" w:firstLine="5"/>
        <w:spacing w:after="0" w:line="233" w:lineRule="auto"/>
        <w:tabs>
          <w:tab w:leader="none" w:pos="1274" w:val="left"/>
        </w:tabs>
        <w:numPr>
          <w:ilvl w:val="1"/>
          <w:numId w:val="57"/>
        </w:numPr>
        <w:rPr>
          <w:rFonts w:ascii="Arial" w:cs="Arial" w:eastAsia="Arial" w:hAnsi="Arial"/>
          <w:sz w:val="20"/>
          <w:szCs w:val="20"/>
          <w:color w:val="auto"/>
        </w:rPr>
      </w:pPr>
      <w:r>
        <w:rPr>
          <w:rFonts w:ascii="Arial" w:cs="Arial" w:eastAsia="Arial" w:hAnsi="Arial"/>
          <w:sz w:val="20"/>
          <w:szCs w:val="20"/>
          <w:color w:val="auto"/>
        </w:rPr>
        <w:t>Notwithstanding anything to the contrary herein, in no event shall the total number of Shares Released exceed the Maximum Number of Restricted Stock Units specified in the Grant Notice.</w:t>
      </w:r>
    </w:p>
    <w:p>
      <w:pPr>
        <w:spacing w:after="0" w:line="165" w:lineRule="exact"/>
        <w:rPr>
          <w:rFonts w:ascii="Arial" w:cs="Arial" w:eastAsia="Arial" w:hAnsi="Arial"/>
          <w:sz w:val="20"/>
          <w:szCs w:val="20"/>
          <w:color w:val="auto"/>
        </w:rPr>
      </w:pPr>
    </w:p>
    <w:p>
      <w:pPr>
        <w:ind w:left="640" w:firstLine="5"/>
        <w:spacing w:after="0" w:line="226" w:lineRule="auto"/>
        <w:tabs>
          <w:tab w:leader="none" w:pos="1267" w:val="left"/>
        </w:tabs>
        <w:numPr>
          <w:ilvl w:val="1"/>
          <w:numId w:val="57"/>
        </w:numPr>
        <w:rPr>
          <w:rFonts w:ascii="Arial" w:cs="Arial" w:eastAsia="Arial" w:hAnsi="Arial"/>
          <w:sz w:val="20"/>
          <w:szCs w:val="20"/>
          <w:color w:val="auto"/>
        </w:rPr>
      </w:pPr>
      <w:r>
        <w:rPr>
          <w:rFonts w:ascii="Arial" w:cs="Arial" w:eastAsia="Arial" w:hAnsi="Arial"/>
          <w:sz w:val="20"/>
          <w:szCs w:val="20"/>
          <w:color w:val="auto"/>
        </w:rPr>
        <w:t>Any Restricted Stock Units that are not determined eligible to vest on the Determination Date following the Third Measurement Period shall immediately terminate and be forfeited.</w:t>
      </w:r>
    </w:p>
    <w:p>
      <w:pPr>
        <w:spacing w:after="0" w:line="175" w:lineRule="exact"/>
        <w:rPr>
          <w:rFonts w:ascii="Arial" w:cs="Arial" w:eastAsia="Arial" w:hAnsi="Arial"/>
          <w:sz w:val="20"/>
          <w:szCs w:val="20"/>
          <w:color w:val="auto"/>
        </w:rPr>
      </w:pPr>
    </w:p>
    <w:p>
      <w:pPr>
        <w:ind w:left="1280" w:hanging="635"/>
        <w:spacing w:after="0"/>
        <w:tabs>
          <w:tab w:leader="none" w:pos="1280" w:val="left"/>
        </w:tabs>
        <w:numPr>
          <w:ilvl w:val="1"/>
          <w:numId w:val="57"/>
        </w:numPr>
        <w:rPr>
          <w:rFonts w:ascii="Arial" w:cs="Arial" w:eastAsia="Arial" w:hAnsi="Arial"/>
          <w:sz w:val="23"/>
          <w:szCs w:val="23"/>
          <w:color w:val="auto"/>
        </w:rPr>
      </w:pPr>
      <w:r>
        <w:rPr>
          <w:rFonts w:ascii="Arial" w:cs="Arial" w:eastAsia="Arial" w:hAnsi="Arial"/>
          <w:sz w:val="20"/>
          <w:szCs w:val="20"/>
          <w:color w:val="auto"/>
        </w:rPr>
        <w:t>See Appendix B for Sample Performance Period Calculation.</w:t>
      </w:r>
    </w:p>
    <w:p>
      <w:pPr>
        <w:spacing w:after="0" w:line="158" w:lineRule="exact"/>
        <w:rPr>
          <w:rFonts w:ascii="Arial" w:cs="Arial" w:eastAsia="Arial" w:hAnsi="Arial"/>
          <w:sz w:val="23"/>
          <w:szCs w:val="23"/>
          <w:color w:val="auto"/>
        </w:rPr>
      </w:pPr>
    </w:p>
    <w:p>
      <w:pPr>
        <w:ind w:left="320" w:hanging="314"/>
        <w:spacing w:after="0"/>
        <w:tabs>
          <w:tab w:leader="none" w:pos="320" w:val="left"/>
        </w:tabs>
        <w:numPr>
          <w:ilvl w:val="0"/>
          <w:numId w:val="58"/>
        </w:numPr>
        <w:rPr>
          <w:rFonts w:ascii="Arial" w:cs="Arial" w:eastAsia="Arial" w:hAnsi="Arial"/>
          <w:sz w:val="20"/>
          <w:szCs w:val="20"/>
          <w:color w:val="auto"/>
        </w:rPr>
      </w:pPr>
      <w:r>
        <w:rPr>
          <w:rFonts w:ascii="Arial" w:cs="Arial" w:eastAsia="Arial" w:hAnsi="Arial"/>
          <w:sz w:val="20"/>
          <w:szCs w:val="20"/>
          <w:b w:val="1"/>
          <w:bCs w:val="1"/>
          <w:color w:val="auto"/>
        </w:rPr>
        <w:t>Service Requirement.</w:t>
      </w:r>
    </w:p>
    <w:p>
      <w:pPr>
        <w:spacing w:after="0" w:line="189" w:lineRule="exact"/>
        <w:rPr>
          <w:sz w:val="20"/>
          <w:szCs w:val="20"/>
          <w:color w:val="auto"/>
        </w:rPr>
      </w:pPr>
    </w:p>
    <w:p>
      <w:pPr>
        <w:ind w:right="20" w:firstLine="639"/>
        <w:spacing w:after="0" w:line="233" w:lineRule="auto"/>
        <w:rPr>
          <w:sz w:val="20"/>
          <w:szCs w:val="20"/>
          <w:color w:val="auto"/>
        </w:rPr>
      </w:pPr>
      <w:r>
        <w:rPr>
          <w:rFonts w:ascii="Arial" w:cs="Arial" w:eastAsia="Arial" w:hAnsi="Arial"/>
          <w:sz w:val="20"/>
          <w:szCs w:val="20"/>
          <w:color w:val="auto"/>
        </w:rPr>
        <w:t>Except as specifically provided in Section 5 below, the Participant must remain in Continuous Service as an Executive through the applicable Measurement Period’s End Date in order for the applicable portion of the Restricted Stock Units to vest.</w:t>
      </w:r>
    </w:p>
    <w:p>
      <w:pPr>
        <w:spacing w:after="0" w:line="146" w:lineRule="exact"/>
        <w:rPr>
          <w:sz w:val="20"/>
          <w:szCs w:val="20"/>
          <w:color w:val="auto"/>
        </w:rPr>
      </w:pPr>
    </w:p>
    <w:p>
      <w:pPr>
        <w:ind w:left="320" w:hanging="314"/>
        <w:spacing w:after="0"/>
        <w:tabs>
          <w:tab w:leader="none" w:pos="32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Death, Disability, Change in Control.</w:t>
      </w:r>
    </w:p>
    <w:p>
      <w:pPr>
        <w:spacing w:after="0" w:line="182" w:lineRule="exact"/>
        <w:rPr>
          <w:rFonts w:ascii="Arial" w:cs="Arial" w:eastAsia="Arial" w:hAnsi="Arial"/>
          <w:sz w:val="20"/>
          <w:szCs w:val="20"/>
          <w:b w:val="1"/>
          <w:bCs w:val="1"/>
          <w:color w:val="auto"/>
        </w:rPr>
      </w:pPr>
    </w:p>
    <w:p>
      <w:pPr>
        <w:jc w:val="both"/>
        <w:ind w:left="640" w:firstLine="5"/>
        <w:spacing w:after="0" w:line="263" w:lineRule="auto"/>
        <w:tabs>
          <w:tab w:leader="none" w:pos="1269" w:val="left"/>
        </w:tabs>
        <w:numPr>
          <w:ilvl w:val="1"/>
          <w:numId w:val="59"/>
        </w:numPr>
        <w:rPr>
          <w:rFonts w:ascii="Arial" w:cs="Arial" w:eastAsia="Arial" w:hAnsi="Arial"/>
          <w:sz w:val="17"/>
          <w:szCs w:val="17"/>
          <w:color w:val="auto"/>
        </w:rPr>
      </w:pPr>
      <w:r>
        <w:rPr>
          <w:rFonts w:ascii="Arial" w:cs="Arial" w:eastAsia="Arial" w:hAnsi="Arial"/>
          <w:sz w:val="17"/>
          <w:szCs w:val="17"/>
          <w:b w:val="1"/>
          <w:bCs w:val="1"/>
          <w:color w:val="auto"/>
        </w:rPr>
        <w:t>Death or Disability</w:t>
      </w:r>
      <w:r>
        <w:rPr>
          <w:rFonts w:ascii="Arial" w:cs="Arial" w:eastAsia="Arial" w:hAnsi="Arial"/>
          <w:sz w:val="17"/>
          <w:szCs w:val="17"/>
          <w:color w:val="auto"/>
        </w:rPr>
        <w:t>. In the event the Participant’s Continuous Service terminates during the Performance Period as a result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Participant’s death or Disability, then the Restricted Stock Units with respect to incomplete First or Second Measurement Period(s) will vest the total Target Number of Restricted Stock Units for such Measurement Period(s) and with respect to an incomplete Third Measurement Period will vest 1/3 of the Total Target Number of Restricted Stock Unites as specified in the Grant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87" w:right="339" w:bottom="1440" w:gutter="0" w:footer="0" w:header="0"/>
        </w:sectPr>
      </w:pPr>
    </w:p>
    <w:bookmarkStart w:id="90" w:name="page91"/>
    <w:bookmarkEnd w:id="90"/>
    <w:p>
      <w:pPr>
        <w:jc w:val="both"/>
        <w:ind w:left="640" w:firstLine="5"/>
        <w:spacing w:after="0" w:line="233" w:lineRule="auto"/>
        <w:tabs>
          <w:tab w:leader="none" w:pos="1267"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Impact of Change in Control. </w:t>
      </w:r>
      <w:r>
        <w:rPr>
          <w:rFonts w:ascii="Arial" w:cs="Arial" w:eastAsia="Arial" w:hAnsi="Arial"/>
          <w:sz w:val="18"/>
          <w:szCs w:val="18"/>
          <w:color w:val="auto"/>
        </w:rPr>
        <w:t>In the event of a Change in Control that occurs prior to the last day of the Performance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Restricted Stock Units that are eligible to vest shall be determined by the Committee prior to the Change in Control based upon applying the TSR Performance Formula to the portion of the Performance Period that precedes the Change in Control, provided that the target number of shares in the TSR Performance Formula will be the Target Number of Restricted Stock Units specified in the Grant Notice, with the Shares Calculated according to the TSR Performance Formula less the aggregate number of Shares Released pursuant to Sections 3(c) and 3(d), as applicable, in connection with any previously completed Measurement Period(s) (such resulting number, the “</w:t>
      </w:r>
      <w:r>
        <w:rPr>
          <w:rFonts w:ascii="Arial" w:cs="Arial" w:eastAsia="Arial" w:hAnsi="Arial"/>
          <w:sz w:val="18"/>
          <w:szCs w:val="18"/>
          <w:b w:val="1"/>
          <w:bCs w:val="1"/>
          <w:i w:val="1"/>
          <w:iCs w:val="1"/>
          <w:color w:val="auto"/>
        </w:rPr>
        <w:t>CIC Units</w:t>
      </w:r>
      <w:r>
        <w:rPr>
          <w:rFonts w:ascii="Arial" w:cs="Arial" w:eastAsia="Arial" w:hAnsi="Arial"/>
          <w:sz w:val="18"/>
          <w:szCs w:val="18"/>
          <w:color w:val="auto"/>
        </w:rPr>
        <w:t>”), and provided further that the total number of Restricted Stock Units that may vest over the Performance Period will not exceed the Maximum Number of Restricted Stock Units. Any Restricted Stock Units that are not CIC Units shall immediately terminate and be forfeited upon the Change in Control.</w:t>
      </w:r>
    </w:p>
    <w:p>
      <w:pPr>
        <w:spacing w:after="0" w:line="161" w:lineRule="exact"/>
        <w:rPr>
          <w:rFonts w:ascii="Arial" w:cs="Arial" w:eastAsia="Arial" w:hAnsi="Arial"/>
          <w:sz w:val="18"/>
          <w:szCs w:val="18"/>
          <w:color w:val="auto"/>
        </w:rPr>
      </w:pPr>
    </w:p>
    <w:p>
      <w:pPr>
        <w:jc w:val="both"/>
        <w:ind w:left="640" w:firstLine="5"/>
        <w:spacing w:after="0" w:line="245" w:lineRule="auto"/>
        <w:tabs>
          <w:tab w:leader="none" w:pos="1269" w:val="left"/>
        </w:tabs>
        <w:numPr>
          <w:ilvl w:val="1"/>
          <w:numId w:val="60"/>
        </w:numPr>
        <w:rPr>
          <w:rFonts w:ascii="Arial" w:cs="Arial" w:eastAsia="Arial" w:hAnsi="Arial"/>
          <w:sz w:val="17"/>
          <w:szCs w:val="17"/>
          <w:color w:val="auto"/>
        </w:rPr>
      </w:pPr>
      <w:r>
        <w:rPr>
          <w:rFonts w:ascii="Arial" w:cs="Arial" w:eastAsia="Arial" w:hAnsi="Arial"/>
          <w:sz w:val="17"/>
          <w:szCs w:val="17"/>
          <w:b w:val="1"/>
          <w:bCs w:val="1"/>
          <w:color w:val="auto"/>
        </w:rPr>
        <w:t xml:space="preserve">Award Assumed, Continued or Substituted. </w:t>
      </w:r>
      <w:r>
        <w:rPr>
          <w:rFonts w:ascii="Arial" w:cs="Arial" w:eastAsia="Arial" w:hAnsi="Arial"/>
          <w:sz w:val="17"/>
          <w:szCs w:val="17"/>
          <w:color w:val="auto"/>
        </w:rPr>
        <w:t>In the event of a Change in Control where the acquiring, surviving or</w:t>
      </w:r>
      <w:r>
        <w:rPr>
          <w:rFonts w:ascii="Arial" w:cs="Arial" w:eastAsia="Arial" w:hAnsi="Arial"/>
          <w:sz w:val="17"/>
          <w:szCs w:val="17"/>
          <w:b w:val="1"/>
          <w:bCs w:val="1"/>
          <w:color w:val="auto"/>
        </w:rPr>
        <w:t xml:space="preserve"> </w:t>
      </w:r>
      <w:r>
        <w:rPr>
          <w:rFonts w:ascii="Arial" w:cs="Arial" w:eastAsia="Arial" w:hAnsi="Arial"/>
          <w:sz w:val="17"/>
          <w:szCs w:val="17"/>
          <w:color w:val="auto"/>
        </w:rPr>
        <w:t>continuing entity assumes, continues or substitutes the Award on substantially the same terms and conditions as in effect prior to the Change in Control, the portion of the Shares Calculated according to the TSR Performance Formula applied pursuant to Section 5(b) and prorated according to the portion of the Performance Period that preceded the Change in Control, less the aggregate number of Shares Released in connection with any previously completed Measurement Period(s) pursuant to Sections 3(c) and 3(d), as applicable, will vest immediately upon the Change in Control (the “</w:t>
      </w:r>
      <w:r>
        <w:rPr>
          <w:rFonts w:ascii="Arial" w:cs="Arial" w:eastAsia="Arial" w:hAnsi="Arial"/>
          <w:sz w:val="17"/>
          <w:szCs w:val="17"/>
          <w:b w:val="1"/>
          <w:bCs w:val="1"/>
          <w:i w:val="1"/>
          <w:iCs w:val="1"/>
          <w:color w:val="auto"/>
        </w:rPr>
        <w:t>Shares Released</w:t>
      </w:r>
      <w:r>
        <w:rPr>
          <w:rFonts w:ascii="Arial" w:cs="Arial" w:eastAsia="Arial" w:hAnsi="Arial"/>
          <w:sz w:val="17"/>
          <w:szCs w:val="17"/>
          <w:color w:val="auto"/>
        </w:rPr>
        <w:t>” at the closing) and the remainder of the CIC Units will vest and be released in equal quarterly increments throughout the remainder of the Performance Period, subject to the Participant remaining in Continuous Service through each applicable quarterly vesting date (the “</w:t>
      </w:r>
      <w:r>
        <w:rPr>
          <w:rFonts w:ascii="Arial" w:cs="Arial" w:eastAsia="Arial" w:hAnsi="Arial"/>
          <w:sz w:val="17"/>
          <w:szCs w:val="17"/>
          <w:b w:val="1"/>
          <w:bCs w:val="1"/>
          <w:i w:val="1"/>
          <w:iCs w:val="1"/>
          <w:color w:val="auto"/>
        </w:rPr>
        <w:t>Continued Service Requirement</w:t>
      </w:r>
      <w:r>
        <w:rPr>
          <w:rFonts w:ascii="Arial" w:cs="Arial" w:eastAsia="Arial" w:hAnsi="Arial"/>
          <w:sz w:val="17"/>
          <w:szCs w:val="17"/>
          <w:color w:val="auto"/>
        </w:rPr>
        <w:t>”). Notwithstanding the foregoing, if the Participant’s Continuous Service to the Company or its successor is terminated without Cause or if the Participant resigns for Good Reason, in either case, within three months prior to or within 12 months following the Change in Control and prior to the originally scheduled expiration date of the Performance Period, the Continued Service Requirement shall be waived and the CIC Units shall immediately vest on the date of such termination, subject to the requirements of the Company’s Severance Benefit Plan.</w:t>
      </w:r>
    </w:p>
    <w:p>
      <w:pPr>
        <w:spacing w:after="0" w:line="161" w:lineRule="exact"/>
        <w:rPr>
          <w:rFonts w:ascii="Arial" w:cs="Arial" w:eastAsia="Arial" w:hAnsi="Arial"/>
          <w:sz w:val="17"/>
          <w:szCs w:val="17"/>
          <w:color w:val="auto"/>
        </w:rPr>
      </w:pPr>
    </w:p>
    <w:p>
      <w:pPr>
        <w:jc w:val="both"/>
        <w:ind w:left="640" w:firstLine="5"/>
        <w:spacing w:after="0" w:line="244" w:lineRule="auto"/>
        <w:tabs>
          <w:tab w:leader="none" w:pos="1267"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Award Not Assumed, Continued or Substituted. </w:t>
      </w:r>
      <w:r>
        <w:rPr>
          <w:rFonts w:ascii="Arial" w:cs="Arial" w:eastAsia="Arial" w:hAnsi="Arial"/>
          <w:sz w:val="18"/>
          <w:szCs w:val="18"/>
          <w:color w:val="auto"/>
        </w:rPr>
        <w:t>In the event of a Change in Control where the acquiring, surviving or</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entity does not assume, continue or substitute the Award on substantially the same terms and conditions as in effect prior to the Change in Control, all of the CIC Units shall vest and be released immediately prior to the Change in Control, subject to the Participant remaining in Continuous Service as an Executive through the effective date of the Change in Control.</w:t>
      </w:r>
    </w:p>
    <w:p>
      <w:pPr>
        <w:spacing w:after="0" w:line="156" w:lineRule="exact"/>
        <w:rPr>
          <w:rFonts w:ascii="Arial" w:cs="Arial" w:eastAsia="Arial" w:hAnsi="Arial"/>
          <w:sz w:val="18"/>
          <w:szCs w:val="18"/>
          <w:color w:val="auto"/>
        </w:rPr>
      </w:pPr>
    </w:p>
    <w:p>
      <w:pPr>
        <w:ind w:left="1280" w:hanging="635"/>
        <w:spacing w:after="0"/>
        <w:tabs>
          <w:tab w:leader="none" w:pos="1280" w:val="left"/>
        </w:tabs>
        <w:numPr>
          <w:ilvl w:val="1"/>
          <w:numId w:val="60"/>
        </w:numPr>
        <w:rPr>
          <w:rFonts w:ascii="Arial" w:cs="Arial" w:eastAsia="Arial" w:hAnsi="Arial"/>
          <w:sz w:val="20"/>
          <w:szCs w:val="20"/>
          <w:color w:val="auto"/>
        </w:rPr>
      </w:pPr>
      <w:r>
        <w:rPr>
          <w:rFonts w:ascii="Arial" w:cs="Arial" w:eastAsia="Arial" w:hAnsi="Arial"/>
          <w:sz w:val="20"/>
          <w:szCs w:val="20"/>
          <w:b w:val="1"/>
          <w:bCs w:val="1"/>
          <w:color w:val="auto"/>
        </w:rPr>
        <w:t xml:space="preserve">Sample Change in Control Calculation. </w:t>
      </w:r>
      <w:r>
        <w:rPr>
          <w:rFonts w:ascii="Arial" w:cs="Arial" w:eastAsia="Arial" w:hAnsi="Arial"/>
          <w:sz w:val="20"/>
          <w:szCs w:val="20"/>
          <w:color w:val="auto"/>
        </w:rPr>
        <w:t>See Appendix C for Sample Change in Control Calculation.</w:t>
      </w:r>
    </w:p>
    <w:p>
      <w:pPr>
        <w:spacing w:after="0" w:line="182" w:lineRule="exact"/>
        <w:rPr>
          <w:rFonts w:ascii="Arial" w:cs="Arial" w:eastAsia="Arial" w:hAnsi="Arial"/>
          <w:sz w:val="20"/>
          <w:szCs w:val="20"/>
          <w:color w:val="auto"/>
        </w:rPr>
      </w:pPr>
    </w:p>
    <w:p>
      <w:pPr>
        <w:ind w:left="320" w:hanging="314"/>
        <w:spacing w:after="0"/>
        <w:tabs>
          <w:tab w:leader="none" w:pos="320" w:val="left"/>
        </w:tabs>
        <w:numPr>
          <w:ilvl w:val="0"/>
          <w:numId w:val="61"/>
        </w:numPr>
        <w:rPr>
          <w:rFonts w:ascii="Arial" w:cs="Arial" w:eastAsia="Arial" w:hAnsi="Arial"/>
          <w:sz w:val="20"/>
          <w:szCs w:val="20"/>
          <w:color w:val="auto"/>
        </w:rPr>
      </w:pPr>
      <w:r>
        <w:rPr>
          <w:rFonts w:ascii="Arial" w:cs="Arial" w:eastAsia="Arial" w:hAnsi="Arial"/>
          <w:sz w:val="20"/>
          <w:szCs w:val="20"/>
          <w:b w:val="1"/>
          <w:bCs w:val="1"/>
          <w:color w:val="auto"/>
        </w:rPr>
        <w:t xml:space="preserve">Definitions. </w:t>
      </w:r>
      <w:r>
        <w:rPr>
          <w:rFonts w:ascii="Arial" w:cs="Arial" w:eastAsia="Arial" w:hAnsi="Arial"/>
          <w:sz w:val="20"/>
          <w:szCs w:val="20"/>
          <w:color w:val="auto"/>
        </w:rPr>
        <w:t>For purposes of this Award, the following definitions will apply:</w:t>
      </w:r>
    </w:p>
    <w:p>
      <w:pPr>
        <w:spacing w:after="0" w:line="188" w:lineRule="exact"/>
        <w:rPr>
          <w:rFonts w:ascii="Arial" w:cs="Arial" w:eastAsia="Arial" w:hAnsi="Arial"/>
          <w:sz w:val="20"/>
          <w:szCs w:val="20"/>
          <w:color w:val="auto"/>
        </w:rPr>
      </w:pPr>
    </w:p>
    <w:p>
      <w:pPr>
        <w:ind w:left="640" w:firstLine="5"/>
        <w:spacing w:after="0" w:line="233" w:lineRule="auto"/>
        <w:tabs>
          <w:tab w:leader="none" w:pos="1269" w:val="left"/>
        </w:tabs>
        <w:numPr>
          <w:ilvl w:val="1"/>
          <w:numId w:val="6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Beginning Period Average Price</w:t>
      </w:r>
      <w:r>
        <w:rPr>
          <w:rFonts w:ascii="Arial" w:cs="Arial" w:eastAsia="Arial" w:hAnsi="Arial"/>
          <w:sz w:val="20"/>
          <w:szCs w:val="20"/>
          <w:color w:val="auto"/>
        </w:rPr>
        <w:t>” means the average closing price per share of the company over the 60 consecutive trading days ending with and including December 31, 2021.</w:t>
      </w:r>
    </w:p>
    <w:p>
      <w:pPr>
        <w:spacing w:after="0" w:line="152" w:lineRule="exact"/>
        <w:rPr>
          <w:rFonts w:ascii="Arial" w:cs="Arial" w:eastAsia="Arial" w:hAnsi="Arial"/>
          <w:sz w:val="20"/>
          <w:szCs w:val="20"/>
          <w:color w:val="auto"/>
        </w:rPr>
      </w:pPr>
    </w:p>
    <w:p>
      <w:pPr>
        <w:jc w:val="both"/>
        <w:ind w:left="640" w:firstLine="5"/>
        <w:spacing w:after="0" w:line="239" w:lineRule="auto"/>
        <w:tabs>
          <w:tab w:leader="none" w:pos="1267"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Ending Period Average Price</w:t>
      </w:r>
      <w:r>
        <w:rPr>
          <w:rFonts w:ascii="Arial" w:cs="Arial" w:eastAsia="Arial" w:hAnsi="Arial"/>
          <w:sz w:val="18"/>
          <w:szCs w:val="18"/>
          <w:color w:val="auto"/>
        </w:rPr>
        <w:t>” means (i) in the absence of a Change in Control, the average closing price per share of the company over the 60 consecutive trading days ending with and including the End Date of the applicable Measurement Period and (ii) in the event of a Change in Control, (A) for the TSR Peer Companies (other than the Company), the average closing price per share of the company over the 60 consecutive trading days immediately prior the effective date of the Change in Control or (B) for the Company, the sale price of the Shares in the Change in Control.</w:t>
      </w:r>
    </w:p>
    <w:p>
      <w:pPr>
        <w:spacing w:after="0" w:line="167" w:lineRule="exact"/>
        <w:rPr>
          <w:rFonts w:ascii="Arial" w:cs="Arial" w:eastAsia="Arial" w:hAnsi="Arial"/>
          <w:sz w:val="18"/>
          <w:szCs w:val="18"/>
          <w:color w:val="auto"/>
        </w:rPr>
      </w:pPr>
    </w:p>
    <w:p>
      <w:pPr>
        <w:ind w:left="640" w:firstLine="5"/>
        <w:spacing w:after="0" w:line="263" w:lineRule="auto"/>
        <w:tabs>
          <w:tab w:leader="none" w:pos="1269"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means an Employee who serves in a meaningful executive role, as determined by the Committee, and continues providing services to the Company at a level at least equal to 50% of the Participant’s level of service as of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81" w:right="339" w:bottom="1440" w:gutter="0" w:footer="0" w:header="0"/>
        </w:sectPr>
      </w:pPr>
    </w:p>
    <w:bookmarkStart w:id="91" w:name="page92"/>
    <w:bookmarkEnd w:id="91"/>
    <w:p>
      <w:pPr>
        <w:ind w:left="635" w:hanging="635"/>
        <w:spacing w:after="0"/>
        <w:tabs>
          <w:tab w:leader="none" w:pos="635" w:val="left"/>
        </w:tabs>
        <w:numPr>
          <w:ilvl w:val="0"/>
          <w:numId w:val="6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will have the meaning ascribed to such term in the Company’s Severance Benefit Plan.</w:t>
      </w:r>
    </w:p>
    <w:p>
      <w:pPr>
        <w:spacing w:after="0" w:line="182" w:lineRule="exact"/>
        <w:rPr>
          <w:rFonts w:ascii="Arial" w:cs="Arial" w:eastAsia="Arial" w:hAnsi="Arial"/>
          <w:sz w:val="20"/>
          <w:szCs w:val="20"/>
          <w:color w:val="auto"/>
        </w:rPr>
      </w:pPr>
    </w:p>
    <w:p>
      <w:pPr>
        <w:ind w:left="-5" w:firstLine="5"/>
        <w:spacing w:after="0" w:line="226" w:lineRule="auto"/>
        <w:tabs>
          <w:tab w:leader="none" w:pos="624" w:val="left"/>
        </w:tabs>
        <w:numPr>
          <w:ilvl w:val="0"/>
          <w:numId w:val="6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Median Peer Company</w:t>
      </w:r>
      <w:r>
        <w:rPr>
          <w:rFonts w:ascii="Arial" w:cs="Arial" w:eastAsia="Arial" w:hAnsi="Arial"/>
          <w:sz w:val="20"/>
          <w:szCs w:val="20"/>
          <w:color w:val="auto"/>
        </w:rPr>
        <w:t>” means the TSR Peer Company with a TSR at the median of the range of TSRs for the TSR Peer Companies during a particular Measurement Period.</w:t>
      </w:r>
    </w:p>
    <w:p>
      <w:pPr>
        <w:spacing w:after="0" w:line="165" w:lineRule="exact"/>
        <w:rPr>
          <w:rFonts w:ascii="Arial" w:cs="Arial" w:eastAsia="Arial" w:hAnsi="Arial"/>
          <w:sz w:val="20"/>
          <w:szCs w:val="20"/>
          <w:color w:val="auto"/>
        </w:rPr>
      </w:pPr>
    </w:p>
    <w:p>
      <w:pPr>
        <w:jc w:val="both"/>
        <w:ind w:left="-5" w:firstLine="5"/>
        <w:spacing w:after="0" w:line="239" w:lineRule="auto"/>
        <w:tabs>
          <w:tab w:leader="none" w:pos="629"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TSR</w:t>
      </w:r>
      <w:r>
        <w:rPr>
          <w:rFonts w:ascii="Arial" w:cs="Arial" w:eastAsia="Arial" w:hAnsi="Arial"/>
          <w:sz w:val="18"/>
          <w:szCs w:val="18"/>
          <w:color w:val="auto"/>
        </w:rPr>
        <w:t>” means total shareholder return as determined by dividing (i) the sum of (A) the Ending Period Average Price minus the Beginning Period Average Price plus (B) all dividends and other distributions paid on the company’s shares during the applicable period by (ii) the Beginning Period Average Price. In calculating TSR, all dividends are assumed to have been reinvested in shares on the ex-dividend date. The Committee shall have the authority to make appropriate equitable adjustments to account for extraordinary, unusual and infrequently occurring events and transactions affecting the TSR.</w:t>
      </w:r>
    </w:p>
    <w:p>
      <w:pPr>
        <w:spacing w:after="0" w:line="148" w:lineRule="exact"/>
        <w:rPr>
          <w:rFonts w:ascii="Arial" w:cs="Arial" w:eastAsia="Arial" w:hAnsi="Arial"/>
          <w:sz w:val="18"/>
          <w:szCs w:val="18"/>
          <w:color w:val="auto"/>
        </w:rPr>
      </w:pPr>
    </w:p>
    <w:p>
      <w:pPr>
        <w:ind w:left="635" w:hanging="635"/>
        <w:spacing w:after="0"/>
        <w:tabs>
          <w:tab w:leader="none" w:pos="635" w:val="left"/>
        </w:tabs>
        <w:numPr>
          <w:ilvl w:val="0"/>
          <w:numId w:val="6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TSR Peer Companies</w:t>
      </w:r>
      <w:r>
        <w:rPr>
          <w:rFonts w:ascii="Arial" w:cs="Arial" w:eastAsia="Arial" w:hAnsi="Arial"/>
          <w:sz w:val="20"/>
          <w:szCs w:val="20"/>
          <w:color w:val="auto"/>
        </w:rPr>
        <w:t xml:space="preserve">” means the companies listed on </w:t>
      </w:r>
      <w:r>
        <w:rPr>
          <w:rFonts w:ascii="Arial" w:cs="Arial" w:eastAsia="Arial" w:hAnsi="Arial"/>
          <w:sz w:val="20"/>
          <w:szCs w:val="20"/>
          <w:b w:val="1"/>
          <w:bCs w:val="1"/>
          <w:color w:val="auto"/>
        </w:rPr>
        <w:t>Appendix A</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635" w:hanging="635"/>
        <w:spacing w:after="0"/>
        <w:tabs>
          <w:tab w:leader="none" w:pos="635" w:val="left"/>
        </w:tabs>
        <w:numPr>
          <w:ilvl w:val="0"/>
          <w:numId w:val="6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TSR Performance Formula</w:t>
      </w:r>
      <w:r>
        <w:rPr>
          <w:rFonts w:ascii="Arial" w:cs="Arial" w:eastAsia="Arial" w:hAnsi="Arial"/>
          <w:sz w:val="20"/>
          <w:szCs w:val="20"/>
          <w:color w:val="auto"/>
        </w:rPr>
        <w:t>” means the formula described in Section 3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895"/>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0595"/>
          </w:cols>
          <w:pgMar w:left="965" w:top="1387" w:right="339" w:bottom="1440" w:gutter="0" w:footer="0" w:header="0"/>
        </w:sectPr>
      </w:pPr>
    </w:p>
    <w:bookmarkStart w:id="92" w:name="page93"/>
    <w:bookmarkEnd w:id="92"/>
    <w:p>
      <w:pPr>
        <w:ind w:left="4000"/>
        <w:spacing w:after="0"/>
        <w:rPr>
          <w:sz w:val="20"/>
          <w:szCs w:val="20"/>
          <w:color w:val="auto"/>
        </w:rPr>
      </w:pPr>
      <w:r>
        <w:rPr>
          <w:rFonts w:ascii="Arial" w:cs="Arial" w:eastAsia="Arial" w:hAnsi="Arial"/>
          <w:sz w:val="20"/>
          <w:szCs w:val="20"/>
          <w:b w:val="1"/>
          <w:bCs w:val="1"/>
          <w:color w:val="auto"/>
        </w:rPr>
        <w:t>Appendix A</w:t>
      </w:r>
    </w:p>
    <w:p>
      <w:pPr>
        <w:spacing w:after="0" w:line="18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Relative TSR Peer Group</w:t>
      </w:r>
    </w:p>
    <w:p>
      <w:pPr>
        <w:spacing w:after="0" w:line="184"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Alphatec Holdings, Inc.</w:t>
      </w:r>
    </w:p>
    <w:p>
      <w:pPr>
        <w:ind w:left="3440"/>
        <w:spacing w:after="0" w:line="208" w:lineRule="auto"/>
        <w:rPr>
          <w:sz w:val="20"/>
          <w:szCs w:val="20"/>
          <w:color w:val="auto"/>
        </w:rPr>
      </w:pPr>
      <w:r>
        <w:rPr>
          <w:rFonts w:ascii="Arial" w:cs="Arial" w:eastAsia="Arial" w:hAnsi="Arial"/>
          <w:sz w:val="20"/>
          <w:szCs w:val="20"/>
          <w:color w:val="auto"/>
        </w:rPr>
        <w:t>Apyx Medical Corporation</w:t>
      </w:r>
    </w:p>
    <w:p>
      <w:pPr>
        <w:ind w:left="3760"/>
        <w:spacing w:after="0" w:line="194" w:lineRule="auto"/>
        <w:rPr>
          <w:sz w:val="20"/>
          <w:szCs w:val="20"/>
          <w:color w:val="auto"/>
        </w:rPr>
      </w:pPr>
      <w:r>
        <w:rPr>
          <w:rFonts w:ascii="Arial" w:cs="Arial" w:eastAsia="Arial" w:hAnsi="Arial"/>
          <w:sz w:val="20"/>
          <w:szCs w:val="20"/>
          <w:color w:val="auto"/>
        </w:rPr>
        <w:t>Atrion Corporation</w:t>
      </w:r>
    </w:p>
    <w:p>
      <w:pPr>
        <w:ind w:left="3980"/>
        <w:spacing w:after="0" w:line="209" w:lineRule="auto"/>
        <w:rPr>
          <w:sz w:val="20"/>
          <w:szCs w:val="20"/>
          <w:color w:val="auto"/>
        </w:rPr>
      </w:pPr>
      <w:r>
        <w:rPr>
          <w:rFonts w:ascii="Arial" w:cs="Arial" w:eastAsia="Arial" w:hAnsi="Arial"/>
          <w:sz w:val="20"/>
          <w:szCs w:val="20"/>
          <w:color w:val="auto"/>
        </w:rPr>
        <w:t>AxoGen, Inc.</w:t>
      </w:r>
    </w:p>
    <w:p>
      <w:pPr>
        <w:ind w:left="3640"/>
        <w:spacing w:after="0" w:line="208" w:lineRule="auto"/>
        <w:rPr>
          <w:sz w:val="20"/>
          <w:szCs w:val="20"/>
          <w:color w:val="auto"/>
        </w:rPr>
      </w:pPr>
      <w:r>
        <w:rPr>
          <w:rFonts w:ascii="Arial" w:cs="Arial" w:eastAsia="Arial" w:hAnsi="Arial"/>
          <w:sz w:val="20"/>
          <w:szCs w:val="20"/>
          <w:color w:val="auto"/>
        </w:rPr>
        <w:t>BioLife Solutions Inc.</w:t>
      </w:r>
    </w:p>
    <w:p>
      <w:pPr>
        <w:ind w:left="3780"/>
        <w:spacing w:after="0" w:line="195" w:lineRule="auto"/>
        <w:rPr>
          <w:sz w:val="20"/>
          <w:szCs w:val="20"/>
          <w:color w:val="auto"/>
        </w:rPr>
      </w:pPr>
      <w:r>
        <w:rPr>
          <w:rFonts w:ascii="Arial" w:cs="Arial" w:eastAsia="Arial" w:hAnsi="Arial"/>
          <w:sz w:val="20"/>
          <w:szCs w:val="20"/>
          <w:color w:val="auto"/>
        </w:rPr>
        <w:t>Cerus Corporation</w:t>
      </w:r>
    </w:p>
    <w:p>
      <w:pPr>
        <w:ind w:left="3920"/>
        <w:spacing w:after="0" w:line="208" w:lineRule="auto"/>
        <w:rPr>
          <w:sz w:val="20"/>
          <w:szCs w:val="20"/>
          <w:color w:val="auto"/>
        </w:rPr>
      </w:pPr>
      <w:r>
        <w:rPr>
          <w:rFonts w:ascii="Arial" w:cs="Arial" w:eastAsia="Arial" w:hAnsi="Arial"/>
          <w:sz w:val="20"/>
          <w:szCs w:val="20"/>
          <w:color w:val="auto"/>
        </w:rPr>
        <w:t>Conformis Inc.</w:t>
      </w:r>
    </w:p>
    <w:p>
      <w:pPr>
        <w:ind w:left="3960"/>
        <w:spacing w:after="0" w:line="208" w:lineRule="auto"/>
        <w:rPr>
          <w:sz w:val="20"/>
          <w:szCs w:val="20"/>
          <w:color w:val="auto"/>
        </w:rPr>
      </w:pPr>
      <w:r>
        <w:rPr>
          <w:rFonts w:ascii="Arial" w:cs="Arial" w:eastAsia="Arial" w:hAnsi="Arial"/>
          <w:sz w:val="20"/>
          <w:szCs w:val="20"/>
          <w:color w:val="auto"/>
        </w:rPr>
        <w:t>Cryoport, Inc.</w:t>
      </w:r>
    </w:p>
    <w:p>
      <w:pPr>
        <w:ind w:left="4080"/>
        <w:spacing w:after="0" w:line="195" w:lineRule="auto"/>
        <w:rPr>
          <w:sz w:val="20"/>
          <w:szCs w:val="20"/>
          <w:color w:val="auto"/>
        </w:rPr>
      </w:pPr>
      <w:r>
        <w:rPr>
          <w:rFonts w:ascii="Arial" w:cs="Arial" w:eastAsia="Arial" w:hAnsi="Arial"/>
          <w:sz w:val="20"/>
          <w:szCs w:val="20"/>
          <w:color w:val="auto"/>
        </w:rPr>
        <w:t>Cutera Inc.</w:t>
      </w:r>
    </w:p>
    <w:p>
      <w:pPr>
        <w:ind w:left="4080"/>
        <w:spacing w:after="0" w:line="208" w:lineRule="auto"/>
        <w:rPr>
          <w:sz w:val="20"/>
          <w:szCs w:val="20"/>
          <w:color w:val="auto"/>
        </w:rPr>
      </w:pPr>
      <w:r>
        <w:rPr>
          <w:rFonts w:ascii="Arial" w:cs="Arial" w:eastAsia="Arial" w:hAnsi="Arial"/>
          <w:sz w:val="20"/>
          <w:szCs w:val="20"/>
          <w:color w:val="auto"/>
        </w:rPr>
        <w:t>Eargo, Inc.</w:t>
      </w:r>
    </w:p>
    <w:p>
      <w:pPr>
        <w:ind w:left="3600"/>
        <w:spacing w:after="0" w:line="209" w:lineRule="auto"/>
        <w:rPr>
          <w:sz w:val="20"/>
          <w:szCs w:val="20"/>
          <w:color w:val="auto"/>
        </w:rPr>
      </w:pPr>
      <w:r>
        <w:rPr>
          <w:rFonts w:ascii="Arial" w:cs="Arial" w:eastAsia="Arial" w:hAnsi="Arial"/>
          <w:sz w:val="20"/>
          <w:szCs w:val="20"/>
          <w:color w:val="auto"/>
        </w:rPr>
        <w:t>LeMaitre Vascular Inc.</w:t>
      </w:r>
    </w:p>
    <w:p>
      <w:pPr>
        <w:ind w:left="3600"/>
        <w:spacing w:after="0" w:line="194" w:lineRule="auto"/>
        <w:rPr>
          <w:sz w:val="20"/>
          <w:szCs w:val="20"/>
          <w:color w:val="auto"/>
        </w:rPr>
      </w:pPr>
      <w:r>
        <w:rPr>
          <w:rFonts w:ascii="Arial" w:cs="Arial" w:eastAsia="Arial" w:hAnsi="Arial"/>
          <w:sz w:val="20"/>
          <w:szCs w:val="20"/>
          <w:color w:val="auto"/>
        </w:rPr>
        <w:t>Mesa Laboratories Inc.</w:t>
      </w:r>
    </w:p>
    <w:p>
      <w:pPr>
        <w:ind w:left="3900"/>
        <w:spacing w:after="0" w:line="208" w:lineRule="auto"/>
        <w:rPr>
          <w:sz w:val="20"/>
          <w:szCs w:val="20"/>
          <w:color w:val="auto"/>
        </w:rPr>
      </w:pPr>
      <w:r>
        <w:rPr>
          <w:rFonts w:ascii="Arial" w:cs="Arial" w:eastAsia="Arial" w:hAnsi="Arial"/>
          <w:sz w:val="20"/>
          <w:szCs w:val="20"/>
          <w:color w:val="auto"/>
        </w:rPr>
        <w:t>NeuroPace Inc.</w:t>
      </w:r>
    </w:p>
    <w:p>
      <w:pPr>
        <w:ind w:left="3400"/>
        <w:spacing w:after="0" w:line="232" w:lineRule="auto"/>
        <w:rPr>
          <w:sz w:val="20"/>
          <w:szCs w:val="20"/>
          <w:color w:val="auto"/>
        </w:rPr>
      </w:pPr>
      <w:r>
        <w:rPr>
          <w:rFonts w:ascii="Arial" w:cs="Arial" w:eastAsia="Arial" w:hAnsi="Arial"/>
          <w:sz w:val="18"/>
          <w:szCs w:val="18"/>
          <w:color w:val="auto"/>
        </w:rPr>
        <w:t>OrthoPediatrics Corporation</w:t>
      </w:r>
    </w:p>
    <w:p>
      <w:pPr>
        <w:ind w:left="3700"/>
        <w:spacing w:after="0" w:line="195" w:lineRule="auto"/>
        <w:rPr>
          <w:sz w:val="20"/>
          <w:szCs w:val="20"/>
          <w:color w:val="auto"/>
        </w:rPr>
      </w:pPr>
      <w:r>
        <w:rPr>
          <w:rFonts w:ascii="Arial" w:cs="Arial" w:eastAsia="Arial" w:hAnsi="Arial"/>
          <w:sz w:val="20"/>
          <w:szCs w:val="20"/>
          <w:color w:val="auto"/>
        </w:rPr>
        <w:t>Outset Medical, Inc.</w:t>
      </w:r>
    </w:p>
    <w:p>
      <w:pPr>
        <w:ind w:left="3660"/>
        <w:spacing w:after="0" w:line="208" w:lineRule="auto"/>
        <w:rPr>
          <w:sz w:val="20"/>
          <w:szCs w:val="20"/>
          <w:color w:val="auto"/>
        </w:rPr>
      </w:pPr>
      <w:r>
        <w:rPr>
          <w:rFonts w:ascii="Arial" w:cs="Arial" w:eastAsia="Arial" w:hAnsi="Arial"/>
          <w:sz w:val="20"/>
          <w:szCs w:val="20"/>
          <w:color w:val="auto"/>
        </w:rPr>
        <w:t>Pulmonx Corporation</w:t>
      </w:r>
    </w:p>
    <w:p>
      <w:pPr>
        <w:ind w:left="3980"/>
        <w:spacing w:after="0" w:line="194" w:lineRule="auto"/>
        <w:rPr>
          <w:sz w:val="20"/>
          <w:szCs w:val="20"/>
          <w:color w:val="auto"/>
        </w:rPr>
      </w:pPr>
      <w:r>
        <w:rPr>
          <w:rFonts w:ascii="Arial" w:cs="Arial" w:eastAsia="Arial" w:hAnsi="Arial"/>
          <w:sz w:val="20"/>
          <w:szCs w:val="20"/>
          <w:color w:val="auto"/>
        </w:rPr>
        <w:t>Quotient Ltd.</w:t>
      </w:r>
    </w:p>
    <w:p>
      <w:pPr>
        <w:spacing w:after="0" w:line="1"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SeaSpine Holdings Corporation</w:t>
      </w:r>
    </w:p>
    <w:p>
      <w:pPr>
        <w:ind w:left="3500"/>
        <w:spacing w:after="0" w:line="212" w:lineRule="auto"/>
        <w:rPr>
          <w:sz w:val="20"/>
          <w:szCs w:val="20"/>
          <w:color w:val="auto"/>
        </w:rPr>
      </w:pPr>
      <w:r>
        <w:rPr>
          <w:rFonts w:ascii="Arial" w:cs="Arial" w:eastAsia="Arial" w:hAnsi="Arial"/>
          <w:sz w:val="20"/>
          <w:szCs w:val="20"/>
          <w:color w:val="auto"/>
        </w:rPr>
        <w:t>ShockWave Medical, Inc.</w:t>
      </w:r>
    </w:p>
    <w:p>
      <w:pPr>
        <w:ind w:left="3600"/>
        <w:spacing w:after="0" w:line="195" w:lineRule="auto"/>
        <w:rPr>
          <w:sz w:val="20"/>
          <w:szCs w:val="20"/>
          <w:color w:val="auto"/>
        </w:rPr>
      </w:pPr>
      <w:r>
        <w:rPr>
          <w:rFonts w:ascii="Arial" w:cs="Arial" w:eastAsia="Arial" w:hAnsi="Arial"/>
          <w:sz w:val="20"/>
          <w:szCs w:val="20"/>
          <w:color w:val="auto"/>
        </w:rPr>
        <w:t>Silk Road Medical Inc.</w:t>
      </w:r>
    </w:p>
    <w:p>
      <w:pPr>
        <w:ind w:left="3920"/>
        <w:spacing w:after="0" w:line="208" w:lineRule="auto"/>
        <w:rPr>
          <w:sz w:val="20"/>
          <w:szCs w:val="20"/>
          <w:color w:val="auto"/>
        </w:rPr>
      </w:pPr>
      <w:r>
        <w:rPr>
          <w:rFonts w:ascii="Arial" w:cs="Arial" w:eastAsia="Arial" w:hAnsi="Arial"/>
          <w:sz w:val="20"/>
          <w:szCs w:val="20"/>
          <w:color w:val="auto"/>
        </w:rPr>
        <w:t>Surmodics Inc.</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Tactile Systems Technology Inc.</w:t>
      </w:r>
    </w:p>
    <w:p>
      <w:pPr>
        <w:ind w:left="3900"/>
        <w:spacing w:after="0" w:line="198" w:lineRule="auto"/>
        <w:rPr>
          <w:sz w:val="20"/>
          <w:szCs w:val="20"/>
          <w:color w:val="auto"/>
        </w:rPr>
      </w:pPr>
      <w:r>
        <w:rPr>
          <w:rFonts w:ascii="Arial" w:cs="Arial" w:eastAsia="Arial" w:hAnsi="Arial"/>
          <w:sz w:val="20"/>
          <w:szCs w:val="20"/>
          <w:color w:val="auto"/>
        </w:rPr>
        <w:t>Vapotherm Inc.</w:t>
      </w:r>
    </w:p>
    <w:p>
      <w:pPr>
        <w:jc w:val="center"/>
        <w:spacing w:after="0" w:line="209" w:lineRule="auto"/>
        <w:rPr>
          <w:sz w:val="20"/>
          <w:szCs w:val="20"/>
          <w:color w:val="auto"/>
        </w:rPr>
      </w:pPr>
      <w:r>
        <w:rPr>
          <w:rFonts w:ascii="Arial" w:cs="Arial" w:eastAsia="Arial" w:hAnsi="Arial"/>
          <w:sz w:val="20"/>
          <w:szCs w:val="20"/>
          <w:color w:val="auto"/>
        </w:rPr>
        <w:t>ViewRay, Inc.</w:t>
      </w:r>
    </w:p>
    <w:p>
      <w:pPr>
        <w:jc w:val="center"/>
        <w:spacing w:after="0"/>
        <w:rPr>
          <w:sz w:val="20"/>
          <w:szCs w:val="20"/>
          <w:color w:val="auto"/>
        </w:rPr>
      </w:pPr>
      <w:r>
        <w:rPr>
          <w:rFonts w:ascii="Arial" w:cs="Arial" w:eastAsia="Arial" w:hAnsi="Arial"/>
          <w:sz w:val="20"/>
          <w:szCs w:val="20"/>
          <w:color w:val="auto"/>
        </w:rPr>
        <w:t>Zynex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9019"/>
          </w:cols>
          <w:pgMar w:left="1440" w:top="1381" w:right="1440" w:bottom="1440" w:gutter="0" w:footer="0" w:header="0"/>
        </w:sectPr>
      </w:pPr>
    </w:p>
    <w:bookmarkStart w:id="93" w:name="page94"/>
    <w:bookmarkEnd w:id="93"/>
    <w:p>
      <w:pPr>
        <w:jc w:val="center"/>
        <w:ind w:right="-879"/>
        <w:spacing w:after="0"/>
        <w:rPr>
          <w:sz w:val="20"/>
          <w:szCs w:val="20"/>
          <w:color w:val="auto"/>
        </w:rPr>
      </w:pPr>
      <w:r>
        <w:rPr>
          <w:rFonts w:ascii="Arial" w:cs="Arial" w:eastAsia="Arial" w:hAnsi="Arial"/>
          <w:sz w:val="20"/>
          <w:szCs w:val="20"/>
          <w:b w:val="1"/>
          <w:bCs w:val="1"/>
          <w:color w:val="auto"/>
        </w:rPr>
        <w:t>APPENDIX B</w:t>
      </w:r>
    </w:p>
    <w:p>
      <w:pPr>
        <w:spacing w:after="0" w:line="183" w:lineRule="exact"/>
        <w:rPr>
          <w:sz w:val="20"/>
          <w:szCs w:val="20"/>
          <w:color w:val="auto"/>
        </w:rPr>
      </w:pPr>
    </w:p>
    <w:p>
      <w:pPr>
        <w:jc w:val="center"/>
        <w:ind w:right="-879"/>
        <w:spacing w:after="0"/>
        <w:rPr>
          <w:sz w:val="20"/>
          <w:szCs w:val="20"/>
          <w:color w:val="auto"/>
        </w:rPr>
      </w:pPr>
      <w:r>
        <w:rPr>
          <w:rFonts w:ascii="Arial" w:cs="Arial" w:eastAsia="Arial" w:hAnsi="Arial"/>
          <w:sz w:val="20"/>
          <w:szCs w:val="20"/>
          <w:b w:val="1"/>
          <w:bCs w:val="1"/>
          <w:color w:val="auto"/>
        </w:rPr>
        <w:t>SAMPLE PERFORMANCE PERIOD CALCULATION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SAMPLE ASSUMPTIONS: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840" w:type="dxa"/>
            <w:vAlign w:val="bottom"/>
            <w:gridSpan w:val="10"/>
          </w:tcPr>
          <w:p>
            <w:pPr>
              <w:ind w:left="640"/>
              <w:spacing w:after="0"/>
              <w:rPr>
                <w:sz w:val="20"/>
                <w:szCs w:val="20"/>
                <w:color w:val="auto"/>
              </w:rPr>
            </w:pPr>
            <w:r>
              <w:rPr>
                <w:rFonts w:ascii="Arial" w:cs="Arial" w:eastAsia="Arial" w:hAnsi="Arial"/>
                <w:sz w:val="18"/>
                <w:szCs w:val="18"/>
                <w:color w:val="auto"/>
              </w:rPr>
              <w:t>Date of Grant:  January 1, 2022</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100" w:type="dxa"/>
            <w:vAlign w:val="bottom"/>
            <w:gridSpan w:val="7"/>
            <w:vMerge w:val="restart"/>
          </w:tcPr>
          <w:p>
            <w:pPr>
              <w:spacing w:after="0" w:line="173" w:lineRule="exact"/>
              <w:rPr>
                <w:sz w:val="20"/>
                <w:szCs w:val="20"/>
                <w:color w:val="auto"/>
              </w:rPr>
            </w:pPr>
            <w:r>
              <w:rPr>
                <w:rFonts w:ascii="Arial" w:cs="Arial" w:eastAsia="Arial" w:hAnsi="Arial"/>
                <w:sz w:val="18"/>
                <w:szCs w:val="18"/>
                <w:color w:val="auto"/>
                <w:w w:val="93"/>
              </w:rPr>
              <w:t>2022 to December 31, 2024</w:t>
            </w:r>
          </w:p>
        </w:tc>
        <w:tc>
          <w:tcPr>
            <w:tcW w:w="980" w:type="dxa"/>
            <w:vAlign w:val="bottom"/>
            <w:vMerge w:val="restart"/>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340" w:type="dxa"/>
            <w:vAlign w:val="bottom"/>
            <w:gridSpan w:val="3"/>
          </w:tcPr>
          <w:p>
            <w:pPr>
              <w:ind w:left="640"/>
              <w:spacing w:after="0" w:line="153" w:lineRule="exact"/>
              <w:rPr>
                <w:sz w:val="20"/>
                <w:szCs w:val="20"/>
                <w:color w:val="auto"/>
              </w:rPr>
            </w:pPr>
            <w:r>
              <w:rPr>
                <w:rFonts w:ascii="Arial" w:cs="Arial" w:eastAsia="Arial" w:hAnsi="Arial"/>
                <w:sz w:val="17"/>
                <w:szCs w:val="17"/>
                <w:color w:val="auto"/>
              </w:rPr>
              <w:t>Performance Period:</w:t>
            </w:r>
          </w:p>
        </w:tc>
        <w:tc>
          <w:tcPr>
            <w:tcW w:w="820" w:type="dxa"/>
            <w:vAlign w:val="bottom"/>
            <w:tcBorders>
              <w:bottom w:val="single" w:sz="8" w:color="auto"/>
            </w:tcBorders>
          </w:tcPr>
          <w:p>
            <w:pPr>
              <w:spacing w:after="0" w:line="153" w:lineRule="exact"/>
              <w:rPr>
                <w:sz w:val="20"/>
                <w:szCs w:val="20"/>
                <w:color w:val="auto"/>
              </w:rPr>
            </w:pPr>
            <w:r>
              <w:rPr>
                <w:rFonts w:ascii="Arial" w:cs="Arial" w:eastAsia="Arial" w:hAnsi="Arial"/>
                <w:sz w:val="17"/>
                <w:szCs w:val="17"/>
                <w:color w:val="auto"/>
              </w:rPr>
              <w:t>January 1,</w:t>
            </w:r>
          </w:p>
        </w:tc>
        <w:tc>
          <w:tcPr>
            <w:tcW w:w="2100" w:type="dxa"/>
            <w:vAlign w:val="bottom"/>
            <w:tcBorders>
              <w:bottom w:val="single" w:sz="8" w:color="auto"/>
            </w:tcBorders>
            <w:gridSpan w:val="7"/>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20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840" w:type="dxa"/>
            <w:vAlign w:val="bottom"/>
            <w:gridSpan w:val="10"/>
          </w:tcPr>
          <w:p>
            <w:pPr>
              <w:ind w:left="640"/>
              <w:spacing w:after="0" w:line="166" w:lineRule="exact"/>
              <w:rPr>
                <w:sz w:val="20"/>
                <w:szCs w:val="20"/>
                <w:color w:val="auto"/>
              </w:rPr>
            </w:pPr>
            <w:r>
              <w:rPr>
                <w:rFonts w:ascii="Arial" w:cs="Arial" w:eastAsia="Arial" w:hAnsi="Arial"/>
                <w:sz w:val="18"/>
                <w:szCs w:val="18"/>
                <w:color w:val="auto"/>
              </w:rPr>
              <w:t>Target Number of Restricted Stock Units:   3,000</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20" w:type="dxa"/>
            <w:vAlign w:val="bottom"/>
            <w:gridSpan w:val="5"/>
          </w:tcPr>
          <w:p>
            <w:pPr>
              <w:ind w:left="640"/>
              <w:spacing w:after="0" w:line="153" w:lineRule="exact"/>
              <w:rPr>
                <w:sz w:val="20"/>
                <w:szCs w:val="20"/>
                <w:color w:val="auto"/>
              </w:rPr>
            </w:pPr>
            <w:r>
              <w:rPr>
                <w:rFonts w:ascii="Arial" w:cs="Arial" w:eastAsia="Arial" w:hAnsi="Arial"/>
                <w:sz w:val="17"/>
                <w:szCs w:val="17"/>
                <w:color w:val="auto"/>
                <w:w w:val="94"/>
              </w:rPr>
              <w:t>Maximum Number of Restricted Stock Units:</w:t>
            </w:r>
          </w:p>
        </w:tc>
        <w:tc>
          <w:tcPr>
            <w:tcW w:w="580" w:type="dxa"/>
            <w:vAlign w:val="bottom"/>
            <w:tcBorders>
              <w:top w:val="single" w:sz="8" w:color="auto"/>
            </w:tcBorders>
            <w:gridSpan w:val="3"/>
          </w:tcPr>
          <w:p>
            <w:pPr>
              <w:jc w:val="right"/>
              <w:spacing w:after="0" w:line="153" w:lineRule="exact"/>
              <w:rPr>
                <w:sz w:val="20"/>
                <w:szCs w:val="20"/>
                <w:color w:val="auto"/>
              </w:rPr>
            </w:pPr>
            <w:r>
              <w:rPr>
                <w:rFonts w:ascii="Arial" w:cs="Arial" w:eastAsia="Arial" w:hAnsi="Arial"/>
                <w:sz w:val="17"/>
                <w:szCs w:val="17"/>
                <w:color w:val="auto"/>
              </w:rPr>
              <w:t>6,000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4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840" w:type="dxa"/>
            <w:vAlign w:val="bottom"/>
            <w:gridSpan w:val="10"/>
          </w:tcPr>
          <w:p>
            <w:pPr>
              <w:spacing w:after="0"/>
              <w:rPr>
                <w:sz w:val="20"/>
                <w:szCs w:val="20"/>
                <w:color w:val="auto"/>
              </w:rPr>
            </w:pPr>
            <w:r>
              <w:rPr>
                <w:rFonts w:ascii="Arial" w:cs="Arial" w:eastAsia="Arial" w:hAnsi="Arial"/>
                <w:sz w:val="20"/>
                <w:szCs w:val="20"/>
                <w:b w:val="1"/>
                <w:bCs w:val="1"/>
                <w:color w:val="auto"/>
                <w:w w:val="99"/>
              </w:rPr>
              <w:t>SAMPLE PERFORMANCE PERIOD CALCULATION:</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40" w:type="dxa"/>
            <w:vAlign w:val="bottom"/>
            <w:tcBorders>
              <w:bottom w:val="single" w:sz="8" w:color="A5A5A5"/>
            </w:tcBorders>
          </w:tcPr>
          <w:p>
            <w:pPr>
              <w:spacing w:after="0"/>
              <w:rPr>
                <w:sz w:val="19"/>
                <w:szCs w:val="19"/>
                <w:color w:val="auto"/>
              </w:rPr>
            </w:pPr>
          </w:p>
        </w:tc>
        <w:tc>
          <w:tcPr>
            <w:tcW w:w="300" w:type="dxa"/>
            <w:vAlign w:val="bottom"/>
            <w:tcBorders>
              <w:bottom w:val="single" w:sz="8" w:color="A5A5A5"/>
            </w:tcBorders>
          </w:tcPr>
          <w:p>
            <w:pPr>
              <w:spacing w:after="0"/>
              <w:rPr>
                <w:sz w:val="19"/>
                <w:szCs w:val="19"/>
                <w:color w:val="auto"/>
              </w:rPr>
            </w:pPr>
          </w:p>
        </w:tc>
        <w:tc>
          <w:tcPr>
            <w:tcW w:w="200" w:type="dxa"/>
            <w:vAlign w:val="bottom"/>
            <w:tcBorders>
              <w:bottom w:val="single" w:sz="8" w:color="A5A5A5"/>
            </w:tcBorders>
          </w:tcPr>
          <w:p>
            <w:pPr>
              <w:spacing w:after="0"/>
              <w:rPr>
                <w:sz w:val="19"/>
                <w:szCs w:val="19"/>
                <w:color w:val="auto"/>
              </w:rPr>
            </w:pPr>
          </w:p>
        </w:tc>
        <w:tc>
          <w:tcPr>
            <w:tcW w:w="1840" w:type="dxa"/>
            <w:vAlign w:val="bottom"/>
            <w:tcBorders>
              <w:bottom w:val="single" w:sz="8" w:color="A5A5A5"/>
            </w:tcBorders>
            <w:gridSpan w:val="4"/>
          </w:tcPr>
          <w:p>
            <w:pPr>
              <w:spacing w:after="0"/>
              <w:rPr>
                <w:sz w:val="19"/>
                <w:szCs w:val="19"/>
                <w:color w:val="auto"/>
              </w:rPr>
            </w:pPr>
          </w:p>
        </w:tc>
        <w:tc>
          <w:tcPr>
            <w:tcW w:w="220" w:type="dxa"/>
            <w:vAlign w:val="bottom"/>
            <w:tcBorders>
              <w:bottom w:val="single" w:sz="8" w:color="A5A5A5"/>
            </w:tcBorders>
          </w:tcPr>
          <w:p>
            <w:pPr>
              <w:spacing w:after="0"/>
              <w:rPr>
                <w:sz w:val="19"/>
                <w:szCs w:val="19"/>
                <w:color w:val="auto"/>
              </w:rPr>
            </w:pPr>
          </w:p>
        </w:tc>
        <w:tc>
          <w:tcPr>
            <w:tcW w:w="240" w:type="dxa"/>
            <w:vAlign w:val="bottom"/>
            <w:tcBorders>
              <w:bottom w:val="single" w:sz="8" w:color="A5A5A5"/>
            </w:tcBorders>
          </w:tcPr>
          <w:p>
            <w:pPr>
              <w:spacing w:after="0"/>
              <w:rPr>
                <w:sz w:val="19"/>
                <w:szCs w:val="19"/>
                <w:color w:val="auto"/>
              </w:rPr>
            </w:pPr>
          </w:p>
        </w:tc>
        <w:tc>
          <w:tcPr>
            <w:tcW w:w="200" w:type="dxa"/>
            <w:vAlign w:val="bottom"/>
            <w:tcBorders>
              <w:bottom w:val="single" w:sz="8" w:color="A5A5A5"/>
            </w:tcBorders>
          </w:tcPr>
          <w:p>
            <w:pPr>
              <w:spacing w:after="0"/>
              <w:rPr>
                <w:sz w:val="19"/>
                <w:szCs w:val="19"/>
                <w:color w:val="auto"/>
              </w:rPr>
            </w:pPr>
          </w:p>
        </w:tc>
        <w:tc>
          <w:tcPr>
            <w:tcW w:w="1400" w:type="dxa"/>
            <w:vAlign w:val="bottom"/>
            <w:tcBorders>
              <w:bottom w:val="single" w:sz="8" w:color="A5A5A5"/>
            </w:tcBorders>
            <w:gridSpan w:val="2"/>
          </w:tcPr>
          <w:p>
            <w:pPr>
              <w:spacing w:after="0"/>
              <w:rPr>
                <w:sz w:val="19"/>
                <w:szCs w:val="19"/>
                <w:color w:val="auto"/>
              </w:rPr>
            </w:pPr>
          </w:p>
        </w:tc>
        <w:tc>
          <w:tcPr>
            <w:tcW w:w="2060" w:type="dxa"/>
            <w:vAlign w:val="bottom"/>
            <w:tcBorders>
              <w:bottom w:val="single" w:sz="8" w:color="A5A5A5"/>
            </w:tcBorders>
          </w:tcPr>
          <w:p>
            <w:pPr>
              <w:spacing w:after="0"/>
              <w:rPr>
                <w:sz w:val="19"/>
                <w:szCs w:val="19"/>
                <w:color w:val="auto"/>
              </w:rPr>
            </w:pPr>
          </w:p>
        </w:tc>
        <w:tc>
          <w:tcPr>
            <w:tcW w:w="2060" w:type="dxa"/>
            <w:vAlign w:val="bottom"/>
            <w:tcBorders>
              <w:bottom w:val="single" w:sz="8" w:color="A5A5A5"/>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40" w:type="dxa"/>
            <w:vAlign w:val="bottom"/>
            <w:tcBorders>
              <w:left w:val="single" w:sz="8" w:color="A5A5A5"/>
              <w:bottom w:val="single" w:sz="8" w:color="3F3F3F"/>
            </w:tcBorders>
            <w:shd w:val="clear" w:color="auto" w:fill="BDC0BF"/>
          </w:tcPr>
          <w:p>
            <w:pPr>
              <w:spacing w:after="0"/>
              <w:rPr>
                <w:sz w:val="19"/>
                <w:szCs w:val="19"/>
                <w:color w:val="auto"/>
              </w:rPr>
            </w:pPr>
          </w:p>
        </w:tc>
        <w:tc>
          <w:tcPr>
            <w:tcW w:w="300" w:type="dxa"/>
            <w:vAlign w:val="bottom"/>
            <w:tcBorders>
              <w:bottom w:val="single" w:sz="8" w:color="3F3F3F"/>
              <w:right w:val="single" w:sz="8" w:color="A5A5A5"/>
            </w:tcBorders>
            <w:shd w:val="clear" w:color="auto" w:fill="BDC0BF"/>
          </w:tcPr>
          <w:p>
            <w:pPr>
              <w:spacing w:after="0"/>
              <w:rPr>
                <w:sz w:val="19"/>
                <w:szCs w:val="19"/>
                <w:color w:val="auto"/>
              </w:rPr>
            </w:pPr>
          </w:p>
        </w:tc>
        <w:tc>
          <w:tcPr>
            <w:tcW w:w="200" w:type="dxa"/>
            <w:vAlign w:val="bottom"/>
            <w:tcBorders>
              <w:bottom w:val="single" w:sz="8" w:color="3F3F3F"/>
            </w:tcBorders>
            <w:shd w:val="clear" w:color="auto" w:fill="BDC0BF"/>
          </w:tcPr>
          <w:p>
            <w:pPr>
              <w:spacing w:after="0"/>
              <w:rPr>
                <w:sz w:val="19"/>
                <w:szCs w:val="19"/>
                <w:color w:val="auto"/>
              </w:rPr>
            </w:pPr>
          </w:p>
        </w:tc>
        <w:tc>
          <w:tcPr>
            <w:tcW w:w="1840" w:type="dxa"/>
            <w:vAlign w:val="bottom"/>
            <w:tcBorders>
              <w:bottom w:val="single" w:sz="8" w:color="3F3F3F"/>
              <w:right w:val="single" w:sz="8" w:color="A5A5A5"/>
            </w:tcBorders>
            <w:gridSpan w:val="4"/>
            <w:shd w:val="clear" w:color="auto" w:fill="BDC0BF"/>
          </w:tcPr>
          <w:p>
            <w:pPr>
              <w:jc w:val="right"/>
              <w:ind w:right="8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3F3F3F"/>
            </w:tcBorders>
            <w:shd w:val="clear" w:color="auto" w:fill="BDC0BF"/>
          </w:tcPr>
          <w:p>
            <w:pPr>
              <w:spacing w:after="0"/>
              <w:rPr>
                <w:sz w:val="19"/>
                <w:szCs w:val="19"/>
                <w:color w:val="auto"/>
              </w:rPr>
            </w:pPr>
          </w:p>
        </w:tc>
        <w:tc>
          <w:tcPr>
            <w:tcW w:w="240" w:type="dxa"/>
            <w:vAlign w:val="bottom"/>
            <w:tcBorders>
              <w:bottom w:val="single" w:sz="8" w:color="3F3F3F"/>
            </w:tcBorders>
            <w:shd w:val="clear" w:color="auto" w:fill="BDC0BF"/>
          </w:tcPr>
          <w:p>
            <w:pPr>
              <w:spacing w:after="0"/>
              <w:rPr>
                <w:sz w:val="19"/>
                <w:szCs w:val="19"/>
                <w:color w:val="auto"/>
              </w:rPr>
            </w:pPr>
          </w:p>
        </w:tc>
        <w:tc>
          <w:tcPr>
            <w:tcW w:w="200" w:type="dxa"/>
            <w:vAlign w:val="bottom"/>
            <w:tcBorders>
              <w:bottom w:val="single" w:sz="8" w:color="3F3F3F"/>
            </w:tcBorders>
            <w:shd w:val="clear" w:color="auto" w:fill="BDC0BF"/>
          </w:tcPr>
          <w:p>
            <w:pPr>
              <w:spacing w:after="0"/>
              <w:rPr>
                <w:sz w:val="19"/>
                <w:szCs w:val="19"/>
                <w:color w:val="auto"/>
              </w:rPr>
            </w:pPr>
          </w:p>
        </w:tc>
        <w:tc>
          <w:tcPr>
            <w:tcW w:w="1400" w:type="dxa"/>
            <w:vAlign w:val="bottom"/>
            <w:tcBorders>
              <w:bottom w:val="single" w:sz="8" w:color="3F3F3F"/>
              <w:right w:val="single" w:sz="8" w:color="A5A5A5"/>
            </w:tcBorders>
            <w:gridSpan w:val="2"/>
            <w:shd w:val="clear" w:color="auto" w:fill="BDC0BF"/>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2060" w:type="dxa"/>
            <w:vAlign w:val="bottom"/>
            <w:tcBorders>
              <w:bottom w:val="single" w:sz="8" w:color="3F3F3F"/>
              <w:right w:val="single" w:sz="8" w:color="A5A5A5"/>
            </w:tcBorders>
            <w:shd w:val="clear" w:color="auto" w:fill="BDC0BF"/>
          </w:tcPr>
          <w:p>
            <w:pPr>
              <w:jc w:val="right"/>
              <w:spacing w:after="0"/>
              <w:rPr>
                <w:sz w:val="20"/>
                <w:szCs w:val="20"/>
                <w:color w:val="auto"/>
              </w:rPr>
            </w:pPr>
            <w:r>
              <w:rPr>
                <w:rFonts w:ascii="Arial" w:cs="Arial" w:eastAsia="Arial" w:hAnsi="Arial"/>
                <w:sz w:val="18"/>
                <w:szCs w:val="18"/>
                <w:b w:val="1"/>
                <w:bCs w:val="1"/>
                <w:color w:val="auto"/>
              </w:rPr>
              <w:t>2024</w:t>
            </w:r>
          </w:p>
        </w:tc>
        <w:tc>
          <w:tcPr>
            <w:tcW w:w="2060" w:type="dxa"/>
            <w:vAlign w:val="bottom"/>
            <w:tcBorders>
              <w:bottom w:val="single" w:sz="8" w:color="3F3F3F"/>
              <w:right w:val="single" w:sz="8" w:color="A5A5A5"/>
            </w:tcBorders>
            <w:shd w:val="clear" w:color="auto" w:fill="BDC0BF"/>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0"/>
        </w:trPr>
        <w:tc>
          <w:tcPr>
            <w:tcW w:w="2140" w:type="dxa"/>
            <w:vAlign w:val="bottom"/>
            <w:tcBorders>
              <w:left w:val="single" w:sz="8" w:color="A5A5A5"/>
              <w:bottom w:val="single" w:sz="8" w:color="A5A5A5"/>
              <w:right w:val="single" w:sz="8" w:color="3F3F3F"/>
            </w:tcBorders>
            <w:gridSpan w:val="2"/>
            <w:shd w:val="clear" w:color="auto" w:fill="DBDBDB"/>
          </w:tcPr>
          <w:p>
            <w:pPr>
              <w:ind w:left="80"/>
              <w:spacing w:after="0"/>
              <w:rPr>
                <w:sz w:val="20"/>
                <w:szCs w:val="20"/>
                <w:color w:val="auto"/>
              </w:rPr>
            </w:pPr>
            <w:r>
              <w:rPr>
                <w:rFonts w:ascii="Arial" w:cs="Arial" w:eastAsia="Arial" w:hAnsi="Arial"/>
                <w:sz w:val="18"/>
                <w:szCs w:val="18"/>
                <w:b w:val="1"/>
                <w:bCs w:val="1"/>
                <w:color w:val="auto"/>
              </w:rPr>
              <w:t>SIBN TSR</w:t>
            </w:r>
          </w:p>
        </w:tc>
        <w:tc>
          <w:tcPr>
            <w:tcW w:w="200" w:type="dxa"/>
            <w:vAlign w:val="bottom"/>
            <w:tcBorders>
              <w:bottom w:val="single" w:sz="8" w:color="A5A5A5"/>
            </w:tcBorders>
          </w:tcPr>
          <w:p>
            <w:pPr>
              <w:spacing w:after="0"/>
              <w:rPr>
                <w:sz w:val="19"/>
                <w:szCs w:val="19"/>
                <w:color w:val="auto"/>
              </w:rPr>
            </w:pPr>
          </w:p>
        </w:tc>
        <w:tc>
          <w:tcPr>
            <w:tcW w:w="1480" w:type="dxa"/>
            <w:vAlign w:val="bottom"/>
            <w:tcBorders>
              <w:bottom w:val="single" w:sz="8" w:color="A5A5A5"/>
            </w:tcBorders>
            <w:gridSpan w:val="2"/>
          </w:tcPr>
          <w:p>
            <w:pPr>
              <w:jc w:val="center"/>
              <w:ind w:left="12"/>
              <w:spacing w:after="0"/>
              <w:rPr>
                <w:sz w:val="20"/>
                <w:szCs w:val="20"/>
                <w:color w:val="auto"/>
              </w:rPr>
            </w:pPr>
            <w:r>
              <w:rPr>
                <w:rFonts w:ascii="Arial" w:cs="Arial" w:eastAsia="Arial" w:hAnsi="Arial"/>
                <w:sz w:val="18"/>
                <w:szCs w:val="18"/>
                <w:color w:val="auto"/>
                <w:w w:val="97"/>
              </w:rPr>
              <w:t>-4.9%</w:t>
            </w:r>
          </w:p>
        </w:tc>
        <w:tc>
          <w:tcPr>
            <w:tcW w:w="260" w:type="dxa"/>
            <w:vAlign w:val="bottom"/>
            <w:tcBorders>
              <w:bottom w:val="single" w:sz="8" w:color="A5A5A5"/>
            </w:tcBorders>
          </w:tcPr>
          <w:p>
            <w:pPr>
              <w:spacing w:after="0"/>
              <w:rPr>
                <w:sz w:val="19"/>
                <w:szCs w:val="19"/>
                <w:color w:val="auto"/>
              </w:rPr>
            </w:pPr>
          </w:p>
        </w:tc>
        <w:tc>
          <w:tcPr>
            <w:tcW w:w="100" w:type="dxa"/>
            <w:vAlign w:val="bottom"/>
            <w:tcBorders>
              <w:bottom w:val="single" w:sz="8" w:color="A5A5A5"/>
              <w:right w:val="single" w:sz="8" w:color="A5A5A5"/>
            </w:tcBorders>
          </w:tcPr>
          <w:p>
            <w:pPr>
              <w:spacing w:after="0"/>
              <w:rPr>
                <w:sz w:val="19"/>
                <w:szCs w:val="19"/>
                <w:color w:val="auto"/>
              </w:rPr>
            </w:pPr>
          </w:p>
        </w:tc>
        <w:tc>
          <w:tcPr>
            <w:tcW w:w="220" w:type="dxa"/>
            <w:vAlign w:val="bottom"/>
            <w:tcBorders>
              <w:bottom w:val="single" w:sz="8" w:color="A5A5A5"/>
            </w:tcBorders>
          </w:tcPr>
          <w:p>
            <w:pPr>
              <w:spacing w:after="0"/>
              <w:rPr>
                <w:sz w:val="19"/>
                <w:szCs w:val="19"/>
                <w:color w:val="auto"/>
              </w:rPr>
            </w:pPr>
          </w:p>
        </w:tc>
        <w:tc>
          <w:tcPr>
            <w:tcW w:w="240" w:type="dxa"/>
            <w:vAlign w:val="bottom"/>
            <w:tcBorders>
              <w:bottom w:val="single" w:sz="8" w:color="A5A5A5"/>
            </w:tcBorders>
          </w:tcPr>
          <w:p>
            <w:pPr>
              <w:spacing w:after="0"/>
              <w:rPr>
                <w:sz w:val="19"/>
                <w:szCs w:val="19"/>
                <w:color w:val="auto"/>
              </w:rPr>
            </w:pPr>
          </w:p>
        </w:tc>
        <w:tc>
          <w:tcPr>
            <w:tcW w:w="200" w:type="dxa"/>
            <w:vAlign w:val="bottom"/>
            <w:tcBorders>
              <w:bottom w:val="single" w:sz="8" w:color="A5A5A5"/>
            </w:tcBorders>
          </w:tcPr>
          <w:p>
            <w:pPr>
              <w:spacing w:after="0"/>
              <w:rPr>
                <w:sz w:val="19"/>
                <w:szCs w:val="19"/>
                <w:color w:val="auto"/>
              </w:rPr>
            </w:pPr>
          </w:p>
        </w:tc>
        <w:tc>
          <w:tcPr>
            <w:tcW w:w="1400" w:type="dxa"/>
            <w:vAlign w:val="bottom"/>
            <w:tcBorders>
              <w:bottom w:val="single" w:sz="8" w:color="A5A5A5"/>
              <w:right w:val="single" w:sz="8" w:color="A5A5A5"/>
            </w:tcBorders>
            <w:gridSpan w:val="2"/>
          </w:tcPr>
          <w:p>
            <w:pPr>
              <w:jc w:val="center"/>
              <w:ind w:right="700"/>
              <w:spacing w:after="0"/>
              <w:rPr>
                <w:sz w:val="20"/>
                <w:szCs w:val="20"/>
                <w:color w:val="auto"/>
              </w:rPr>
            </w:pPr>
            <w:r>
              <w:rPr>
                <w:rFonts w:ascii="Arial" w:cs="Arial" w:eastAsia="Arial" w:hAnsi="Arial"/>
                <w:sz w:val="18"/>
                <w:szCs w:val="18"/>
                <w:color w:val="auto"/>
                <w:w w:val="97"/>
              </w:rPr>
              <w:t>29.0%</w:t>
            </w:r>
          </w:p>
        </w:tc>
        <w:tc>
          <w:tcPr>
            <w:tcW w:w="2060" w:type="dxa"/>
            <w:vAlign w:val="bottom"/>
            <w:tcBorders>
              <w:bottom w:val="single" w:sz="8" w:color="A5A5A5"/>
              <w:right w:val="single" w:sz="8" w:color="A5A5A5"/>
            </w:tcBorders>
          </w:tcPr>
          <w:p>
            <w:pPr>
              <w:jc w:val="center"/>
              <w:spacing w:after="0"/>
              <w:rPr>
                <w:sz w:val="20"/>
                <w:szCs w:val="20"/>
                <w:color w:val="auto"/>
              </w:rPr>
            </w:pPr>
            <w:r>
              <w:rPr>
                <w:rFonts w:ascii="Arial" w:cs="Arial" w:eastAsia="Arial" w:hAnsi="Arial"/>
                <w:sz w:val="18"/>
                <w:szCs w:val="18"/>
                <w:color w:val="auto"/>
              </w:rPr>
              <w:t>13.6%</w:t>
            </w:r>
          </w:p>
        </w:tc>
        <w:tc>
          <w:tcPr>
            <w:tcW w:w="2060" w:type="dxa"/>
            <w:vAlign w:val="bottom"/>
            <w:tcBorders>
              <w:bottom w:val="single" w:sz="8" w:color="A5A5A5"/>
              <w:right w:val="single" w:sz="8" w:color="A5A5A5"/>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140" w:type="dxa"/>
            <w:vAlign w:val="bottom"/>
            <w:tcBorders>
              <w:left w:val="single" w:sz="8" w:color="A5A5A5"/>
              <w:right w:val="single" w:sz="8" w:color="3F3F3F"/>
            </w:tcBorders>
            <w:gridSpan w:val="2"/>
            <w:shd w:val="clear" w:color="auto" w:fill="DBDBDB"/>
          </w:tcPr>
          <w:p>
            <w:pPr>
              <w:ind w:left="80"/>
              <w:spacing w:after="0" w:line="166" w:lineRule="exact"/>
              <w:rPr>
                <w:sz w:val="20"/>
                <w:szCs w:val="20"/>
                <w:color w:val="auto"/>
              </w:rPr>
            </w:pPr>
            <w:r>
              <w:rPr>
                <w:rFonts w:ascii="Arial" w:cs="Arial" w:eastAsia="Arial" w:hAnsi="Arial"/>
                <w:sz w:val="18"/>
                <w:szCs w:val="18"/>
                <w:b w:val="1"/>
                <w:bCs w:val="1"/>
                <w:color w:val="auto"/>
              </w:rPr>
              <w:t>TSR of Median Peer</w:t>
            </w:r>
          </w:p>
        </w:tc>
        <w:tc>
          <w:tcPr>
            <w:tcW w:w="200" w:type="dxa"/>
            <w:vAlign w:val="bottom"/>
          </w:tcPr>
          <w:p>
            <w:pPr>
              <w:spacing w:after="0"/>
              <w:rPr>
                <w:sz w:val="14"/>
                <w:szCs w:val="14"/>
                <w:color w:val="auto"/>
              </w:rPr>
            </w:pPr>
          </w:p>
        </w:tc>
        <w:tc>
          <w:tcPr>
            <w:tcW w:w="1480" w:type="dxa"/>
            <w:vAlign w:val="bottom"/>
            <w:gridSpan w:val="2"/>
          </w:tcPr>
          <w:p>
            <w:pPr>
              <w:jc w:val="center"/>
              <w:ind w:left="32"/>
              <w:spacing w:after="0" w:line="166" w:lineRule="exact"/>
              <w:rPr>
                <w:sz w:val="20"/>
                <w:szCs w:val="20"/>
                <w:color w:val="auto"/>
              </w:rPr>
            </w:pPr>
            <w:r>
              <w:rPr>
                <w:rFonts w:ascii="Arial" w:cs="Arial" w:eastAsia="Arial" w:hAnsi="Arial"/>
                <w:sz w:val="18"/>
                <w:szCs w:val="18"/>
                <w:color w:val="auto"/>
                <w:w w:val="97"/>
              </w:rPr>
              <w:t>8.1%</w:t>
            </w:r>
          </w:p>
        </w:tc>
        <w:tc>
          <w:tcPr>
            <w:tcW w:w="260" w:type="dxa"/>
            <w:vAlign w:val="bottom"/>
          </w:tcPr>
          <w:p>
            <w:pPr>
              <w:spacing w:after="0"/>
              <w:rPr>
                <w:sz w:val="14"/>
                <w:szCs w:val="14"/>
                <w:color w:val="auto"/>
              </w:rPr>
            </w:pPr>
          </w:p>
        </w:tc>
        <w:tc>
          <w:tcPr>
            <w:tcW w:w="100" w:type="dxa"/>
            <w:vAlign w:val="bottom"/>
            <w:tcBorders>
              <w:right w:val="single" w:sz="8" w:color="A5A5A5"/>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Borders>
              <w:right w:val="single" w:sz="8" w:color="A5A5A5"/>
            </w:tcBorders>
            <w:gridSpan w:val="2"/>
          </w:tcPr>
          <w:p>
            <w:pPr>
              <w:jc w:val="center"/>
              <w:ind w:right="680"/>
              <w:spacing w:after="0" w:line="166" w:lineRule="exact"/>
              <w:rPr>
                <w:sz w:val="20"/>
                <w:szCs w:val="20"/>
                <w:color w:val="auto"/>
              </w:rPr>
            </w:pPr>
            <w:r>
              <w:rPr>
                <w:rFonts w:ascii="Arial" w:cs="Arial" w:eastAsia="Arial" w:hAnsi="Arial"/>
                <w:sz w:val="18"/>
                <w:szCs w:val="18"/>
                <w:color w:val="auto"/>
                <w:w w:val="97"/>
              </w:rPr>
              <w:t>6.3%</w:t>
            </w:r>
          </w:p>
        </w:tc>
        <w:tc>
          <w:tcPr>
            <w:tcW w:w="2060" w:type="dxa"/>
            <w:vAlign w:val="bottom"/>
            <w:tcBorders>
              <w:right w:val="single" w:sz="8" w:color="A5A5A5"/>
            </w:tcBorders>
          </w:tcPr>
          <w:p>
            <w:pPr>
              <w:jc w:val="center"/>
              <w:spacing w:after="0" w:line="166" w:lineRule="exact"/>
              <w:rPr>
                <w:sz w:val="20"/>
                <w:szCs w:val="20"/>
                <w:color w:val="auto"/>
              </w:rPr>
            </w:pPr>
            <w:r>
              <w:rPr>
                <w:rFonts w:ascii="Arial" w:cs="Arial" w:eastAsia="Arial" w:hAnsi="Arial"/>
                <w:sz w:val="18"/>
                <w:szCs w:val="18"/>
                <w:color w:val="auto"/>
              </w:rPr>
              <w:t>37.6%</w:t>
            </w:r>
          </w:p>
        </w:tc>
        <w:tc>
          <w:tcPr>
            <w:tcW w:w="206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140" w:type="dxa"/>
            <w:vAlign w:val="bottom"/>
            <w:tcBorders>
              <w:left w:val="single" w:sz="8" w:color="A5A5A5"/>
              <w:bottom w:val="single" w:sz="8" w:color="A5A5A5"/>
              <w:right w:val="single" w:sz="8" w:color="3F3F3F"/>
            </w:tcBorders>
            <w:gridSpan w:val="2"/>
            <w:shd w:val="clear" w:color="auto" w:fill="DBDBDB"/>
          </w:tcPr>
          <w:p>
            <w:pPr>
              <w:ind w:left="80"/>
              <w:spacing w:after="0"/>
              <w:rPr>
                <w:sz w:val="20"/>
                <w:szCs w:val="20"/>
                <w:color w:val="auto"/>
              </w:rPr>
            </w:pPr>
            <w:r>
              <w:rPr>
                <w:rFonts w:ascii="Arial" w:cs="Arial" w:eastAsia="Arial" w:hAnsi="Arial"/>
                <w:sz w:val="18"/>
                <w:szCs w:val="18"/>
                <w:b w:val="1"/>
                <w:bCs w:val="1"/>
                <w:color w:val="auto"/>
              </w:rPr>
              <w:t>Company</w:t>
            </w:r>
          </w:p>
        </w:tc>
        <w:tc>
          <w:tcPr>
            <w:tcW w:w="200" w:type="dxa"/>
            <w:vAlign w:val="bottom"/>
            <w:tcBorders>
              <w:bottom w:val="single" w:sz="8" w:color="A5A5A5"/>
            </w:tcBorders>
          </w:tcPr>
          <w:p>
            <w:pPr>
              <w:spacing w:after="0"/>
              <w:rPr>
                <w:sz w:val="20"/>
                <w:szCs w:val="20"/>
                <w:color w:val="auto"/>
              </w:rPr>
            </w:pPr>
          </w:p>
        </w:tc>
        <w:tc>
          <w:tcPr>
            <w:tcW w:w="820" w:type="dxa"/>
            <w:vAlign w:val="bottom"/>
            <w:tcBorders>
              <w:bottom w:val="single" w:sz="8" w:color="A5A5A5"/>
            </w:tcBorders>
          </w:tcPr>
          <w:p>
            <w:pPr>
              <w:spacing w:after="0"/>
              <w:rPr>
                <w:sz w:val="20"/>
                <w:szCs w:val="20"/>
                <w:color w:val="auto"/>
              </w:rPr>
            </w:pPr>
          </w:p>
        </w:tc>
        <w:tc>
          <w:tcPr>
            <w:tcW w:w="660" w:type="dxa"/>
            <w:vAlign w:val="bottom"/>
            <w:tcBorders>
              <w:bottom w:val="single" w:sz="8" w:color="A5A5A5"/>
            </w:tcBorders>
          </w:tcPr>
          <w:p>
            <w:pPr>
              <w:spacing w:after="0"/>
              <w:rPr>
                <w:sz w:val="20"/>
                <w:szCs w:val="20"/>
                <w:color w:val="auto"/>
              </w:rPr>
            </w:pPr>
          </w:p>
        </w:tc>
        <w:tc>
          <w:tcPr>
            <w:tcW w:w="260" w:type="dxa"/>
            <w:vAlign w:val="bottom"/>
            <w:tcBorders>
              <w:bottom w:val="single" w:sz="8" w:color="A5A5A5"/>
            </w:tcBorders>
          </w:tcPr>
          <w:p>
            <w:pPr>
              <w:spacing w:after="0"/>
              <w:rPr>
                <w:sz w:val="20"/>
                <w:szCs w:val="20"/>
                <w:color w:val="auto"/>
              </w:rPr>
            </w:pPr>
          </w:p>
        </w:tc>
        <w:tc>
          <w:tcPr>
            <w:tcW w:w="100" w:type="dxa"/>
            <w:vAlign w:val="bottom"/>
            <w:tcBorders>
              <w:bottom w:val="single" w:sz="8" w:color="A5A5A5"/>
              <w:right w:val="single" w:sz="8" w:color="A5A5A5"/>
            </w:tcBorders>
          </w:tcPr>
          <w:p>
            <w:pPr>
              <w:spacing w:after="0"/>
              <w:rPr>
                <w:sz w:val="20"/>
                <w:szCs w:val="20"/>
                <w:color w:val="auto"/>
              </w:rPr>
            </w:pPr>
          </w:p>
        </w:tc>
        <w:tc>
          <w:tcPr>
            <w:tcW w:w="220" w:type="dxa"/>
            <w:vAlign w:val="bottom"/>
            <w:tcBorders>
              <w:bottom w:val="single" w:sz="8" w:color="A5A5A5"/>
            </w:tcBorders>
          </w:tcPr>
          <w:p>
            <w:pPr>
              <w:spacing w:after="0"/>
              <w:rPr>
                <w:sz w:val="20"/>
                <w:szCs w:val="20"/>
                <w:color w:val="auto"/>
              </w:rPr>
            </w:pPr>
          </w:p>
        </w:tc>
        <w:tc>
          <w:tcPr>
            <w:tcW w:w="240" w:type="dxa"/>
            <w:vAlign w:val="bottom"/>
            <w:tcBorders>
              <w:bottom w:val="single" w:sz="8" w:color="A5A5A5"/>
            </w:tcBorders>
          </w:tcPr>
          <w:p>
            <w:pPr>
              <w:spacing w:after="0"/>
              <w:rPr>
                <w:sz w:val="20"/>
                <w:szCs w:val="20"/>
                <w:color w:val="auto"/>
              </w:rPr>
            </w:pPr>
          </w:p>
        </w:tc>
        <w:tc>
          <w:tcPr>
            <w:tcW w:w="200" w:type="dxa"/>
            <w:vAlign w:val="bottom"/>
            <w:tcBorders>
              <w:bottom w:val="single" w:sz="8" w:color="A5A5A5"/>
            </w:tcBorders>
          </w:tcPr>
          <w:p>
            <w:pPr>
              <w:spacing w:after="0"/>
              <w:rPr>
                <w:sz w:val="20"/>
                <w:szCs w:val="20"/>
                <w:color w:val="auto"/>
              </w:rPr>
            </w:pPr>
          </w:p>
        </w:tc>
        <w:tc>
          <w:tcPr>
            <w:tcW w:w="420" w:type="dxa"/>
            <w:vAlign w:val="bottom"/>
            <w:tcBorders>
              <w:bottom w:val="single" w:sz="8" w:color="A5A5A5"/>
            </w:tcBorders>
          </w:tcPr>
          <w:p>
            <w:pPr>
              <w:spacing w:after="0"/>
              <w:rPr>
                <w:sz w:val="20"/>
                <w:szCs w:val="20"/>
                <w:color w:val="auto"/>
              </w:rPr>
            </w:pPr>
          </w:p>
        </w:tc>
        <w:tc>
          <w:tcPr>
            <w:tcW w:w="980" w:type="dxa"/>
            <w:vAlign w:val="bottom"/>
            <w:tcBorders>
              <w:bottom w:val="single" w:sz="8" w:color="A5A5A5"/>
              <w:right w:val="single" w:sz="8" w:color="A5A5A5"/>
            </w:tcBorders>
          </w:tcPr>
          <w:p>
            <w:pPr>
              <w:spacing w:after="0"/>
              <w:rPr>
                <w:sz w:val="20"/>
                <w:szCs w:val="20"/>
                <w:color w:val="auto"/>
              </w:rPr>
            </w:pPr>
          </w:p>
        </w:tc>
        <w:tc>
          <w:tcPr>
            <w:tcW w:w="2060" w:type="dxa"/>
            <w:vAlign w:val="bottom"/>
            <w:tcBorders>
              <w:bottom w:val="single" w:sz="8" w:color="A5A5A5"/>
              <w:right w:val="single" w:sz="8" w:color="A5A5A5"/>
            </w:tcBorders>
          </w:tcPr>
          <w:p>
            <w:pPr>
              <w:spacing w:after="0"/>
              <w:rPr>
                <w:sz w:val="20"/>
                <w:szCs w:val="20"/>
                <w:color w:val="auto"/>
              </w:rPr>
            </w:pPr>
          </w:p>
        </w:tc>
        <w:tc>
          <w:tcPr>
            <w:tcW w:w="2060" w:type="dxa"/>
            <w:vAlign w:val="bottom"/>
            <w:tcBorders>
              <w:bottom w:val="single" w:sz="8" w:color="A5A5A5"/>
              <w:right w:val="single" w:sz="8" w:color="A5A5A5"/>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140" w:type="dxa"/>
            <w:vAlign w:val="bottom"/>
            <w:tcBorders>
              <w:left w:val="single" w:sz="8" w:color="A5A5A5"/>
              <w:bottom w:val="single" w:sz="8" w:color="A5A5A5"/>
              <w:right w:val="single" w:sz="8" w:color="3F3F3F"/>
            </w:tcBorders>
            <w:gridSpan w:val="2"/>
            <w:shd w:val="clear" w:color="auto" w:fill="DBDBDB"/>
          </w:tcPr>
          <w:p>
            <w:pPr>
              <w:ind w:left="80"/>
              <w:spacing w:after="0"/>
              <w:rPr>
                <w:sz w:val="20"/>
                <w:szCs w:val="20"/>
                <w:color w:val="auto"/>
              </w:rPr>
            </w:pPr>
            <w:r>
              <w:rPr>
                <w:rFonts w:ascii="Arial" w:cs="Arial" w:eastAsia="Arial" w:hAnsi="Arial"/>
                <w:sz w:val="18"/>
                <w:szCs w:val="18"/>
                <w:b w:val="1"/>
                <w:bCs w:val="1"/>
                <w:color w:val="auto"/>
              </w:rPr>
              <w:t>Difference</w:t>
            </w:r>
          </w:p>
        </w:tc>
        <w:tc>
          <w:tcPr>
            <w:tcW w:w="200" w:type="dxa"/>
            <w:vAlign w:val="bottom"/>
            <w:tcBorders>
              <w:bottom w:val="single" w:sz="8" w:color="A5A5A5"/>
            </w:tcBorders>
          </w:tcPr>
          <w:p>
            <w:pPr>
              <w:spacing w:after="0"/>
              <w:rPr>
                <w:sz w:val="19"/>
                <w:szCs w:val="19"/>
                <w:color w:val="auto"/>
              </w:rPr>
            </w:pPr>
          </w:p>
        </w:tc>
        <w:tc>
          <w:tcPr>
            <w:tcW w:w="1480" w:type="dxa"/>
            <w:vAlign w:val="bottom"/>
            <w:tcBorders>
              <w:bottom w:val="single" w:sz="8" w:color="A5A5A5"/>
            </w:tcBorders>
            <w:gridSpan w:val="2"/>
          </w:tcPr>
          <w:p>
            <w:pPr>
              <w:jc w:val="center"/>
              <w:ind w:left="32"/>
              <w:spacing w:after="0"/>
              <w:rPr>
                <w:sz w:val="20"/>
                <w:szCs w:val="20"/>
                <w:color w:val="auto"/>
              </w:rPr>
            </w:pPr>
            <w:r>
              <w:rPr>
                <w:rFonts w:ascii="Arial" w:cs="Arial" w:eastAsia="Arial" w:hAnsi="Arial"/>
                <w:sz w:val="18"/>
                <w:szCs w:val="18"/>
                <w:color w:val="auto"/>
                <w:w w:val="98"/>
              </w:rPr>
              <w:t>-12.9%</w:t>
            </w:r>
          </w:p>
        </w:tc>
        <w:tc>
          <w:tcPr>
            <w:tcW w:w="260" w:type="dxa"/>
            <w:vAlign w:val="bottom"/>
            <w:tcBorders>
              <w:bottom w:val="single" w:sz="8" w:color="A5A5A5"/>
            </w:tcBorders>
          </w:tcPr>
          <w:p>
            <w:pPr>
              <w:spacing w:after="0"/>
              <w:rPr>
                <w:sz w:val="19"/>
                <w:szCs w:val="19"/>
                <w:color w:val="auto"/>
              </w:rPr>
            </w:pPr>
          </w:p>
        </w:tc>
        <w:tc>
          <w:tcPr>
            <w:tcW w:w="100" w:type="dxa"/>
            <w:vAlign w:val="bottom"/>
            <w:tcBorders>
              <w:bottom w:val="single" w:sz="8" w:color="A5A5A5"/>
              <w:right w:val="single" w:sz="8" w:color="A5A5A5"/>
            </w:tcBorders>
          </w:tcPr>
          <w:p>
            <w:pPr>
              <w:spacing w:after="0"/>
              <w:rPr>
                <w:sz w:val="19"/>
                <w:szCs w:val="19"/>
                <w:color w:val="auto"/>
              </w:rPr>
            </w:pPr>
          </w:p>
        </w:tc>
        <w:tc>
          <w:tcPr>
            <w:tcW w:w="220" w:type="dxa"/>
            <w:vAlign w:val="bottom"/>
            <w:tcBorders>
              <w:bottom w:val="single" w:sz="8" w:color="A5A5A5"/>
            </w:tcBorders>
          </w:tcPr>
          <w:p>
            <w:pPr>
              <w:spacing w:after="0"/>
              <w:rPr>
                <w:sz w:val="19"/>
                <w:szCs w:val="19"/>
                <w:color w:val="auto"/>
              </w:rPr>
            </w:pPr>
          </w:p>
        </w:tc>
        <w:tc>
          <w:tcPr>
            <w:tcW w:w="240" w:type="dxa"/>
            <w:vAlign w:val="bottom"/>
            <w:tcBorders>
              <w:bottom w:val="single" w:sz="8" w:color="A5A5A5"/>
            </w:tcBorders>
          </w:tcPr>
          <w:p>
            <w:pPr>
              <w:spacing w:after="0"/>
              <w:rPr>
                <w:sz w:val="19"/>
                <w:szCs w:val="19"/>
                <w:color w:val="auto"/>
              </w:rPr>
            </w:pPr>
          </w:p>
        </w:tc>
        <w:tc>
          <w:tcPr>
            <w:tcW w:w="200" w:type="dxa"/>
            <w:vAlign w:val="bottom"/>
            <w:tcBorders>
              <w:bottom w:val="single" w:sz="8" w:color="A5A5A5"/>
            </w:tcBorders>
          </w:tcPr>
          <w:p>
            <w:pPr>
              <w:spacing w:after="0"/>
              <w:rPr>
                <w:sz w:val="19"/>
                <w:szCs w:val="19"/>
                <w:color w:val="auto"/>
              </w:rPr>
            </w:pPr>
          </w:p>
        </w:tc>
        <w:tc>
          <w:tcPr>
            <w:tcW w:w="1400" w:type="dxa"/>
            <w:vAlign w:val="bottom"/>
            <w:tcBorders>
              <w:bottom w:val="single" w:sz="8" w:color="A5A5A5"/>
              <w:right w:val="single" w:sz="8" w:color="A5A5A5"/>
            </w:tcBorders>
            <w:gridSpan w:val="2"/>
          </w:tcPr>
          <w:p>
            <w:pPr>
              <w:jc w:val="center"/>
              <w:ind w:right="700"/>
              <w:spacing w:after="0"/>
              <w:rPr>
                <w:sz w:val="20"/>
                <w:szCs w:val="20"/>
                <w:color w:val="auto"/>
              </w:rPr>
            </w:pPr>
            <w:r>
              <w:rPr>
                <w:rFonts w:ascii="Arial" w:cs="Arial" w:eastAsia="Arial" w:hAnsi="Arial"/>
                <w:sz w:val="18"/>
                <w:szCs w:val="18"/>
                <w:color w:val="auto"/>
                <w:w w:val="97"/>
              </w:rPr>
              <w:t>22.7%</w:t>
            </w:r>
          </w:p>
        </w:tc>
        <w:tc>
          <w:tcPr>
            <w:tcW w:w="2060" w:type="dxa"/>
            <w:vAlign w:val="bottom"/>
            <w:tcBorders>
              <w:bottom w:val="single" w:sz="8" w:color="A5A5A5"/>
              <w:right w:val="single" w:sz="8" w:color="A5A5A5"/>
            </w:tcBorders>
          </w:tcPr>
          <w:p>
            <w:pPr>
              <w:jc w:val="center"/>
              <w:spacing w:after="0"/>
              <w:rPr>
                <w:sz w:val="20"/>
                <w:szCs w:val="20"/>
                <w:color w:val="auto"/>
              </w:rPr>
            </w:pPr>
            <w:r>
              <w:rPr>
                <w:rFonts w:ascii="Arial" w:cs="Arial" w:eastAsia="Arial" w:hAnsi="Arial"/>
                <w:sz w:val="18"/>
                <w:szCs w:val="18"/>
                <w:color w:val="auto"/>
                <w:w w:val="98"/>
              </w:rPr>
              <w:t>-23.9%</w:t>
            </w:r>
          </w:p>
        </w:tc>
        <w:tc>
          <w:tcPr>
            <w:tcW w:w="2060" w:type="dxa"/>
            <w:vAlign w:val="bottom"/>
            <w:tcBorders>
              <w:bottom w:val="single" w:sz="8" w:color="A5A5A5"/>
              <w:right w:val="single" w:sz="8" w:color="A5A5A5"/>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40" w:type="dxa"/>
            <w:vAlign w:val="bottom"/>
            <w:tcBorders>
              <w:left w:val="single" w:sz="8" w:color="A5A5A5"/>
              <w:bottom w:val="single" w:sz="8" w:color="A5A5A5"/>
            </w:tcBorders>
            <w:shd w:val="clear" w:color="auto" w:fill="DBDBDB"/>
          </w:tcPr>
          <w:p>
            <w:pPr>
              <w:spacing w:after="0"/>
              <w:rPr>
                <w:sz w:val="19"/>
                <w:szCs w:val="19"/>
                <w:color w:val="auto"/>
              </w:rPr>
            </w:pPr>
          </w:p>
        </w:tc>
        <w:tc>
          <w:tcPr>
            <w:tcW w:w="300" w:type="dxa"/>
            <w:vAlign w:val="bottom"/>
            <w:tcBorders>
              <w:bottom w:val="single" w:sz="8" w:color="A5A5A5"/>
              <w:right w:val="single" w:sz="8" w:color="3F3F3F"/>
            </w:tcBorders>
            <w:shd w:val="clear" w:color="auto" w:fill="DBDBDB"/>
          </w:tcPr>
          <w:p>
            <w:pPr>
              <w:spacing w:after="0"/>
              <w:rPr>
                <w:sz w:val="19"/>
                <w:szCs w:val="19"/>
                <w:color w:val="auto"/>
              </w:rPr>
            </w:pPr>
          </w:p>
        </w:tc>
        <w:tc>
          <w:tcPr>
            <w:tcW w:w="200" w:type="dxa"/>
            <w:vAlign w:val="bottom"/>
            <w:tcBorders>
              <w:bottom w:val="single" w:sz="8" w:color="A5A5A5"/>
            </w:tcBorders>
          </w:tcPr>
          <w:p>
            <w:pPr>
              <w:spacing w:after="0"/>
              <w:rPr>
                <w:sz w:val="19"/>
                <w:szCs w:val="19"/>
                <w:color w:val="auto"/>
              </w:rPr>
            </w:pPr>
          </w:p>
        </w:tc>
        <w:tc>
          <w:tcPr>
            <w:tcW w:w="820" w:type="dxa"/>
            <w:vAlign w:val="bottom"/>
            <w:tcBorders>
              <w:bottom w:val="single" w:sz="8" w:color="A5A5A5"/>
            </w:tcBorders>
          </w:tcPr>
          <w:p>
            <w:pPr>
              <w:spacing w:after="0"/>
              <w:rPr>
                <w:sz w:val="19"/>
                <w:szCs w:val="19"/>
                <w:color w:val="auto"/>
              </w:rPr>
            </w:pPr>
          </w:p>
        </w:tc>
        <w:tc>
          <w:tcPr>
            <w:tcW w:w="660" w:type="dxa"/>
            <w:vAlign w:val="bottom"/>
            <w:tcBorders>
              <w:bottom w:val="single" w:sz="8" w:color="A5A5A5"/>
            </w:tcBorders>
          </w:tcPr>
          <w:p>
            <w:pPr>
              <w:spacing w:after="0"/>
              <w:rPr>
                <w:sz w:val="19"/>
                <w:szCs w:val="19"/>
                <w:color w:val="auto"/>
              </w:rPr>
            </w:pPr>
          </w:p>
        </w:tc>
        <w:tc>
          <w:tcPr>
            <w:tcW w:w="260" w:type="dxa"/>
            <w:vAlign w:val="bottom"/>
            <w:tcBorders>
              <w:bottom w:val="single" w:sz="8" w:color="A5A5A5"/>
            </w:tcBorders>
          </w:tcPr>
          <w:p>
            <w:pPr>
              <w:spacing w:after="0"/>
              <w:rPr>
                <w:sz w:val="19"/>
                <w:szCs w:val="19"/>
                <w:color w:val="auto"/>
              </w:rPr>
            </w:pPr>
          </w:p>
        </w:tc>
        <w:tc>
          <w:tcPr>
            <w:tcW w:w="100" w:type="dxa"/>
            <w:vAlign w:val="bottom"/>
            <w:tcBorders>
              <w:bottom w:val="single" w:sz="8" w:color="A5A5A5"/>
              <w:right w:val="single" w:sz="8" w:color="A5A5A5"/>
            </w:tcBorders>
          </w:tcPr>
          <w:p>
            <w:pPr>
              <w:spacing w:after="0"/>
              <w:rPr>
                <w:sz w:val="19"/>
                <w:szCs w:val="19"/>
                <w:color w:val="auto"/>
              </w:rPr>
            </w:pPr>
          </w:p>
        </w:tc>
        <w:tc>
          <w:tcPr>
            <w:tcW w:w="220" w:type="dxa"/>
            <w:vAlign w:val="bottom"/>
            <w:tcBorders>
              <w:bottom w:val="single" w:sz="8" w:color="A5A5A5"/>
            </w:tcBorders>
          </w:tcPr>
          <w:p>
            <w:pPr>
              <w:spacing w:after="0"/>
              <w:rPr>
                <w:sz w:val="19"/>
                <w:szCs w:val="19"/>
                <w:color w:val="auto"/>
              </w:rPr>
            </w:pPr>
          </w:p>
        </w:tc>
        <w:tc>
          <w:tcPr>
            <w:tcW w:w="240" w:type="dxa"/>
            <w:vAlign w:val="bottom"/>
            <w:tcBorders>
              <w:bottom w:val="single" w:sz="8" w:color="A5A5A5"/>
            </w:tcBorders>
          </w:tcPr>
          <w:p>
            <w:pPr>
              <w:spacing w:after="0"/>
              <w:rPr>
                <w:sz w:val="19"/>
                <w:szCs w:val="19"/>
                <w:color w:val="auto"/>
              </w:rPr>
            </w:pPr>
          </w:p>
        </w:tc>
        <w:tc>
          <w:tcPr>
            <w:tcW w:w="200" w:type="dxa"/>
            <w:vAlign w:val="bottom"/>
            <w:tcBorders>
              <w:bottom w:val="single" w:sz="8" w:color="A5A5A5"/>
            </w:tcBorders>
          </w:tcPr>
          <w:p>
            <w:pPr>
              <w:spacing w:after="0"/>
              <w:rPr>
                <w:sz w:val="19"/>
                <w:szCs w:val="19"/>
                <w:color w:val="auto"/>
              </w:rPr>
            </w:pPr>
          </w:p>
        </w:tc>
        <w:tc>
          <w:tcPr>
            <w:tcW w:w="420" w:type="dxa"/>
            <w:vAlign w:val="bottom"/>
            <w:tcBorders>
              <w:bottom w:val="single" w:sz="8" w:color="A5A5A5"/>
            </w:tcBorders>
          </w:tcPr>
          <w:p>
            <w:pPr>
              <w:spacing w:after="0"/>
              <w:rPr>
                <w:sz w:val="19"/>
                <w:szCs w:val="19"/>
                <w:color w:val="auto"/>
              </w:rPr>
            </w:pPr>
          </w:p>
        </w:tc>
        <w:tc>
          <w:tcPr>
            <w:tcW w:w="980" w:type="dxa"/>
            <w:vAlign w:val="bottom"/>
            <w:tcBorders>
              <w:bottom w:val="single" w:sz="8" w:color="A5A5A5"/>
              <w:right w:val="single" w:sz="8" w:color="A5A5A5"/>
            </w:tcBorders>
          </w:tcPr>
          <w:p>
            <w:pPr>
              <w:spacing w:after="0"/>
              <w:rPr>
                <w:sz w:val="19"/>
                <w:szCs w:val="19"/>
                <w:color w:val="auto"/>
              </w:rPr>
            </w:pPr>
          </w:p>
        </w:tc>
        <w:tc>
          <w:tcPr>
            <w:tcW w:w="2060" w:type="dxa"/>
            <w:vAlign w:val="bottom"/>
            <w:tcBorders>
              <w:bottom w:val="single" w:sz="8" w:color="A5A5A5"/>
              <w:right w:val="single" w:sz="8" w:color="A5A5A5"/>
            </w:tcBorders>
          </w:tcPr>
          <w:p>
            <w:pPr>
              <w:spacing w:after="0"/>
              <w:rPr>
                <w:sz w:val="19"/>
                <w:szCs w:val="19"/>
                <w:color w:val="auto"/>
              </w:rPr>
            </w:pPr>
          </w:p>
        </w:tc>
        <w:tc>
          <w:tcPr>
            <w:tcW w:w="2060" w:type="dxa"/>
            <w:vAlign w:val="bottom"/>
            <w:tcBorders>
              <w:bottom w:val="single" w:sz="8" w:color="A5A5A5"/>
              <w:right w:val="single" w:sz="8" w:color="A5A5A5"/>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140" w:type="dxa"/>
            <w:vAlign w:val="bottom"/>
            <w:tcBorders>
              <w:left w:val="single" w:sz="8" w:color="A5A5A5"/>
              <w:bottom w:val="single" w:sz="8" w:color="A5A5A5"/>
              <w:right w:val="single" w:sz="8" w:color="3F3F3F"/>
            </w:tcBorders>
            <w:gridSpan w:val="2"/>
            <w:shd w:val="clear" w:color="auto" w:fill="DBDBDB"/>
          </w:tcPr>
          <w:p>
            <w:pPr>
              <w:ind w:left="80"/>
              <w:spacing w:after="0"/>
              <w:rPr>
                <w:sz w:val="20"/>
                <w:szCs w:val="20"/>
                <w:color w:val="auto"/>
              </w:rPr>
            </w:pPr>
            <w:r>
              <w:rPr>
                <w:rFonts w:ascii="Arial" w:cs="Arial" w:eastAsia="Arial" w:hAnsi="Arial"/>
                <w:sz w:val="18"/>
                <w:szCs w:val="18"/>
                <w:b w:val="1"/>
                <w:bCs w:val="1"/>
                <w:color w:val="auto"/>
              </w:rPr>
              <w:t>Target # of Shares</w:t>
            </w:r>
          </w:p>
        </w:tc>
        <w:tc>
          <w:tcPr>
            <w:tcW w:w="200" w:type="dxa"/>
            <w:vAlign w:val="bottom"/>
            <w:tcBorders>
              <w:bottom w:val="single" w:sz="8" w:color="A5A5A5"/>
            </w:tcBorders>
          </w:tcPr>
          <w:p>
            <w:pPr>
              <w:spacing w:after="0"/>
              <w:rPr>
                <w:sz w:val="19"/>
                <w:szCs w:val="19"/>
                <w:color w:val="auto"/>
              </w:rPr>
            </w:pPr>
          </w:p>
        </w:tc>
        <w:tc>
          <w:tcPr>
            <w:tcW w:w="1480" w:type="dxa"/>
            <w:vAlign w:val="bottom"/>
            <w:tcBorders>
              <w:bottom w:val="single" w:sz="8" w:color="A5A5A5"/>
            </w:tcBorders>
            <w:gridSpan w:val="2"/>
          </w:tcPr>
          <w:p>
            <w:pPr>
              <w:jc w:val="center"/>
              <w:ind w:left="32"/>
              <w:spacing w:after="0"/>
              <w:rPr>
                <w:sz w:val="20"/>
                <w:szCs w:val="20"/>
                <w:color w:val="auto"/>
              </w:rPr>
            </w:pPr>
            <w:r>
              <w:rPr>
                <w:rFonts w:ascii="Arial" w:cs="Arial" w:eastAsia="Arial" w:hAnsi="Arial"/>
                <w:sz w:val="18"/>
                <w:szCs w:val="18"/>
                <w:color w:val="auto"/>
                <w:w w:val="97"/>
              </w:rPr>
              <w:t>1,000</w:t>
            </w:r>
          </w:p>
        </w:tc>
        <w:tc>
          <w:tcPr>
            <w:tcW w:w="260" w:type="dxa"/>
            <w:vAlign w:val="bottom"/>
            <w:tcBorders>
              <w:bottom w:val="single" w:sz="8" w:color="A5A5A5"/>
            </w:tcBorders>
          </w:tcPr>
          <w:p>
            <w:pPr>
              <w:spacing w:after="0"/>
              <w:rPr>
                <w:sz w:val="19"/>
                <w:szCs w:val="19"/>
                <w:color w:val="auto"/>
              </w:rPr>
            </w:pPr>
          </w:p>
        </w:tc>
        <w:tc>
          <w:tcPr>
            <w:tcW w:w="100" w:type="dxa"/>
            <w:vAlign w:val="bottom"/>
            <w:tcBorders>
              <w:bottom w:val="single" w:sz="8" w:color="A5A5A5"/>
              <w:right w:val="single" w:sz="8" w:color="A5A5A5"/>
            </w:tcBorders>
          </w:tcPr>
          <w:p>
            <w:pPr>
              <w:spacing w:after="0"/>
              <w:rPr>
                <w:sz w:val="19"/>
                <w:szCs w:val="19"/>
                <w:color w:val="auto"/>
              </w:rPr>
            </w:pPr>
          </w:p>
        </w:tc>
        <w:tc>
          <w:tcPr>
            <w:tcW w:w="220" w:type="dxa"/>
            <w:vAlign w:val="bottom"/>
            <w:tcBorders>
              <w:bottom w:val="single" w:sz="8" w:color="A5A5A5"/>
            </w:tcBorders>
          </w:tcPr>
          <w:p>
            <w:pPr>
              <w:spacing w:after="0"/>
              <w:rPr>
                <w:sz w:val="19"/>
                <w:szCs w:val="19"/>
                <w:color w:val="auto"/>
              </w:rPr>
            </w:pPr>
          </w:p>
        </w:tc>
        <w:tc>
          <w:tcPr>
            <w:tcW w:w="240" w:type="dxa"/>
            <w:vAlign w:val="bottom"/>
            <w:tcBorders>
              <w:bottom w:val="single" w:sz="8" w:color="A5A5A5"/>
            </w:tcBorders>
          </w:tcPr>
          <w:p>
            <w:pPr>
              <w:spacing w:after="0"/>
              <w:rPr>
                <w:sz w:val="19"/>
                <w:szCs w:val="19"/>
                <w:color w:val="auto"/>
              </w:rPr>
            </w:pPr>
          </w:p>
        </w:tc>
        <w:tc>
          <w:tcPr>
            <w:tcW w:w="200" w:type="dxa"/>
            <w:vAlign w:val="bottom"/>
            <w:tcBorders>
              <w:bottom w:val="single" w:sz="8" w:color="A5A5A5"/>
            </w:tcBorders>
          </w:tcPr>
          <w:p>
            <w:pPr>
              <w:spacing w:after="0"/>
              <w:rPr>
                <w:sz w:val="19"/>
                <w:szCs w:val="19"/>
                <w:color w:val="auto"/>
              </w:rPr>
            </w:pPr>
          </w:p>
        </w:tc>
        <w:tc>
          <w:tcPr>
            <w:tcW w:w="1400" w:type="dxa"/>
            <w:vAlign w:val="bottom"/>
            <w:tcBorders>
              <w:bottom w:val="single" w:sz="8" w:color="A5A5A5"/>
              <w:right w:val="single" w:sz="8" w:color="A5A5A5"/>
            </w:tcBorders>
            <w:gridSpan w:val="2"/>
          </w:tcPr>
          <w:p>
            <w:pPr>
              <w:jc w:val="center"/>
              <w:ind w:right="680"/>
              <w:spacing w:after="0"/>
              <w:rPr>
                <w:sz w:val="20"/>
                <w:szCs w:val="20"/>
                <w:color w:val="auto"/>
              </w:rPr>
            </w:pPr>
            <w:r>
              <w:rPr>
                <w:rFonts w:ascii="Arial" w:cs="Arial" w:eastAsia="Arial" w:hAnsi="Arial"/>
                <w:sz w:val="18"/>
                <w:szCs w:val="18"/>
                <w:color w:val="auto"/>
                <w:w w:val="97"/>
              </w:rPr>
              <w:t>1,000</w:t>
            </w:r>
          </w:p>
        </w:tc>
        <w:tc>
          <w:tcPr>
            <w:tcW w:w="2060" w:type="dxa"/>
            <w:vAlign w:val="bottom"/>
            <w:tcBorders>
              <w:bottom w:val="single" w:sz="8" w:color="A5A5A5"/>
              <w:right w:val="single" w:sz="8" w:color="A5A5A5"/>
            </w:tcBorders>
          </w:tcPr>
          <w:p>
            <w:pPr>
              <w:jc w:val="center"/>
              <w:spacing w:after="0"/>
              <w:rPr>
                <w:sz w:val="20"/>
                <w:szCs w:val="20"/>
                <w:color w:val="auto"/>
              </w:rPr>
            </w:pPr>
            <w:r>
              <w:rPr>
                <w:rFonts w:ascii="Arial" w:cs="Arial" w:eastAsia="Arial" w:hAnsi="Arial"/>
                <w:sz w:val="18"/>
                <w:szCs w:val="18"/>
                <w:color w:val="auto"/>
                <w:w w:val="97"/>
              </w:rPr>
              <w:t>3,000</w:t>
            </w:r>
          </w:p>
        </w:tc>
        <w:tc>
          <w:tcPr>
            <w:tcW w:w="2060" w:type="dxa"/>
            <w:vAlign w:val="bottom"/>
            <w:tcBorders>
              <w:bottom w:val="single" w:sz="8" w:color="A5A5A5"/>
              <w:right w:val="single" w:sz="8" w:color="A5A5A5"/>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140" w:type="dxa"/>
            <w:vAlign w:val="bottom"/>
            <w:tcBorders>
              <w:left w:val="single" w:sz="8" w:color="A5A5A5"/>
              <w:right w:val="single" w:sz="8" w:color="A5A5A5"/>
            </w:tcBorders>
            <w:gridSpan w:val="2"/>
            <w:shd w:val="clear" w:color="auto" w:fill="DBDBDB"/>
          </w:tcPr>
          <w:p>
            <w:pPr>
              <w:ind w:left="80"/>
              <w:spacing w:after="0" w:line="166" w:lineRule="exact"/>
              <w:rPr>
                <w:sz w:val="20"/>
                <w:szCs w:val="20"/>
                <w:color w:val="auto"/>
              </w:rPr>
            </w:pPr>
            <w:r>
              <w:rPr>
                <w:rFonts w:ascii="Arial" w:cs="Arial" w:eastAsia="Arial" w:hAnsi="Arial"/>
                <w:sz w:val="18"/>
                <w:szCs w:val="18"/>
                <w:b w:val="1"/>
                <w:bCs w:val="1"/>
                <w:color w:val="auto"/>
              </w:rPr>
              <w:t>TSR Performance</w:t>
            </w:r>
          </w:p>
        </w:tc>
        <w:tc>
          <w:tcPr>
            <w:tcW w:w="200" w:type="dxa"/>
            <w:vAlign w:val="bottom"/>
          </w:tcPr>
          <w:p>
            <w:pPr>
              <w:spacing w:after="0"/>
              <w:rPr>
                <w:sz w:val="14"/>
                <w:szCs w:val="14"/>
                <w:color w:val="auto"/>
              </w:rPr>
            </w:pPr>
          </w:p>
        </w:tc>
        <w:tc>
          <w:tcPr>
            <w:tcW w:w="1480" w:type="dxa"/>
            <w:vAlign w:val="bottom"/>
            <w:gridSpan w:val="2"/>
          </w:tcPr>
          <w:p>
            <w:pPr>
              <w:jc w:val="center"/>
              <w:ind w:left="12"/>
              <w:spacing w:after="0" w:line="166" w:lineRule="exact"/>
              <w:rPr>
                <w:sz w:val="20"/>
                <w:szCs w:val="20"/>
                <w:color w:val="auto"/>
              </w:rPr>
            </w:pPr>
            <w:r>
              <w:rPr>
                <w:rFonts w:ascii="Arial" w:cs="Arial" w:eastAsia="Arial" w:hAnsi="Arial"/>
                <w:sz w:val="18"/>
                <w:szCs w:val="18"/>
                <w:color w:val="auto"/>
                <w:w w:val="97"/>
              </w:rPr>
              <w:t>74.2%</w:t>
            </w:r>
          </w:p>
        </w:tc>
        <w:tc>
          <w:tcPr>
            <w:tcW w:w="260" w:type="dxa"/>
            <w:vAlign w:val="bottom"/>
          </w:tcPr>
          <w:p>
            <w:pPr>
              <w:spacing w:after="0"/>
              <w:rPr>
                <w:sz w:val="14"/>
                <w:szCs w:val="14"/>
                <w:color w:val="auto"/>
              </w:rPr>
            </w:pPr>
          </w:p>
        </w:tc>
        <w:tc>
          <w:tcPr>
            <w:tcW w:w="100" w:type="dxa"/>
            <w:vAlign w:val="bottom"/>
            <w:tcBorders>
              <w:right w:val="single" w:sz="8" w:color="A5A5A5"/>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Borders>
              <w:right w:val="single" w:sz="8" w:color="A5A5A5"/>
            </w:tcBorders>
            <w:gridSpan w:val="2"/>
          </w:tcPr>
          <w:p>
            <w:pPr>
              <w:jc w:val="center"/>
              <w:ind w:right="680"/>
              <w:spacing w:after="0" w:line="166" w:lineRule="exact"/>
              <w:rPr>
                <w:sz w:val="20"/>
                <w:szCs w:val="20"/>
                <w:color w:val="auto"/>
              </w:rPr>
            </w:pPr>
            <w:r>
              <w:rPr>
                <w:rFonts w:ascii="Arial" w:cs="Arial" w:eastAsia="Arial" w:hAnsi="Arial"/>
                <w:sz w:val="18"/>
                <w:szCs w:val="18"/>
                <w:color w:val="auto"/>
                <w:w w:val="98"/>
              </w:rPr>
              <w:t>145.4%</w:t>
            </w:r>
          </w:p>
        </w:tc>
        <w:tc>
          <w:tcPr>
            <w:tcW w:w="2060" w:type="dxa"/>
            <w:vAlign w:val="bottom"/>
            <w:tcBorders>
              <w:right w:val="single" w:sz="8" w:color="A5A5A5"/>
            </w:tcBorders>
          </w:tcPr>
          <w:p>
            <w:pPr>
              <w:jc w:val="center"/>
              <w:spacing w:after="0" w:line="166" w:lineRule="exact"/>
              <w:rPr>
                <w:sz w:val="20"/>
                <w:szCs w:val="20"/>
                <w:color w:val="auto"/>
              </w:rPr>
            </w:pPr>
            <w:r>
              <w:rPr>
                <w:rFonts w:ascii="Arial" w:cs="Arial" w:eastAsia="Arial" w:hAnsi="Arial"/>
                <w:sz w:val="18"/>
                <w:szCs w:val="18"/>
                <w:color w:val="auto"/>
              </w:rPr>
              <w:t>52.2%</w:t>
            </w:r>
          </w:p>
        </w:tc>
        <w:tc>
          <w:tcPr>
            <w:tcW w:w="206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140" w:type="dxa"/>
            <w:vAlign w:val="bottom"/>
            <w:tcBorders>
              <w:left w:val="single" w:sz="8" w:color="A5A5A5"/>
              <w:bottom w:val="single" w:sz="8" w:color="A5A5A5"/>
              <w:right w:val="single" w:sz="8" w:color="A5A5A5"/>
            </w:tcBorders>
            <w:gridSpan w:val="2"/>
            <w:shd w:val="clear" w:color="auto" w:fill="DBDBDB"/>
          </w:tcPr>
          <w:p>
            <w:pPr>
              <w:ind w:left="80"/>
              <w:spacing w:after="0"/>
              <w:rPr>
                <w:sz w:val="20"/>
                <w:szCs w:val="20"/>
                <w:color w:val="auto"/>
              </w:rPr>
            </w:pPr>
            <w:r>
              <w:rPr>
                <w:rFonts w:ascii="Arial" w:cs="Arial" w:eastAsia="Arial" w:hAnsi="Arial"/>
                <w:sz w:val="18"/>
                <w:szCs w:val="18"/>
                <w:b w:val="1"/>
                <w:bCs w:val="1"/>
                <w:color w:val="auto"/>
              </w:rPr>
              <w:t>Formula</w:t>
            </w:r>
          </w:p>
        </w:tc>
        <w:tc>
          <w:tcPr>
            <w:tcW w:w="200" w:type="dxa"/>
            <w:vAlign w:val="bottom"/>
            <w:tcBorders>
              <w:bottom w:val="single" w:sz="8" w:color="A5A5A5"/>
            </w:tcBorders>
          </w:tcPr>
          <w:p>
            <w:pPr>
              <w:spacing w:after="0"/>
              <w:rPr>
                <w:sz w:val="20"/>
                <w:szCs w:val="20"/>
                <w:color w:val="auto"/>
              </w:rPr>
            </w:pPr>
          </w:p>
        </w:tc>
        <w:tc>
          <w:tcPr>
            <w:tcW w:w="820" w:type="dxa"/>
            <w:vAlign w:val="bottom"/>
            <w:tcBorders>
              <w:bottom w:val="single" w:sz="8" w:color="A5A5A5"/>
            </w:tcBorders>
          </w:tcPr>
          <w:p>
            <w:pPr>
              <w:spacing w:after="0"/>
              <w:rPr>
                <w:sz w:val="20"/>
                <w:szCs w:val="20"/>
                <w:color w:val="auto"/>
              </w:rPr>
            </w:pPr>
          </w:p>
        </w:tc>
        <w:tc>
          <w:tcPr>
            <w:tcW w:w="660" w:type="dxa"/>
            <w:vAlign w:val="bottom"/>
            <w:tcBorders>
              <w:bottom w:val="single" w:sz="8" w:color="A5A5A5"/>
            </w:tcBorders>
          </w:tcPr>
          <w:p>
            <w:pPr>
              <w:spacing w:after="0"/>
              <w:rPr>
                <w:sz w:val="20"/>
                <w:szCs w:val="20"/>
                <w:color w:val="auto"/>
              </w:rPr>
            </w:pPr>
          </w:p>
        </w:tc>
        <w:tc>
          <w:tcPr>
            <w:tcW w:w="260" w:type="dxa"/>
            <w:vAlign w:val="bottom"/>
            <w:tcBorders>
              <w:bottom w:val="single" w:sz="8" w:color="A5A5A5"/>
            </w:tcBorders>
          </w:tcPr>
          <w:p>
            <w:pPr>
              <w:spacing w:after="0"/>
              <w:rPr>
                <w:sz w:val="20"/>
                <w:szCs w:val="20"/>
                <w:color w:val="auto"/>
              </w:rPr>
            </w:pPr>
          </w:p>
        </w:tc>
        <w:tc>
          <w:tcPr>
            <w:tcW w:w="100" w:type="dxa"/>
            <w:vAlign w:val="bottom"/>
            <w:tcBorders>
              <w:bottom w:val="single" w:sz="8" w:color="A5A5A5"/>
              <w:right w:val="single" w:sz="8" w:color="A5A5A5"/>
            </w:tcBorders>
          </w:tcPr>
          <w:p>
            <w:pPr>
              <w:spacing w:after="0"/>
              <w:rPr>
                <w:sz w:val="20"/>
                <w:szCs w:val="20"/>
                <w:color w:val="auto"/>
              </w:rPr>
            </w:pPr>
          </w:p>
        </w:tc>
        <w:tc>
          <w:tcPr>
            <w:tcW w:w="220" w:type="dxa"/>
            <w:vAlign w:val="bottom"/>
            <w:tcBorders>
              <w:bottom w:val="single" w:sz="8" w:color="A5A5A5"/>
            </w:tcBorders>
          </w:tcPr>
          <w:p>
            <w:pPr>
              <w:spacing w:after="0"/>
              <w:rPr>
                <w:sz w:val="20"/>
                <w:szCs w:val="20"/>
                <w:color w:val="auto"/>
              </w:rPr>
            </w:pPr>
          </w:p>
        </w:tc>
        <w:tc>
          <w:tcPr>
            <w:tcW w:w="240" w:type="dxa"/>
            <w:vAlign w:val="bottom"/>
            <w:tcBorders>
              <w:bottom w:val="single" w:sz="8" w:color="A5A5A5"/>
            </w:tcBorders>
          </w:tcPr>
          <w:p>
            <w:pPr>
              <w:spacing w:after="0"/>
              <w:rPr>
                <w:sz w:val="20"/>
                <w:szCs w:val="20"/>
                <w:color w:val="auto"/>
              </w:rPr>
            </w:pPr>
          </w:p>
        </w:tc>
        <w:tc>
          <w:tcPr>
            <w:tcW w:w="200" w:type="dxa"/>
            <w:vAlign w:val="bottom"/>
            <w:tcBorders>
              <w:bottom w:val="single" w:sz="8" w:color="A5A5A5"/>
            </w:tcBorders>
          </w:tcPr>
          <w:p>
            <w:pPr>
              <w:spacing w:after="0"/>
              <w:rPr>
                <w:sz w:val="20"/>
                <w:szCs w:val="20"/>
                <w:color w:val="auto"/>
              </w:rPr>
            </w:pPr>
          </w:p>
        </w:tc>
        <w:tc>
          <w:tcPr>
            <w:tcW w:w="420" w:type="dxa"/>
            <w:vAlign w:val="bottom"/>
            <w:tcBorders>
              <w:bottom w:val="single" w:sz="8" w:color="A5A5A5"/>
            </w:tcBorders>
          </w:tcPr>
          <w:p>
            <w:pPr>
              <w:spacing w:after="0"/>
              <w:rPr>
                <w:sz w:val="20"/>
                <w:szCs w:val="20"/>
                <w:color w:val="auto"/>
              </w:rPr>
            </w:pPr>
          </w:p>
        </w:tc>
        <w:tc>
          <w:tcPr>
            <w:tcW w:w="980" w:type="dxa"/>
            <w:vAlign w:val="bottom"/>
            <w:tcBorders>
              <w:bottom w:val="single" w:sz="8" w:color="A5A5A5"/>
              <w:right w:val="single" w:sz="8" w:color="A5A5A5"/>
            </w:tcBorders>
          </w:tcPr>
          <w:p>
            <w:pPr>
              <w:spacing w:after="0"/>
              <w:rPr>
                <w:sz w:val="20"/>
                <w:szCs w:val="20"/>
                <w:color w:val="auto"/>
              </w:rPr>
            </w:pPr>
          </w:p>
        </w:tc>
        <w:tc>
          <w:tcPr>
            <w:tcW w:w="2060" w:type="dxa"/>
            <w:vAlign w:val="bottom"/>
            <w:tcBorders>
              <w:bottom w:val="single" w:sz="8" w:color="A5A5A5"/>
              <w:right w:val="single" w:sz="8" w:color="A5A5A5"/>
            </w:tcBorders>
          </w:tcPr>
          <w:p>
            <w:pPr>
              <w:spacing w:after="0"/>
              <w:rPr>
                <w:sz w:val="20"/>
                <w:szCs w:val="20"/>
                <w:color w:val="auto"/>
              </w:rPr>
            </w:pPr>
          </w:p>
        </w:tc>
        <w:tc>
          <w:tcPr>
            <w:tcW w:w="2060" w:type="dxa"/>
            <w:vAlign w:val="bottom"/>
            <w:tcBorders>
              <w:bottom w:val="single" w:sz="8" w:color="A5A5A5"/>
              <w:right w:val="single" w:sz="8" w:color="A5A5A5"/>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840" w:type="dxa"/>
            <w:vAlign w:val="bottom"/>
            <w:tcBorders>
              <w:left w:val="single" w:sz="8" w:color="A5A5A5"/>
              <w:bottom w:val="single" w:sz="8" w:color="A5A5A5"/>
            </w:tcBorders>
            <w:shd w:val="clear" w:color="auto" w:fill="DBDBDB"/>
          </w:tcPr>
          <w:p>
            <w:pPr>
              <w:spacing w:after="0"/>
              <w:rPr>
                <w:sz w:val="19"/>
                <w:szCs w:val="19"/>
                <w:color w:val="auto"/>
              </w:rPr>
            </w:pPr>
          </w:p>
        </w:tc>
        <w:tc>
          <w:tcPr>
            <w:tcW w:w="300" w:type="dxa"/>
            <w:vAlign w:val="bottom"/>
            <w:tcBorders>
              <w:bottom w:val="single" w:sz="8" w:color="A5A5A5"/>
              <w:right w:val="single" w:sz="8" w:color="3F3F3F"/>
            </w:tcBorders>
            <w:shd w:val="clear" w:color="auto" w:fill="DBDBDB"/>
          </w:tcPr>
          <w:p>
            <w:pPr>
              <w:spacing w:after="0"/>
              <w:rPr>
                <w:sz w:val="19"/>
                <w:szCs w:val="19"/>
                <w:color w:val="auto"/>
              </w:rPr>
            </w:pPr>
          </w:p>
        </w:tc>
        <w:tc>
          <w:tcPr>
            <w:tcW w:w="200" w:type="dxa"/>
            <w:vAlign w:val="bottom"/>
            <w:tcBorders>
              <w:bottom w:val="single" w:sz="8" w:color="A5A5A5"/>
            </w:tcBorders>
          </w:tcPr>
          <w:p>
            <w:pPr>
              <w:spacing w:after="0"/>
              <w:rPr>
                <w:sz w:val="19"/>
                <w:szCs w:val="19"/>
                <w:color w:val="auto"/>
              </w:rPr>
            </w:pPr>
          </w:p>
        </w:tc>
        <w:tc>
          <w:tcPr>
            <w:tcW w:w="820" w:type="dxa"/>
            <w:vAlign w:val="bottom"/>
            <w:tcBorders>
              <w:bottom w:val="single" w:sz="8" w:color="A5A5A5"/>
            </w:tcBorders>
          </w:tcPr>
          <w:p>
            <w:pPr>
              <w:spacing w:after="0"/>
              <w:rPr>
                <w:sz w:val="19"/>
                <w:szCs w:val="19"/>
                <w:color w:val="auto"/>
              </w:rPr>
            </w:pPr>
          </w:p>
        </w:tc>
        <w:tc>
          <w:tcPr>
            <w:tcW w:w="660" w:type="dxa"/>
            <w:vAlign w:val="bottom"/>
            <w:tcBorders>
              <w:bottom w:val="single" w:sz="8" w:color="A5A5A5"/>
            </w:tcBorders>
          </w:tcPr>
          <w:p>
            <w:pPr>
              <w:spacing w:after="0"/>
              <w:rPr>
                <w:sz w:val="19"/>
                <w:szCs w:val="19"/>
                <w:color w:val="auto"/>
              </w:rPr>
            </w:pPr>
          </w:p>
        </w:tc>
        <w:tc>
          <w:tcPr>
            <w:tcW w:w="260" w:type="dxa"/>
            <w:vAlign w:val="bottom"/>
            <w:tcBorders>
              <w:bottom w:val="single" w:sz="8" w:color="A5A5A5"/>
            </w:tcBorders>
          </w:tcPr>
          <w:p>
            <w:pPr>
              <w:spacing w:after="0"/>
              <w:rPr>
                <w:sz w:val="19"/>
                <w:szCs w:val="19"/>
                <w:color w:val="auto"/>
              </w:rPr>
            </w:pPr>
          </w:p>
        </w:tc>
        <w:tc>
          <w:tcPr>
            <w:tcW w:w="100" w:type="dxa"/>
            <w:vAlign w:val="bottom"/>
            <w:tcBorders>
              <w:bottom w:val="single" w:sz="8" w:color="A5A5A5"/>
              <w:right w:val="single" w:sz="8" w:color="A5A5A5"/>
            </w:tcBorders>
          </w:tcPr>
          <w:p>
            <w:pPr>
              <w:spacing w:after="0"/>
              <w:rPr>
                <w:sz w:val="19"/>
                <w:szCs w:val="19"/>
                <w:color w:val="auto"/>
              </w:rPr>
            </w:pPr>
          </w:p>
        </w:tc>
        <w:tc>
          <w:tcPr>
            <w:tcW w:w="220" w:type="dxa"/>
            <w:vAlign w:val="bottom"/>
            <w:tcBorders>
              <w:bottom w:val="single" w:sz="8" w:color="A5A5A5"/>
            </w:tcBorders>
          </w:tcPr>
          <w:p>
            <w:pPr>
              <w:spacing w:after="0"/>
              <w:rPr>
                <w:sz w:val="19"/>
                <w:szCs w:val="19"/>
                <w:color w:val="auto"/>
              </w:rPr>
            </w:pPr>
          </w:p>
        </w:tc>
        <w:tc>
          <w:tcPr>
            <w:tcW w:w="240" w:type="dxa"/>
            <w:vAlign w:val="bottom"/>
            <w:tcBorders>
              <w:bottom w:val="single" w:sz="8" w:color="A5A5A5"/>
            </w:tcBorders>
          </w:tcPr>
          <w:p>
            <w:pPr>
              <w:spacing w:after="0"/>
              <w:rPr>
                <w:sz w:val="19"/>
                <w:szCs w:val="19"/>
                <w:color w:val="auto"/>
              </w:rPr>
            </w:pPr>
          </w:p>
        </w:tc>
        <w:tc>
          <w:tcPr>
            <w:tcW w:w="200" w:type="dxa"/>
            <w:vAlign w:val="bottom"/>
            <w:tcBorders>
              <w:bottom w:val="single" w:sz="8" w:color="A5A5A5"/>
            </w:tcBorders>
          </w:tcPr>
          <w:p>
            <w:pPr>
              <w:spacing w:after="0"/>
              <w:rPr>
                <w:sz w:val="19"/>
                <w:szCs w:val="19"/>
                <w:color w:val="auto"/>
              </w:rPr>
            </w:pPr>
          </w:p>
        </w:tc>
        <w:tc>
          <w:tcPr>
            <w:tcW w:w="420" w:type="dxa"/>
            <w:vAlign w:val="bottom"/>
            <w:tcBorders>
              <w:bottom w:val="single" w:sz="8" w:color="A5A5A5"/>
            </w:tcBorders>
          </w:tcPr>
          <w:p>
            <w:pPr>
              <w:spacing w:after="0"/>
              <w:rPr>
                <w:sz w:val="19"/>
                <w:szCs w:val="19"/>
                <w:color w:val="auto"/>
              </w:rPr>
            </w:pPr>
          </w:p>
        </w:tc>
        <w:tc>
          <w:tcPr>
            <w:tcW w:w="980" w:type="dxa"/>
            <w:vAlign w:val="bottom"/>
            <w:tcBorders>
              <w:bottom w:val="single" w:sz="8" w:color="A5A5A5"/>
              <w:right w:val="single" w:sz="8" w:color="A5A5A5"/>
            </w:tcBorders>
          </w:tcPr>
          <w:p>
            <w:pPr>
              <w:spacing w:after="0"/>
              <w:rPr>
                <w:sz w:val="19"/>
                <w:szCs w:val="19"/>
                <w:color w:val="auto"/>
              </w:rPr>
            </w:pPr>
          </w:p>
        </w:tc>
        <w:tc>
          <w:tcPr>
            <w:tcW w:w="2060" w:type="dxa"/>
            <w:vAlign w:val="bottom"/>
            <w:tcBorders>
              <w:bottom w:val="single" w:sz="8" w:color="A5A5A5"/>
              <w:right w:val="single" w:sz="8" w:color="A5A5A5"/>
            </w:tcBorders>
          </w:tcPr>
          <w:p>
            <w:pPr>
              <w:spacing w:after="0"/>
              <w:rPr>
                <w:sz w:val="19"/>
                <w:szCs w:val="19"/>
                <w:color w:val="auto"/>
              </w:rPr>
            </w:pPr>
          </w:p>
        </w:tc>
        <w:tc>
          <w:tcPr>
            <w:tcW w:w="2060" w:type="dxa"/>
            <w:vAlign w:val="bottom"/>
            <w:tcBorders>
              <w:bottom w:val="single" w:sz="8" w:color="A5A5A5"/>
              <w:right w:val="single" w:sz="8" w:color="A5A5A5"/>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140" w:type="dxa"/>
            <w:vAlign w:val="bottom"/>
            <w:tcBorders>
              <w:left w:val="single" w:sz="8" w:color="A5A5A5"/>
              <w:bottom w:val="single" w:sz="8" w:color="A5A5A5"/>
              <w:right w:val="single" w:sz="8" w:color="3F3F3F"/>
            </w:tcBorders>
            <w:gridSpan w:val="2"/>
            <w:shd w:val="clear" w:color="auto" w:fill="DBDBDB"/>
          </w:tcPr>
          <w:p>
            <w:pPr>
              <w:ind w:left="80"/>
              <w:spacing w:after="0"/>
              <w:rPr>
                <w:sz w:val="20"/>
                <w:szCs w:val="20"/>
                <w:color w:val="auto"/>
              </w:rPr>
            </w:pPr>
            <w:r>
              <w:rPr>
                <w:rFonts w:ascii="Arial" w:cs="Arial" w:eastAsia="Arial" w:hAnsi="Arial"/>
                <w:sz w:val="18"/>
                <w:szCs w:val="18"/>
                <w:b w:val="1"/>
                <w:bCs w:val="1"/>
                <w:color w:val="auto"/>
              </w:rPr>
              <w:t>Shares Calculated</w:t>
            </w:r>
          </w:p>
        </w:tc>
        <w:tc>
          <w:tcPr>
            <w:tcW w:w="200" w:type="dxa"/>
            <w:vAlign w:val="bottom"/>
            <w:tcBorders>
              <w:bottom w:val="single" w:sz="8" w:color="A5A5A5"/>
            </w:tcBorders>
          </w:tcPr>
          <w:p>
            <w:pPr>
              <w:spacing w:after="0"/>
              <w:rPr>
                <w:sz w:val="19"/>
                <w:szCs w:val="19"/>
                <w:color w:val="auto"/>
              </w:rPr>
            </w:pPr>
          </w:p>
        </w:tc>
        <w:tc>
          <w:tcPr>
            <w:tcW w:w="1480" w:type="dxa"/>
            <w:vAlign w:val="bottom"/>
            <w:tcBorders>
              <w:bottom w:val="single" w:sz="8" w:color="A5A5A5"/>
            </w:tcBorders>
            <w:gridSpan w:val="2"/>
          </w:tcPr>
          <w:p>
            <w:pPr>
              <w:jc w:val="center"/>
              <w:ind w:left="12"/>
              <w:spacing w:after="0"/>
              <w:rPr>
                <w:sz w:val="20"/>
                <w:szCs w:val="20"/>
                <w:color w:val="auto"/>
              </w:rPr>
            </w:pPr>
            <w:r>
              <w:rPr>
                <w:rFonts w:ascii="Arial" w:cs="Arial" w:eastAsia="Arial" w:hAnsi="Arial"/>
                <w:sz w:val="18"/>
                <w:szCs w:val="18"/>
                <w:color w:val="auto"/>
                <w:w w:val="99"/>
              </w:rPr>
              <w:t>742</w:t>
            </w:r>
          </w:p>
        </w:tc>
        <w:tc>
          <w:tcPr>
            <w:tcW w:w="260" w:type="dxa"/>
            <w:vAlign w:val="bottom"/>
            <w:tcBorders>
              <w:bottom w:val="single" w:sz="8" w:color="A5A5A5"/>
            </w:tcBorders>
          </w:tcPr>
          <w:p>
            <w:pPr>
              <w:spacing w:after="0"/>
              <w:rPr>
                <w:sz w:val="19"/>
                <w:szCs w:val="19"/>
                <w:color w:val="auto"/>
              </w:rPr>
            </w:pPr>
          </w:p>
        </w:tc>
        <w:tc>
          <w:tcPr>
            <w:tcW w:w="100" w:type="dxa"/>
            <w:vAlign w:val="bottom"/>
            <w:tcBorders>
              <w:bottom w:val="single" w:sz="8" w:color="A5A5A5"/>
              <w:right w:val="single" w:sz="8" w:color="A5A5A5"/>
            </w:tcBorders>
          </w:tcPr>
          <w:p>
            <w:pPr>
              <w:spacing w:after="0"/>
              <w:rPr>
                <w:sz w:val="19"/>
                <w:szCs w:val="19"/>
                <w:color w:val="auto"/>
              </w:rPr>
            </w:pPr>
          </w:p>
        </w:tc>
        <w:tc>
          <w:tcPr>
            <w:tcW w:w="220" w:type="dxa"/>
            <w:vAlign w:val="bottom"/>
            <w:tcBorders>
              <w:bottom w:val="single" w:sz="8" w:color="A5A5A5"/>
            </w:tcBorders>
          </w:tcPr>
          <w:p>
            <w:pPr>
              <w:spacing w:after="0"/>
              <w:rPr>
                <w:sz w:val="19"/>
                <w:szCs w:val="19"/>
                <w:color w:val="auto"/>
              </w:rPr>
            </w:pPr>
          </w:p>
        </w:tc>
        <w:tc>
          <w:tcPr>
            <w:tcW w:w="240" w:type="dxa"/>
            <w:vAlign w:val="bottom"/>
            <w:tcBorders>
              <w:bottom w:val="single" w:sz="8" w:color="A5A5A5"/>
            </w:tcBorders>
          </w:tcPr>
          <w:p>
            <w:pPr>
              <w:spacing w:after="0"/>
              <w:rPr>
                <w:sz w:val="19"/>
                <w:szCs w:val="19"/>
                <w:color w:val="auto"/>
              </w:rPr>
            </w:pPr>
          </w:p>
        </w:tc>
        <w:tc>
          <w:tcPr>
            <w:tcW w:w="200" w:type="dxa"/>
            <w:vAlign w:val="bottom"/>
            <w:tcBorders>
              <w:bottom w:val="single" w:sz="8" w:color="A5A5A5"/>
            </w:tcBorders>
          </w:tcPr>
          <w:p>
            <w:pPr>
              <w:spacing w:after="0"/>
              <w:rPr>
                <w:sz w:val="19"/>
                <w:szCs w:val="19"/>
                <w:color w:val="auto"/>
              </w:rPr>
            </w:pPr>
          </w:p>
        </w:tc>
        <w:tc>
          <w:tcPr>
            <w:tcW w:w="1400" w:type="dxa"/>
            <w:vAlign w:val="bottom"/>
            <w:tcBorders>
              <w:bottom w:val="single" w:sz="8" w:color="A5A5A5"/>
              <w:right w:val="single" w:sz="8" w:color="A5A5A5"/>
            </w:tcBorders>
            <w:gridSpan w:val="2"/>
          </w:tcPr>
          <w:p>
            <w:pPr>
              <w:jc w:val="center"/>
              <w:ind w:right="680"/>
              <w:spacing w:after="0"/>
              <w:rPr>
                <w:sz w:val="20"/>
                <w:szCs w:val="20"/>
                <w:color w:val="auto"/>
              </w:rPr>
            </w:pPr>
            <w:r>
              <w:rPr>
                <w:rFonts w:ascii="Arial" w:cs="Arial" w:eastAsia="Arial" w:hAnsi="Arial"/>
                <w:sz w:val="18"/>
                <w:szCs w:val="18"/>
                <w:color w:val="auto"/>
                <w:w w:val="97"/>
              </w:rPr>
              <w:t>1,454</w:t>
            </w:r>
          </w:p>
        </w:tc>
        <w:tc>
          <w:tcPr>
            <w:tcW w:w="2060" w:type="dxa"/>
            <w:vAlign w:val="bottom"/>
            <w:tcBorders>
              <w:bottom w:val="single" w:sz="8" w:color="A5A5A5"/>
              <w:right w:val="single" w:sz="8" w:color="A5A5A5"/>
            </w:tcBorders>
          </w:tcPr>
          <w:p>
            <w:pPr>
              <w:jc w:val="center"/>
              <w:spacing w:after="0"/>
              <w:rPr>
                <w:sz w:val="20"/>
                <w:szCs w:val="20"/>
                <w:color w:val="auto"/>
              </w:rPr>
            </w:pPr>
            <w:r>
              <w:rPr>
                <w:rFonts w:ascii="Arial" w:cs="Arial" w:eastAsia="Arial" w:hAnsi="Arial"/>
                <w:sz w:val="18"/>
                <w:szCs w:val="18"/>
                <w:color w:val="auto"/>
                <w:w w:val="97"/>
              </w:rPr>
              <w:t>1,566</w:t>
            </w:r>
          </w:p>
        </w:tc>
        <w:tc>
          <w:tcPr>
            <w:tcW w:w="2060" w:type="dxa"/>
            <w:vAlign w:val="bottom"/>
            <w:tcBorders>
              <w:bottom w:val="single" w:sz="8" w:color="A5A5A5"/>
              <w:right w:val="single" w:sz="8" w:color="A5A5A5"/>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40" w:type="dxa"/>
            <w:vAlign w:val="bottom"/>
            <w:tcBorders>
              <w:left w:val="single" w:sz="8" w:color="A5A5A5"/>
              <w:bottom w:val="single" w:sz="8" w:color="A5A5A5"/>
            </w:tcBorders>
            <w:shd w:val="clear" w:color="auto" w:fill="DBDBDB"/>
          </w:tcPr>
          <w:p>
            <w:pPr>
              <w:spacing w:after="0"/>
              <w:rPr>
                <w:sz w:val="19"/>
                <w:szCs w:val="19"/>
                <w:color w:val="auto"/>
              </w:rPr>
            </w:pPr>
          </w:p>
        </w:tc>
        <w:tc>
          <w:tcPr>
            <w:tcW w:w="300" w:type="dxa"/>
            <w:vAlign w:val="bottom"/>
            <w:tcBorders>
              <w:bottom w:val="single" w:sz="8" w:color="A5A5A5"/>
              <w:right w:val="single" w:sz="8" w:color="3F3F3F"/>
            </w:tcBorders>
            <w:shd w:val="clear" w:color="auto" w:fill="DBDBDB"/>
          </w:tcPr>
          <w:p>
            <w:pPr>
              <w:spacing w:after="0"/>
              <w:rPr>
                <w:sz w:val="19"/>
                <w:szCs w:val="19"/>
                <w:color w:val="auto"/>
              </w:rPr>
            </w:pPr>
          </w:p>
        </w:tc>
        <w:tc>
          <w:tcPr>
            <w:tcW w:w="200" w:type="dxa"/>
            <w:vAlign w:val="bottom"/>
            <w:tcBorders>
              <w:bottom w:val="single" w:sz="8" w:color="A5A5A5"/>
            </w:tcBorders>
          </w:tcPr>
          <w:p>
            <w:pPr>
              <w:spacing w:after="0"/>
              <w:rPr>
                <w:sz w:val="19"/>
                <w:szCs w:val="19"/>
                <w:color w:val="auto"/>
              </w:rPr>
            </w:pPr>
          </w:p>
        </w:tc>
        <w:tc>
          <w:tcPr>
            <w:tcW w:w="820" w:type="dxa"/>
            <w:vAlign w:val="bottom"/>
            <w:tcBorders>
              <w:bottom w:val="single" w:sz="8" w:color="A5A5A5"/>
            </w:tcBorders>
          </w:tcPr>
          <w:p>
            <w:pPr>
              <w:spacing w:after="0"/>
              <w:rPr>
                <w:sz w:val="19"/>
                <w:szCs w:val="19"/>
                <w:color w:val="auto"/>
              </w:rPr>
            </w:pPr>
          </w:p>
        </w:tc>
        <w:tc>
          <w:tcPr>
            <w:tcW w:w="660" w:type="dxa"/>
            <w:vAlign w:val="bottom"/>
            <w:tcBorders>
              <w:bottom w:val="single" w:sz="8" w:color="A5A5A5"/>
            </w:tcBorders>
          </w:tcPr>
          <w:p>
            <w:pPr>
              <w:spacing w:after="0"/>
              <w:rPr>
                <w:sz w:val="19"/>
                <w:szCs w:val="19"/>
                <w:color w:val="auto"/>
              </w:rPr>
            </w:pPr>
          </w:p>
        </w:tc>
        <w:tc>
          <w:tcPr>
            <w:tcW w:w="260" w:type="dxa"/>
            <w:vAlign w:val="bottom"/>
            <w:tcBorders>
              <w:bottom w:val="single" w:sz="8" w:color="A5A5A5"/>
            </w:tcBorders>
          </w:tcPr>
          <w:p>
            <w:pPr>
              <w:spacing w:after="0"/>
              <w:rPr>
                <w:sz w:val="19"/>
                <w:szCs w:val="19"/>
                <w:color w:val="auto"/>
              </w:rPr>
            </w:pPr>
          </w:p>
        </w:tc>
        <w:tc>
          <w:tcPr>
            <w:tcW w:w="100" w:type="dxa"/>
            <w:vAlign w:val="bottom"/>
            <w:tcBorders>
              <w:bottom w:val="single" w:sz="8" w:color="A5A5A5"/>
              <w:right w:val="single" w:sz="8" w:color="A5A5A5"/>
            </w:tcBorders>
          </w:tcPr>
          <w:p>
            <w:pPr>
              <w:spacing w:after="0"/>
              <w:rPr>
                <w:sz w:val="19"/>
                <w:szCs w:val="19"/>
                <w:color w:val="auto"/>
              </w:rPr>
            </w:pPr>
          </w:p>
        </w:tc>
        <w:tc>
          <w:tcPr>
            <w:tcW w:w="220" w:type="dxa"/>
            <w:vAlign w:val="bottom"/>
            <w:tcBorders>
              <w:bottom w:val="single" w:sz="8" w:color="A5A5A5"/>
            </w:tcBorders>
          </w:tcPr>
          <w:p>
            <w:pPr>
              <w:spacing w:after="0"/>
              <w:rPr>
                <w:sz w:val="19"/>
                <w:szCs w:val="19"/>
                <w:color w:val="auto"/>
              </w:rPr>
            </w:pPr>
          </w:p>
        </w:tc>
        <w:tc>
          <w:tcPr>
            <w:tcW w:w="240" w:type="dxa"/>
            <w:vAlign w:val="bottom"/>
            <w:tcBorders>
              <w:bottom w:val="single" w:sz="8" w:color="A5A5A5"/>
            </w:tcBorders>
          </w:tcPr>
          <w:p>
            <w:pPr>
              <w:spacing w:after="0"/>
              <w:rPr>
                <w:sz w:val="19"/>
                <w:szCs w:val="19"/>
                <w:color w:val="auto"/>
              </w:rPr>
            </w:pPr>
          </w:p>
        </w:tc>
        <w:tc>
          <w:tcPr>
            <w:tcW w:w="200" w:type="dxa"/>
            <w:vAlign w:val="bottom"/>
            <w:tcBorders>
              <w:bottom w:val="single" w:sz="8" w:color="A5A5A5"/>
            </w:tcBorders>
          </w:tcPr>
          <w:p>
            <w:pPr>
              <w:spacing w:after="0"/>
              <w:rPr>
                <w:sz w:val="19"/>
                <w:szCs w:val="19"/>
                <w:color w:val="auto"/>
              </w:rPr>
            </w:pPr>
          </w:p>
        </w:tc>
        <w:tc>
          <w:tcPr>
            <w:tcW w:w="420" w:type="dxa"/>
            <w:vAlign w:val="bottom"/>
            <w:tcBorders>
              <w:bottom w:val="single" w:sz="8" w:color="A5A5A5"/>
            </w:tcBorders>
          </w:tcPr>
          <w:p>
            <w:pPr>
              <w:spacing w:after="0"/>
              <w:rPr>
                <w:sz w:val="19"/>
                <w:szCs w:val="19"/>
                <w:color w:val="auto"/>
              </w:rPr>
            </w:pPr>
          </w:p>
        </w:tc>
        <w:tc>
          <w:tcPr>
            <w:tcW w:w="980" w:type="dxa"/>
            <w:vAlign w:val="bottom"/>
            <w:tcBorders>
              <w:bottom w:val="single" w:sz="8" w:color="A5A5A5"/>
              <w:right w:val="single" w:sz="8" w:color="A5A5A5"/>
            </w:tcBorders>
          </w:tcPr>
          <w:p>
            <w:pPr>
              <w:spacing w:after="0"/>
              <w:rPr>
                <w:sz w:val="19"/>
                <w:szCs w:val="19"/>
                <w:color w:val="auto"/>
              </w:rPr>
            </w:pPr>
          </w:p>
        </w:tc>
        <w:tc>
          <w:tcPr>
            <w:tcW w:w="2060" w:type="dxa"/>
            <w:vAlign w:val="bottom"/>
            <w:tcBorders>
              <w:bottom w:val="single" w:sz="8" w:color="A5A5A5"/>
              <w:right w:val="single" w:sz="8" w:color="A5A5A5"/>
            </w:tcBorders>
          </w:tcPr>
          <w:p>
            <w:pPr>
              <w:spacing w:after="0"/>
              <w:rPr>
                <w:sz w:val="19"/>
                <w:szCs w:val="19"/>
                <w:color w:val="auto"/>
              </w:rPr>
            </w:pPr>
          </w:p>
        </w:tc>
        <w:tc>
          <w:tcPr>
            <w:tcW w:w="2060" w:type="dxa"/>
            <w:vAlign w:val="bottom"/>
            <w:tcBorders>
              <w:bottom w:val="single" w:sz="8" w:color="A5A5A5"/>
              <w:right w:val="single" w:sz="8" w:color="A5A5A5"/>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140" w:type="dxa"/>
            <w:vAlign w:val="bottom"/>
            <w:tcBorders>
              <w:left w:val="single" w:sz="8" w:color="A5A5A5"/>
              <w:bottom w:val="single" w:sz="8" w:color="A5A5A5"/>
              <w:right w:val="single" w:sz="8" w:color="3F3F3F"/>
            </w:tcBorders>
            <w:gridSpan w:val="2"/>
            <w:shd w:val="clear" w:color="auto" w:fill="DBDBDB"/>
          </w:tcPr>
          <w:p>
            <w:pPr>
              <w:ind w:left="80"/>
              <w:spacing w:after="0"/>
              <w:rPr>
                <w:sz w:val="20"/>
                <w:szCs w:val="20"/>
                <w:color w:val="auto"/>
              </w:rPr>
            </w:pPr>
            <w:r>
              <w:rPr>
                <w:rFonts w:ascii="Arial" w:cs="Arial" w:eastAsia="Arial" w:hAnsi="Arial"/>
                <w:sz w:val="18"/>
                <w:szCs w:val="18"/>
                <w:b w:val="1"/>
                <w:bCs w:val="1"/>
                <w:color w:val="auto"/>
              </w:rPr>
              <w:t>Shares Released</w:t>
            </w:r>
          </w:p>
        </w:tc>
        <w:tc>
          <w:tcPr>
            <w:tcW w:w="200" w:type="dxa"/>
            <w:vAlign w:val="bottom"/>
            <w:tcBorders>
              <w:bottom w:val="single" w:sz="8" w:color="A5A5A5"/>
            </w:tcBorders>
          </w:tcPr>
          <w:p>
            <w:pPr>
              <w:spacing w:after="0"/>
              <w:rPr>
                <w:sz w:val="19"/>
                <w:szCs w:val="19"/>
                <w:color w:val="auto"/>
              </w:rPr>
            </w:pPr>
          </w:p>
        </w:tc>
        <w:tc>
          <w:tcPr>
            <w:tcW w:w="1480" w:type="dxa"/>
            <w:vAlign w:val="bottom"/>
            <w:tcBorders>
              <w:bottom w:val="single" w:sz="8" w:color="A5A5A5"/>
            </w:tcBorders>
            <w:gridSpan w:val="2"/>
          </w:tcPr>
          <w:p>
            <w:pPr>
              <w:jc w:val="center"/>
              <w:ind w:left="12"/>
              <w:spacing w:after="0"/>
              <w:rPr>
                <w:sz w:val="20"/>
                <w:szCs w:val="20"/>
                <w:color w:val="auto"/>
              </w:rPr>
            </w:pPr>
            <w:r>
              <w:rPr>
                <w:rFonts w:ascii="Arial" w:cs="Arial" w:eastAsia="Arial" w:hAnsi="Arial"/>
                <w:sz w:val="18"/>
                <w:szCs w:val="18"/>
                <w:color w:val="auto"/>
                <w:w w:val="99"/>
              </w:rPr>
              <w:t>742</w:t>
            </w:r>
          </w:p>
        </w:tc>
        <w:tc>
          <w:tcPr>
            <w:tcW w:w="260" w:type="dxa"/>
            <w:vAlign w:val="bottom"/>
            <w:tcBorders>
              <w:bottom w:val="single" w:sz="8" w:color="A5A5A5"/>
            </w:tcBorders>
          </w:tcPr>
          <w:p>
            <w:pPr>
              <w:spacing w:after="0"/>
              <w:rPr>
                <w:sz w:val="19"/>
                <w:szCs w:val="19"/>
                <w:color w:val="auto"/>
              </w:rPr>
            </w:pPr>
          </w:p>
        </w:tc>
        <w:tc>
          <w:tcPr>
            <w:tcW w:w="100" w:type="dxa"/>
            <w:vAlign w:val="bottom"/>
            <w:tcBorders>
              <w:bottom w:val="single" w:sz="8" w:color="A5A5A5"/>
              <w:right w:val="single" w:sz="8" w:color="A5A5A5"/>
            </w:tcBorders>
          </w:tcPr>
          <w:p>
            <w:pPr>
              <w:spacing w:after="0"/>
              <w:rPr>
                <w:sz w:val="19"/>
                <w:szCs w:val="19"/>
                <w:color w:val="auto"/>
              </w:rPr>
            </w:pPr>
          </w:p>
        </w:tc>
        <w:tc>
          <w:tcPr>
            <w:tcW w:w="220" w:type="dxa"/>
            <w:vAlign w:val="bottom"/>
            <w:tcBorders>
              <w:bottom w:val="single" w:sz="8" w:color="A5A5A5"/>
            </w:tcBorders>
          </w:tcPr>
          <w:p>
            <w:pPr>
              <w:spacing w:after="0"/>
              <w:rPr>
                <w:sz w:val="19"/>
                <w:szCs w:val="19"/>
                <w:color w:val="auto"/>
              </w:rPr>
            </w:pPr>
          </w:p>
        </w:tc>
        <w:tc>
          <w:tcPr>
            <w:tcW w:w="240" w:type="dxa"/>
            <w:vAlign w:val="bottom"/>
            <w:tcBorders>
              <w:bottom w:val="single" w:sz="8" w:color="A5A5A5"/>
            </w:tcBorders>
          </w:tcPr>
          <w:p>
            <w:pPr>
              <w:spacing w:after="0"/>
              <w:rPr>
                <w:sz w:val="19"/>
                <w:szCs w:val="19"/>
                <w:color w:val="auto"/>
              </w:rPr>
            </w:pPr>
          </w:p>
        </w:tc>
        <w:tc>
          <w:tcPr>
            <w:tcW w:w="200" w:type="dxa"/>
            <w:vAlign w:val="bottom"/>
            <w:tcBorders>
              <w:bottom w:val="single" w:sz="8" w:color="A5A5A5"/>
            </w:tcBorders>
          </w:tcPr>
          <w:p>
            <w:pPr>
              <w:spacing w:after="0"/>
              <w:rPr>
                <w:sz w:val="19"/>
                <w:szCs w:val="19"/>
                <w:color w:val="auto"/>
              </w:rPr>
            </w:pPr>
          </w:p>
        </w:tc>
        <w:tc>
          <w:tcPr>
            <w:tcW w:w="1400" w:type="dxa"/>
            <w:vAlign w:val="bottom"/>
            <w:tcBorders>
              <w:bottom w:val="single" w:sz="8" w:color="A5A5A5"/>
              <w:right w:val="single" w:sz="8" w:color="A5A5A5"/>
            </w:tcBorders>
            <w:gridSpan w:val="2"/>
          </w:tcPr>
          <w:p>
            <w:pPr>
              <w:jc w:val="center"/>
              <w:ind w:right="680"/>
              <w:spacing w:after="0"/>
              <w:rPr>
                <w:sz w:val="20"/>
                <w:szCs w:val="20"/>
                <w:color w:val="auto"/>
              </w:rPr>
            </w:pPr>
            <w:r>
              <w:rPr>
                <w:rFonts w:ascii="Arial" w:cs="Arial" w:eastAsia="Arial" w:hAnsi="Arial"/>
                <w:sz w:val="18"/>
                <w:szCs w:val="18"/>
                <w:color w:val="auto"/>
                <w:w w:val="97"/>
              </w:rPr>
              <w:t>1,454</w:t>
            </w:r>
          </w:p>
        </w:tc>
        <w:tc>
          <w:tcPr>
            <w:tcW w:w="2060" w:type="dxa"/>
            <w:vAlign w:val="bottom"/>
            <w:tcBorders>
              <w:bottom w:val="single" w:sz="8" w:color="A5A5A5"/>
              <w:right w:val="single" w:sz="8" w:color="A5A5A5"/>
            </w:tcBorders>
          </w:tcPr>
          <w:p>
            <w:pPr>
              <w:jc w:val="center"/>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5A5A5"/>
              <w:right w:val="single" w:sz="8" w:color="A5A5A5"/>
            </w:tcBorders>
          </w:tcPr>
          <w:p>
            <w:pPr>
              <w:jc w:val="right"/>
              <w:ind w:right="731"/>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360"/>
          </w:cols>
          <w:pgMar w:left="320" w:top="1381" w:right="1219" w:bottom="1440" w:gutter="0" w:footer="0" w:header="0"/>
        </w:sectPr>
      </w:pPr>
    </w:p>
    <w:bookmarkStart w:id="94" w:name="page95"/>
    <w:bookmarkEnd w:id="94"/>
    <w:p>
      <w:pPr>
        <w:jc w:val="center"/>
        <w:ind w:right="20"/>
        <w:spacing w:after="0"/>
        <w:rPr>
          <w:sz w:val="20"/>
          <w:szCs w:val="20"/>
          <w:color w:val="auto"/>
        </w:rPr>
      </w:pPr>
      <w:r>
        <w:rPr>
          <w:rFonts w:ascii="Arial" w:cs="Arial" w:eastAsia="Arial" w:hAnsi="Arial"/>
          <w:sz w:val="20"/>
          <w:szCs w:val="20"/>
          <w:b w:val="1"/>
          <w:bCs w:val="1"/>
          <w:color w:val="auto"/>
        </w:rPr>
        <w:t>APPENDIX C</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SAMPLE CHANGE IN CONTROL CALCULATION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SAMPLE ASSUMPTIONS:</w:t>
      </w:r>
    </w:p>
    <w:p>
      <w:pPr>
        <w:spacing w:after="0" w:line="173"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18"/>
          <w:szCs w:val="18"/>
          <w:color w:val="auto"/>
        </w:rPr>
        <w:t>Date of Grant:</w:t>
      </w:r>
      <w:r>
        <w:rPr>
          <w:sz w:val="20"/>
          <w:szCs w:val="20"/>
          <w:color w:val="auto"/>
        </w:rPr>
        <w:tab/>
      </w:r>
      <w:r>
        <w:rPr>
          <w:rFonts w:ascii="Arial" w:cs="Arial" w:eastAsia="Arial" w:hAnsi="Arial"/>
          <w:sz w:val="14"/>
          <w:szCs w:val="14"/>
          <w:color w:val="auto"/>
        </w:rPr>
        <w:t>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1172845</wp:posOffset>
            </wp:positionH>
            <wp:positionV relativeFrom="paragraph">
              <wp:posOffset>-635</wp:posOffset>
            </wp:positionV>
            <wp:extent cx="8293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829310" cy="8255"/>
                    </a:xfrm>
                    <a:prstGeom prst="rect">
                      <a:avLst/>
                    </a:prstGeom>
                    <a:noFill/>
                  </pic:spPr>
                </pic:pic>
              </a:graphicData>
            </a:graphic>
          </wp:anchor>
        </w:drawing>
      </w:r>
    </w:p>
    <w:p>
      <w:pPr>
        <w:ind w:left="640"/>
        <w:spacing w:after="0"/>
        <w:tabs>
          <w:tab w:leader="none" w:pos="2320" w:val="left"/>
        </w:tabs>
        <w:rPr>
          <w:sz w:val="20"/>
          <w:szCs w:val="20"/>
          <w:color w:val="auto"/>
        </w:rPr>
      </w:pPr>
      <w:r>
        <w:rPr>
          <w:rFonts w:ascii="Arial" w:cs="Arial" w:eastAsia="Arial" w:hAnsi="Arial"/>
          <w:sz w:val="18"/>
          <w:szCs w:val="18"/>
          <w:color w:val="auto"/>
        </w:rPr>
        <w:t>Performance Period:</w:t>
      </w:r>
      <w:r>
        <w:rPr>
          <w:sz w:val="20"/>
          <w:szCs w:val="20"/>
          <w:color w:val="auto"/>
        </w:rPr>
        <w:tab/>
      </w:r>
      <w:r>
        <w:rPr>
          <w:rFonts w:ascii="Arial" w:cs="Arial" w:eastAsia="Arial" w:hAnsi="Arial"/>
          <w:sz w:val="14"/>
          <w:szCs w:val="14"/>
          <w:color w:val="auto"/>
        </w:rPr>
        <w:t>January 1, 2022 to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-8890</wp:posOffset>
            </wp:positionV>
            <wp:extent cx="18586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1858645" cy="8255"/>
                    </a:xfrm>
                    <a:prstGeom prst="rect">
                      <a:avLst/>
                    </a:prstGeom>
                    <a:noFill/>
                  </pic:spPr>
                </pic:pic>
              </a:graphicData>
            </a:graphic>
          </wp:anchor>
        </w:drawing>
      </w:r>
    </w:p>
    <w:p>
      <w:pPr>
        <w:ind w:left="640"/>
        <w:spacing w:after="0"/>
        <w:tabs>
          <w:tab w:leader="none" w:pos="3800" w:val="left"/>
        </w:tabs>
        <w:rPr>
          <w:sz w:val="20"/>
          <w:szCs w:val="20"/>
          <w:color w:val="auto"/>
        </w:rPr>
      </w:pPr>
      <w:r>
        <w:rPr>
          <w:rFonts w:ascii="Arial" w:cs="Arial" w:eastAsia="Arial" w:hAnsi="Arial"/>
          <w:sz w:val="18"/>
          <w:szCs w:val="18"/>
          <w:color w:val="auto"/>
        </w:rPr>
        <w:t>Target Number of Restricted Stock Units:</w:t>
      </w:r>
      <w:r>
        <w:rPr>
          <w:sz w:val="20"/>
          <w:szCs w:val="20"/>
          <w:color w:val="auto"/>
        </w:rPr>
        <w:tab/>
      </w:r>
      <w:r>
        <w:rPr>
          <w:rFonts w:ascii="Arial" w:cs="Arial" w:eastAsia="Arial" w:hAnsi="Arial"/>
          <w:sz w:val="14"/>
          <w:szCs w:val="14"/>
          <w:color w:val="auto"/>
        </w:rPr>
        <w:t>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0</wp:posOffset>
            </wp:positionV>
            <wp:extent cx="3663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ind w:left="640"/>
        <w:spacing w:after="0"/>
        <w:tabs>
          <w:tab w:leader="none" w:pos="4060" w:val="left"/>
        </w:tabs>
        <w:rPr>
          <w:sz w:val="20"/>
          <w:szCs w:val="20"/>
          <w:color w:val="auto"/>
        </w:rPr>
      </w:pPr>
      <w:r>
        <w:rPr>
          <w:rFonts w:ascii="Arial" w:cs="Arial" w:eastAsia="Arial" w:hAnsi="Arial"/>
          <w:sz w:val="18"/>
          <w:szCs w:val="18"/>
          <w:color w:val="auto"/>
        </w:rPr>
        <w:t>Maximum Number of Restricted Stock Units:</w:t>
      </w:r>
      <w:r>
        <w:rPr>
          <w:sz w:val="20"/>
          <w:szCs w:val="20"/>
          <w:color w:val="auto"/>
        </w:rPr>
        <w:tab/>
      </w:r>
      <w:r>
        <w:rPr>
          <w:rFonts w:ascii="Arial" w:cs="Arial" w:eastAsia="Arial" w:hAnsi="Arial"/>
          <w:sz w:val="14"/>
          <w:szCs w:val="14"/>
          <w:color w:val="auto"/>
        </w:rPr>
        <w:t>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0</wp:posOffset>
            </wp:positionV>
            <wp:extent cx="3663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ind w:left="640"/>
        <w:spacing w:after="0"/>
        <w:tabs>
          <w:tab w:leader="none" w:pos="2060" w:val="left"/>
        </w:tabs>
        <w:rPr>
          <w:sz w:val="20"/>
          <w:szCs w:val="20"/>
          <w:color w:val="auto"/>
        </w:rPr>
      </w:pPr>
      <w:r>
        <w:rPr>
          <w:rFonts w:ascii="Arial" w:cs="Arial" w:eastAsia="Arial" w:hAnsi="Arial"/>
          <w:sz w:val="18"/>
          <w:szCs w:val="18"/>
          <w:color w:val="auto"/>
        </w:rPr>
        <w:t>Acquisition Date:</w:t>
      </w:r>
      <w:r>
        <w:rPr>
          <w:sz w:val="20"/>
          <w:szCs w:val="20"/>
          <w:color w:val="auto"/>
        </w:rPr>
        <w:tab/>
      </w:r>
      <w:r>
        <w:rPr>
          <w:rFonts w:ascii="Arial" w:cs="Arial" w:eastAsia="Arial" w:hAnsi="Arial"/>
          <w:sz w:val="16"/>
          <w:szCs w:val="16"/>
          <w:color w:val="auto"/>
        </w:rPr>
        <w:t>July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-22225</wp:posOffset>
            </wp:positionV>
            <wp:extent cx="6667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66675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SAMPLE CHANGE IN CONTROL CALCULATION:</w:t>
      </w:r>
    </w:p>
    <w:p>
      <w:pPr>
        <w:spacing w:after="0" w:line="200" w:lineRule="exact"/>
        <w:rPr>
          <w:sz w:val="20"/>
          <w:szCs w:val="20"/>
          <w:color w:val="auto"/>
        </w:rPr>
      </w:pP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1900" w:type="dxa"/>
            <w:vAlign w:val="bottom"/>
            <w:tcBorders>
              <w:top w:val="single" w:sz="8" w:color="A5A5A5"/>
              <w:left w:val="single" w:sz="8" w:color="A5A5A5"/>
              <w:bottom w:val="single" w:sz="8" w:color="3F3F3F"/>
              <w:right w:val="single" w:sz="8" w:color="A5A5A5"/>
            </w:tcBorders>
            <w:shd w:val="clear" w:color="auto" w:fill="BDC0BF"/>
          </w:tcPr>
          <w:p>
            <w:pPr>
              <w:spacing w:after="0"/>
              <w:rPr>
                <w:sz w:val="20"/>
                <w:szCs w:val="20"/>
                <w:color w:val="auto"/>
              </w:rPr>
            </w:pPr>
          </w:p>
        </w:tc>
        <w:tc>
          <w:tcPr>
            <w:tcW w:w="1860" w:type="dxa"/>
            <w:vAlign w:val="bottom"/>
            <w:tcBorders>
              <w:top w:val="single" w:sz="8" w:color="A5A5A5"/>
              <w:bottom w:val="single" w:sz="8" w:color="3F3F3F"/>
              <w:right w:val="single" w:sz="8" w:color="A5A5A5"/>
            </w:tcBorders>
            <w:shd w:val="clear" w:color="auto" w:fill="BDC0BF"/>
          </w:tcPr>
          <w:p>
            <w:pPr>
              <w:jc w:val="right"/>
              <w:ind w:right="11"/>
              <w:spacing w:after="0"/>
              <w:rPr>
                <w:sz w:val="20"/>
                <w:szCs w:val="20"/>
                <w:color w:val="auto"/>
              </w:rPr>
            </w:pPr>
            <w:r>
              <w:rPr>
                <w:rFonts w:ascii="Arial" w:cs="Arial" w:eastAsia="Arial" w:hAnsi="Arial"/>
                <w:sz w:val="18"/>
                <w:szCs w:val="18"/>
                <w:b w:val="1"/>
                <w:bCs w:val="1"/>
                <w:color w:val="auto"/>
              </w:rPr>
              <w:t>2022</w:t>
            </w:r>
          </w:p>
        </w:tc>
        <w:tc>
          <w:tcPr>
            <w:tcW w:w="1880" w:type="dxa"/>
            <w:vAlign w:val="bottom"/>
            <w:tcBorders>
              <w:top w:val="single" w:sz="8" w:color="A5A5A5"/>
              <w:bottom w:val="single" w:sz="8" w:color="3F3F3F"/>
              <w:right w:val="single" w:sz="8" w:color="A5A5A5"/>
            </w:tcBorders>
            <w:shd w:val="clear" w:color="auto" w:fill="BDC0BF"/>
          </w:tcPr>
          <w:p>
            <w:pPr>
              <w:ind w:left="1120"/>
              <w:spacing w:after="0"/>
              <w:rPr>
                <w:sz w:val="20"/>
                <w:szCs w:val="20"/>
                <w:color w:val="auto"/>
              </w:rPr>
            </w:pPr>
            <w:r>
              <w:rPr>
                <w:rFonts w:ascii="Arial" w:cs="Arial" w:eastAsia="Arial" w:hAnsi="Arial"/>
                <w:sz w:val="18"/>
                <w:szCs w:val="18"/>
                <w:b w:val="1"/>
                <w:bCs w:val="1"/>
                <w:color w:val="auto"/>
              </w:rPr>
              <w:t>H1 2023</w:t>
            </w:r>
          </w:p>
        </w:tc>
        <w:tc>
          <w:tcPr>
            <w:tcW w:w="1860" w:type="dxa"/>
            <w:vAlign w:val="bottom"/>
            <w:tcBorders>
              <w:top w:val="single" w:sz="8" w:color="A5A5A5"/>
              <w:bottom w:val="single" w:sz="8" w:color="3F3F3F"/>
              <w:right w:val="single" w:sz="8" w:color="A5A5A5"/>
            </w:tcBorders>
            <w:shd w:val="clear" w:color="auto" w:fill="BDC0BF"/>
          </w:tcPr>
          <w:p>
            <w:pPr>
              <w:jc w:val="right"/>
              <w:spacing w:after="0"/>
              <w:rPr>
                <w:sz w:val="20"/>
                <w:szCs w:val="20"/>
                <w:color w:val="auto"/>
              </w:rPr>
            </w:pPr>
            <w:r>
              <w:rPr>
                <w:rFonts w:ascii="Arial" w:cs="Arial" w:eastAsia="Arial" w:hAnsi="Arial"/>
                <w:sz w:val="18"/>
                <w:szCs w:val="18"/>
                <w:b w:val="1"/>
                <w:bCs w:val="1"/>
                <w:color w:val="auto"/>
              </w:rPr>
              <w:t>H2 2023</w:t>
            </w:r>
          </w:p>
        </w:tc>
        <w:tc>
          <w:tcPr>
            <w:tcW w:w="1880" w:type="dxa"/>
            <w:vAlign w:val="bottom"/>
            <w:tcBorders>
              <w:top w:val="single" w:sz="8" w:color="A5A5A5"/>
              <w:bottom w:val="single" w:sz="8" w:color="3F3F3F"/>
              <w:right w:val="single" w:sz="8" w:color="A5A5A5"/>
            </w:tcBorders>
            <w:shd w:val="clear" w:color="auto" w:fill="BDC0BF"/>
          </w:tcPr>
          <w:p>
            <w:pPr>
              <w:jc w:val="right"/>
              <w:spacing w:after="0"/>
              <w:rPr>
                <w:sz w:val="20"/>
                <w:szCs w:val="20"/>
                <w:color w:val="auto"/>
              </w:rPr>
            </w:pPr>
            <w:r>
              <w:rPr>
                <w:rFonts w:ascii="Arial" w:cs="Arial" w:eastAsia="Arial" w:hAnsi="Arial"/>
                <w:sz w:val="18"/>
                <w:szCs w:val="18"/>
                <w:b w:val="1"/>
                <w:bCs w:val="1"/>
                <w:color w:val="auto"/>
              </w:rPr>
              <w:t>2024</w:t>
            </w:r>
          </w:p>
        </w:tc>
        <w:tc>
          <w:tcPr>
            <w:tcW w:w="1880" w:type="dxa"/>
            <w:vAlign w:val="bottom"/>
            <w:tcBorders>
              <w:top w:val="single" w:sz="8" w:color="A5A5A5"/>
              <w:bottom w:val="single" w:sz="8" w:color="3F3F3F"/>
              <w:right w:val="single" w:sz="8" w:color="A5A5A5"/>
            </w:tcBorders>
            <w:shd w:val="clear" w:color="auto" w:fill="BDC0BF"/>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0"/>
        </w:trPr>
        <w:tc>
          <w:tcPr>
            <w:tcW w:w="1900" w:type="dxa"/>
            <w:vAlign w:val="bottom"/>
            <w:tcBorders>
              <w:left w:val="single" w:sz="8" w:color="A5A5A5"/>
              <w:bottom w:val="single" w:sz="8" w:color="A5A5A5"/>
              <w:right w:val="single" w:sz="8" w:color="3F3F3F"/>
            </w:tcBorders>
            <w:shd w:val="clear" w:color="auto" w:fill="DBDBDB"/>
          </w:tcPr>
          <w:p>
            <w:pPr>
              <w:ind w:left="80"/>
              <w:spacing w:after="0"/>
              <w:rPr>
                <w:sz w:val="20"/>
                <w:szCs w:val="20"/>
                <w:color w:val="auto"/>
              </w:rPr>
            </w:pPr>
            <w:r>
              <w:rPr>
                <w:rFonts w:ascii="Arial" w:cs="Arial" w:eastAsia="Arial" w:hAnsi="Arial"/>
                <w:sz w:val="18"/>
                <w:szCs w:val="18"/>
                <w:b w:val="1"/>
                <w:bCs w:val="1"/>
                <w:color w:val="auto"/>
              </w:rPr>
              <w:t>SIBN TSR</w:t>
            </w:r>
          </w:p>
        </w:tc>
        <w:tc>
          <w:tcPr>
            <w:tcW w:w="1860" w:type="dxa"/>
            <w:vAlign w:val="bottom"/>
            <w:tcBorders>
              <w:bottom w:val="single" w:sz="8" w:color="A5A5A5"/>
              <w:right w:val="single" w:sz="8" w:color="A5A5A5"/>
            </w:tcBorders>
          </w:tcPr>
          <w:p>
            <w:pPr>
              <w:jc w:val="center"/>
              <w:spacing w:after="0"/>
              <w:rPr>
                <w:sz w:val="20"/>
                <w:szCs w:val="20"/>
                <w:color w:val="auto"/>
              </w:rPr>
            </w:pPr>
            <w:r>
              <w:rPr>
                <w:rFonts w:ascii="Arial" w:cs="Arial" w:eastAsia="Arial" w:hAnsi="Arial"/>
                <w:sz w:val="18"/>
                <w:szCs w:val="18"/>
                <w:color w:val="auto"/>
                <w:w w:val="97"/>
              </w:rPr>
              <w:t>-4.9%</w:t>
            </w:r>
          </w:p>
        </w:tc>
        <w:tc>
          <w:tcPr>
            <w:tcW w:w="1880" w:type="dxa"/>
            <w:vAlign w:val="bottom"/>
            <w:tcBorders>
              <w:bottom w:val="single" w:sz="8" w:color="A5A5A5"/>
              <w:right w:val="single" w:sz="8" w:color="A5A5A5"/>
            </w:tcBorders>
          </w:tcPr>
          <w:p>
            <w:pPr>
              <w:jc w:val="center"/>
              <w:spacing w:after="0"/>
              <w:rPr>
                <w:sz w:val="20"/>
                <w:szCs w:val="20"/>
                <w:color w:val="auto"/>
              </w:rPr>
            </w:pPr>
            <w:r>
              <w:rPr>
                <w:rFonts w:ascii="Arial" w:cs="Arial" w:eastAsia="Arial" w:hAnsi="Arial"/>
                <w:sz w:val="18"/>
                <w:szCs w:val="18"/>
                <w:color w:val="auto"/>
              </w:rPr>
              <w:t>29.0%</w:t>
            </w:r>
          </w:p>
        </w:tc>
        <w:tc>
          <w:tcPr>
            <w:tcW w:w="1860" w:type="dxa"/>
            <w:vAlign w:val="bottom"/>
            <w:tcBorders>
              <w:bottom w:val="single" w:sz="8" w:color="A5A5A5"/>
              <w:right w:val="single" w:sz="8" w:color="A5A5A5"/>
            </w:tcBorders>
          </w:tcPr>
          <w:p>
            <w:pPr>
              <w:spacing w:after="0"/>
              <w:rPr>
                <w:sz w:val="19"/>
                <w:szCs w:val="19"/>
                <w:color w:val="auto"/>
              </w:rPr>
            </w:pPr>
          </w:p>
        </w:tc>
        <w:tc>
          <w:tcPr>
            <w:tcW w:w="1880" w:type="dxa"/>
            <w:vAlign w:val="bottom"/>
            <w:tcBorders>
              <w:bottom w:val="single" w:sz="8" w:color="A5A5A5"/>
              <w:right w:val="single" w:sz="8" w:color="A5A5A5"/>
            </w:tcBorders>
          </w:tcPr>
          <w:p>
            <w:pPr>
              <w:spacing w:after="0"/>
              <w:rPr>
                <w:sz w:val="19"/>
                <w:szCs w:val="19"/>
                <w:color w:val="auto"/>
              </w:rPr>
            </w:pPr>
          </w:p>
        </w:tc>
        <w:tc>
          <w:tcPr>
            <w:tcW w:w="1880" w:type="dxa"/>
            <w:vAlign w:val="bottom"/>
            <w:tcBorders>
              <w:bottom w:val="single" w:sz="8" w:color="A5A5A5"/>
              <w:right w:val="single" w:sz="8" w:color="A5A5A5"/>
            </w:tcBorders>
          </w:tcPr>
          <w:p>
            <w:pPr>
              <w:spacing w:after="0"/>
              <w:rPr>
                <w:sz w:val="19"/>
                <w:szCs w:val="19"/>
                <w:color w:val="auto"/>
              </w:rPr>
            </w:pPr>
          </w:p>
        </w:tc>
      </w:tr>
      <w:tr>
        <w:trPr>
          <w:trHeight w:val="170"/>
        </w:trPr>
        <w:tc>
          <w:tcPr>
            <w:tcW w:w="1900" w:type="dxa"/>
            <w:vAlign w:val="bottom"/>
            <w:tcBorders>
              <w:left w:val="single" w:sz="8" w:color="A5A5A5"/>
              <w:right w:val="single" w:sz="8" w:color="3F3F3F"/>
            </w:tcBorders>
            <w:shd w:val="clear" w:color="auto" w:fill="DBDBDB"/>
          </w:tcPr>
          <w:p>
            <w:pPr>
              <w:ind w:left="80"/>
              <w:spacing w:after="0" w:line="170" w:lineRule="exact"/>
              <w:rPr>
                <w:sz w:val="20"/>
                <w:szCs w:val="20"/>
                <w:color w:val="auto"/>
              </w:rPr>
            </w:pPr>
            <w:r>
              <w:rPr>
                <w:rFonts w:ascii="Arial" w:cs="Arial" w:eastAsia="Arial" w:hAnsi="Arial"/>
                <w:sz w:val="18"/>
                <w:szCs w:val="18"/>
                <w:b w:val="1"/>
                <w:bCs w:val="1"/>
                <w:color w:val="auto"/>
              </w:rPr>
              <w:t>Relative TSR Peer</w:t>
            </w:r>
          </w:p>
        </w:tc>
        <w:tc>
          <w:tcPr>
            <w:tcW w:w="1860" w:type="dxa"/>
            <w:vAlign w:val="bottom"/>
            <w:tcBorders>
              <w:right w:val="single" w:sz="8" w:color="A5A5A5"/>
            </w:tcBorders>
          </w:tcPr>
          <w:p>
            <w:pPr>
              <w:jc w:val="center"/>
              <w:spacing w:after="0" w:line="170" w:lineRule="exact"/>
              <w:rPr>
                <w:sz w:val="20"/>
                <w:szCs w:val="20"/>
                <w:color w:val="auto"/>
              </w:rPr>
            </w:pPr>
            <w:r>
              <w:rPr>
                <w:rFonts w:ascii="Arial" w:cs="Arial" w:eastAsia="Arial" w:hAnsi="Arial"/>
                <w:sz w:val="18"/>
                <w:szCs w:val="18"/>
                <w:color w:val="auto"/>
              </w:rPr>
              <w:t>8.1%</w:t>
            </w:r>
          </w:p>
        </w:tc>
        <w:tc>
          <w:tcPr>
            <w:tcW w:w="1880" w:type="dxa"/>
            <w:vAlign w:val="bottom"/>
            <w:tcBorders>
              <w:right w:val="single" w:sz="8" w:color="A5A5A5"/>
            </w:tcBorders>
          </w:tcPr>
          <w:p>
            <w:pPr>
              <w:jc w:val="center"/>
              <w:spacing w:after="0" w:line="170" w:lineRule="exact"/>
              <w:rPr>
                <w:sz w:val="20"/>
                <w:szCs w:val="20"/>
                <w:color w:val="auto"/>
              </w:rPr>
            </w:pPr>
            <w:r>
              <w:rPr>
                <w:rFonts w:ascii="Arial" w:cs="Arial" w:eastAsia="Arial" w:hAnsi="Arial"/>
                <w:sz w:val="18"/>
                <w:szCs w:val="18"/>
                <w:color w:val="auto"/>
                <w:w w:val="97"/>
              </w:rPr>
              <w:t>6.3%</w:t>
            </w:r>
          </w:p>
        </w:tc>
        <w:tc>
          <w:tcPr>
            <w:tcW w:w="1860" w:type="dxa"/>
            <w:vAlign w:val="bottom"/>
            <w:tcBorders>
              <w:right w:val="single" w:sz="8" w:color="A5A5A5"/>
            </w:tcBorders>
          </w:tcPr>
          <w:p>
            <w:pPr>
              <w:spacing w:after="0"/>
              <w:rPr>
                <w:sz w:val="14"/>
                <w:szCs w:val="14"/>
                <w:color w:val="auto"/>
              </w:rPr>
            </w:pPr>
          </w:p>
        </w:tc>
        <w:tc>
          <w:tcPr>
            <w:tcW w:w="1880" w:type="dxa"/>
            <w:vAlign w:val="bottom"/>
            <w:tcBorders>
              <w:right w:val="single" w:sz="8" w:color="A5A5A5"/>
            </w:tcBorders>
          </w:tcPr>
          <w:p>
            <w:pPr>
              <w:spacing w:after="0"/>
              <w:rPr>
                <w:sz w:val="14"/>
                <w:szCs w:val="14"/>
                <w:color w:val="auto"/>
              </w:rPr>
            </w:pPr>
          </w:p>
        </w:tc>
        <w:tc>
          <w:tcPr>
            <w:tcW w:w="1880" w:type="dxa"/>
            <w:vAlign w:val="bottom"/>
            <w:tcBorders>
              <w:right w:val="single" w:sz="8" w:color="A5A5A5"/>
            </w:tcBorders>
          </w:tcPr>
          <w:p>
            <w:pPr>
              <w:spacing w:after="0"/>
              <w:rPr>
                <w:sz w:val="14"/>
                <w:szCs w:val="14"/>
                <w:color w:val="auto"/>
              </w:rPr>
            </w:pPr>
          </w:p>
        </w:tc>
      </w:tr>
      <w:tr>
        <w:trPr>
          <w:trHeight w:val="235"/>
        </w:trPr>
        <w:tc>
          <w:tcPr>
            <w:tcW w:w="1900" w:type="dxa"/>
            <w:vAlign w:val="bottom"/>
            <w:tcBorders>
              <w:left w:val="single" w:sz="8" w:color="A5A5A5"/>
              <w:bottom w:val="single" w:sz="8" w:color="A5A5A5"/>
              <w:right w:val="single" w:sz="8" w:color="3F3F3F"/>
            </w:tcBorders>
            <w:shd w:val="clear" w:color="auto" w:fill="DBDBDB"/>
          </w:tcPr>
          <w:p>
            <w:pPr>
              <w:ind w:left="80"/>
              <w:spacing w:after="0"/>
              <w:rPr>
                <w:sz w:val="20"/>
                <w:szCs w:val="20"/>
                <w:color w:val="auto"/>
              </w:rPr>
            </w:pPr>
            <w:r>
              <w:rPr>
                <w:rFonts w:ascii="Arial" w:cs="Arial" w:eastAsia="Arial" w:hAnsi="Arial"/>
                <w:sz w:val="18"/>
                <w:szCs w:val="18"/>
                <w:b w:val="1"/>
                <w:bCs w:val="1"/>
                <w:color w:val="auto"/>
              </w:rPr>
              <w:t>Group</w:t>
            </w:r>
          </w:p>
        </w:tc>
        <w:tc>
          <w:tcPr>
            <w:tcW w:w="1860" w:type="dxa"/>
            <w:vAlign w:val="bottom"/>
            <w:tcBorders>
              <w:bottom w:val="single" w:sz="8" w:color="A5A5A5"/>
              <w:right w:val="single" w:sz="8" w:color="A5A5A5"/>
            </w:tcBorders>
          </w:tcPr>
          <w:p>
            <w:pPr>
              <w:spacing w:after="0"/>
              <w:rPr>
                <w:sz w:val="20"/>
                <w:szCs w:val="20"/>
                <w:color w:val="auto"/>
              </w:rPr>
            </w:pPr>
          </w:p>
        </w:tc>
        <w:tc>
          <w:tcPr>
            <w:tcW w:w="1880" w:type="dxa"/>
            <w:vAlign w:val="bottom"/>
            <w:tcBorders>
              <w:bottom w:val="single" w:sz="8" w:color="A5A5A5"/>
              <w:right w:val="single" w:sz="8" w:color="A5A5A5"/>
            </w:tcBorders>
          </w:tcPr>
          <w:p>
            <w:pPr>
              <w:spacing w:after="0"/>
              <w:rPr>
                <w:sz w:val="20"/>
                <w:szCs w:val="20"/>
                <w:color w:val="auto"/>
              </w:rPr>
            </w:pPr>
          </w:p>
        </w:tc>
        <w:tc>
          <w:tcPr>
            <w:tcW w:w="1860" w:type="dxa"/>
            <w:vAlign w:val="bottom"/>
            <w:tcBorders>
              <w:bottom w:val="single" w:sz="8" w:color="A5A5A5"/>
              <w:right w:val="single" w:sz="8" w:color="A5A5A5"/>
            </w:tcBorders>
          </w:tcPr>
          <w:p>
            <w:pPr>
              <w:spacing w:after="0"/>
              <w:rPr>
                <w:sz w:val="20"/>
                <w:szCs w:val="20"/>
                <w:color w:val="auto"/>
              </w:rPr>
            </w:pPr>
          </w:p>
        </w:tc>
        <w:tc>
          <w:tcPr>
            <w:tcW w:w="1880" w:type="dxa"/>
            <w:vAlign w:val="bottom"/>
            <w:tcBorders>
              <w:bottom w:val="single" w:sz="8" w:color="A5A5A5"/>
              <w:right w:val="single" w:sz="8" w:color="A5A5A5"/>
            </w:tcBorders>
          </w:tcPr>
          <w:p>
            <w:pPr>
              <w:spacing w:after="0"/>
              <w:rPr>
                <w:sz w:val="20"/>
                <w:szCs w:val="20"/>
                <w:color w:val="auto"/>
              </w:rPr>
            </w:pPr>
          </w:p>
        </w:tc>
        <w:tc>
          <w:tcPr>
            <w:tcW w:w="1880" w:type="dxa"/>
            <w:vAlign w:val="bottom"/>
            <w:tcBorders>
              <w:bottom w:val="single" w:sz="8" w:color="A5A5A5"/>
              <w:right w:val="single" w:sz="8" w:color="A5A5A5"/>
            </w:tcBorders>
          </w:tcPr>
          <w:p>
            <w:pPr>
              <w:spacing w:after="0"/>
              <w:rPr>
                <w:sz w:val="20"/>
                <w:szCs w:val="20"/>
                <w:color w:val="auto"/>
              </w:rPr>
            </w:pPr>
          </w:p>
        </w:tc>
      </w:tr>
      <w:tr>
        <w:trPr>
          <w:trHeight w:val="220"/>
        </w:trPr>
        <w:tc>
          <w:tcPr>
            <w:tcW w:w="1900" w:type="dxa"/>
            <w:vAlign w:val="bottom"/>
            <w:tcBorders>
              <w:left w:val="single" w:sz="8" w:color="A5A5A5"/>
              <w:bottom w:val="single" w:sz="8" w:color="A5A5A5"/>
              <w:right w:val="single" w:sz="8" w:color="3F3F3F"/>
            </w:tcBorders>
            <w:shd w:val="clear" w:color="auto" w:fill="DBDBDB"/>
          </w:tcPr>
          <w:p>
            <w:pPr>
              <w:ind w:left="80"/>
              <w:spacing w:after="0"/>
              <w:rPr>
                <w:sz w:val="20"/>
                <w:szCs w:val="20"/>
                <w:color w:val="auto"/>
              </w:rPr>
            </w:pPr>
            <w:r>
              <w:rPr>
                <w:rFonts w:ascii="Arial" w:cs="Arial" w:eastAsia="Arial" w:hAnsi="Arial"/>
                <w:sz w:val="18"/>
                <w:szCs w:val="18"/>
                <w:b w:val="1"/>
                <w:bCs w:val="1"/>
                <w:color w:val="auto"/>
              </w:rPr>
              <w:t>Difference</w:t>
            </w:r>
          </w:p>
        </w:tc>
        <w:tc>
          <w:tcPr>
            <w:tcW w:w="1860" w:type="dxa"/>
            <w:vAlign w:val="bottom"/>
            <w:tcBorders>
              <w:bottom w:val="single" w:sz="8" w:color="A5A5A5"/>
              <w:right w:val="single" w:sz="8" w:color="A5A5A5"/>
            </w:tcBorders>
          </w:tcPr>
          <w:p>
            <w:pPr>
              <w:jc w:val="center"/>
              <w:spacing w:after="0"/>
              <w:rPr>
                <w:sz w:val="20"/>
                <w:szCs w:val="20"/>
                <w:color w:val="auto"/>
              </w:rPr>
            </w:pPr>
            <w:r>
              <w:rPr>
                <w:rFonts w:ascii="Arial" w:cs="Arial" w:eastAsia="Arial" w:hAnsi="Arial"/>
                <w:sz w:val="18"/>
                <w:szCs w:val="18"/>
                <w:color w:val="auto"/>
                <w:w w:val="98"/>
              </w:rPr>
              <w:t>-12.9%</w:t>
            </w:r>
          </w:p>
        </w:tc>
        <w:tc>
          <w:tcPr>
            <w:tcW w:w="1880" w:type="dxa"/>
            <w:vAlign w:val="bottom"/>
            <w:tcBorders>
              <w:bottom w:val="single" w:sz="8" w:color="A5A5A5"/>
              <w:right w:val="single" w:sz="8" w:color="A5A5A5"/>
            </w:tcBorders>
          </w:tcPr>
          <w:p>
            <w:pPr>
              <w:jc w:val="center"/>
              <w:spacing w:after="0"/>
              <w:rPr>
                <w:sz w:val="20"/>
                <w:szCs w:val="20"/>
                <w:color w:val="auto"/>
              </w:rPr>
            </w:pPr>
            <w:r>
              <w:rPr>
                <w:rFonts w:ascii="Arial" w:cs="Arial" w:eastAsia="Arial" w:hAnsi="Arial"/>
                <w:sz w:val="18"/>
                <w:szCs w:val="18"/>
                <w:color w:val="auto"/>
              </w:rPr>
              <w:t>22.7%</w:t>
            </w:r>
          </w:p>
        </w:tc>
        <w:tc>
          <w:tcPr>
            <w:tcW w:w="1860" w:type="dxa"/>
            <w:vAlign w:val="bottom"/>
            <w:tcBorders>
              <w:bottom w:val="single" w:sz="8" w:color="A5A5A5"/>
              <w:right w:val="single" w:sz="8" w:color="A5A5A5"/>
            </w:tcBorders>
          </w:tcPr>
          <w:p>
            <w:pPr>
              <w:spacing w:after="0"/>
              <w:rPr>
                <w:sz w:val="19"/>
                <w:szCs w:val="19"/>
                <w:color w:val="auto"/>
              </w:rPr>
            </w:pPr>
          </w:p>
        </w:tc>
        <w:tc>
          <w:tcPr>
            <w:tcW w:w="1880" w:type="dxa"/>
            <w:vAlign w:val="bottom"/>
            <w:tcBorders>
              <w:bottom w:val="single" w:sz="8" w:color="A5A5A5"/>
              <w:right w:val="single" w:sz="8" w:color="A5A5A5"/>
            </w:tcBorders>
          </w:tcPr>
          <w:p>
            <w:pPr>
              <w:spacing w:after="0"/>
              <w:rPr>
                <w:sz w:val="19"/>
                <w:szCs w:val="19"/>
                <w:color w:val="auto"/>
              </w:rPr>
            </w:pPr>
          </w:p>
        </w:tc>
        <w:tc>
          <w:tcPr>
            <w:tcW w:w="1880" w:type="dxa"/>
            <w:vAlign w:val="bottom"/>
            <w:tcBorders>
              <w:bottom w:val="single" w:sz="8" w:color="A5A5A5"/>
              <w:right w:val="single" w:sz="8" w:color="A5A5A5"/>
            </w:tcBorders>
          </w:tcPr>
          <w:p>
            <w:pPr>
              <w:spacing w:after="0"/>
              <w:rPr>
                <w:sz w:val="19"/>
                <w:szCs w:val="19"/>
                <w:color w:val="auto"/>
              </w:rPr>
            </w:pPr>
          </w:p>
        </w:tc>
      </w:tr>
      <w:tr>
        <w:trPr>
          <w:trHeight w:val="220"/>
        </w:trPr>
        <w:tc>
          <w:tcPr>
            <w:tcW w:w="1900" w:type="dxa"/>
            <w:vAlign w:val="bottom"/>
            <w:tcBorders>
              <w:left w:val="single" w:sz="8" w:color="A5A5A5"/>
              <w:bottom w:val="single" w:sz="8" w:color="A5A5A5"/>
              <w:right w:val="single" w:sz="8" w:color="3F3F3F"/>
            </w:tcBorders>
            <w:shd w:val="clear" w:color="auto" w:fill="DBDBDB"/>
          </w:tcPr>
          <w:p>
            <w:pPr>
              <w:spacing w:after="0"/>
              <w:rPr>
                <w:sz w:val="19"/>
                <w:szCs w:val="19"/>
                <w:color w:val="auto"/>
              </w:rPr>
            </w:pPr>
          </w:p>
        </w:tc>
        <w:tc>
          <w:tcPr>
            <w:tcW w:w="1860" w:type="dxa"/>
            <w:vAlign w:val="bottom"/>
            <w:tcBorders>
              <w:bottom w:val="single" w:sz="8" w:color="A5A5A5"/>
              <w:right w:val="single" w:sz="8" w:color="A5A5A5"/>
            </w:tcBorders>
          </w:tcPr>
          <w:p>
            <w:pPr>
              <w:spacing w:after="0"/>
              <w:rPr>
                <w:sz w:val="19"/>
                <w:szCs w:val="19"/>
                <w:color w:val="auto"/>
              </w:rPr>
            </w:pPr>
          </w:p>
        </w:tc>
        <w:tc>
          <w:tcPr>
            <w:tcW w:w="1880" w:type="dxa"/>
            <w:vAlign w:val="bottom"/>
            <w:tcBorders>
              <w:bottom w:val="single" w:sz="8" w:color="A5A5A5"/>
              <w:right w:val="single" w:sz="8" w:color="A5A5A5"/>
            </w:tcBorders>
          </w:tcPr>
          <w:p>
            <w:pPr>
              <w:spacing w:after="0"/>
              <w:rPr>
                <w:sz w:val="19"/>
                <w:szCs w:val="19"/>
                <w:color w:val="auto"/>
              </w:rPr>
            </w:pPr>
          </w:p>
        </w:tc>
        <w:tc>
          <w:tcPr>
            <w:tcW w:w="1860" w:type="dxa"/>
            <w:vAlign w:val="bottom"/>
            <w:tcBorders>
              <w:bottom w:val="single" w:sz="8" w:color="A5A5A5"/>
              <w:right w:val="single" w:sz="8" w:color="A5A5A5"/>
            </w:tcBorders>
          </w:tcPr>
          <w:p>
            <w:pPr>
              <w:spacing w:after="0"/>
              <w:rPr>
                <w:sz w:val="19"/>
                <w:szCs w:val="19"/>
                <w:color w:val="auto"/>
              </w:rPr>
            </w:pPr>
          </w:p>
        </w:tc>
        <w:tc>
          <w:tcPr>
            <w:tcW w:w="1880" w:type="dxa"/>
            <w:vAlign w:val="bottom"/>
            <w:tcBorders>
              <w:bottom w:val="single" w:sz="8" w:color="A5A5A5"/>
              <w:right w:val="single" w:sz="8" w:color="A5A5A5"/>
            </w:tcBorders>
          </w:tcPr>
          <w:p>
            <w:pPr>
              <w:spacing w:after="0"/>
              <w:rPr>
                <w:sz w:val="19"/>
                <w:szCs w:val="19"/>
                <w:color w:val="auto"/>
              </w:rPr>
            </w:pPr>
          </w:p>
        </w:tc>
        <w:tc>
          <w:tcPr>
            <w:tcW w:w="1880" w:type="dxa"/>
            <w:vAlign w:val="bottom"/>
            <w:tcBorders>
              <w:bottom w:val="single" w:sz="8" w:color="A5A5A5"/>
              <w:right w:val="single" w:sz="8" w:color="A5A5A5"/>
            </w:tcBorders>
          </w:tcPr>
          <w:p>
            <w:pPr>
              <w:spacing w:after="0"/>
              <w:rPr>
                <w:sz w:val="19"/>
                <w:szCs w:val="19"/>
                <w:color w:val="auto"/>
              </w:rPr>
            </w:pPr>
          </w:p>
        </w:tc>
      </w:tr>
      <w:tr>
        <w:trPr>
          <w:trHeight w:val="220"/>
        </w:trPr>
        <w:tc>
          <w:tcPr>
            <w:tcW w:w="1900" w:type="dxa"/>
            <w:vAlign w:val="bottom"/>
            <w:tcBorders>
              <w:left w:val="single" w:sz="8" w:color="A5A5A5"/>
              <w:bottom w:val="single" w:sz="8" w:color="A5A5A5"/>
              <w:right w:val="single" w:sz="8" w:color="3F3F3F"/>
            </w:tcBorders>
            <w:shd w:val="clear" w:color="auto" w:fill="DBDBDB"/>
          </w:tcPr>
          <w:p>
            <w:pPr>
              <w:ind w:left="80"/>
              <w:spacing w:after="0"/>
              <w:rPr>
                <w:sz w:val="20"/>
                <w:szCs w:val="20"/>
                <w:color w:val="auto"/>
              </w:rPr>
            </w:pPr>
            <w:r>
              <w:rPr>
                <w:rFonts w:ascii="Arial" w:cs="Arial" w:eastAsia="Arial" w:hAnsi="Arial"/>
                <w:sz w:val="18"/>
                <w:szCs w:val="18"/>
                <w:b w:val="1"/>
                <w:bCs w:val="1"/>
                <w:color w:val="auto"/>
              </w:rPr>
              <w:t>Target # of Shares</w:t>
            </w:r>
          </w:p>
        </w:tc>
        <w:tc>
          <w:tcPr>
            <w:tcW w:w="1860" w:type="dxa"/>
            <w:vAlign w:val="bottom"/>
            <w:tcBorders>
              <w:bottom w:val="single" w:sz="8" w:color="A5A5A5"/>
              <w:right w:val="single" w:sz="8" w:color="A5A5A5"/>
            </w:tcBorders>
          </w:tcPr>
          <w:p>
            <w:pPr>
              <w:jc w:val="center"/>
              <w:spacing w:after="0"/>
              <w:rPr>
                <w:sz w:val="20"/>
                <w:szCs w:val="20"/>
                <w:color w:val="auto"/>
              </w:rPr>
            </w:pPr>
            <w:r>
              <w:rPr>
                <w:rFonts w:ascii="Arial" w:cs="Arial" w:eastAsia="Arial" w:hAnsi="Arial"/>
                <w:sz w:val="18"/>
                <w:szCs w:val="18"/>
                <w:color w:val="auto"/>
              </w:rPr>
              <w:t>1,000</w:t>
            </w:r>
          </w:p>
        </w:tc>
        <w:tc>
          <w:tcPr>
            <w:tcW w:w="1880" w:type="dxa"/>
            <w:vAlign w:val="bottom"/>
            <w:tcBorders>
              <w:bottom w:val="single" w:sz="8" w:color="A5A5A5"/>
              <w:right w:val="single" w:sz="8" w:color="A5A5A5"/>
            </w:tcBorders>
          </w:tcPr>
          <w:p>
            <w:pPr>
              <w:jc w:val="center"/>
              <w:spacing w:after="0"/>
              <w:rPr>
                <w:sz w:val="20"/>
                <w:szCs w:val="20"/>
                <w:color w:val="auto"/>
              </w:rPr>
            </w:pPr>
            <w:r>
              <w:rPr>
                <w:rFonts w:ascii="Arial" w:cs="Arial" w:eastAsia="Arial" w:hAnsi="Arial"/>
                <w:sz w:val="18"/>
                <w:szCs w:val="18"/>
                <w:color w:val="auto"/>
                <w:w w:val="97"/>
              </w:rPr>
              <w:t>3,000</w:t>
            </w:r>
          </w:p>
        </w:tc>
        <w:tc>
          <w:tcPr>
            <w:tcW w:w="1860" w:type="dxa"/>
            <w:vAlign w:val="bottom"/>
            <w:tcBorders>
              <w:bottom w:val="single" w:sz="8" w:color="A5A5A5"/>
              <w:right w:val="single" w:sz="8" w:color="A5A5A5"/>
            </w:tcBorders>
          </w:tcPr>
          <w:p>
            <w:pPr>
              <w:spacing w:after="0"/>
              <w:rPr>
                <w:sz w:val="19"/>
                <w:szCs w:val="19"/>
                <w:color w:val="auto"/>
              </w:rPr>
            </w:pPr>
          </w:p>
        </w:tc>
        <w:tc>
          <w:tcPr>
            <w:tcW w:w="1880" w:type="dxa"/>
            <w:vAlign w:val="bottom"/>
            <w:tcBorders>
              <w:bottom w:val="single" w:sz="8" w:color="A5A5A5"/>
              <w:right w:val="single" w:sz="8" w:color="A5A5A5"/>
            </w:tcBorders>
          </w:tcPr>
          <w:p>
            <w:pPr>
              <w:spacing w:after="0"/>
              <w:rPr>
                <w:sz w:val="19"/>
                <w:szCs w:val="19"/>
                <w:color w:val="auto"/>
              </w:rPr>
            </w:pPr>
          </w:p>
        </w:tc>
        <w:tc>
          <w:tcPr>
            <w:tcW w:w="1880" w:type="dxa"/>
            <w:vAlign w:val="bottom"/>
            <w:tcBorders>
              <w:bottom w:val="single" w:sz="8" w:color="A5A5A5"/>
              <w:right w:val="single" w:sz="8" w:color="A5A5A5"/>
            </w:tcBorders>
          </w:tcPr>
          <w:p>
            <w:pPr>
              <w:spacing w:after="0"/>
              <w:rPr>
                <w:sz w:val="19"/>
                <w:szCs w:val="19"/>
                <w:color w:val="auto"/>
              </w:rPr>
            </w:pPr>
          </w:p>
        </w:tc>
      </w:tr>
      <w:tr>
        <w:trPr>
          <w:trHeight w:val="170"/>
        </w:trPr>
        <w:tc>
          <w:tcPr>
            <w:tcW w:w="1900" w:type="dxa"/>
            <w:vAlign w:val="bottom"/>
            <w:tcBorders>
              <w:left w:val="single" w:sz="8" w:color="A5A5A5"/>
              <w:right w:val="single" w:sz="8" w:color="3F3F3F"/>
            </w:tcBorders>
            <w:shd w:val="clear" w:color="auto" w:fill="DBDBDB"/>
          </w:tcPr>
          <w:p>
            <w:pPr>
              <w:ind w:left="80"/>
              <w:spacing w:after="0" w:line="170" w:lineRule="exact"/>
              <w:rPr>
                <w:sz w:val="20"/>
                <w:szCs w:val="20"/>
                <w:color w:val="auto"/>
              </w:rPr>
            </w:pPr>
            <w:r>
              <w:rPr>
                <w:rFonts w:ascii="Arial" w:cs="Arial" w:eastAsia="Arial" w:hAnsi="Arial"/>
                <w:sz w:val="18"/>
                <w:szCs w:val="18"/>
                <w:b w:val="1"/>
                <w:bCs w:val="1"/>
                <w:color w:val="auto"/>
              </w:rPr>
              <w:t>TSR Performance</w:t>
            </w:r>
          </w:p>
        </w:tc>
        <w:tc>
          <w:tcPr>
            <w:tcW w:w="1860" w:type="dxa"/>
            <w:vAlign w:val="bottom"/>
            <w:tcBorders>
              <w:right w:val="single" w:sz="8" w:color="A5A5A5"/>
            </w:tcBorders>
          </w:tcPr>
          <w:p>
            <w:pPr>
              <w:jc w:val="center"/>
              <w:spacing w:after="0" w:line="170" w:lineRule="exact"/>
              <w:rPr>
                <w:sz w:val="20"/>
                <w:szCs w:val="20"/>
                <w:color w:val="auto"/>
              </w:rPr>
            </w:pPr>
            <w:r>
              <w:rPr>
                <w:rFonts w:ascii="Arial" w:cs="Arial" w:eastAsia="Arial" w:hAnsi="Arial"/>
                <w:sz w:val="18"/>
                <w:szCs w:val="18"/>
                <w:color w:val="auto"/>
                <w:w w:val="97"/>
              </w:rPr>
              <w:t>74.2%</w:t>
            </w:r>
          </w:p>
        </w:tc>
        <w:tc>
          <w:tcPr>
            <w:tcW w:w="1880" w:type="dxa"/>
            <w:vAlign w:val="bottom"/>
            <w:tcBorders>
              <w:right w:val="single" w:sz="8" w:color="A5A5A5"/>
            </w:tcBorders>
          </w:tcPr>
          <w:p>
            <w:pPr>
              <w:jc w:val="center"/>
              <w:spacing w:after="0" w:line="170" w:lineRule="exact"/>
              <w:rPr>
                <w:sz w:val="20"/>
                <w:szCs w:val="20"/>
                <w:color w:val="auto"/>
              </w:rPr>
            </w:pPr>
            <w:r>
              <w:rPr>
                <w:rFonts w:ascii="Arial" w:cs="Arial" w:eastAsia="Arial" w:hAnsi="Arial"/>
                <w:sz w:val="18"/>
                <w:szCs w:val="18"/>
                <w:color w:val="auto"/>
                <w:w w:val="98"/>
              </w:rPr>
              <w:t>145.4%</w:t>
            </w:r>
          </w:p>
        </w:tc>
        <w:tc>
          <w:tcPr>
            <w:tcW w:w="1860" w:type="dxa"/>
            <w:vAlign w:val="bottom"/>
            <w:tcBorders>
              <w:right w:val="single" w:sz="8" w:color="A5A5A5"/>
            </w:tcBorders>
          </w:tcPr>
          <w:p>
            <w:pPr>
              <w:spacing w:after="0"/>
              <w:rPr>
                <w:sz w:val="14"/>
                <w:szCs w:val="14"/>
                <w:color w:val="auto"/>
              </w:rPr>
            </w:pPr>
          </w:p>
        </w:tc>
        <w:tc>
          <w:tcPr>
            <w:tcW w:w="1880" w:type="dxa"/>
            <w:vAlign w:val="bottom"/>
            <w:tcBorders>
              <w:right w:val="single" w:sz="8" w:color="A5A5A5"/>
            </w:tcBorders>
          </w:tcPr>
          <w:p>
            <w:pPr>
              <w:spacing w:after="0"/>
              <w:rPr>
                <w:sz w:val="14"/>
                <w:szCs w:val="14"/>
                <w:color w:val="auto"/>
              </w:rPr>
            </w:pPr>
          </w:p>
        </w:tc>
        <w:tc>
          <w:tcPr>
            <w:tcW w:w="1880" w:type="dxa"/>
            <w:vAlign w:val="bottom"/>
            <w:tcBorders>
              <w:right w:val="single" w:sz="8" w:color="A5A5A5"/>
            </w:tcBorders>
          </w:tcPr>
          <w:p>
            <w:pPr>
              <w:spacing w:after="0"/>
              <w:rPr>
                <w:sz w:val="14"/>
                <w:szCs w:val="14"/>
                <w:color w:val="auto"/>
              </w:rPr>
            </w:pPr>
          </w:p>
        </w:tc>
      </w:tr>
      <w:tr>
        <w:trPr>
          <w:trHeight w:val="235"/>
        </w:trPr>
        <w:tc>
          <w:tcPr>
            <w:tcW w:w="1900" w:type="dxa"/>
            <w:vAlign w:val="bottom"/>
            <w:tcBorders>
              <w:left w:val="single" w:sz="8" w:color="A5A5A5"/>
              <w:bottom w:val="single" w:sz="8" w:color="A5A5A5"/>
              <w:right w:val="single" w:sz="8" w:color="3F3F3F"/>
            </w:tcBorders>
            <w:shd w:val="clear" w:color="auto" w:fill="DBDBDB"/>
          </w:tcPr>
          <w:p>
            <w:pPr>
              <w:ind w:left="80"/>
              <w:spacing w:after="0"/>
              <w:rPr>
                <w:sz w:val="20"/>
                <w:szCs w:val="20"/>
                <w:color w:val="auto"/>
              </w:rPr>
            </w:pPr>
            <w:r>
              <w:rPr>
                <w:rFonts w:ascii="Arial" w:cs="Arial" w:eastAsia="Arial" w:hAnsi="Arial"/>
                <w:sz w:val="18"/>
                <w:szCs w:val="18"/>
                <w:b w:val="1"/>
                <w:bCs w:val="1"/>
                <w:color w:val="auto"/>
              </w:rPr>
              <w:t>Formula</w:t>
            </w:r>
          </w:p>
        </w:tc>
        <w:tc>
          <w:tcPr>
            <w:tcW w:w="1860" w:type="dxa"/>
            <w:vAlign w:val="bottom"/>
            <w:tcBorders>
              <w:bottom w:val="single" w:sz="8" w:color="A5A5A5"/>
              <w:right w:val="single" w:sz="8" w:color="A5A5A5"/>
            </w:tcBorders>
          </w:tcPr>
          <w:p>
            <w:pPr>
              <w:spacing w:after="0"/>
              <w:rPr>
                <w:sz w:val="20"/>
                <w:szCs w:val="20"/>
                <w:color w:val="auto"/>
              </w:rPr>
            </w:pPr>
          </w:p>
        </w:tc>
        <w:tc>
          <w:tcPr>
            <w:tcW w:w="1880" w:type="dxa"/>
            <w:vAlign w:val="bottom"/>
            <w:tcBorders>
              <w:bottom w:val="single" w:sz="8" w:color="A5A5A5"/>
              <w:right w:val="single" w:sz="8" w:color="A5A5A5"/>
            </w:tcBorders>
          </w:tcPr>
          <w:p>
            <w:pPr>
              <w:spacing w:after="0"/>
              <w:rPr>
                <w:sz w:val="20"/>
                <w:szCs w:val="20"/>
                <w:color w:val="auto"/>
              </w:rPr>
            </w:pPr>
          </w:p>
        </w:tc>
        <w:tc>
          <w:tcPr>
            <w:tcW w:w="1860" w:type="dxa"/>
            <w:vAlign w:val="bottom"/>
            <w:tcBorders>
              <w:bottom w:val="single" w:sz="8" w:color="A5A5A5"/>
              <w:right w:val="single" w:sz="8" w:color="A5A5A5"/>
            </w:tcBorders>
          </w:tcPr>
          <w:p>
            <w:pPr>
              <w:spacing w:after="0"/>
              <w:rPr>
                <w:sz w:val="20"/>
                <w:szCs w:val="20"/>
                <w:color w:val="auto"/>
              </w:rPr>
            </w:pPr>
          </w:p>
        </w:tc>
        <w:tc>
          <w:tcPr>
            <w:tcW w:w="1880" w:type="dxa"/>
            <w:vAlign w:val="bottom"/>
            <w:tcBorders>
              <w:bottom w:val="single" w:sz="8" w:color="A5A5A5"/>
              <w:right w:val="single" w:sz="8" w:color="A5A5A5"/>
            </w:tcBorders>
          </w:tcPr>
          <w:p>
            <w:pPr>
              <w:spacing w:after="0"/>
              <w:rPr>
                <w:sz w:val="20"/>
                <w:szCs w:val="20"/>
                <w:color w:val="auto"/>
              </w:rPr>
            </w:pPr>
          </w:p>
        </w:tc>
        <w:tc>
          <w:tcPr>
            <w:tcW w:w="1880" w:type="dxa"/>
            <w:vAlign w:val="bottom"/>
            <w:tcBorders>
              <w:bottom w:val="single" w:sz="8" w:color="A5A5A5"/>
              <w:right w:val="single" w:sz="8" w:color="A5A5A5"/>
            </w:tcBorders>
          </w:tcPr>
          <w:p>
            <w:pPr>
              <w:spacing w:after="0"/>
              <w:rPr>
                <w:sz w:val="20"/>
                <w:szCs w:val="20"/>
                <w:color w:val="auto"/>
              </w:rPr>
            </w:pPr>
          </w:p>
        </w:tc>
      </w:tr>
      <w:tr>
        <w:trPr>
          <w:trHeight w:val="220"/>
        </w:trPr>
        <w:tc>
          <w:tcPr>
            <w:tcW w:w="1900" w:type="dxa"/>
            <w:vAlign w:val="bottom"/>
            <w:tcBorders>
              <w:left w:val="single" w:sz="8" w:color="A5A5A5"/>
              <w:bottom w:val="single" w:sz="8" w:color="A5A5A5"/>
              <w:right w:val="single" w:sz="8" w:color="3F3F3F"/>
            </w:tcBorders>
            <w:shd w:val="clear" w:color="auto" w:fill="DBDBDB"/>
          </w:tcPr>
          <w:p>
            <w:pPr>
              <w:spacing w:after="0"/>
              <w:rPr>
                <w:sz w:val="19"/>
                <w:szCs w:val="19"/>
                <w:color w:val="auto"/>
              </w:rPr>
            </w:pPr>
          </w:p>
        </w:tc>
        <w:tc>
          <w:tcPr>
            <w:tcW w:w="1860" w:type="dxa"/>
            <w:vAlign w:val="bottom"/>
            <w:tcBorders>
              <w:bottom w:val="single" w:sz="8" w:color="A5A5A5"/>
              <w:right w:val="single" w:sz="8" w:color="A5A5A5"/>
            </w:tcBorders>
          </w:tcPr>
          <w:p>
            <w:pPr>
              <w:spacing w:after="0"/>
              <w:rPr>
                <w:sz w:val="19"/>
                <w:szCs w:val="19"/>
                <w:color w:val="auto"/>
              </w:rPr>
            </w:pPr>
          </w:p>
        </w:tc>
        <w:tc>
          <w:tcPr>
            <w:tcW w:w="1880" w:type="dxa"/>
            <w:vAlign w:val="bottom"/>
            <w:tcBorders>
              <w:bottom w:val="single" w:sz="8" w:color="A5A5A5"/>
              <w:right w:val="single" w:sz="8" w:color="A5A5A5"/>
            </w:tcBorders>
          </w:tcPr>
          <w:p>
            <w:pPr>
              <w:spacing w:after="0"/>
              <w:rPr>
                <w:sz w:val="19"/>
                <w:szCs w:val="19"/>
                <w:color w:val="auto"/>
              </w:rPr>
            </w:pPr>
          </w:p>
        </w:tc>
        <w:tc>
          <w:tcPr>
            <w:tcW w:w="1860" w:type="dxa"/>
            <w:vAlign w:val="bottom"/>
            <w:tcBorders>
              <w:bottom w:val="single" w:sz="8" w:color="A5A5A5"/>
              <w:right w:val="single" w:sz="8" w:color="A5A5A5"/>
            </w:tcBorders>
          </w:tcPr>
          <w:p>
            <w:pPr>
              <w:spacing w:after="0"/>
              <w:rPr>
                <w:sz w:val="19"/>
                <w:szCs w:val="19"/>
                <w:color w:val="auto"/>
              </w:rPr>
            </w:pPr>
          </w:p>
        </w:tc>
        <w:tc>
          <w:tcPr>
            <w:tcW w:w="1880" w:type="dxa"/>
            <w:vAlign w:val="bottom"/>
            <w:tcBorders>
              <w:bottom w:val="single" w:sz="8" w:color="A5A5A5"/>
              <w:right w:val="single" w:sz="8" w:color="A5A5A5"/>
            </w:tcBorders>
          </w:tcPr>
          <w:p>
            <w:pPr>
              <w:spacing w:after="0"/>
              <w:rPr>
                <w:sz w:val="19"/>
                <w:szCs w:val="19"/>
                <w:color w:val="auto"/>
              </w:rPr>
            </w:pPr>
          </w:p>
        </w:tc>
        <w:tc>
          <w:tcPr>
            <w:tcW w:w="1880" w:type="dxa"/>
            <w:vAlign w:val="bottom"/>
            <w:tcBorders>
              <w:bottom w:val="single" w:sz="8" w:color="A5A5A5"/>
              <w:right w:val="single" w:sz="8" w:color="A5A5A5"/>
            </w:tcBorders>
          </w:tcPr>
          <w:p>
            <w:pPr>
              <w:spacing w:after="0"/>
              <w:rPr>
                <w:sz w:val="19"/>
                <w:szCs w:val="19"/>
                <w:color w:val="auto"/>
              </w:rPr>
            </w:pPr>
          </w:p>
        </w:tc>
      </w:tr>
      <w:tr>
        <w:trPr>
          <w:trHeight w:val="220"/>
        </w:trPr>
        <w:tc>
          <w:tcPr>
            <w:tcW w:w="1900" w:type="dxa"/>
            <w:vAlign w:val="bottom"/>
            <w:tcBorders>
              <w:left w:val="single" w:sz="8" w:color="A5A5A5"/>
              <w:bottom w:val="single" w:sz="8" w:color="A5A5A5"/>
              <w:right w:val="single" w:sz="8" w:color="3F3F3F"/>
            </w:tcBorders>
            <w:shd w:val="clear" w:color="auto" w:fill="DBDBDB"/>
          </w:tcPr>
          <w:p>
            <w:pPr>
              <w:ind w:left="80"/>
              <w:spacing w:after="0"/>
              <w:rPr>
                <w:sz w:val="20"/>
                <w:szCs w:val="20"/>
                <w:color w:val="auto"/>
              </w:rPr>
            </w:pPr>
            <w:r>
              <w:rPr>
                <w:rFonts w:ascii="Arial" w:cs="Arial" w:eastAsia="Arial" w:hAnsi="Arial"/>
                <w:sz w:val="18"/>
                <w:szCs w:val="18"/>
                <w:b w:val="1"/>
                <w:bCs w:val="1"/>
                <w:color w:val="auto"/>
              </w:rPr>
              <w:t>Shares Calculated</w:t>
            </w:r>
          </w:p>
        </w:tc>
        <w:tc>
          <w:tcPr>
            <w:tcW w:w="1860" w:type="dxa"/>
            <w:vAlign w:val="bottom"/>
            <w:tcBorders>
              <w:bottom w:val="single" w:sz="8" w:color="A5A5A5"/>
              <w:right w:val="single" w:sz="8" w:color="A5A5A5"/>
            </w:tcBorders>
          </w:tcPr>
          <w:p>
            <w:pPr>
              <w:jc w:val="center"/>
              <w:spacing w:after="0"/>
              <w:rPr>
                <w:sz w:val="20"/>
                <w:szCs w:val="20"/>
                <w:color w:val="auto"/>
              </w:rPr>
            </w:pPr>
            <w:r>
              <w:rPr>
                <w:rFonts w:ascii="Arial" w:cs="Arial" w:eastAsia="Arial" w:hAnsi="Arial"/>
                <w:sz w:val="18"/>
                <w:szCs w:val="18"/>
                <w:color w:val="auto"/>
                <w:w w:val="99"/>
              </w:rPr>
              <w:t>742</w:t>
            </w:r>
          </w:p>
        </w:tc>
        <w:tc>
          <w:tcPr>
            <w:tcW w:w="1880" w:type="dxa"/>
            <w:vAlign w:val="bottom"/>
            <w:tcBorders>
              <w:bottom w:val="single" w:sz="8" w:color="A5A5A5"/>
              <w:right w:val="single" w:sz="8" w:color="A5A5A5"/>
            </w:tcBorders>
          </w:tcPr>
          <w:p>
            <w:pPr>
              <w:jc w:val="center"/>
              <w:spacing w:after="0"/>
              <w:rPr>
                <w:sz w:val="20"/>
                <w:szCs w:val="20"/>
                <w:color w:val="auto"/>
              </w:rPr>
            </w:pPr>
            <w:r>
              <w:rPr>
                <w:rFonts w:ascii="Arial" w:cs="Arial" w:eastAsia="Arial" w:hAnsi="Arial"/>
                <w:sz w:val="18"/>
                <w:szCs w:val="18"/>
                <w:color w:val="auto"/>
                <w:w w:val="97"/>
              </w:rPr>
              <w:t>4,362</w:t>
            </w:r>
          </w:p>
        </w:tc>
        <w:tc>
          <w:tcPr>
            <w:tcW w:w="1860" w:type="dxa"/>
            <w:vAlign w:val="bottom"/>
            <w:tcBorders>
              <w:bottom w:val="single" w:sz="8" w:color="A5A5A5"/>
              <w:right w:val="single" w:sz="8" w:color="A5A5A5"/>
            </w:tcBorders>
          </w:tcPr>
          <w:p>
            <w:pPr>
              <w:spacing w:after="0"/>
              <w:rPr>
                <w:sz w:val="19"/>
                <w:szCs w:val="19"/>
                <w:color w:val="auto"/>
              </w:rPr>
            </w:pPr>
          </w:p>
        </w:tc>
        <w:tc>
          <w:tcPr>
            <w:tcW w:w="1880" w:type="dxa"/>
            <w:vAlign w:val="bottom"/>
            <w:tcBorders>
              <w:bottom w:val="single" w:sz="8" w:color="A5A5A5"/>
              <w:right w:val="single" w:sz="8" w:color="A5A5A5"/>
            </w:tcBorders>
          </w:tcPr>
          <w:p>
            <w:pPr>
              <w:spacing w:after="0"/>
              <w:rPr>
                <w:sz w:val="19"/>
                <w:szCs w:val="19"/>
                <w:color w:val="auto"/>
              </w:rPr>
            </w:pPr>
          </w:p>
        </w:tc>
        <w:tc>
          <w:tcPr>
            <w:tcW w:w="1880" w:type="dxa"/>
            <w:vAlign w:val="bottom"/>
            <w:tcBorders>
              <w:bottom w:val="single" w:sz="8" w:color="A5A5A5"/>
              <w:right w:val="single" w:sz="8" w:color="A5A5A5"/>
            </w:tcBorders>
          </w:tcPr>
          <w:p>
            <w:pPr>
              <w:spacing w:after="0"/>
              <w:rPr>
                <w:sz w:val="19"/>
                <w:szCs w:val="19"/>
                <w:color w:val="auto"/>
              </w:rPr>
            </w:pPr>
          </w:p>
        </w:tc>
      </w:tr>
      <w:tr>
        <w:trPr>
          <w:trHeight w:val="353"/>
        </w:trPr>
        <w:tc>
          <w:tcPr>
            <w:tcW w:w="1900" w:type="dxa"/>
            <w:vAlign w:val="bottom"/>
            <w:tcBorders>
              <w:left w:val="single" w:sz="8" w:color="A5A5A5"/>
              <w:bottom w:val="single" w:sz="8" w:color="A5A5A5"/>
              <w:right w:val="single" w:sz="8" w:color="3F3F3F"/>
            </w:tcBorders>
            <w:shd w:val="clear" w:color="auto" w:fill="DBDBDB"/>
          </w:tcPr>
          <w:p>
            <w:pPr>
              <w:spacing w:after="0"/>
              <w:rPr>
                <w:sz w:val="24"/>
                <w:szCs w:val="24"/>
                <w:color w:val="auto"/>
              </w:rPr>
            </w:pPr>
          </w:p>
        </w:tc>
        <w:tc>
          <w:tcPr>
            <w:tcW w:w="1860" w:type="dxa"/>
            <w:vAlign w:val="bottom"/>
            <w:tcBorders>
              <w:bottom w:val="single" w:sz="8" w:color="A5A5A5"/>
              <w:right w:val="single" w:sz="8" w:color="A5A5A5"/>
            </w:tcBorders>
          </w:tcPr>
          <w:p>
            <w:pPr>
              <w:spacing w:after="0"/>
              <w:rPr>
                <w:sz w:val="24"/>
                <w:szCs w:val="24"/>
                <w:color w:val="auto"/>
              </w:rPr>
            </w:pPr>
          </w:p>
        </w:tc>
        <w:tc>
          <w:tcPr>
            <w:tcW w:w="1880" w:type="dxa"/>
            <w:vAlign w:val="bottom"/>
            <w:tcBorders>
              <w:bottom w:val="single" w:sz="8" w:color="A5A5A5"/>
              <w:right w:val="single" w:sz="8" w:color="A5A5A5"/>
            </w:tcBorders>
          </w:tcPr>
          <w:p>
            <w:pPr>
              <w:spacing w:after="0"/>
              <w:rPr>
                <w:sz w:val="24"/>
                <w:szCs w:val="24"/>
                <w:color w:val="auto"/>
              </w:rPr>
            </w:pPr>
          </w:p>
        </w:tc>
        <w:tc>
          <w:tcPr>
            <w:tcW w:w="1860" w:type="dxa"/>
            <w:vAlign w:val="bottom"/>
            <w:tcBorders>
              <w:bottom w:val="single" w:sz="8" w:color="A5A5A5"/>
              <w:right w:val="single" w:sz="8" w:color="A5A5A5"/>
            </w:tcBorders>
          </w:tcPr>
          <w:p>
            <w:pPr>
              <w:spacing w:after="0"/>
              <w:rPr>
                <w:sz w:val="24"/>
                <w:szCs w:val="24"/>
                <w:color w:val="auto"/>
              </w:rPr>
            </w:pPr>
          </w:p>
        </w:tc>
        <w:tc>
          <w:tcPr>
            <w:tcW w:w="1880" w:type="dxa"/>
            <w:vAlign w:val="bottom"/>
            <w:tcBorders>
              <w:bottom w:val="single" w:sz="8" w:color="A5A5A5"/>
              <w:right w:val="single" w:sz="8" w:color="A5A5A5"/>
            </w:tcBorders>
          </w:tcPr>
          <w:p>
            <w:pPr>
              <w:spacing w:after="0"/>
              <w:rPr>
                <w:sz w:val="24"/>
                <w:szCs w:val="24"/>
                <w:color w:val="auto"/>
              </w:rPr>
            </w:pPr>
          </w:p>
        </w:tc>
        <w:tc>
          <w:tcPr>
            <w:tcW w:w="1880" w:type="dxa"/>
            <w:vAlign w:val="bottom"/>
            <w:tcBorders>
              <w:bottom w:val="single" w:sz="8" w:color="A5A5A5"/>
              <w:right w:val="single" w:sz="8" w:color="A5A5A5"/>
            </w:tcBorders>
          </w:tcPr>
          <w:p>
            <w:pPr>
              <w:spacing w:after="0"/>
              <w:rPr>
                <w:sz w:val="24"/>
                <w:szCs w:val="24"/>
                <w:color w:val="auto"/>
              </w:rPr>
            </w:pPr>
          </w:p>
        </w:tc>
      </w:tr>
      <w:tr>
        <w:trPr>
          <w:trHeight w:val="220"/>
        </w:trPr>
        <w:tc>
          <w:tcPr>
            <w:tcW w:w="1900" w:type="dxa"/>
            <w:vAlign w:val="bottom"/>
            <w:tcBorders>
              <w:left w:val="single" w:sz="8" w:color="A5A5A5"/>
              <w:bottom w:val="single" w:sz="8" w:color="A5A5A5"/>
              <w:right w:val="single" w:sz="8" w:color="3F3F3F"/>
            </w:tcBorders>
            <w:shd w:val="clear" w:color="auto" w:fill="DBDBDB"/>
          </w:tcPr>
          <w:p>
            <w:pPr>
              <w:ind w:left="80"/>
              <w:spacing w:after="0"/>
              <w:rPr>
                <w:sz w:val="20"/>
                <w:szCs w:val="20"/>
                <w:color w:val="auto"/>
              </w:rPr>
            </w:pPr>
            <w:r>
              <w:rPr>
                <w:rFonts w:ascii="Arial" w:cs="Arial" w:eastAsia="Arial" w:hAnsi="Arial"/>
                <w:sz w:val="18"/>
                <w:szCs w:val="18"/>
                <w:b w:val="1"/>
                <w:bCs w:val="1"/>
                <w:color w:val="auto"/>
              </w:rPr>
              <w:t>CIC Units</w:t>
            </w:r>
          </w:p>
        </w:tc>
        <w:tc>
          <w:tcPr>
            <w:tcW w:w="1860" w:type="dxa"/>
            <w:vAlign w:val="bottom"/>
            <w:tcBorders>
              <w:bottom w:val="single" w:sz="8" w:color="A5A5A5"/>
              <w:right w:val="single" w:sz="8" w:color="A5A5A5"/>
            </w:tcBorders>
          </w:tcPr>
          <w:p>
            <w:pPr>
              <w:spacing w:after="0"/>
              <w:rPr>
                <w:sz w:val="19"/>
                <w:szCs w:val="19"/>
                <w:color w:val="auto"/>
              </w:rPr>
            </w:pPr>
          </w:p>
        </w:tc>
        <w:tc>
          <w:tcPr>
            <w:tcW w:w="1880" w:type="dxa"/>
            <w:vAlign w:val="bottom"/>
            <w:tcBorders>
              <w:bottom w:val="single" w:sz="8" w:color="A5A5A5"/>
              <w:right w:val="single" w:sz="8" w:color="A5A5A5"/>
            </w:tcBorders>
          </w:tcPr>
          <w:p>
            <w:pPr>
              <w:jc w:val="center"/>
              <w:spacing w:after="0"/>
              <w:rPr>
                <w:sz w:val="20"/>
                <w:szCs w:val="20"/>
                <w:color w:val="auto"/>
              </w:rPr>
            </w:pPr>
            <w:r>
              <w:rPr>
                <w:rFonts w:ascii="Arial" w:cs="Arial" w:eastAsia="Arial" w:hAnsi="Arial"/>
                <w:sz w:val="18"/>
                <w:szCs w:val="18"/>
                <w:color w:val="auto"/>
                <w:w w:val="99"/>
              </w:rPr>
              <w:t>4,362 – 742 = 3,620</w:t>
            </w:r>
          </w:p>
        </w:tc>
        <w:tc>
          <w:tcPr>
            <w:tcW w:w="1860" w:type="dxa"/>
            <w:vAlign w:val="bottom"/>
            <w:tcBorders>
              <w:bottom w:val="single" w:sz="8" w:color="A5A5A5"/>
              <w:right w:val="single" w:sz="8" w:color="A5A5A5"/>
            </w:tcBorders>
          </w:tcPr>
          <w:p>
            <w:pPr>
              <w:spacing w:after="0"/>
              <w:rPr>
                <w:sz w:val="19"/>
                <w:szCs w:val="19"/>
                <w:color w:val="auto"/>
              </w:rPr>
            </w:pPr>
          </w:p>
        </w:tc>
        <w:tc>
          <w:tcPr>
            <w:tcW w:w="1880" w:type="dxa"/>
            <w:vAlign w:val="bottom"/>
            <w:tcBorders>
              <w:bottom w:val="single" w:sz="8" w:color="A5A5A5"/>
              <w:right w:val="single" w:sz="8" w:color="A5A5A5"/>
            </w:tcBorders>
          </w:tcPr>
          <w:p>
            <w:pPr>
              <w:spacing w:after="0"/>
              <w:rPr>
                <w:sz w:val="19"/>
                <w:szCs w:val="19"/>
                <w:color w:val="auto"/>
              </w:rPr>
            </w:pPr>
          </w:p>
        </w:tc>
        <w:tc>
          <w:tcPr>
            <w:tcW w:w="1880" w:type="dxa"/>
            <w:vAlign w:val="bottom"/>
            <w:tcBorders>
              <w:bottom w:val="single" w:sz="8" w:color="A5A5A5"/>
              <w:right w:val="single" w:sz="8" w:color="A5A5A5"/>
            </w:tcBorders>
          </w:tcPr>
          <w:p>
            <w:pPr>
              <w:spacing w:after="0"/>
              <w:rPr>
                <w:sz w:val="19"/>
                <w:szCs w:val="19"/>
                <w:color w:val="auto"/>
              </w:rPr>
            </w:pPr>
          </w:p>
        </w:tc>
      </w:tr>
      <w:tr>
        <w:trPr>
          <w:trHeight w:val="220"/>
        </w:trPr>
        <w:tc>
          <w:tcPr>
            <w:tcW w:w="1900" w:type="dxa"/>
            <w:vAlign w:val="bottom"/>
            <w:tcBorders>
              <w:left w:val="single" w:sz="8" w:color="A5A5A5"/>
              <w:bottom w:val="single" w:sz="8" w:color="A5A5A5"/>
              <w:right w:val="single" w:sz="8" w:color="3F3F3F"/>
            </w:tcBorders>
            <w:shd w:val="clear" w:color="auto" w:fill="DBDBDB"/>
          </w:tcPr>
          <w:p>
            <w:pPr>
              <w:spacing w:after="0"/>
              <w:rPr>
                <w:sz w:val="19"/>
                <w:szCs w:val="19"/>
                <w:color w:val="auto"/>
              </w:rPr>
            </w:pPr>
          </w:p>
        </w:tc>
        <w:tc>
          <w:tcPr>
            <w:tcW w:w="1860" w:type="dxa"/>
            <w:vAlign w:val="bottom"/>
            <w:tcBorders>
              <w:bottom w:val="single" w:sz="8" w:color="A5A5A5"/>
              <w:right w:val="single" w:sz="8" w:color="A5A5A5"/>
            </w:tcBorders>
          </w:tcPr>
          <w:p>
            <w:pPr>
              <w:spacing w:after="0"/>
              <w:rPr>
                <w:sz w:val="19"/>
                <w:szCs w:val="19"/>
                <w:color w:val="auto"/>
              </w:rPr>
            </w:pPr>
          </w:p>
        </w:tc>
        <w:tc>
          <w:tcPr>
            <w:tcW w:w="1880" w:type="dxa"/>
            <w:vAlign w:val="bottom"/>
            <w:tcBorders>
              <w:bottom w:val="single" w:sz="8" w:color="A5A5A5"/>
              <w:right w:val="single" w:sz="8" w:color="A5A5A5"/>
            </w:tcBorders>
          </w:tcPr>
          <w:p>
            <w:pPr>
              <w:spacing w:after="0"/>
              <w:rPr>
                <w:sz w:val="19"/>
                <w:szCs w:val="19"/>
                <w:color w:val="auto"/>
              </w:rPr>
            </w:pPr>
          </w:p>
        </w:tc>
        <w:tc>
          <w:tcPr>
            <w:tcW w:w="1860" w:type="dxa"/>
            <w:vAlign w:val="bottom"/>
            <w:tcBorders>
              <w:bottom w:val="single" w:sz="8" w:color="A5A5A5"/>
              <w:right w:val="single" w:sz="8" w:color="A5A5A5"/>
            </w:tcBorders>
          </w:tcPr>
          <w:p>
            <w:pPr>
              <w:spacing w:after="0"/>
              <w:rPr>
                <w:sz w:val="19"/>
                <w:szCs w:val="19"/>
                <w:color w:val="auto"/>
              </w:rPr>
            </w:pPr>
          </w:p>
        </w:tc>
        <w:tc>
          <w:tcPr>
            <w:tcW w:w="1880" w:type="dxa"/>
            <w:vAlign w:val="bottom"/>
            <w:tcBorders>
              <w:bottom w:val="single" w:sz="8" w:color="A5A5A5"/>
              <w:right w:val="single" w:sz="8" w:color="A5A5A5"/>
            </w:tcBorders>
          </w:tcPr>
          <w:p>
            <w:pPr>
              <w:spacing w:after="0"/>
              <w:rPr>
                <w:sz w:val="19"/>
                <w:szCs w:val="19"/>
                <w:color w:val="auto"/>
              </w:rPr>
            </w:pPr>
          </w:p>
        </w:tc>
        <w:tc>
          <w:tcPr>
            <w:tcW w:w="1880" w:type="dxa"/>
            <w:vAlign w:val="bottom"/>
            <w:tcBorders>
              <w:bottom w:val="single" w:sz="8" w:color="A5A5A5"/>
              <w:right w:val="single" w:sz="8" w:color="A5A5A5"/>
            </w:tcBorders>
          </w:tcPr>
          <w:p>
            <w:pPr>
              <w:spacing w:after="0"/>
              <w:rPr>
                <w:sz w:val="19"/>
                <w:szCs w:val="19"/>
                <w:color w:val="auto"/>
              </w:rPr>
            </w:pPr>
          </w:p>
        </w:tc>
      </w:tr>
      <w:tr>
        <w:trPr>
          <w:trHeight w:val="192"/>
        </w:trPr>
        <w:tc>
          <w:tcPr>
            <w:tcW w:w="1900" w:type="dxa"/>
            <w:vAlign w:val="bottom"/>
            <w:tcBorders>
              <w:left w:val="single" w:sz="8" w:color="A5A5A5"/>
              <w:right w:val="single" w:sz="8" w:color="3F3F3F"/>
            </w:tcBorders>
            <w:shd w:val="clear" w:color="auto" w:fill="DBDBDB"/>
          </w:tcPr>
          <w:p>
            <w:pPr>
              <w:ind w:left="80"/>
              <w:spacing w:after="0" w:line="192" w:lineRule="exact"/>
              <w:rPr>
                <w:sz w:val="20"/>
                <w:szCs w:val="20"/>
                <w:color w:val="auto"/>
              </w:rPr>
            </w:pPr>
            <w:r>
              <w:rPr>
                <w:rFonts w:ascii="Arial" w:cs="Arial" w:eastAsia="Arial" w:hAnsi="Arial"/>
                <w:sz w:val="18"/>
                <w:szCs w:val="18"/>
                <w:b w:val="1"/>
                <w:bCs w:val="1"/>
                <w:color w:val="auto"/>
              </w:rPr>
              <w:t>Shares Released</w:t>
            </w:r>
          </w:p>
        </w:tc>
        <w:tc>
          <w:tcPr>
            <w:tcW w:w="1860" w:type="dxa"/>
            <w:vAlign w:val="bottom"/>
            <w:tcBorders>
              <w:right w:val="single" w:sz="8" w:color="A5A5A5"/>
            </w:tcBorders>
          </w:tcPr>
          <w:p>
            <w:pPr>
              <w:jc w:val="center"/>
              <w:spacing w:after="0" w:line="192" w:lineRule="exact"/>
              <w:rPr>
                <w:sz w:val="20"/>
                <w:szCs w:val="20"/>
                <w:color w:val="auto"/>
              </w:rPr>
            </w:pPr>
            <w:r>
              <w:rPr>
                <w:rFonts w:ascii="Arial" w:cs="Arial" w:eastAsia="Arial" w:hAnsi="Arial"/>
                <w:sz w:val="18"/>
                <w:szCs w:val="18"/>
                <w:color w:val="auto"/>
                <w:w w:val="99"/>
              </w:rPr>
              <w:t>742</w:t>
            </w:r>
          </w:p>
        </w:tc>
        <w:tc>
          <w:tcPr>
            <w:tcW w:w="1880" w:type="dxa"/>
            <w:vAlign w:val="bottom"/>
            <w:tcBorders>
              <w:right w:val="single" w:sz="8" w:color="A5A5A5"/>
            </w:tcBorders>
          </w:tcPr>
          <w:p>
            <w:pPr>
              <w:jc w:val="center"/>
              <w:spacing w:after="0" w:line="192" w:lineRule="exact"/>
              <w:rPr>
                <w:sz w:val="20"/>
                <w:szCs w:val="20"/>
                <w:color w:val="auto"/>
              </w:rPr>
            </w:pPr>
            <w:r>
              <w:rPr>
                <w:rFonts w:ascii="Arial" w:cs="Arial" w:eastAsia="Arial" w:hAnsi="Arial"/>
                <w:sz w:val="18"/>
                <w:szCs w:val="18"/>
                <w:color w:val="auto"/>
                <w:w w:val="99"/>
              </w:rPr>
              <w:t>(50%*4,362) – 742 =</w:t>
            </w:r>
          </w:p>
        </w:tc>
        <w:tc>
          <w:tcPr>
            <w:tcW w:w="1860" w:type="dxa"/>
            <w:vAlign w:val="bottom"/>
            <w:tcBorders>
              <w:right w:val="single" w:sz="8" w:color="A5A5A5"/>
            </w:tcBorders>
          </w:tcPr>
          <w:p>
            <w:pPr>
              <w:jc w:val="right"/>
              <w:spacing w:after="0" w:line="192" w:lineRule="exact"/>
              <w:rPr>
                <w:sz w:val="20"/>
                <w:szCs w:val="20"/>
                <w:color w:val="auto"/>
              </w:rPr>
            </w:pPr>
            <w:r>
              <w:rPr>
                <w:rFonts w:ascii="Arial" w:cs="Arial" w:eastAsia="Arial" w:hAnsi="Arial"/>
                <w:sz w:val="18"/>
                <w:szCs w:val="18"/>
                <w:color w:val="auto"/>
              </w:rPr>
              <w:t>33% * (3,620 – 1,439)</w:t>
            </w:r>
          </w:p>
        </w:tc>
        <w:tc>
          <w:tcPr>
            <w:tcW w:w="1880" w:type="dxa"/>
            <w:vAlign w:val="bottom"/>
            <w:tcBorders>
              <w:right w:val="single" w:sz="8" w:color="A5A5A5"/>
            </w:tcBorders>
          </w:tcPr>
          <w:p>
            <w:pPr>
              <w:jc w:val="right"/>
              <w:ind w:right="631"/>
              <w:spacing w:after="0" w:line="192" w:lineRule="exact"/>
              <w:rPr>
                <w:sz w:val="20"/>
                <w:szCs w:val="20"/>
                <w:color w:val="auto"/>
              </w:rPr>
            </w:pPr>
            <w:r>
              <w:rPr>
                <w:rFonts w:ascii="Arial" w:cs="Arial" w:eastAsia="Arial" w:hAnsi="Arial"/>
                <w:sz w:val="18"/>
                <w:szCs w:val="18"/>
                <w:color w:val="auto"/>
              </w:rPr>
              <w:t>1,454</w:t>
            </w:r>
          </w:p>
        </w:tc>
        <w:tc>
          <w:tcPr>
            <w:tcW w:w="1880" w:type="dxa"/>
            <w:vAlign w:val="bottom"/>
            <w:tcBorders>
              <w:right w:val="single" w:sz="8" w:color="A5A5A5"/>
            </w:tcBorders>
          </w:tcPr>
          <w:p>
            <w:pPr>
              <w:jc w:val="right"/>
              <w:ind w:right="631"/>
              <w:spacing w:after="0" w:line="192" w:lineRule="exact"/>
              <w:rPr>
                <w:sz w:val="20"/>
                <w:szCs w:val="20"/>
                <w:color w:val="auto"/>
              </w:rPr>
            </w:pPr>
            <w:r>
              <w:rPr>
                <w:rFonts w:ascii="Arial" w:cs="Arial" w:eastAsia="Arial" w:hAnsi="Arial"/>
                <w:sz w:val="18"/>
                <w:szCs w:val="18"/>
                <w:color w:val="auto"/>
              </w:rPr>
              <w:t>4,362</w:t>
            </w:r>
          </w:p>
        </w:tc>
      </w:tr>
      <w:tr>
        <w:trPr>
          <w:trHeight w:val="213"/>
        </w:trPr>
        <w:tc>
          <w:tcPr>
            <w:tcW w:w="1900" w:type="dxa"/>
            <w:vAlign w:val="bottom"/>
            <w:tcBorders>
              <w:left w:val="single" w:sz="8" w:color="A5A5A5"/>
              <w:bottom w:val="single" w:sz="8" w:color="A5A5A5"/>
              <w:right w:val="single" w:sz="8" w:color="3F3F3F"/>
            </w:tcBorders>
            <w:shd w:val="clear" w:color="auto" w:fill="DBDBDB"/>
          </w:tcPr>
          <w:p>
            <w:pPr>
              <w:spacing w:after="0"/>
              <w:rPr>
                <w:sz w:val="18"/>
                <w:szCs w:val="18"/>
                <w:color w:val="auto"/>
              </w:rPr>
            </w:pPr>
          </w:p>
        </w:tc>
        <w:tc>
          <w:tcPr>
            <w:tcW w:w="1860" w:type="dxa"/>
            <w:vAlign w:val="bottom"/>
            <w:tcBorders>
              <w:bottom w:val="single" w:sz="8" w:color="A5A5A5"/>
              <w:right w:val="single" w:sz="8" w:color="A5A5A5"/>
            </w:tcBorders>
          </w:tcPr>
          <w:p>
            <w:pPr>
              <w:spacing w:after="0"/>
              <w:rPr>
                <w:sz w:val="18"/>
                <w:szCs w:val="18"/>
                <w:color w:val="auto"/>
              </w:rPr>
            </w:pPr>
          </w:p>
        </w:tc>
        <w:tc>
          <w:tcPr>
            <w:tcW w:w="1880" w:type="dxa"/>
            <w:vAlign w:val="bottom"/>
            <w:tcBorders>
              <w:bottom w:val="single" w:sz="8" w:color="A5A5A5"/>
              <w:right w:val="single" w:sz="8" w:color="A5A5A5"/>
            </w:tcBorders>
          </w:tcPr>
          <w:p>
            <w:pPr>
              <w:jc w:val="center"/>
              <w:spacing w:after="0"/>
              <w:rPr>
                <w:sz w:val="20"/>
                <w:szCs w:val="20"/>
                <w:color w:val="auto"/>
              </w:rPr>
            </w:pPr>
            <w:r>
              <w:rPr>
                <w:rFonts w:ascii="Arial" w:cs="Arial" w:eastAsia="Arial" w:hAnsi="Arial"/>
                <w:sz w:val="18"/>
                <w:szCs w:val="18"/>
                <w:color w:val="auto"/>
                <w:w w:val="97"/>
              </w:rPr>
              <w:t>1,439</w:t>
            </w:r>
          </w:p>
        </w:tc>
        <w:tc>
          <w:tcPr>
            <w:tcW w:w="1860" w:type="dxa"/>
            <w:vAlign w:val="bottom"/>
            <w:tcBorders>
              <w:bottom w:val="single" w:sz="8" w:color="A5A5A5"/>
              <w:right w:val="single" w:sz="8" w:color="A5A5A5"/>
            </w:tcBorders>
          </w:tcPr>
          <w:p>
            <w:pPr>
              <w:jc w:val="right"/>
              <w:ind w:right="631"/>
              <w:spacing w:after="0"/>
              <w:rPr>
                <w:sz w:val="20"/>
                <w:szCs w:val="20"/>
                <w:color w:val="auto"/>
              </w:rPr>
            </w:pPr>
            <w:r>
              <w:rPr>
                <w:rFonts w:ascii="Arial" w:cs="Arial" w:eastAsia="Arial" w:hAnsi="Arial"/>
                <w:sz w:val="18"/>
                <w:szCs w:val="18"/>
                <w:color w:val="auto"/>
              </w:rPr>
              <w:t>= 727</w:t>
            </w:r>
          </w:p>
        </w:tc>
        <w:tc>
          <w:tcPr>
            <w:tcW w:w="1880" w:type="dxa"/>
            <w:vAlign w:val="bottom"/>
            <w:tcBorders>
              <w:bottom w:val="single" w:sz="8" w:color="A5A5A5"/>
              <w:right w:val="single" w:sz="8" w:color="A5A5A5"/>
            </w:tcBorders>
          </w:tcPr>
          <w:p>
            <w:pPr>
              <w:spacing w:after="0"/>
              <w:rPr>
                <w:sz w:val="18"/>
                <w:szCs w:val="18"/>
                <w:color w:val="auto"/>
              </w:rPr>
            </w:pPr>
          </w:p>
        </w:tc>
        <w:tc>
          <w:tcPr>
            <w:tcW w:w="1880" w:type="dxa"/>
            <w:vAlign w:val="bottom"/>
            <w:tcBorders>
              <w:bottom w:val="single" w:sz="8" w:color="A5A5A5"/>
              <w:right w:val="single" w:sz="8" w:color="A5A5A5"/>
            </w:tcBorders>
          </w:tcPr>
          <w:p>
            <w:pPr>
              <w:spacing w:after="0"/>
              <w:rPr>
                <w:sz w:val="18"/>
                <w:szCs w:val="18"/>
                <w:color w:val="auto"/>
              </w:rPr>
            </w:pPr>
          </w:p>
        </w:tc>
      </w:tr>
    </w:tbl>
    <w:p>
      <w:pPr>
        <w:spacing w:after="0" w:line="307"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Note: Calculation shows award assumed, continued, or substituted for performance period as set forth in Section 5. The remaining CIC Shares not released upon the Change in Control shall be released in equal quarterly increments for the remainder of the Measurement Period. Remaining shares may vest earlier</w:t>
      </w:r>
    </w:p>
    <w:p>
      <w:pPr>
        <w:spacing w:after="0" w:line="1" w:lineRule="exact"/>
        <w:rPr>
          <w:sz w:val="20"/>
          <w:szCs w:val="20"/>
          <w:color w:val="auto"/>
        </w:rPr>
      </w:pPr>
    </w:p>
    <w:p>
      <w:pPr>
        <w:ind w:right="560"/>
        <w:spacing w:after="0" w:line="222" w:lineRule="auto"/>
        <w:rPr>
          <w:sz w:val="20"/>
          <w:szCs w:val="20"/>
          <w:color w:val="auto"/>
        </w:rPr>
      </w:pPr>
      <w:r>
        <w:rPr>
          <w:rFonts w:ascii="Arial" w:cs="Arial" w:eastAsia="Arial" w:hAnsi="Arial"/>
          <w:sz w:val="18"/>
          <w:szCs w:val="18"/>
          <w:color w:val="auto"/>
        </w:rPr>
        <w:t>if the Participant’s employment is terminated or if Participant resigns for Good Reason under criteria set forth in Section 5(b). If award is not assumed, continued, or substituted, all CIC shall vest and be released upon change of control as set forth in Section 5(c).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60"/>
          </w:cols>
          <w:pgMar w:left="320" w:top="1381" w:right="319" w:bottom="1440" w:gutter="0" w:footer="0" w:header="0"/>
        </w:sectPr>
      </w:pPr>
    </w:p>
    <w:bookmarkStart w:id="95" w:name="page96"/>
    <w:bookmarkEnd w:id="95"/>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Attachment II</w:t>
      </w:r>
    </w:p>
    <w:p>
      <w:pPr>
        <w:spacing w:after="0" w:line="200" w:lineRule="exact"/>
        <w:rPr>
          <w:sz w:val="20"/>
          <w:szCs w:val="20"/>
          <w:color w:val="auto"/>
        </w:rPr>
      </w:pPr>
    </w:p>
    <w:p>
      <w:pPr>
        <w:spacing w:after="0" w:line="224" w:lineRule="exact"/>
        <w:rPr>
          <w:sz w:val="20"/>
          <w:szCs w:val="20"/>
          <w:color w:val="auto"/>
        </w:rPr>
      </w:pPr>
    </w:p>
    <w:p>
      <w:pPr>
        <w:ind w:left="4960"/>
        <w:spacing w:after="0"/>
        <w:rPr>
          <w:sz w:val="20"/>
          <w:szCs w:val="20"/>
          <w:color w:val="auto"/>
        </w:rPr>
      </w:pPr>
      <w:r>
        <w:rPr>
          <w:rFonts w:ascii="Arial" w:cs="Arial" w:eastAsia="Arial" w:hAnsi="Arial"/>
          <w:sz w:val="21"/>
          <w:szCs w:val="21"/>
          <w:b w:val="1"/>
          <w:bCs w:val="1"/>
          <w:color w:val="auto"/>
        </w:rPr>
        <w:t>SI-BONE, Inc.</w:t>
      </w:r>
    </w:p>
    <w:p>
      <w:pPr>
        <w:spacing w:after="0" w:line="180" w:lineRule="exact"/>
        <w:rPr>
          <w:sz w:val="20"/>
          <w:szCs w:val="20"/>
          <w:color w:val="auto"/>
        </w:rPr>
      </w:pPr>
    </w:p>
    <w:p>
      <w:pPr>
        <w:ind w:left="4400"/>
        <w:spacing w:after="0"/>
        <w:rPr>
          <w:sz w:val="20"/>
          <w:szCs w:val="20"/>
          <w:color w:val="auto"/>
        </w:rPr>
      </w:pPr>
      <w:r>
        <w:rPr>
          <w:rFonts w:ascii="Arial" w:cs="Arial" w:eastAsia="Arial" w:hAnsi="Arial"/>
          <w:sz w:val="21"/>
          <w:szCs w:val="21"/>
          <w:b w:val="1"/>
          <w:bCs w:val="1"/>
          <w:color w:val="auto"/>
        </w:rPr>
        <w:t>2018 Equity Incentive Plan</w:t>
      </w:r>
    </w:p>
    <w:p>
      <w:pPr>
        <w:jc w:val="center"/>
        <w:spacing w:after="0"/>
        <w:rPr>
          <w:sz w:val="20"/>
          <w:szCs w:val="20"/>
          <w:color w:val="auto"/>
        </w:rPr>
      </w:pPr>
      <w:r>
        <w:rPr>
          <w:rFonts w:ascii="Arial" w:cs="Arial" w:eastAsia="Arial" w:hAnsi="Arial"/>
          <w:sz w:val="21"/>
          <w:szCs w:val="21"/>
          <w:b w:val="1"/>
          <w:bCs w:val="1"/>
          <w:color w:val="auto"/>
        </w:rPr>
        <w:t>Restricted Stock Unit Award Agreement</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Pursuant to the Restricted Stock Unit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this Restricted Stock Unit Award Agreement, SI-BONE,</w:t>
      </w:r>
    </w:p>
    <w:p>
      <w:pPr>
        <w:spacing w:after="0" w:line="9"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you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a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pursuant to the Company’s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for the number of Restricted Stock Units/shares indicated in the Grant Notice. Capitalized terms not explicitly</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defined in this Restricted Stock Unit Award Agreement or the Grant Notice will have the same meanings given to them in the Plan. The terms of your Award, in addition to those set forth in the Grant Notice, are as follows.</w:t>
      </w:r>
    </w:p>
    <w:p>
      <w:pPr>
        <w:spacing w:after="0" w:line="159" w:lineRule="exact"/>
        <w:rPr>
          <w:sz w:val="20"/>
          <w:szCs w:val="20"/>
          <w:color w:val="auto"/>
        </w:rPr>
      </w:pPr>
    </w:p>
    <w:p>
      <w:pPr>
        <w:jc w:val="both"/>
        <w:ind w:left="640" w:firstLine="5"/>
        <w:spacing w:after="0" w:line="231" w:lineRule="auto"/>
        <w:tabs>
          <w:tab w:leader="none" w:pos="1279" w:val="left"/>
        </w:tabs>
        <w:numPr>
          <w:ilvl w:val="0"/>
          <w:numId w:val="63"/>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Grant of the Award. </w:t>
      </w:r>
      <w:r>
        <w:rPr>
          <w:rFonts w:ascii="Arial" w:cs="Arial" w:eastAsia="Arial" w:hAnsi="Arial"/>
          <w:sz w:val="18"/>
          <w:szCs w:val="18"/>
          <w:color w:val="auto"/>
        </w:rPr>
        <w:t>This Award represents the right to be issued on a future date one (1) share of Common Stock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 that vests on the applicable vesting date(s) (subject to any adjustment under Section 3 below) as indicated in the Grant Notice. As of the Date of Grant, the Company will credit to a bookkeeping account maintained by the Company for your benefit (the “</w:t>
      </w:r>
      <w:r>
        <w:rPr>
          <w:rFonts w:ascii="Arial" w:cs="Arial" w:eastAsia="Arial" w:hAnsi="Arial"/>
          <w:sz w:val="18"/>
          <w:szCs w:val="18"/>
          <w:b w:val="1"/>
          <w:bCs w:val="1"/>
          <w:i w:val="1"/>
          <w:iCs w:val="1"/>
          <w:color w:val="auto"/>
        </w:rPr>
        <w:t>Account</w:t>
      </w:r>
      <w:r>
        <w:rPr>
          <w:rFonts w:ascii="Arial" w:cs="Arial" w:eastAsia="Arial" w:hAnsi="Arial"/>
          <w:sz w:val="18"/>
          <w:szCs w:val="18"/>
          <w:color w:val="auto"/>
        </w:rPr>
        <w:t>”) the number of Restricted Stock Units/shares of Common Stock subject to the Award. This Award was granted in consideration of your services to the Company. Except as otherwise provided herein, you will not be required to make any payment to the Company or an Affiliate (other than services to the Company or an Affiliate) with respect to your receipt of the Award, the vesting of the Restricted Stock Units or the delivery of the Company’s Common Stock to be issued in respect of the Award. Notwithstanding the foregoing, the Company reserves the right to issue you the cash equivalent of Common Stock, in part or in full satisfaction of the delivery of Common Stock upon the vesting of the Restricted Stock Units, and, to the extent applicable, references in this Restricted Stock Unit Award Agreement and the Grant Notice to Common Stock issuable in connection with your Restricted Stock Units will include the potential issuance of its cash equivalent pursuant to such right.</w:t>
      </w:r>
    </w:p>
    <w:p>
      <w:pPr>
        <w:spacing w:after="0" w:line="180" w:lineRule="exact"/>
        <w:rPr>
          <w:rFonts w:ascii="Arial" w:cs="Arial" w:eastAsia="Arial" w:hAnsi="Arial"/>
          <w:sz w:val="19"/>
          <w:szCs w:val="19"/>
          <w:b w:val="1"/>
          <w:bCs w:val="1"/>
          <w:color w:val="auto"/>
        </w:rPr>
      </w:pPr>
    </w:p>
    <w:p>
      <w:pPr>
        <w:jc w:val="both"/>
        <w:ind w:left="640" w:firstLine="5"/>
        <w:spacing w:after="0" w:line="234" w:lineRule="auto"/>
        <w:tabs>
          <w:tab w:leader="none" w:pos="1279" w:val="left"/>
        </w:tabs>
        <w:numPr>
          <w:ilvl w:val="0"/>
          <w:numId w:val="63"/>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Subject to the limitations contained herein, your Award will vest, if at all, in accordance with the vesting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 Grant Notice</w:t>
      </w:r>
      <w:r>
        <w:rPr>
          <w:rFonts w:ascii="Arial" w:cs="Arial" w:eastAsia="Arial" w:hAnsi="Arial"/>
          <w:sz w:val="19"/>
          <w:szCs w:val="19"/>
          <w:color w:val="auto"/>
        </w:rPr>
        <w:t>,</w:t>
      </w:r>
      <w:r>
        <w:rPr>
          <w:rFonts w:ascii="Arial" w:cs="Arial" w:eastAsia="Arial" w:hAnsi="Arial"/>
          <w:sz w:val="18"/>
          <w:szCs w:val="18"/>
          <w:color w:val="auto"/>
        </w:rPr>
        <w:t xml:space="preserve"> provided that vesting will cease upon the termination of your Continuous Service. Upon such termination of your Continuous Service, the Restricted Stock Units/shares of Common Stock credited to the Account that were not vested on the date of such termination will be forfeited at no cost to the Company and you will have no further right, title or interest in or to such underlying shares of Common Stock. Notwithstanding the foregoing, if your Continuous Service terminates as a result of your death or Disability, on such date the Restricted Stock Units with respect to incomplete First or Second Measurement Period(s) will vest the total Target Number of Restricted Stock Units for such Measurement Period(s) and with respect to an incomplete Third Measurement Period will vest 1/3 of the Total Target Number of Restricted Stock Unites as specified in the Grant Notice.</w:t>
      </w:r>
    </w:p>
    <w:p>
      <w:pPr>
        <w:spacing w:after="0" w:line="173" w:lineRule="exact"/>
        <w:rPr>
          <w:rFonts w:ascii="Arial" w:cs="Arial" w:eastAsia="Arial" w:hAnsi="Arial"/>
          <w:sz w:val="19"/>
          <w:szCs w:val="19"/>
          <w:b w:val="1"/>
          <w:bCs w:val="1"/>
          <w:color w:val="auto"/>
        </w:rPr>
      </w:pPr>
    </w:p>
    <w:p>
      <w:pPr>
        <w:jc w:val="both"/>
        <w:ind w:left="640" w:firstLine="5"/>
        <w:spacing w:after="0" w:line="250" w:lineRule="auto"/>
        <w:tabs>
          <w:tab w:leader="none" w:pos="1279" w:val="left"/>
        </w:tabs>
        <w:numPr>
          <w:ilvl w:val="0"/>
          <w:numId w:val="63"/>
        </w:numPr>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Number of Shares. </w:t>
      </w:r>
      <w:r>
        <w:rPr>
          <w:rFonts w:ascii="Arial" w:cs="Arial" w:eastAsia="Arial" w:hAnsi="Arial"/>
          <w:sz w:val="17"/>
          <w:szCs w:val="17"/>
          <w:color w:val="auto"/>
        </w:rPr>
        <w:t>The number of Restricted Stock Units subject to your Award may be adjusted from time to time for</w:t>
      </w:r>
      <w:r>
        <w:rPr>
          <w:rFonts w:ascii="Arial" w:cs="Arial" w:eastAsia="Arial" w:hAnsi="Arial"/>
          <w:sz w:val="17"/>
          <w:szCs w:val="17"/>
          <w:b w:val="1"/>
          <w:bCs w:val="1"/>
          <w:color w:val="auto"/>
        </w:rPr>
        <w:t xml:space="preserve"> </w:t>
      </w:r>
      <w:r>
        <w:rPr>
          <w:rFonts w:ascii="Arial" w:cs="Arial" w:eastAsia="Arial" w:hAnsi="Arial"/>
          <w:sz w:val="17"/>
          <w:szCs w:val="17"/>
          <w:color w:val="auto"/>
        </w:rPr>
        <w:t>Capitalization Adjustments, as provided in the Plan. Any additional Restricted Stock Units, shares, cash or other property that becomes subject to the Award pursuant to this Section 3, if any, will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will be created pursuant to this Section 3. Any fraction of a share will be rounded down to the nearest whole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96" w:name="page97"/>
    <w:bookmarkEnd w:id="96"/>
    <w:p>
      <w:pPr>
        <w:jc w:val="both"/>
        <w:ind w:left="-5" w:firstLine="5"/>
        <w:spacing w:after="0" w:line="238" w:lineRule="auto"/>
        <w:tabs>
          <w:tab w:leader="none" w:pos="634" w:val="left"/>
        </w:tabs>
        <w:numPr>
          <w:ilvl w:val="0"/>
          <w:numId w:val="64"/>
        </w:numPr>
        <w:rPr>
          <w:rFonts w:ascii="Arial" w:cs="Arial" w:eastAsia="Arial" w:hAnsi="Arial"/>
          <w:sz w:val="19"/>
          <w:szCs w:val="19"/>
          <w:b w:val="1"/>
          <w:bCs w:val="1"/>
          <w:color w:val="auto"/>
        </w:rPr>
      </w:pPr>
      <w:r>
        <w:rPr>
          <w:rFonts w:ascii="Arial" w:cs="Arial" w:eastAsia="Arial" w:hAnsi="Arial"/>
          <w:sz w:val="18"/>
          <w:szCs w:val="18"/>
          <w:b w:val="1"/>
          <w:bCs w:val="1"/>
          <w:color w:val="auto"/>
        </w:rPr>
        <w:t>Securities Law Compliance</w:t>
      </w:r>
      <w:r>
        <w:rPr>
          <w:rFonts w:ascii="Arial" w:cs="Arial" w:eastAsia="Arial" w:hAnsi="Arial"/>
          <w:sz w:val="18"/>
          <w:szCs w:val="18"/>
          <w:color w:val="auto"/>
        </w:rPr>
        <w:t>. You may not be issued any Common Stock under your Award unless the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will not receive such Common Stock if the Company determines that such receipt would not be in material compliance with such laws and regulations.</w:t>
      </w:r>
    </w:p>
    <w:p>
      <w:pPr>
        <w:spacing w:after="0" w:line="173" w:lineRule="exact"/>
        <w:rPr>
          <w:rFonts w:ascii="Arial" w:cs="Arial" w:eastAsia="Arial" w:hAnsi="Arial"/>
          <w:sz w:val="19"/>
          <w:szCs w:val="19"/>
          <w:b w:val="1"/>
          <w:bCs w:val="1"/>
          <w:color w:val="auto"/>
        </w:rPr>
      </w:pPr>
    </w:p>
    <w:p>
      <w:pPr>
        <w:jc w:val="both"/>
        <w:ind w:left="-5" w:firstLine="5"/>
        <w:spacing w:after="0" w:line="233" w:lineRule="auto"/>
        <w:tabs>
          <w:tab w:leader="none" w:pos="634" w:val="left"/>
        </w:tabs>
        <w:numPr>
          <w:ilvl w:val="0"/>
          <w:numId w:val="64"/>
        </w:numPr>
        <w:rPr>
          <w:rFonts w:ascii="Arial" w:cs="Arial" w:eastAsia="Arial" w:hAnsi="Arial"/>
          <w:sz w:val="19"/>
          <w:szCs w:val="19"/>
          <w:b w:val="1"/>
          <w:bCs w:val="1"/>
          <w:color w:val="auto"/>
        </w:rPr>
      </w:pPr>
      <w:r>
        <w:rPr>
          <w:rFonts w:ascii="Arial" w:cs="Arial" w:eastAsia="Arial" w:hAnsi="Arial"/>
          <w:sz w:val="18"/>
          <w:szCs w:val="18"/>
          <w:b w:val="1"/>
          <w:bCs w:val="1"/>
          <w:color w:val="auto"/>
        </w:rPr>
        <w:t>Transfer Restrictions</w:t>
      </w:r>
      <w:r>
        <w:rPr>
          <w:rFonts w:ascii="Arial" w:cs="Arial" w:eastAsia="Arial" w:hAnsi="Arial"/>
          <w:sz w:val="18"/>
          <w:szCs w:val="18"/>
          <w:color w:val="auto"/>
        </w:rPr>
        <w:t>. Prior to the time that shares of Common Stock have been delivered to you, you may not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pledge, 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 Notwithstanding the foregoing, by delivering written notice to the Company, in a form satisfactory to the Company, you may designate a third party who, in the event of your death, will thereafter be entitled to receive any distribution of Common Stock to which you were entitled at the time of your death pursuant to this Restricted Stock Unit Award Agreement. In the absence of such a designation, your legal representative will be entitled to receive, on behalf of your estate, such Common Stock or other consideration.</w:t>
      </w:r>
    </w:p>
    <w:p>
      <w:pPr>
        <w:spacing w:after="0" w:line="165" w:lineRule="exact"/>
        <w:rPr>
          <w:sz w:val="20"/>
          <w:szCs w:val="20"/>
          <w:color w:val="auto"/>
        </w:rPr>
      </w:pPr>
    </w:p>
    <w:p>
      <w:pPr>
        <w:jc w:val="both"/>
        <w:ind w:left="-5" w:firstLine="5"/>
        <w:spacing w:after="0" w:line="235" w:lineRule="auto"/>
        <w:tabs>
          <w:tab w:leader="none" w:pos="629" w:val="left"/>
        </w:tabs>
        <w:numPr>
          <w:ilvl w:val="0"/>
          <w:numId w:val="65"/>
        </w:numPr>
        <w:rPr>
          <w:rFonts w:ascii="Arial" w:cs="Arial" w:eastAsia="Arial" w:hAnsi="Arial"/>
          <w:sz w:val="20"/>
          <w:szCs w:val="20"/>
          <w:b w:val="1"/>
          <w:bCs w:val="1"/>
          <w:color w:val="auto"/>
        </w:rPr>
      </w:pPr>
      <w:r>
        <w:rPr>
          <w:rFonts w:ascii="Arial" w:cs="Arial" w:eastAsia="Arial" w:hAnsi="Arial"/>
          <w:sz w:val="19"/>
          <w:szCs w:val="19"/>
          <w:b w:val="1"/>
          <w:bCs w:val="1"/>
          <w:color w:val="auto"/>
        </w:rPr>
        <w:t>Death</w:t>
      </w:r>
      <w:r>
        <w:rPr>
          <w:rFonts w:ascii="Arial" w:cs="Arial" w:eastAsia="Arial" w:hAnsi="Arial"/>
          <w:sz w:val="19"/>
          <w:szCs w:val="19"/>
          <w:color w:val="auto"/>
        </w:rPr>
        <w:t>. Your Award is transferable by will and by the laws of descent and distribution. At your death, vesting of your Award</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accelerated as set forth herein and your executor or administrator of your estate will be entitled to receive, on behalf of your estate, any Common Stock or other consideration that vested but was not issued before your death.</w:t>
      </w:r>
    </w:p>
    <w:p>
      <w:pPr>
        <w:spacing w:after="0" w:line="172" w:lineRule="exact"/>
        <w:rPr>
          <w:rFonts w:ascii="Arial" w:cs="Arial" w:eastAsia="Arial" w:hAnsi="Arial"/>
          <w:sz w:val="20"/>
          <w:szCs w:val="20"/>
          <w:b w:val="1"/>
          <w:bCs w:val="1"/>
          <w:color w:val="auto"/>
        </w:rPr>
      </w:pPr>
    </w:p>
    <w:p>
      <w:pPr>
        <w:jc w:val="both"/>
        <w:ind w:left="-5" w:firstLine="5"/>
        <w:spacing w:after="0" w:line="219" w:lineRule="auto"/>
        <w:tabs>
          <w:tab w:leader="none" w:pos="628" w:val="left"/>
        </w:tabs>
        <w:numPr>
          <w:ilvl w:val="0"/>
          <w:numId w:val="65"/>
        </w:numPr>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Domestic Relations Orders. </w:t>
      </w:r>
      <w:r>
        <w:rPr>
          <w:rFonts w:ascii="Arial" w:cs="Arial" w:eastAsia="Arial" w:hAnsi="Arial"/>
          <w:sz w:val="19"/>
          <w:szCs w:val="19"/>
          <w:color w:val="auto"/>
        </w:rPr>
        <w:t>Upon receiving written permission from the Board or its duly authorized designee, and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you and the designated transferee enter into transfer and other agreements required by the Company, you may transfer your right to receive the distribution of Common Stock or other consideration hereunder, pursuant to a domestic relations order, official marital settlement agreement or other divorce or separation instrument as permitted by applicable law that contains the information required by the Company to effectuate the transfer. You are encouraged to discuss the proposed terms of any division of this Award with the Company’s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78" w:lineRule="exact"/>
        <w:rPr>
          <w:sz w:val="20"/>
          <w:szCs w:val="20"/>
          <w:color w:val="auto"/>
        </w:rPr>
      </w:pPr>
    </w:p>
    <w:p>
      <w:pPr>
        <w:ind w:left="635" w:hanging="635"/>
        <w:spacing w:after="0"/>
        <w:tabs>
          <w:tab w:leader="none" w:pos="635" w:val="left"/>
        </w:tabs>
        <w:numPr>
          <w:ilvl w:val="0"/>
          <w:numId w:val="66"/>
        </w:numPr>
        <w:rPr>
          <w:rFonts w:ascii="Arial" w:cs="Arial" w:eastAsia="Arial" w:hAnsi="Arial"/>
          <w:sz w:val="21"/>
          <w:szCs w:val="21"/>
          <w:b w:val="1"/>
          <w:bCs w:val="1"/>
          <w:color w:val="auto"/>
        </w:rPr>
      </w:pPr>
      <w:r>
        <w:rPr>
          <w:rFonts w:ascii="Arial" w:cs="Arial" w:eastAsia="Arial" w:hAnsi="Arial"/>
          <w:sz w:val="20"/>
          <w:szCs w:val="20"/>
          <w:b w:val="1"/>
          <w:bCs w:val="1"/>
          <w:color w:val="auto"/>
        </w:rPr>
        <w:t>Date of Issuance.</w:t>
      </w:r>
    </w:p>
    <w:p>
      <w:pPr>
        <w:spacing w:after="0" w:line="190" w:lineRule="exact"/>
        <w:rPr>
          <w:sz w:val="20"/>
          <w:szCs w:val="20"/>
          <w:color w:val="auto"/>
        </w:rPr>
      </w:pPr>
    </w:p>
    <w:p>
      <w:pPr>
        <w:jc w:val="both"/>
        <w:ind w:left="-5" w:firstLine="5"/>
        <w:spacing w:after="0" w:line="223" w:lineRule="auto"/>
        <w:tabs>
          <w:tab w:leader="none" w:pos="629" w:val="left"/>
        </w:tabs>
        <w:numPr>
          <w:ilvl w:val="0"/>
          <w:numId w:val="67"/>
        </w:numPr>
        <w:rPr>
          <w:rFonts w:ascii="Arial" w:cs="Arial" w:eastAsia="Arial" w:hAnsi="Arial"/>
          <w:sz w:val="20"/>
          <w:szCs w:val="20"/>
          <w:b w:val="1"/>
          <w:bCs w:val="1"/>
          <w:color w:val="auto"/>
        </w:rPr>
      </w:pPr>
      <w:r>
        <w:rPr>
          <w:rFonts w:ascii="Arial" w:cs="Arial" w:eastAsia="Arial" w:hAnsi="Arial"/>
          <w:sz w:val="19"/>
          <w:szCs w:val="19"/>
          <w:color w:val="auto"/>
        </w:rPr>
        <w:t>The issuance of shares in respect of the Restricted Stock Units is intended to comply with Treasury Regulations Section 1.409A-1(b)(4) and will be construed and administered in such a manner. Subject to the satisfaction of the Withholding Obligation set forth in Section 11 of this Restricted Stock Unit Award Agreement, in the event one or more Restricted Stock Units vests, then on the Settlement Date the Company will issue to you one (1) share of Common Stock for each vested Restricted Stock Unit subject to any adjustment under Section 3 above, and subject to any different provisions in the Grant Notice). Each Settlement Date determined by this paragraph is referred to as an “</w:t>
      </w:r>
      <w:r>
        <w:rPr>
          <w:rFonts w:ascii="Arial" w:cs="Arial" w:eastAsia="Arial" w:hAnsi="Arial"/>
          <w:sz w:val="19"/>
          <w:szCs w:val="19"/>
          <w:b w:val="1"/>
          <w:bCs w:val="1"/>
          <w:i w:val="1"/>
          <w:iCs w:val="1"/>
          <w:color w:val="auto"/>
        </w:rPr>
        <w:t>Original Issuance Date</w:t>
      </w:r>
      <w:r>
        <w:rPr>
          <w:rFonts w:ascii="Arial" w:cs="Arial" w:eastAsia="Arial" w:hAnsi="Arial"/>
          <w:sz w:val="19"/>
          <w:szCs w:val="19"/>
          <w:color w:val="auto"/>
        </w:rPr>
        <w:t>”.</w:t>
      </w:r>
    </w:p>
    <w:p>
      <w:pPr>
        <w:spacing w:after="0" w:line="168" w:lineRule="exact"/>
        <w:rPr>
          <w:rFonts w:ascii="Arial" w:cs="Arial" w:eastAsia="Arial" w:hAnsi="Arial"/>
          <w:sz w:val="20"/>
          <w:szCs w:val="20"/>
          <w:b w:val="1"/>
          <w:bCs w:val="1"/>
          <w:color w:val="auto"/>
        </w:rPr>
      </w:pPr>
    </w:p>
    <w:p>
      <w:pPr>
        <w:ind w:left="-5" w:firstLine="5"/>
        <w:spacing w:after="0" w:line="227" w:lineRule="auto"/>
        <w:tabs>
          <w:tab w:leader="none" w:pos="628" w:val="left"/>
        </w:tabs>
        <w:numPr>
          <w:ilvl w:val="0"/>
          <w:numId w:val="67"/>
        </w:numPr>
        <w:rPr>
          <w:rFonts w:ascii="Arial" w:cs="Arial" w:eastAsia="Arial" w:hAnsi="Arial"/>
          <w:sz w:val="21"/>
          <w:szCs w:val="21"/>
          <w:b w:val="1"/>
          <w:bCs w:val="1"/>
          <w:color w:val="auto"/>
        </w:rPr>
      </w:pPr>
      <w:r>
        <w:rPr>
          <w:rFonts w:ascii="Arial" w:cs="Arial" w:eastAsia="Arial" w:hAnsi="Arial"/>
          <w:sz w:val="20"/>
          <w:szCs w:val="20"/>
          <w:color w:val="auto"/>
        </w:rPr>
        <w:t>If the Original Issuance Date falls on a date that is not a business day, delivery will instead occur on the next following business day. In addition, if:</w:t>
      </w:r>
    </w:p>
    <w:p>
      <w:pPr>
        <w:spacing w:after="0" w:line="180" w:lineRule="exact"/>
        <w:rPr>
          <w:sz w:val="20"/>
          <w:szCs w:val="20"/>
          <w:color w:val="auto"/>
        </w:rPr>
      </w:pPr>
    </w:p>
    <w:p>
      <w:pPr>
        <w:jc w:val="both"/>
        <w:ind w:left="-5" w:firstLine="5"/>
        <w:spacing w:after="0" w:line="221" w:lineRule="auto"/>
        <w:tabs>
          <w:tab w:leader="none" w:pos="622" w:val="left"/>
        </w:tabs>
        <w:numPr>
          <w:ilvl w:val="0"/>
          <w:numId w:val="68"/>
        </w:numPr>
        <w:rPr>
          <w:rFonts w:ascii="Arial" w:cs="Arial" w:eastAsia="Arial" w:hAnsi="Arial"/>
          <w:sz w:val="21"/>
          <w:szCs w:val="21"/>
          <w:b w:val="1"/>
          <w:bCs w:val="1"/>
          <w:color w:val="auto"/>
        </w:rPr>
      </w:pPr>
      <w:r>
        <w:rPr>
          <w:rFonts w:ascii="Arial" w:cs="Arial" w:eastAsia="Arial" w:hAnsi="Arial"/>
          <w:sz w:val="20"/>
          <w:szCs w:val="20"/>
          <w:color w:val="auto"/>
        </w:rPr>
        <w:t>the Original Issuance Date does not occur (1) during an “open window period” applicable to you, as determined by the Company in accordance with the Company’s then-effective policy on trading in Company securities (“</w:t>
      </w:r>
      <w:r>
        <w:rPr>
          <w:rFonts w:ascii="Arial" w:cs="Arial" w:eastAsia="Arial" w:hAnsi="Arial"/>
          <w:sz w:val="20"/>
          <w:szCs w:val="20"/>
          <w:b w:val="1"/>
          <w:bCs w:val="1"/>
          <w:i w:val="1"/>
          <w:iCs w:val="1"/>
          <w:color w:val="auto"/>
        </w:rPr>
        <w:t>Insider Trading Policy</w:t>
      </w:r>
      <w:r>
        <w:rPr>
          <w:rFonts w:ascii="Arial" w:cs="Arial" w:eastAsia="Arial" w:hAnsi="Arial"/>
          <w:sz w:val="20"/>
          <w:szCs w:val="20"/>
          <w:color w:val="auto"/>
        </w:rPr>
        <w:t>”), or (2) on a date when you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95"/>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0595"/>
          </w:cols>
          <w:pgMar w:left="965" w:top="1395" w:right="339" w:bottom="1440" w:gutter="0" w:footer="0" w:header="0"/>
        </w:sectPr>
      </w:pPr>
    </w:p>
    <w:bookmarkStart w:id="97" w:name="page98"/>
    <w:bookmarkEnd w:id="97"/>
    <w:p>
      <w:pPr>
        <w:ind w:left="640"/>
        <w:spacing w:after="0"/>
        <w:rPr>
          <w:sz w:val="20"/>
          <w:szCs w:val="20"/>
          <w:color w:val="auto"/>
        </w:rPr>
      </w:pPr>
      <w:r>
        <w:rPr>
          <w:rFonts w:ascii="Arial" w:cs="Arial" w:eastAsia="Arial" w:hAnsi="Arial"/>
          <w:sz w:val="18"/>
          <w:szCs w:val="18"/>
          <w:color w:val="auto"/>
        </w:rPr>
        <w:t>otherwise permitted to sell shares of Common Stock on an established stock exchange or stock market (including but not limited to</w:t>
      </w:r>
    </w:p>
    <w:p>
      <w:pPr>
        <w:spacing w:after="0" w:line="9" w:lineRule="exact"/>
        <w:rPr>
          <w:sz w:val="20"/>
          <w:szCs w:val="20"/>
          <w:color w:val="auto"/>
        </w:rPr>
      </w:pPr>
    </w:p>
    <w:p>
      <w:pPr>
        <w:ind w:left="640"/>
        <w:spacing w:after="0" w:line="218" w:lineRule="auto"/>
        <w:rPr>
          <w:sz w:val="20"/>
          <w:szCs w:val="20"/>
          <w:color w:val="auto"/>
        </w:rPr>
      </w:pPr>
      <w:r>
        <w:rPr>
          <w:rFonts w:ascii="Arial" w:cs="Arial" w:eastAsia="Arial" w:hAnsi="Arial"/>
          <w:sz w:val="20"/>
          <w:szCs w:val="20"/>
          <w:color w:val="auto"/>
        </w:rPr>
        <w:t>under a previously established written trading plan that meets the requirements of Rule 10b5-1 under the Exchange Act and was entered into in compliance with the Company's policies (a “</w:t>
      </w:r>
      <w:r>
        <w:rPr>
          <w:rFonts w:ascii="Arial" w:cs="Arial" w:eastAsia="Arial" w:hAnsi="Arial"/>
          <w:sz w:val="20"/>
          <w:szCs w:val="20"/>
          <w:b w:val="1"/>
          <w:bCs w:val="1"/>
          <w:i w:val="1"/>
          <w:iCs w:val="1"/>
          <w:color w:val="auto"/>
        </w:rPr>
        <w:t>10b5-1 Arrangement</w:t>
      </w:r>
      <w:r>
        <w:rPr>
          <w:rFonts w:ascii="Arial" w:cs="Arial" w:eastAsia="Arial" w:hAnsi="Arial"/>
          <w:sz w:val="20"/>
          <w:szCs w:val="20"/>
          <w:color w:val="auto"/>
        </w:rPr>
        <w:t xml:space="preserve">”)), </w:t>
      </w:r>
      <w:r>
        <w:rPr>
          <w:rFonts w:ascii="Arial" w:cs="Arial" w:eastAsia="Arial" w:hAnsi="Arial"/>
          <w:sz w:val="20"/>
          <w:szCs w:val="20"/>
          <w:i w:val="1"/>
          <w:iCs w:val="1"/>
          <w:color w:val="auto"/>
        </w:rPr>
        <w:t>and</w:t>
      </w:r>
    </w:p>
    <w:p>
      <w:pPr>
        <w:spacing w:after="0" w:line="179" w:lineRule="exact"/>
        <w:rPr>
          <w:sz w:val="20"/>
          <w:szCs w:val="20"/>
          <w:color w:val="auto"/>
        </w:rPr>
      </w:pPr>
    </w:p>
    <w:p>
      <w:pPr>
        <w:jc w:val="both"/>
        <w:ind w:left="640" w:firstLine="5"/>
        <w:spacing w:after="0" w:line="223" w:lineRule="auto"/>
        <w:tabs>
          <w:tab w:leader="none" w:pos="1273" w:val="left"/>
        </w:tabs>
        <w:numPr>
          <w:ilvl w:val="0"/>
          <w:numId w:val="69"/>
        </w:numPr>
        <w:rPr>
          <w:rFonts w:ascii="Arial" w:cs="Arial" w:eastAsia="Arial" w:hAnsi="Arial"/>
          <w:sz w:val="20"/>
          <w:szCs w:val="20"/>
          <w:b w:val="1"/>
          <w:bCs w:val="1"/>
          <w:color w:val="auto"/>
        </w:rPr>
      </w:pPr>
      <w:r>
        <w:rPr>
          <w:rFonts w:ascii="Arial" w:cs="Arial" w:eastAsia="Arial" w:hAnsi="Arial"/>
          <w:sz w:val="19"/>
          <w:szCs w:val="19"/>
          <w:color w:val="auto"/>
        </w:rPr>
        <w:t>either (1) the Company’s then-effective Insider Trading Policy does not permit sell to cover transactions in satisfaction of applicable Withholding Obligations, (2) a Withholding Obligation does not apply, or (3)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pursuant to Section 9 of this Restricted Stock Unit Award Agreement (including but not limited to a commitment under a 10b5-1 Arrangement) and (C) not to permit you to pay your Withholding Obligation in cash,</w:t>
      </w:r>
    </w:p>
    <w:p>
      <w:pPr>
        <w:spacing w:after="0" w:line="156" w:lineRule="exact"/>
        <w:rPr>
          <w:sz w:val="20"/>
          <w:szCs w:val="20"/>
          <w:color w:val="auto"/>
        </w:rPr>
      </w:pPr>
    </w:p>
    <w:p>
      <w:pPr>
        <w:ind w:firstLine="639"/>
        <w:spacing w:after="0" w:line="254" w:lineRule="auto"/>
        <w:rPr>
          <w:sz w:val="20"/>
          <w:szCs w:val="20"/>
          <w:color w:val="auto"/>
        </w:rPr>
      </w:pPr>
      <w:r>
        <w:rPr>
          <w:rFonts w:ascii="Arial" w:cs="Arial" w:eastAsia="Arial" w:hAnsi="Arial"/>
          <w:sz w:val="17"/>
          <w:szCs w:val="17"/>
          <w:u w:val="single" w:color="auto"/>
          <w:color w:val="auto"/>
        </w:rPr>
        <w:t>then</w:t>
      </w:r>
      <w:r>
        <w:rPr>
          <w:rFonts w:ascii="Arial" w:cs="Arial" w:eastAsia="Arial" w:hAnsi="Arial"/>
          <w:sz w:val="17"/>
          <w:szCs w:val="17"/>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 xml:space="preserve">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7"/>
          <w:szCs w:val="17"/>
          <w:u w:val="single" w:color="auto"/>
          <w:color w:val="auto"/>
        </w:rPr>
        <w:t>if and only if</w:t>
      </w:r>
      <w:r>
        <w:rPr>
          <w:rFonts w:ascii="Arial" w:cs="Arial" w:eastAsia="Arial" w:hAnsi="Arial"/>
          <w:sz w:val="17"/>
          <w:szCs w:val="17"/>
          <w:color w:val="auto"/>
        </w:rPr>
        <w:t xml:space="preserve"> permitted in a manner that complies with Treasury</w:t>
      </w:r>
    </w:p>
    <w:p>
      <w:pPr>
        <w:spacing w:after="0" w:line="233" w:lineRule="auto"/>
        <w:rPr>
          <w:sz w:val="20"/>
          <w:szCs w:val="20"/>
          <w:color w:val="auto"/>
        </w:rPr>
      </w:pPr>
      <w:r>
        <w:rPr>
          <w:rFonts w:ascii="Arial" w:cs="Arial" w:eastAsia="Arial" w:hAnsi="Arial"/>
          <w:sz w:val="18"/>
          <w:szCs w:val="18"/>
          <w:color w:val="auto"/>
        </w:rPr>
        <w:t>Regulations Section 1.409A-1(b)(4), no later than the date that is the 15th day of the third calendar month of the applicable year following the</w:t>
      </w:r>
    </w:p>
    <w:p>
      <w:pPr>
        <w:spacing w:after="0" w:line="218" w:lineRule="auto"/>
        <w:rPr>
          <w:sz w:val="20"/>
          <w:szCs w:val="20"/>
          <w:color w:val="auto"/>
        </w:rPr>
      </w:pPr>
      <w:r>
        <w:rPr>
          <w:rFonts w:ascii="Arial" w:cs="Arial" w:eastAsia="Arial" w:hAnsi="Arial"/>
          <w:sz w:val="20"/>
          <w:szCs w:val="20"/>
          <w:color w:val="auto"/>
        </w:rPr>
        <w:t>year in which the shares of Common Stock under this Award are no longer subject to a “substantial risk of forfeiture” within the meaning of Treasury Regulations Section 1.409A-1(d).</w:t>
      </w:r>
    </w:p>
    <w:p>
      <w:pPr>
        <w:spacing w:after="0" w:line="179" w:lineRule="exact"/>
        <w:rPr>
          <w:sz w:val="20"/>
          <w:szCs w:val="20"/>
          <w:color w:val="auto"/>
        </w:rPr>
      </w:pPr>
    </w:p>
    <w:p>
      <w:pPr>
        <w:ind w:left="640" w:firstLine="5"/>
        <w:spacing w:after="0" w:line="227" w:lineRule="auto"/>
        <w:tabs>
          <w:tab w:leader="none" w:pos="1276" w:val="left"/>
        </w:tabs>
        <w:numPr>
          <w:ilvl w:val="0"/>
          <w:numId w:val="70"/>
        </w:numPr>
        <w:rPr>
          <w:rFonts w:ascii="Arial" w:cs="Arial" w:eastAsia="Arial" w:hAnsi="Arial"/>
          <w:sz w:val="21"/>
          <w:szCs w:val="21"/>
          <w:b w:val="1"/>
          <w:bCs w:val="1"/>
          <w:color w:val="auto"/>
        </w:rPr>
      </w:pPr>
      <w:r>
        <w:rPr>
          <w:rFonts w:ascii="Arial" w:cs="Arial" w:eastAsia="Arial" w:hAnsi="Arial"/>
          <w:sz w:val="20"/>
          <w:szCs w:val="20"/>
          <w:color w:val="auto"/>
        </w:rPr>
        <w:t>The form of delivery of the shares of Common Stock in respect of your Award (e.g., a stock certificate or electronic entry evidencing such shares) will be determined by the Company.</w:t>
      </w:r>
    </w:p>
    <w:p>
      <w:pPr>
        <w:spacing w:after="0" w:line="174" w:lineRule="exact"/>
        <w:rPr>
          <w:sz w:val="20"/>
          <w:szCs w:val="20"/>
          <w:color w:val="auto"/>
        </w:rPr>
      </w:pPr>
    </w:p>
    <w:p>
      <w:pPr>
        <w:jc w:val="both"/>
        <w:ind w:left="640" w:firstLine="5"/>
        <w:spacing w:after="0" w:line="265" w:lineRule="auto"/>
        <w:tabs>
          <w:tab w:leader="none" w:pos="1279" w:val="left"/>
        </w:tabs>
        <w:numPr>
          <w:ilvl w:val="0"/>
          <w:numId w:val="71"/>
        </w:numPr>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You will receive no benefit or adjustment to your Award with respect to any cash dividend, stock dividend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that does not result from a Capitalization Adjustment; provided, however, that this sentence will not apply with respect to any shares of Common Stock that are delivered to you in connection with your Award after such shares have been delivered to you.</w:t>
      </w:r>
    </w:p>
    <w:p>
      <w:pPr>
        <w:spacing w:after="0" w:line="151" w:lineRule="exact"/>
        <w:rPr>
          <w:rFonts w:ascii="Arial" w:cs="Arial" w:eastAsia="Arial" w:hAnsi="Arial"/>
          <w:sz w:val="18"/>
          <w:szCs w:val="18"/>
          <w:b w:val="1"/>
          <w:bCs w:val="1"/>
          <w:color w:val="auto"/>
        </w:rPr>
      </w:pPr>
    </w:p>
    <w:p>
      <w:pPr>
        <w:ind w:left="1280" w:hanging="635"/>
        <w:spacing w:after="0"/>
        <w:tabs>
          <w:tab w:leader="none" w:pos="1280" w:val="left"/>
        </w:tabs>
        <w:numPr>
          <w:ilvl w:val="0"/>
          <w:numId w:val="71"/>
        </w:numPr>
        <w:rPr>
          <w:rFonts w:ascii="Arial" w:cs="Arial" w:eastAsia="Arial" w:hAnsi="Arial"/>
          <w:sz w:val="21"/>
          <w:szCs w:val="21"/>
          <w:b w:val="1"/>
          <w:bCs w:val="1"/>
          <w:color w:val="auto"/>
        </w:rPr>
      </w:pPr>
      <w:r>
        <w:rPr>
          <w:rFonts w:ascii="Arial" w:cs="Arial" w:eastAsia="Arial" w:hAnsi="Arial"/>
          <w:sz w:val="20"/>
          <w:szCs w:val="20"/>
          <w:b w:val="1"/>
          <w:bCs w:val="1"/>
          <w:color w:val="auto"/>
        </w:rPr>
        <w:t>Award not a Service Contract</w:t>
      </w:r>
      <w:r>
        <w:rPr>
          <w:rFonts w:ascii="Arial" w:cs="Arial" w:eastAsia="Arial" w:hAnsi="Arial"/>
          <w:sz w:val="20"/>
          <w:szCs w:val="20"/>
          <w:color w:val="auto"/>
        </w:rPr>
        <w:t>.</w:t>
      </w:r>
    </w:p>
    <w:p>
      <w:pPr>
        <w:spacing w:after="0" w:line="190" w:lineRule="exact"/>
        <w:rPr>
          <w:sz w:val="20"/>
          <w:szCs w:val="20"/>
          <w:color w:val="auto"/>
        </w:rPr>
      </w:pPr>
    </w:p>
    <w:p>
      <w:pPr>
        <w:jc w:val="both"/>
        <w:ind w:left="640" w:firstLine="5"/>
        <w:spacing w:after="0" w:line="219" w:lineRule="auto"/>
        <w:tabs>
          <w:tab w:leader="none" w:pos="1274" w:val="left"/>
        </w:tabs>
        <w:numPr>
          <w:ilvl w:val="0"/>
          <w:numId w:val="72"/>
        </w:numPr>
        <w:rPr>
          <w:rFonts w:ascii="Arial" w:cs="Arial" w:eastAsia="Arial" w:hAnsi="Arial"/>
          <w:sz w:val="20"/>
          <w:szCs w:val="20"/>
          <w:b w:val="1"/>
          <w:bCs w:val="1"/>
          <w:color w:val="auto"/>
        </w:rPr>
      </w:pPr>
      <w:r>
        <w:rPr>
          <w:rFonts w:ascii="Arial" w:cs="Arial" w:eastAsia="Arial" w:hAnsi="Arial"/>
          <w:sz w:val="19"/>
          <w:szCs w:val="19"/>
          <w:color w:val="auto"/>
        </w:rPr>
        <w:t>Your Continuous Service with the Company or an Affiliate is not for any specified term and may be terminated by you or by the Company or an Affiliate at any time, for any reason, with or without cause and with or without notice. Nothing in this Restricted Stock Unit Award Agreement (including, but not limited to, the vesting of your Award or the issuance of the shares subject to your Award), the Plan or any covenant of good faith and fair dealing that may be found implicit in this Restricted Stock Unit Award Agreement or the Plan will: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Restricted Stock Unit Award Agreement or the Plan unless such right or benefit has specifically accrued under the terms of this Restricted Stock Unit Award Agreement or Plan; or (iv) deprive the Company of the right to terminate you at will and without regard to any future vesting opportunity that you may have.</w:t>
      </w:r>
    </w:p>
    <w:p>
      <w:pPr>
        <w:spacing w:after="0" w:line="178" w:lineRule="exact"/>
        <w:rPr>
          <w:rFonts w:ascii="Arial" w:cs="Arial" w:eastAsia="Arial" w:hAnsi="Arial"/>
          <w:sz w:val="20"/>
          <w:szCs w:val="20"/>
          <w:b w:val="1"/>
          <w:bCs w:val="1"/>
          <w:color w:val="auto"/>
        </w:rPr>
      </w:pPr>
    </w:p>
    <w:p>
      <w:pPr>
        <w:jc w:val="both"/>
        <w:ind w:left="640" w:firstLine="5"/>
        <w:spacing w:after="0" w:line="228" w:lineRule="auto"/>
        <w:tabs>
          <w:tab w:leader="none" w:pos="1273" w:val="left"/>
        </w:tabs>
        <w:numPr>
          <w:ilvl w:val="0"/>
          <w:numId w:val="72"/>
        </w:numPr>
        <w:rPr>
          <w:rFonts w:ascii="Arial" w:cs="Arial" w:eastAsia="Arial" w:hAnsi="Arial"/>
          <w:sz w:val="20"/>
          <w:szCs w:val="20"/>
          <w:b w:val="1"/>
          <w:bCs w:val="1"/>
          <w:color w:val="auto"/>
        </w:rPr>
      </w:pPr>
      <w:r>
        <w:rPr>
          <w:rFonts w:ascii="Arial" w:cs="Arial" w:eastAsia="Arial" w:hAnsi="Arial"/>
          <w:sz w:val="19"/>
          <w:szCs w:val="19"/>
          <w:color w:val="auto"/>
        </w:rPr>
        <w:t>By accepting this Award, you acknowledge and agree that the right to continue vesting in the Award is earned only by continuing as an employee, director or consultant at the will of the Company or an Affiliate and that the Company has the right to reorganize, sell, spin-out or otherwise restructure one or more of its businesses or Affiliates at any time or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87" w:right="339" w:bottom="1440" w:gutter="0" w:footer="0" w:header="0"/>
        </w:sectPr>
      </w:pPr>
    </w:p>
    <w:bookmarkStart w:id="98" w:name="page99"/>
    <w:bookmarkEnd w:id="98"/>
    <w:p>
      <w:pPr>
        <w:ind w:left="640"/>
        <w:spacing w:after="0"/>
        <w:rPr>
          <w:sz w:val="20"/>
          <w:szCs w:val="20"/>
          <w:color w:val="auto"/>
        </w:rPr>
      </w:pPr>
      <w:r>
        <w:rPr>
          <w:rFonts w:ascii="Arial" w:cs="Arial" w:eastAsia="Arial" w:hAnsi="Arial"/>
          <w:sz w:val="18"/>
          <w:szCs w:val="18"/>
          <w:color w:val="auto"/>
        </w:rPr>
        <w:t>as it deems appropriate (a “</w:t>
      </w:r>
      <w:r>
        <w:rPr>
          <w:rFonts w:ascii="Arial" w:cs="Arial" w:eastAsia="Arial" w:hAnsi="Arial"/>
          <w:sz w:val="18"/>
          <w:szCs w:val="18"/>
          <w:b w:val="1"/>
          <w:bCs w:val="1"/>
          <w:i w:val="1"/>
          <w:iCs w:val="1"/>
          <w:color w:val="auto"/>
        </w:rPr>
        <w:t>reorganization</w:t>
      </w:r>
      <w:r>
        <w:rPr>
          <w:rFonts w:ascii="Arial" w:cs="Arial" w:eastAsia="Arial" w:hAnsi="Arial"/>
          <w:sz w:val="18"/>
          <w:szCs w:val="18"/>
          <w:color w:val="auto"/>
        </w:rPr>
        <w:t>”). You acknowledge and agree that such a reorganization could result in the termination of your Continuous Service, or the termination of Affiliate status of your employer and the loss of benefits available to you under this</w:t>
      </w:r>
    </w:p>
    <w:p>
      <w:pPr>
        <w:spacing w:after="0" w:line="1" w:lineRule="exact"/>
        <w:rPr>
          <w:sz w:val="20"/>
          <w:szCs w:val="20"/>
          <w:color w:val="auto"/>
        </w:rPr>
      </w:pPr>
    </w:p>
    <w:p>
      <w:pPr>
        <w:ind w:left="640"/>
        <w:spacing w:after="0" w:line="236" w:lineRule="auto"/>
        <w:rPr>
          <w:sz w:val="20"/>
          <w:szCs w:val="20"/>
          <w:color w:val="auto"/>
        </w:rPr>
      </w:pPr>
      <w:r>
        <w:rPr>
          <w:rFonts w:ascii="Arial" w:cs="Arial" w:eastAsia="Arial" w:hAnsi="Arial"/>
          <w:sz w:val="17"/>
          <w:szCs w:val="17"/>
          <w:color w:val="auto"/>
        </w:rPr>
        <w:t>Restricted Stock Unit Award Agreement, including but not limited to, the termination of the right to continue vesting in the Award. You further acknowledge and agree that this Restricted Stock Unit Award Agreement, the Plan, the transactions contemplated hereunder and</w:t>
      </w:r>
    </w:p>
    <w:p>
      <w:pPr>
        <w:ind w:left="640"/>
        <w:spacing w:after="0" w:line="233" w:lineRule="auto"/>
        <w:rPr>
          <w:sz w:val="20"/>
          <w:szCs w:val="20"/>
          <w:color w:val="auto"/>
        </w:rPr>
      </w:pPr>
      <w:r>
        <w:rPr>
          <w:rFonts w:ascii="Arial" w:cs="Arial" w:eastAsia="Arial" w:hAnsi="Arial"/>
          <w:sz w:val="18"/>
          <w:szCs w:val="18"/>
          <w:color w:val="auto"/>
        </w:rPr>
        <w:t>the vesting schedule set forth herein or any covenant of good faith and fair dealing that may be found implicit in any of them do not</w:t>
      </w:r>
    </w:p>
    <w:p>
      <w:pPr>
        <w:ind w:left="640"/>
        <w:spacing w:after="0" w:line="223" w:lineRule="auto"/>
        <w:rPr>
          <w:sz w:val="20"/>
          <w:szCs w:val="20"/>
          <w:color w:val="auto"/>
        </w:rPr>
      </w:pPr>
      <w:r>
        <w:rPr>
          <w:rFonts w:ascii="Arial" w:cs="Arial" w:eastAsia="Arial" w:hAnsi="Arial"/>
          <w:sz w:val="18"/>
          <w:szCs w:val="18"/>
          <w:color w:val="auto"/>
        </w:rPr>
        <w:t>constitute an express or implied promise of continued engagement as an employee or consultant for the term of this Restricted Stock Unit Award Agreement, for any period, or at all, and will not interfere in any way with the Company’s right to terminate your</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Continuous Service at any time, with or without your cause or notice, or to conduct a reorganization.</w:t>
      </w:r>
    </w:p>
    <w:p>
      <w:pPr>
        <w:spacing w:after="0" w:line="174" w:lineRule="exact"/>
        <w:rPr>
          <w:sz w:val="20"/>
          <w:szCs w:val="20"/>
          <w:color w:val="auto"/>
        </w:rPr>
      </w:pPr>
    </w:p>
    <w:p>
      <w:pPr>
        <w:ind w:left="1280" w:hanging="635"/>
        <w:spacing w:after="0"/>
        <w:tabs>
          <w:tab w:leader="none" w:pos="1280" w:val="left"/>
        </w:tabs>
        <w:numPr>
          <w:ilvl w:val="0"/>
          <w:numId w:val="73"/>
        </w:numPr>
        <w:rPr>
          <w:rFonts w:ascii="Arial" w:cs="Arial" w:eastAsia="Arial" w:hAnsi="Arial"/>
          <w:sz w:val="21"/>
          <w:szCs w:val="21"/>
          <w:b w:val="1"/>
          <w:bCs w:val="1"/>
          <w:color w:val="auto"/>
        </w:rPr>
      </w:pPr>
      <w:r>
        <w:rPr>
          <w:rFonts w:ascii="Arial" w:cs="Arial" w:eastAsia="Arial" w:hAnsi="Arial"/>
          <w:sz w:val="20"/>
          <w:szCs w:val="20"/>
          <w:b w:val="1"/>
          <w:bCs w:val="1"/>
          <w:color w:val="auto"/>
        </w:rPr>
        <w:t>Withholding Obligation.</w:t>
      </w:r>
    </w:p>
    <w:p>
      <w:pPr>
        <w:spacing w:after="0" w:line="177" w:lineRule="exact"/>
        <w:rPr>
          <w:rFonts w:ascii="Arial" w:cs="Arial" w:eastAsia="Arial" w:hAnsi="Arial"/>
          <w:sz w:val="21"/>
          <w:szCs w:val="21"/>
          <w:b w:val="1"/>
          <w:bCs w:val="1"/>
          <w:color w:val="auto"/>
        </w:rPr>
      </w:pPr>
    </w:p>
    <w:p>
      <w:pPr>
        <w:jc w:val="both"/>
        <w:ind w:firstLine="1284"/>
        <w:spacing w:after="0" w:line="236" w:lineRule="auto"/>
        <w:tabs>
          <w:tab w:leader="none" w:pos="1756" w:val="left"/>
        </w:tabs>
        <w:numPr>
          <w:ilvl w:val="1"/>
          <w:numId w:val="73"/>
        </w:numPr>
        <w:rPr>
          <w:rFonts w:ascii="Arial" w:cs="Arial" w:eastAsia="Arial" w:hAnsi="Arial"/>
          <w:sz w:val="18"/>
          <w:szCs w:val="18"/>
          <w:color w:val="auto"/>
        </w:rPr>
      </w:pPr>
      <w:r>
        <w:rPr>
          <w:rFonts w:ascii="Arial" w:cs="Arial" w:eastAsia="Arial" w:hAnsi="Arial"/>
          <w:sz w:val="18"/>
          <w:szCs w:val="18"/>
          <w:color w:val="auto"/>
        </w:rPr>
        <w:t>On each vesting date, and on or before the time you receive a distribution of the shares of Common Stock underlying your Restricted Stock Units, and at any other time as reasonably requested by the Company in accordance with applicable tax laws, you hereby authorize any required withholding from the Common Stock issuable to you and/or otherwise agree to make adequate provision, including in cash, for any sums required to satisfy the federal, state, local and foreign tax withholding obligations of the Company or any Affiliate that arise in connection with your Award (the “</w:t>
      </w:r>
      <w:r>
        <w:rPr>
          <w:rFonts w:ascii="Arial" w:cs="Arial" w:eastAsia="Arial" w:hAnsi="Arial"/>
          <w:sz w:val="18"/>
          <w:szCs w:val="18"/>
          <w:b w:val="1"/>
          <w:bCs w:val="1"/>
          <w:i w:val="1"/>
          <w:iCs w:val="1"/>
          <w:color w:val="auto"/>
        </w:rPr>
        <w:t>Withholding Obligation</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jc w:val="both"/>
        <w:ind w:firstLine="1284"/>
        <w:spacing w:after="0" w:line="243" w:lineRule="auto"/>
        <w:tabs>
          <w:tab w:leader="none" w:pos="1703" w:val="left"/>
        </w:tabs>
        <w:numPr>
          <w:ilvl w:val="1"/>
          <w:numId w:val="73"/>
        </w:numPr>
        <w:rPr>
          <w:rFonts w:ascii="Arial" w:cs="Arial" w:eastAsia="Arial" w:hAnsi="Arial"/>
          <w:sz w:val="17"/>
          <w:szCs w:val="17"/>
          <w:color w:val="auto"/>
        </w:rPr>
      </w:pPr>
      <w:r>
        <w:rPr>
          <w:rFonts w:ascii="Arial" w:cs="Arial" w:eastAsia="Arial" w:hAnsi="Arial"/>
          <w:sz w:val="17"/>
          <w:szCs w:val="17"/>
          <w:color w:val="auto"/>
        </w:rPr>
        <w:t xml:space="preserve">By accepting this Award, you acknowledge and agree that the Company or any Affiliate may, in its sole discretion, satisfy all or any portion of the Withholding Obligation relating to your Award by any of the following means or by a combination of such means: (i) causing you to pay any portion of the Withholding Obligation in cash; (ii) withholding from any compensation otherwise payable to you by the Company or an Affiliate; (iii) withholding shares of Common Stock from the shares of Common Stock issued or otherwise issuable to you in connection with the Award with a Fair Market Value (measured as of the date shares of Common Stock are issued pursuant to Section 6) equal to the amount of such Withholding Obligation; provided, however, that the number of such shares of Common Stock so withheld will not exceed the amount necessary to satisfy the Withholding Obligation using the maximum statutory withholding rates for federal, state, local and foreign tax purposes, including payroll taxes, that are applicable to supplemental taxable income; and </w:t>
      </w:r>
      <w:r>
        <w:rPr>
          <w:rFonts w:ascii="Arial" w:cs="Arial" w:eastAsia="Arial" w:hAnsi="Arial"/>
          <w:sz w:val="17"/>
          <w:szCs w:val="17"/>
          <w:i w:val="1"/>
          <w:iCs w:val="1"/>
          <w:color w:val="auto"/>
        </w:rPr>
        <w:t>provided</w:t>
      </w:r>
      <w:r>
        <w:rPr>
          <w:rFonts w:ascii="Arial" w:cs="Arial" w:eastAsia="Arial" w:hAnsi="Arial"/>
          <w:sz w:val="17"/>
          <w:szCs w:val="17"/>
          <w:color w:val="auto"/>
        </w:rPr>
        <w:t>, further, that to the extent necessary to qualify for an exemption from application of Section 16(b) of the Exchange Act, if applicable, such share withholding procedure will be subject to the express prior approval of the Board or the Company’s Compensation Committee; and/or (iv) permitting or requiring you to enter into a “same day sale” commitment, if applicable, with a broker-dealer that is a member of the Financial Industry Regulatory Authority (a “</w:t>
      </w:r>
      <w:r>
        <w:rPr>
          <w:rFonts w:ascii="Arial" w:cs="Arial" w:eastAsia="Arial" w:hAnsi="Arial"/>
          <w:sz w:val="17"/>
          <w:szCs w:val="17"/>
          <w:b w:val="1"/>
          <w:bCs w:val="1"/>
          <w:i w:val="1"/>
          <w:iCs w:val="1"/>
          <w:color w:val="auto"/>
        </w:rPr>
        <w:t>FINRA Dealer</w:t>
      </w:r>
      <w:r>
        <w:rPr>
          <w:rFonts w:ascii="Arial" w:cs="Arial" w:eastAsia="Arial" w:hAnsi="Arial"/>
          <w:sz w:val="17"/>
          <w:szCs w:val="17"/>
          <w:color w:val="auto"/>
        </w:rPr>
        <w:t>”), pursuant to this authorization and without further consent, whereby you irrevocably elect to sell a portion of the shares to be delivered in connection with your Restricted Stock Units to satisfy the Withholding Obligation and whereby the FINRA Dealer irrevocably commits to forward the proceeds necessary to satisfy the Withholding Obligation directly to the Company and/or its Affiliates.</w:t>
      </w:r>
    </w:p>
    <w:p>
      <w:pPr>
        <w:spacing w:after="0" w:line="171" w:lineRule="exact"/>
        <w:rPr>
          <w:rFonts w:ascii="Arial" w:cs="Arial" w:eastAsia="Arial" w:hAnsi="Arial"/>
          <w:sz w:val="17"/>
          <w:szCs w:val="17"/>
          <w:color w:val="auto"/>
        </w:rPr>
      </w:pPr>
    </w:p>
    <w:p>
      <w:pPr>
        <w:ind w:firstLine="1284"/>
        <w:spacing w:after="0" w:line="233" w:lineRule="auto"/>
        <w:tabs>
          <w:tab w:leader="none" w:pos="1690" w:val="left"/>
        </w:tabs>
        <w:numPr>
          <w:ilvl w:val="1"/>
          <w:numId w:val="73"/>
        </w:numPr>
        <w:rPr>
          <w:rFonts w:ascii="Arial" w:cs="Arial" w:eastAsia="Arial" w:hAnsi="Arial"/>
          <w:sz w:val="20"/>
          <w:szCs w:val="20"/>
          <w:color w:val="auto"/>
        </w:rPr>
      </w:pPr>
      <w:r>
        <w:rPr>
          <w:rFonts w:ascii="Arial" w:cs="Arial" w:eastAsia="Arial" w:hAnsi="Arial"/>
          <w:sz w:val="20"/>
          <w:szCs w:val="20"/>
          <w:color w:val="auto"/>
        </w:rPr>
        <w:t>Unless the Withholding Obligation is satisfied, the Company will have no obligation to deliver to you any Common Stock or other consideration pursuant to this Award.</w:t>
      </w:r>
    </w:p>
    <w:p>
      <w:pPr>
        <w:spacing w:after="0" w:line="152" w:lineRule="exact"/>
        <w:rPr>
          <w:rFonts w:ascii="Arial" w:cs="Arial" w:eastAsia="Arial" w:hAnsi="Arial"/>
          <w:sz w:val="20"/>
          <w:szCs w:val="20"/>
          <w:color w:val="auto"/>
        </w:rPr>
      </w:pPr>
    </w:p>
    <w:p>
      <w:pPr>
        <w:jc w:val="both"/>
        <w:ind w:firstLine="1284"/>
        <w:spacing w:after="0" w:line="255" w:lineRule="auto"/>
        <w:tabs>
          <w:tab w:leader="none" w:pos="17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the event the Withholding Obligation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46" w:lineRule="exact"/>
        <w:rPr>
          <w:rFonts w:ascii="Arial" w:cs="Arial" w:eastAsia="Arial" w:hAnsi="Arial"/>
          <w:sz w:val="18"/>
          <w:szCs w:val="18"/>
          <w:color w:val="auto"/>
        </w:rPr>
      </w:pPr>
    </w:p>
    <w:p>
      <w:pPr>
        <w:jc w:val="both"/>
        <w:ind w:left="640" w:firstLine="5"/>
        <w:spacing w:after="0" w:line="231" w:lineRule="auto"/>
        <w:tabs>
          <w:tab w:leader="none" w:pos="1279" w:val="left"/>
        </w:tabs>
        <w:numPr>
          <w:ilvl w:val="0"/>
          <w:numId w:val="73"/>
        </w:numPr>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Tax Consequences. </w:t>
      </w:r>
      <w:r>
        <w:rPr>
          <w:rFonts w:ascii="Arial" w:cs="Arial" w:eastAsia="Arial" w:hAnsi="Arial"/>
          <w:sz w:val="19"/>
          <w:szCs w:val="19"/>
          <w:color w:val="auto"/>
        </w:rPr>
        <w:t>The Company has no duty or obligation to minimize the tax consequences to you of this Award and will</w:t>
      </w:r>
      <w:r>
        <w:rPr>
          <w:rFonts w:ascii="Arial" w:cs="Arial" w:eastAsia="Arial" w:hAnsi="Arial"/>
          <w:sz w:val="19"/>
          <w:szCs w:val="19"/>
          <w:b w:val="1"/>
          <w:bCs w:val="1"/>
          <w:color w:val="auto"/>
        </w:rPr>
        <w:t xml:space="preserve"> </w:t>
      </w:r>
      <w:r>
        <w:rPr>
          <w:rFonts w:ascii="Arial" w:cs="Arial" w:eastAsia="Arial" w:hAnsi="Arial"/>
          <w:sz w:val="19"/>
          <w:szCs w:val="19"/>
          <w:color w:val="auto"/>
        </w:rPr>
        <w:t>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01" w:right="339" w:bottom="1440" w:gutter="0" w:footer="0" w:header="0"/>
        </w:sectPr>
      </w:pPr>
    </w:p>
    <w:bookmarkStart w:id="99" w:name="page100"/>
    <w:bookmarkEnd w:id="99"/>
    <w:p>
      <w:pPr>
        <w:spacing w:after="0" w:line="233" w:lineRule="auto"/>
        <w:rPr>
          <w:sz w:val="20"/>
          <w:szCs w:val="20"/>
          <w:color w:val="auto"/>
        </w:rPr>
      </w:pPr>
      <w:r>
        <w:rPr>
          <w:rFonts w:ascii="Arial" w:cs="Arial" w:eastAsia="Arial" w:hAnsi="Arial"/>
          <w:sz w:val="20"/>
          <w:szCs w:val="20"/>
          <w:color w:val="auto"/>
        </w:rPr>
        <w:t>declined to do so. You understand that you (and not the Company) will be responsible for your own tax liability that may arise as a result of this investment or the transactions contemplated by this Award Agreement.</w:t>
      </w:r>
    </w:p>
    <w:p>
      <w:pPr>
        <w:spacing w:after="0" w:line="160" w:lineRule="exact"/>
        <w:rPr>
          <w:sz w:val="20"/>
          <w:szCs w:val="20"/>
          <w:color w:val="auto"/>
        </w:rPr>
      </w:pPr>
    </w:p>
    <w:p>
      <w:pPr>
        <w:jc w:val="both"/>
        <w:ind w:firstLine="5"/>
        <w:spacing w:after="0" w:line="236" w:lineRule="auto"/>
        <w:tabs>
          <w:tab w:leader="none" w:pos="627" w:val="left"/>
        </w:tabs>
        <w:numPr>
          <w:ilvl w:val="0"/>
          <w:numId w:val="74"/>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Unsecured Obligation. </w:t>
      </w:r>
      <w:r>
        <w:rPr>
          <w:rFonts w:ascii="Arial" w:cs="Arial" w:eastAsia="Arial" w:hAnsi="Arial"/>
          <w:sz w:val="18"/>
          <w:szCs w:val="18"/>
          <w:color w:val="auto"/>
        </w:rPr>
        <w:t>Your Award is unfunded, and as a holder of a vested Award, you will be considered an unsecured</w:t>
      </w:r>
      <w:r>
        <w:rPr>
          <w:rFonts w:ascii="Arial" w:cs="Arial" w:eastAsia="Arial" w:hAnsi="Arial"/>
          <w:sz w:val="18"/>
          <w:szCs w:val="18"/>
          <w:b w:val="1"/>
          <w:bCs w:val="1"/>
          <w:color w:val="auto"/>
        </w:rPr>
        <w:t xml:space="preserve"> </w:t>
      </w:r>
      <w:r>
        <w:rPr>
          <w:rFonts w:ascii="Arial" w:cs="Arial" w:eastAsia="Arial" w:hAnsi="Arial"/>
          <w:sz w:val="18"/>
          <w:szCs w:val="18"/>
          <w:color w:val="auto"/>
        </w:rPr>
        <w:t>creditor of the Company with respect to the Company’s obligation, if any, to issue shares or other property pursuant to this Restricted Stock Unit Award Agreement. You will not have voting or any other rights as a stockholder of the Company with respect to the shares to be issued pursuant to this Restricted Stock Unit Award Agreement until such shares are issued to you pursuant to Section 6 of this Restricted Stock Unit Award Agreement. Upon such issuance, you will obtain full voting and other rights as a stockholder of the Company. Nothing contained in this Restricted Stock Unit Award Agreement, and no action taken pursuant to its provisions, will create or be construed to create a trust of any kind or a fiduciary relationship between you and the Company or any other person.</w:t>
      </w:r>
    </w:p>
    <w:p>
      <w:pPr>
        <w:spacing w:after="0" w:line="161" w:lineRule="exact"/>
        <w:rPr>
          <w:rFonts w:ascii="Arial" w:cs="Arial" w:eastAsia="Arial" w:hAnsi="Arial"/>
          <w:sz w:val="19"/>
          <w:szCs w:val="19"/>
          <w:b w:val="1"/>
          <w:bCs w:val="1"/>
          <w:color w:val="auto"/>
        </w:rPr>
      </w:pPr>
    </w:p>
    <w:p>
      <w:pPr>
        <w:jc w:val="both"/>
        <w:ind w:firstLine="5"/>
        <w:spacing w:after="0" w:line="224" w:lineRule="auto"/>
        <w:tabs>
          <w:tab w:leader="none" w:pos="639" w:val="left"/>
        </w:tabs>
        <w:numPr>
          <w:ilvl w:val="0"/>
          <w:numId w:val="74"/>
        </w:numPr>
        <w:rPr>
          <w:rFonts w:ascii="Arial" w:cs="Arial" w:eastAsia="Arial" w:hAnsi="Arial"/>
          <w:sz w:val="20"/>
          <w:szCs w:val="20"/>
          <w:b w:val="1"/>
          <w:bCs w:val="1"/>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Any notice or request required or permitted hereunder will be given in writing (including electronically) and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159" w:lineRule="exact"/>
        <w:rPr>
          <w:rFonts w:ascii="Arial" w:cs="Arial" w:eastAsia="Arial" w:hAnsi="Arial"/>
          <w:sz w:val="20"/>
          <w:szCs w:val="20"/>
          <w:b w:val="1"/>
          <w:bCs w:val="1"/>
          <w:color w:val="auto"/>
        </w:rPr>
      </w:pPr>
    </w:p>
    <w:p>
      <w:pPr>
        <w:ind w:left="640" w:hanging="635"/>
        <w:spacing w:after="0"/>
        <w:tabs>
          <w:tab w:leader="none" w:pos="640" w:val="left"/>
        </w:tabs>
        <w:numPr>
          <w:ilvl w:val="0"/>
          <w:numId w:val="74"/>
        </w:numPr>
        <w:rPr>
          <w:rFonts w:ascii="Arial" w:cs="Arial" w:eastAsia="Arial" w:hAnsi="Arial"/>
          <w:sz w:val="21"/>
          <w:szCs w:val="21"/>
          <w:b w:val="1"/>
          <w:bCs w:val="1"/>
          <w:color w:val="auto"/>
        </w:rPr>
      </w:pPr>
      <w:r>
        <w:rPr>
          <w:rFonts w:ascii="Arial" w:cs="Arial" w:eastAsia="Arial" w:hAnsi="Arial"/>
          <w:sz w:val="20"/>
          <w:szCs w:val="20"/>
          <w:b w:val="1"/>
          <w:bCs w:val="1"/>
          <w:color w:val="auto"/>
        </w:rPr>
        <w:t xml:space="preserve">Additional Acknowledgements. </w:t>
      </w:r>
      <w:r>
        <w:rPr>
          <w:rFonts w:ascii="Arial" w:cs="Arial" w:eastAsia="Arial" w:hAnsi="Arial"/>
          <w:sz w:val="20"/>
          <w:szCs w:val="20"/>
          <w:color w:val="auto"/>
        </w:rPr>
        <w:t>You hereby consent and acknowledge that:</w:t>
      </w:r>
    </w:p>
    <w:p>
      <w:pPr>
        <w:spacing w:after="0" w:line="190" w:lineRule="exact"/>
        <w:rPr>
          <w:sz w:val="20"/>
          <w:szCs w:val="20"/>
          <w:color w:val="auto"/>
        </w:rPr>
      </w:pPr>
    </w:p>
    <w:p>
      <w:pPr>
        <w:jc w:val="both"/>
        <w:ind w:firstLine="5"/>
        <w:spacing w:after="0" w:line="253" w:lineRule="auto"/>
        <w:tabs>
          <w:tab w:leader="none" w:pos="634" w:val="left"/>
        </w:tabs>
        <w:numPr>
          <w:ilvl w:val="0"/>
          <w:numId w:val="75"/>
        </w:numPr>
        <w:rPr>
          <w:rFonts w:ascii="Arial" w:cs="Arial" w:eastAsia="Arial" w:hAnsi="Arial"/>
          <w:sz w:val="18"/>
          <w:szCs w:val="18"/>
          <w:b w:val="1"/>
          <w:bCs w:val="1"/>
          <w:color w:val="auto"/>
        </w:rPr>
      </w:pPr>
      <w:r>
        <w:rPr>
          <w:rFonts w:ascii="Arial" w:cs="Arial" w:eastAsia="Arial" w:hAnsi="Arial"/>
          <w:sz w:val="17"/>
          <w:szCs w:val="17"/>
          <w:color w:val="auto"/>
        </w:rPr>
        <w:t>Receipt of the Award is voluntary and therefore you must accept the terms and conditions of this Award Agreement and Grant Notice as a condition to receipt of this Award. This Award is voluntary and occasional and does not create any contractual or other right to receive future awards or other benefits in lieu of future awards, even if similar awards have been granted repeatedly in the past. All determinations with respect to any such future awards, including, but not limited to, the time or times when such awards are made, the size of such awards and performance and other conditions applied to the awards, will be at the sole discretion of the Company.</w:t>
      </w:r>
    </w:p>
    <w:p>
      <w:pPr>
        <w:spacing w:after="0" w:line="168" w:lineRule="exact"/>
        <w:rPr>
          <w:rFonts w:ascii="Arial" w:cs="Arial" w:eastAsia="Arial" w:hAnsi="Arial"/>
          <w:sz w:val="18"/>
          <w:szCs w:val="18"/>
          <w:b w:val="1"/>
          <w:bCs w:val="1"/>
          <w:color w:val="auto"/>
        </w:rPr>
      </w:pPr>
    </w:p>
    <w:p>
      <w:pPr>
        <w:jc w:val="both"/>
        <w:ind w:firstLine="5"/>
        <w:spacing w:after="0" w:line="214" w:lineRule="auto"/>
        <w:tabs>
          <w:tab w:leader="none" w:pos="633" w:val="left"/>
        </w:tabs>
        <w:numPr>
          <w:ilvl w:val="0"/>
          <w:numId w:val="75"/>
        </w:numPr>
        <w:rPr>
          <w:rFonts w:ascii="Arial" w:cs="Arial" w:eastAsia="Arial" w:hAnsi="Arial"/>
          <w:sz w:val="21"/>
          <w:szCs w:val="21"/>
          <w:b w:val="1"/>
          <w:bCs w:val="1"/>
          <w:color w:val="auto"/>
        </w:rPr>
      </w:pPr>
      <w:r>
        <w:rPr>
          <w:rFonts w:ascii="Arial" w:cs="Arial" w:eastAsia="Arial" w:hAnsi="Arial"/>
          <w:sz w:val="20"/>
          <w:szCs w:val="20"/>
          <w:color w:val="auto"/>
        </w:rPr>
        <w:t>The future value of your Award is unknown and cannot be predicted with certainty. You do not have, and will not assert, any claim or entitlement to compensation, indemnity or damages arising from the termination of this Award or diminution in value of this Award and you irrevocably release the Company, its Affiliates and, if applicable, your employer, if different from the Company, from any such claim that may arise.</w:t>
      </w:r>
    </w:p>
    <w:p>
      <w:pPr>
        <w:spacing w:after="0" w:line="181" w:lineRule="exact"/>
        <w:rPr>
          <w:rFonts w:ascii="Arial" w:cs="Arial" w:eastAsia="Arial" w:hAnsi="Arial"/>
          <w:sz w:val="21"/>
          <w:szCs w:val="21"/>
          <w:b w:val="1"/>
          <w:bCs w:val="1"/>
          <w:color w:val="auto"/>
        </w:rPr>
      </w:pPr>
    </w:p>
    <w:p>
      <w:pPr>
        <w:jc w:val="both"/>
        <w:ind w:firstLine="5"/>
        <w:spacing w:after="0" w:line="216" w:lineRule="auto"/>
        <w:tabs>
          <w:tab w:leader="none" w:pos="636" w:val="left"/>
        </w:tabs>
        <w:numPr>
          <w:ilvl w:val="0"/>
          <w:numId w:val="75"/>
        </w:numPr>
        <w:rPr>
          <w:rFonts w:ascii="Arial" w:cs="Arial" w:eastAsia="Arial" w:hAnsi="Arial"/>
          <w:sz w:val="21"/>
          <w:szCs w:val="21"/>
          <w:b w:val="1"/>
          <w:bCs w:val="1"/>
          <w:color w:val="auto"/>
        </w:rPr>
      </w:pPr>
      <w:r>
        <w:rPr>
          <w:rFonts w:ascii="Arial" w:cs="Arial" w:eastAsia="Arial" w:hAnsi="Arial"/>
          <w:sz w:val="20"/>
          <w:szCs w:val="20"/>
          <w:color w:val="auto"/>
        </w:rPr>
        <w:t>The rights and obligations of the Company under your Award will be transferable by the Company to any one or more persons or entities, and all covenants and agreements hereunder will inure to the benefit of, and be enforceable by, the Company’s successors and assigns.</w:t>
      </w:r>
    </w:p>
    <w:p>
      <w:pPr>
        <w:spacing w:after="0" w:line="162" w:lineRule="exact"/>
        <w:rPr>
          <w:rFonts w:ascii="Arial" w:cs="Arial" w:eastAsia="Arial" w:hAnsi="Arial"/>
          <w:sz w:val="21"/>
          <w:szCs w:val="21"/>
          <w:b w:val="1"/>
          <w:bCs w:val="1"/>
          <w:color w:val="auto"/>
        </w:rPr>
      </w:pPr>
    </w:p>
    <w:p>
      <w:pPr>
        <w:ind w:firstLine="5"/>
        <w:spacing w:after="0" w:line="241" w:lineRule="auto"/>
        <w:tabs>
          <w:tab w:leader="none" w:pos="633" w:val="left"/>
        </w:tabs>
        <w:numPr>
          <w:ilvl w:val="0"/>
          <w:numId w:val="75"/>
        </w:numPr>
        <w:rPr>
          <w:rFonts w:ascii="Arial" w:cs="Arial" w:eastAsia="Arial" w:hAnsi="Arial"/>
          <w:sz w:val="21"/>
          <w:szCs w:val="21"/>
          <w:b w:val="1"/>
          <w:bCs w:val="1"/>
          <w:color w:val="auto"/>
        </w:rPr>
      </w:pPr>
      <w:r>
        <w:rPr>
          <w:rFonts w:ascii="Arial" w:cs="Arial" w:eastAsia="Arial" w:hAnsi="Arial"/>
          <w:sz w:val="20"/>
          <w:szCs w:val="20"/>
          <w:color w:val="auto"/>
        </w:rPr>
        <w:t xml:space="preserve">You agree upon request to execute any further documents or instruments necessary or desirable in the sole determination </w:t>
      </w:r>
      <w:r>
        <w:rPr>
          <w:rFonts w:ascii="Arial" w:cs="Arial" w:eastAsia="Arial" w:hAnsi="Arial"/>
          <w:sz w:val="21"/>
          <w:szCs w:val="21"/>
          <w:color w:val="auto"/>
        </w:rPr>
        <w:t>of the</w:t>
      </w:r>
      <w:r>
        <w:rPr>
          <w:rFonts w:ascii="Arial" w:cs="Arial" w:eastAsia="Arial" w:hAnsi="Arial"/>
          <w:sz w:val="20"/>
          <w:szCs w:val="20"/>
          <w:color w:val="auto"/>
        </w:rPr>
        <w:t xml:space="preserve"> </w:t>
      </w:r>
      <w:r>
        <w:rPr>
          <w:rFonts w:ascii="Arial" w:cs="Arial" w:eastAsia="Arial" w:hAnsi="Arial"/>
          <w:sz w:val="21"/>
          <w:szCs w:val="21"/>
          <w:color w:val="auto"/>
        </w:rPr>
        <w:t>Company to carry out the purposes or intent of your Award.</w:t>
      </w:r>
    </w:p>
    <w:p>
      <w:pPr>
        <w:spacing w:after="0" w:line="171" w:lineRule="exact"/>
        <w:rPr>
          <w:rFonts w:ascii="Arial" w:cs="Arial" w:eastAsia="Arial" w:hAnsi="Arial"/>
          <w:sz w:val="21"/>
          <w:szCs w:val="21"/>
          <w:b w:val="1"/>
          <w:bCs w:val="1"/>
          <w:color w:val="auto"/>
        </w:rPr>
      </w:pPr>
    </w:p>
    <w:p>
      <w:pPr>
        <w:ind w:firstLine="5"/>
        <w:spacing w:after="0" w:line="239" w:lineRule="auto"/>
        <w:tabs>
          <w:tab w:leader="none" w:pos="636" w:val="left"/>
        </w:tabs>
        <w:numPr>
          <w:ilvl w:val="0"/>
          <w:numId w:val="75"/>
        </w:numPr>
        <w:rPr>
          <w:rFonts w:ascii="Arial" w:cs="Arial" w:eastAsia="Arial" w:hAnsi="Arial"/>
          <w:sz w:val="20"/>
          <w:szCs w:val="20"/>
          <w:b w:val="1"/>
          <w:bCs w:val="1"/>
          <w:color w:val="auto"/>
        </w:rPr>
      </w:pPr>
      <w:r>
        <w:rPr>
          <w:rFonts w:ascii="Arial" w:cs="Arial" w:eastAsia="Arial" w:hAnsi="Arial"/>
          <w:sz w:val="19"/>
          <w:szCs w:val="19"/>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0600"/>
          </w:cols>
          <w:pgMar w:left="960" w:top="1387" w:right="339" w:bottom="1440" w:gutter="0" w:footer="0" w:header="0"/>
        </w:sectPr>
      </w:pPr>
    </w:p>
    <w:bookmarkStart w:id="100" w:name="page101"/>
    <w:bookmarkEnd w:id="100"/>
    <w:p>
      <w:pPr>
        <w:ind w:left="-5" w:firstLine="5"/>
        <w:spacing w:after="0" w:line="227" w:lineRule="auto"/>
        <w:tabs>
          <w:tab w:leader="none" w:pos="633" w:val="left"/>
        </w:tabs>
        <w:numPr>
          <w:ilvl w:val="0"/>
          <w:numId w:val="76"/>
        </w:numPr>
        <w:rPr>
          <w:rFonts w:ascii="Arial" w:cs="Arial" w:eastAsia="Arial" w:hAnsi="Arial"/>
          <w:sz w:val="21"/>
          <w:szCs w:val="21"/>
          <w:b w:val="1"/>
          <w:bCs w:val="1"/>
          <w:color w:val="auto"/>
        </w:rPr>
      </w:pPr>
      <w:r>
        <w:rPr>
          <w:rFonts w:ascii="Arial" w:cs="Arial" w:eastAsia="Arial" w:hAnsi="Arial"/>
          <w:sz w:val="20"/>
          <w:szCs w:val="20"/>
          <w:color w:val="auto"/>
        </w:rPr>
        <w:t>This Award Agreement will be subject to all applicable laws, rules, and regulations, and to such approvals by any governmental agencies or national securities exchanges as may be required.</w:t>
      </w:r>
    </w:p>
    <w:p>
      <w:pPr>
        <w:spacing w:after="0" w:line="179" w:lineRule="exact"/>
        <w:rPr>
          <w:rFonts w:ascii="Arial" w:cs="Arial" w:eastAsia="Arial" w:hAnsi="Arial"/>
          <w:sz w:val="21"/>
          <w:szCs w:val="21"/>
          <w:b w:val="1"/>
          <w:bCs w:val="1"/>
          <w:color w:val="auto"/>
        </w:rPr>
      </w:pPr>
    </w:p>
    <w:p>
      <w:pPr>
        <w:jc w:val="both"/>
        <w:ind w:left="-5" w:firstLine="5"/>
        <w:spacing w:after="0" w:line="216" w:lineRule="auto"/>
        <w:tabs>
          <w:tab w:leader="none" w:pos="629" w:val="left"/>
        </w:tabs>
        <w:numPr>
          <w:ilvl w:val="0"/>
          <w:numId w:val="76"/>
        </w:numPr>
        <w:rPr>
          <w:rFonts w:ascii="Arial" w:cs="Arial" w:eastAsia="Arial" w:hAnsi="Arial"/>
          <w:sz w:val="21"/>
          <w:szCs w:val="21"/>
          <w:b w:val="1"/>
          <w:bCs w:val="1"/>
          <w:color w:val="auto"/>
        </w:rPr>
      </w:pPr>
      <w:r>
        <w:rPr>
          <w:rFonts w:ascii="Arial" w:cs="Arial" w:eastAsia="Arial" w:hAnsi="Arial"/>
          <w:sz w:val="20"/>
          <w:szCs w:val="20"/>
          <w:color w:val="auto"/>
        </w:rPr>
        <w:t>All obligations of the Company under the Plan and this Award Agreement will be binding on any successor to the Company, whether the existence of such successor is the result of a direct or indirect purchase, merger, consolidation, or otherwise, of all or substantially all of the business and assets of the Company.</w:t>
      </w:r>
    </w:p>
    <w:p>
      <w:pPr>
        <w:spacing w:after="0" w:line="175" w:lineRule="exact"/>
        <w:rPr>
          <w:sz w:val="20"/>
          <w:szCs w:val="20"/>
          <w:color w:val="auto"/>
        </w:rPr>
      </w:pPr>
    </w:p>
    <w:p>
      <w:pPr>
        <w:jc w:val="both"/>
        <w:ind w:left="-5" w:firstLine="5"/>
        <w:spacing w:after="0" w:line="213" w:lineRule="auto"/>
        <w:tabs>
          <w:tab w:leader="none" w:pos="634" w:val="left"/>
        </w:tabs>
        <w:numPr>
          <w:ilvl w:val="0"/>
          <w:numId w:val="77"/>
        </w:numPr>
        <w:rPr>
          <w:rFonts w:ascii="Arial" w:cs="Arial" w:eastAsia="Arial" w:hAnsi="Arial"/>
          <w:sz w:val="21"/>
          <w:szCs w:val="21"/>
          <w:b w:val="1"/>
          <w:bCs w:val="1"/>
          <w:color w:val="auto"/>
        </w:rPr>
      </w:pPr>
      <w:r>
        <w:rPr>
          <w:rFonts w:ascii="Arial" w:cs="Arial" w:eastAsia="Arial" w:hAnsi="Arial"/>
          <w:sz w:val="20"/>
          <w:szCs w:val="20"/>
          <w:b w:val="1"/>
          <w:bCs w:val="1"/>
          <w:color w:val="auto"/>
        </w:rPr>
        <w:t xml:space="preserve">Clawback. </w:t>
      </w:r>
      <w:r>
        <w:rPr>
          <w:rFonts w:ascii="Arial" w:cs="Arial" w:eastAsia="Arial" w:hAnsi="Arial"/>
          <w:sz w:val="20"/>
          <w:szCs w:val="20"/>
          <w:color w:val="auto"/>
        </w:rPr>
        <w:t>Your Award (and any compensation paid or shares issued under your Award) is subject to recoupment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62" w:lineRule="exact"/>
        <w:rPr>
          <w:rFonts w:ascii="Arial" w:cs="Arial" w:eastAsia="Arial" w:hAnsi="Arial"/>
          <w:sz w:val="21"/>
          <w:szCs w:val="21"/>
          <w:b w:val="1"/>
          <w:bCs w:val="1"/>
          <w:color w:val="auto"/>
        </w:rPr>
      </w:pPr>
    </w:p>
    <w:p>
      <w:pPr>
        <w:jc w:val="both"/>
        <w:ind w:left="-5" w:firstLine="5"/>
        <w:spacing w:after="0" w:line="210" w:lineRule="auto"/>
        <w:tabs>
          <w:tab w:leader="none" w:pos="634" w:val="left"/>
        </w:tabs>
        <w:numPr>
          <w:ilvl w:val="0"/>
          <w:numId w:val="77"/>
        </w:numPr>
        <w:rPr>
          <w:rFonts w:ascii="Arial" w:cs="Arial" w:eastAsia="Arial" w:hAnsi="Arial"/>
          <w:sz w:val="21"/>
          <w:szCs w:val="21"/>
          <w:b w:val="1"/>
          <w:bCs w:val="1"/>
          <w:color w:val="auto"/>
        </w:rPr>
      </w:pPr>
      <w:r>
        <w:rPr>
          <w:rFonts w:ascii="Arial" w:cs="Arial" w:eastAsia="Arial" w:hAnsi="Arial"/>
          <w:sz w:val="20"/>
          <w:szCs w:val="20"/>
          <w:b w:val="1"/>
          <w:bCs w:val="1"/>
          <w:color w:val="auto"/>
        </w:rPr>
        <w:t>Governing Plan Document</w:t>
      </w:r>
      <w:r>
        <w:rPr>
          <w:rFonts w:ascii="Arial" w:cs="Arial" w:eastAsia="Arial" w:hAnsi="Arial"/>
          <w:sz w:val="20"/>
          <w:szCs w:val="20"/>
          <w:color w:val="auto"/>
        </w:rPr>
        <w:t>. Your Award is subject to all the provisions of the Plan, the provisions of which are hereby made a</w:t>
      </w:r>
      <w:r>
        <w:rPr>
          <w:rFonts w:ascii="Arial" w:cs="Arial" w:eastAsia="Arial" w:hAnsi="Arial"/>
          <w:sz w:val="20"/>
          <w:szCs w:val="20"/>
          <w:b w:val="1"/>
          <w:bCs w:val="1"/>
          <w:color w:val="auto"/>
        </w:rPr>
        <w:t xml:space="preserve"> </w:t>
      </w:r>
      <w:r>
        <w:rPr>
          <w:rFonts w:ascii="Arial" w:cs="Arial" w:eastAsia="Arial" w:hAnsi="Arial"/>
          <w:sz w:val="20"/>
          <w:szCs w:val="20"/>
          <w:color w:val="auto"/>
        </w:rPr>
        <w:t>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77" w:lineRule="exact"/>
        <w:rPr>
          <w:rFonts w:ascii="Arial" w:cs="Arial" w:eastAsia="Arial" w:hAnsi="Arial"/>
          <w:sz w:val="21"/>
          <w:szCs w:val="21"/>
          <w:b w:val="1"/>
          <w:bCs w:val="1"/>
          <w:color w:val="auto"/>
        </w:rPr>
      </w:pPr>
    </w:p>
    <w:p>
      <w:pPr>
        <w:jc w:val="both"/>
        <w:ind w:left="-5" w:firstLine="5"/>
        <w:spacing w:after="0" w:line="258" w:lineRule="auto"/>
        <w:tabs>
          <w:tab w:leader="none" w:pos="634" w:val="left"/>
        </w:tabs>
        <w:numPr>
          <w:ilvl w:val="0"/>
          <w:numId w:val="77"/>
        </w:numPr>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Effect on Other Employee Benefit Plans. </w:t>
      </w:r>
      <w:r>
        <w:rPr>
          <w:rFonts w:ascii="Arial" w:cs="Arial" w:eastAsia="Arial" w:hAnsi="Arial"/>
          <w:sz w:val="17"/>
          <w:szCs w:val="17"/>
          <w:color w:val="auto"/>
        </w:rPr>
        <w:t>The value of the Award subject to this Restricted Stock Unit Award Agreement will</w:t>
      </w:r>
      <w:r>
        <w:rPr>
          <w:rFonts w:ascii="Arial" w:cs="Arial" w:eastAsia="Arial" w:hAnsi="Arial"/>
          <w:sz w:val="17"/>
          <w:szCs w:val="17"/>
          <w:b w:val="1"/>
          <w:bCs w:val="1"/>
          <w:color w:val="auto"/>
        </w:rPr>
        <w:t xml:space="preserve"> </w:t>
      </w:r>
      <w:r>
        <w:rPr>
          <w:rFonts w:ascii="Arial" w:cs="Arial" w:eastAsia="Arial" w:hAnsi="Arial"/>
          <w:sz w:val="17"/>
          <w:szCs w:val="17"/>
          <w:color w:val="auto"/>
        </w:rPr>
        <w:t>not be included as 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58" w:lineRule="exact"/>
        <w:rPr>
          <w:rFonts w:ascii="Arial" w:cs="Arial" w:eastAsia="Arial" w:hAnsi="Arial"/>
          <w:sz w:val="18"/>
          <w:szCs w:val="18"/>
          <w:b w:val="1"/>
          <w:bCs w:val="1"/>
          <w:color w:val="auto"/>
        </w:rPr>
      </w:pPr>
    </w:p>
    <w:p>
      <w:pPr>
        <w:jc w:val="both"/>
        <w:ind w:left="-5" w:firstLine="5"/>
        <w:spacing w:after="0" w:line="238" w:lineRule="auto"/>
        <w:tabs>
          <w:tab w:leader="none" w:pos="634" w:val="left"/>
        </w:tabs>
        <w:numPr>
          <w:ilvl w:val="0"/>
          <w:numId w:val="77"/>
        </w:numPr>
        <w:rPr>
          <w:rFonts w:ascii="Arial" w:cs="Arial" w:eastAsia="Arial" w:hAnsi="Arial"/>
          <w:sz w:val="19"/>
          <w:szCs w:val="19"/>
          <w:b w:val="1"/>
          <w:bCs w:val="1"/>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all or any part of this Restricted Stock Unit Award Agreement or the Plan is declared by any court or</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authority to be unlawful or invalid, such unlawfulness or invalidity will not invalidate any portion of this Restricted Stock Unit Award Agreement or the Plan not declared to be unlawful or invalid. Any Section of this Restricted Stock Unit Award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60" w:lineRule="exact"/>
        <w:rPr>
          <w:rFonts w:ascii="Arial" w:cs="Arial" w:eastAsia="Arial" w:hAnsi="Arial"/>
          <w:sz w:val="19"/>
          <w:szCs w:val="19"/>
          <w:b w:val="1"/>
          <w:bCs w:val="1"/>
          <w:color w:val="auto"/>
        </w:rPr>
      </w:pPr>
    </w:p>
    <w:p>
      <w:pPr>
        <w:jc w:val="both"/>
        <w:ind w:left="-5" w:firstLine="5"/>
        <w:spacing w:after="0" w:line="251" w:lineRule="auto"/>
        <w:tabs>
          <w:tab w:leader="none" w:pos="634" w:val="left"/>
        </w:tabs>
        <w:numPr>
          <w:ilvl w:val="0"/>
          <w:numId w:val="77"/>
        </w:numPr>
        <w:rPr>
          <w:rFonts w:ascii="Arial" w:cs="Arial" w:eastAsia="Arial" w:hAnsi="Arial"/>
          <w:sz w:val="19"/>
          <w:szCs w:val="19"/>
          <w:b w:val="1"/>
          <w:bCs w:val="1"/>
          <w:color w:val="auto"/>
        </w:rPr>
      </w:pPr>
      <w:r>
        <w:rPr>
          <w:rFonts w:ascii="Arial" w:cs="Arial" w:eastAsia="Arial" w:hAnsi="Arial"/>
          <w:sz w:val="18"/>
          <w:szCs w:val="18"/>
          <w:b w:val="1"/>
          <w:bCs w:val="1"/>
          <w:color w:val="auto"/>
        </w:rPr>
        <w:t>Other Documents</w:t>
      </w:r>
      <w:r>
        <w:rPr>
          <w:rFonts w:ascii="Arial" w:cs="Arial" w:eastAsia="Arial" w:hAnsi="Arial"/>
          <w:sz w:val="18"/>
          <w:szCs w:val="18"/>
          <w:color w:val="auto"/>
        </w:rPr>
        <w:t>. You hereby acknowledge receipt or the right to receive a document providing the information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Rule 428(b)(1) promulgated under the Securities Act. In addition, you acknowledge receipt of the Company’s policy permitting certain individuals to sell shares only during certain "window" periods and the Company's Insider Trading Policy, in effect from time to time.</w:t>
      </w:r>
    </w:p>
    <w:p>
      <w:pPr>
        <w:spacing w:after="0" w:line="163" w:lineRule="exact"/>
        <w:rPr>
          <w:rFonts w:ascii="Arial" w:cs="Arial" w:eastAsia="Arial" w:hAnsi="Arial"/>
          <w:sz w:val="19"/>
          <w:szCs w:val="19"/>
          <w:b w:val="1"/>
          <w:bCs w:val="1"/>
          <w:color w:val="auto"/>
        </w:rPr>
      </w:pPr>
    </w:p>
    <w:p>
      <w:pPr>
        <w:jc w:val="both"/>
        <w:ind w:left="-5" w:firstLine="5"/>
        <w:spacing w:after="0" w:line="216" w:lineRule="auto"/>
        <w:tabs>
          <w:tab w:leader="none" w:pos="634" w:val="left"/>
        </w:tabs>
        <w:numPr>
          <w:ilvl w:val="0"/>
          <w:numId w:val="77"/>
        </w:numPr>
        <w:rPr>
          <w:rFonts w:ascii="Arial" w:cs="Arial" w:eastAsia="Arial" w:hAnsi="Arial"/>
          <w:sz w:val="21"/>
          <w:szCs w:val="21"/>
          <w:b w:val="1"/>
          <w:bCs w:val="1"/>
          <w:color w:val="auto"/>
        </w:rPr>
      </w:pPr>
      <w:r>
        <w:rPr>
          <w:rFonts w:ascii="Arial" w:cs="Arial" w:eastAsia="Arial" w:hAnsi="Arial"/>
          <w:sz w:val="20"/>
          <w:szCs w:val="20"/>
          <w:b w:val="1"/>
          <w:bCs w:val="1"/>
          <w:color w:val="auto"/>
        </w:rPr>
        <w:t xml:space="preserve">Amendment. </w:t>
      </w:r>
      <w:r>
        <w:rPr>
          <w:rFonts w:ascii="Arial" w:cs="Arial" w:eastAsia="Arial" w:hAnsi="Arial"/>
          <w:sz w:val="20"/>
          <w:szCs w:val="20"/>
          <w:color w:val="auto"/>
        </w:rPr>
        <w:t>This Restricted Stock Unit Award Agreement may not be modified, amended or terminated except by an</w:t>
      </w:r>
      <w:r>
        <w:rPr>
          <w:rFonts w:ascii="Arial" w:cs="Arial" w:eastAsia="Arial" w:hAnsi="Arial"/>
          <w:sz w:val="20"/>
          <w:szCs w:val="20"/>
          <w:b w:val="1"/>
          <w:bCs w:val="1"/>
          <w:color w:val="auto"/>
        </w:rPr>
        <w:t xml:space="preserve"> </w:t>
      </w:r>
      <w:r>
        <w:rPr>
          <w:rFonts w:ascii="Arial" w:cs="Arial" w:eastAsia="Arial" w:hAnsi="Arial"/>
          <w:sz w:val="20"/>
          <w:szCs w:val="20"/>
          <w:color w:val="auto"/>
        </w:rPr>
        <w:t>instrument in writing, signed by you and by a duly authorized representative of the Company. Notwithstanding the foregoing, this Restricted Stock Unit Award Agreement may be amended solely by the Board by a writing which specifically states that it is amending this Restricted Stock Unit Award Agreement, so long as a copy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895"/>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0595"/>
          </w:cols>
          <w:pgMar w:left="965" w:top="1401" w:right="339" w:bottom="1440" w:gutter="0" w:footer="0" w:header="0"/>
        </w:sectPr>
      </w:pPr>
    </w:p>
    <w:bookmarkStart w:id="101" w:name="page102"/>
    <w:bookmarkEnd w:id="101"/>
    <w:p>
      <w:pPr>
        <w:ind w:left="640"/>
        <w:spacing w:after="0"/>
        <w:rPr>
          <w:sz w:val="20"/>
          <w:szCs w:val="20"/>
          <w:color w:val="auto"/>
        </w:rPr>
      </w:pPr>
      <w:r>
        <w:rPr>
          <w:rFonts w:ascii="Arial" w:cs="Arial" w:eastAsia="Arial" w:hAnsi="Arial"/>
          <w:sz w:val="17"/>
          <w:szCs w:val="17"/>
          <w:color w:val="auto"/>
        </w:rPr>
        <w:t>amendment is delivered to you, and provided that, except as otherwise expressly provided in the Plan, no such amendment materially</w:t>
      </w:r>
    </w:p>
    <w:p>
      <w:pPr>
        <w:spacing w:after="0" w:line="20" w:lineRule="exact"/>
        <w:rPr>
          <w:sz w:val="20"/>
          <w:szCs w:val="20"/>
          <w:color w:val="auto"/>
        </w:rPr>
      </w:pPr>
    </w:p>
    <w:p>
      <w:pPr>
        <w:ind w:left="640"/>
        <w:spacing w:after="0" w:line="223" w:lineRule="auto"/>
        <w:rPr>
          <w:sz w:val="20"/>
          <w:szCs w:val="20"/>
          <w:color w:val="auto"/>
        </w:rPr>
      </w:pPr>
      <w:r>
        <w:rPr>
          <w:rFonts w:ascii="Arial" w:cs="Arial" w:eastAsia="Arial" w:hAnsi="Arial"/>
          <w:sz w:val="18"/>
          <w:szCs w:val="18"/>
          <w:color w:val="auto"/>
        </w:rPr>
        <w:t>adversely affecting your rights hereunder may be made without your written consent. Without limiting the foregoing, the Board reserves the right to change, by written notice to you, the provisions of this Restricted Stock Unit Award Agreement in any way it may</w:t>
      </w:r>
    </w:p>
    <w:p>
      <w:pPr>
        <w:ind w:left="640"/>
        <w:spacing w:after="0" w:line="233" w:lineRule="auto"/>
        <w:rPr>
          <w:sz w:val="20"/>
          <w:szCs w:val="20"/>
          <w:color w:val="auto"/>
        </w:rPr>
      </w:pPr>
      <w:r>
        <w:rPr>
          <w:rFonts w:ascii="Arial" w:cs="Arial" w:eastAsia="Arial" w:hAnsi="Arial"/>
          <w:sz w:val="18"/>
          <w:szCs w:val="18"/>
          <w:color w:val="auto"/>
        </w:rPr>
        <w:t>deem necessary or advisable to carry out the purpose of the Award as a result of any change in applicable laws or regulations or any</w:t>
      </w:r>
    </w:p>
    <w:p>
      <w:pPr>
        <w:ind w:left="640"/>
        <w:spacing w:after="0" w:line="218" w:lineRule="auto"/>
        <w:rPr>
          <w:sz w:val="20"/>
          <w:szCs w:val="20"/>
          <w:color w:val="auto"/>
        </w:rPr>
      </w:pPr>
      <w:r>
        <w:rPr>
          <w:rFonts w:ascii="Arial" w:cs="Arial" w:eastAsia="Arial" w:hAnsi="Arial"/>
          <w:sz w:val="20"/>
          <w:szCs w:val="20"/>
          <w:color w:val="auto"/>
        </w:rPr>
        <w:t>future law, regulation, ruling, or judicial decision, provided that any such change will be applicable only to rights relating to that portion of the Award which is then subject to restrictions as provided herein.</w:t>
      </w:r>
    </w:p>
    <w:p>
      <w:pPr>
        <w:spacing w:after="0" w:line="173" w:lineRule="exact"/>
        <w:rPr>
          <w:sz w:val="20"/>
          <w:szCs w:val="20"/>
          <w:color w:val="auto"/>
        </w:rPr>
      </w:pPr>
    </w:p>
    <w:p>
      <w:pPr>
        <w:jc w:val="both"/>
        <w:ind w:left="640" w:firstLine="5"/>
        <w:spacing w:after="0" w:line="243" w:lineRule="auto"/>
        <w:tabs>
          <w:tab w:leader="none" w:pos="1279" w:val="left"/>
        </w:tabs>
        <w:numPr>
          <w:ilvl w:val="0"/>
          <w:numId w:val="78"/>
        </w:numPr>
        <w:rPr>
          <w:rFonts w:ascii="Arial" w:cs="Arial" w:eastAsia="Arial" w:hAnsi="Arial"/>
          <w:sz w:val="18"/>
          <w:szCs w:val="18"/>
          <w:b w:val="1"/>
          <w:bCs w:val="1"/>
          <w:color w:val="auto"/>
        </w:rPr>
      </w:pPr>
      <w:r>
        <w:rPr>
          <w:rFonts w:ascii="Arial" w:cs="Arial" w:eastAsia="Arial" w:hAnsi="Arial"/>
          <w:sz w:val="17"/>
          <w:szCs w:val="17"/>
          <w:b w:val="1"/>
          <w:bCs w:val="1"/>
          <w:color w:val="auto"/>
        </w:rPr>
        <w:t>Compliance with Section 409A of the Code</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Award is intended to be exempt from the application of Section 409A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Code, including but not limited to by reason of complying with the “short-term deferral” rule set forth in Treasury Regulation Section 1.409A-1(b)(4) and any ambiguities herein will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will comply with Section 409A to the extent necessary to avoid adverse personal tax consequences and any ambiguities herein will be interpreted accordingly. If it is determined that the Award is deferred compensation subject to Section 409A and you are a “Specified Employee” (within the meaning set forth in Section 409A(a)(2)(B)(i) of the Code) as of the date of your “Separation from Service” (as defined in Section 409A),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 Notwithstanding any contrary provision of the Notice of Grant or of this Restricted Stock Unit Award Agreement, under no circumstances will the Company reimburse you for any taxes or other costs under Section 409A or any other tax law or rule. All such taxes and costs are solely your responsibility.</w:t>
      </w:r>
    </w:p>
    <w:p>
      <w:pPr>
        <w:spacing w:after="0" w:line="168" w:lineRule="exact"/>
        <w:rPr>
          <w:rFonts w:ascii="Arial" w:cs="Arial" w:eastAsia="Arial" w:hAnsi="Arial"/>
          <w:sz w:val="18"/>
          <w:szCs w:val="18"/>
          <w:b w:val="1"/>
          <w:bCs w:val="1"/>
          <w:color w:val="auto"/>
        </w:rPr>
      </w:pPr>
    </w:p>
    <w:p>
      <w:pPr>
        <w:ind w:left="5280"/>
        <w:spacing w:after="0"/>
        <w:rPr>
          <w:rFonts w:ascii="Arial" w:cs="Arial" w:eastAsia="Arial" w:hAnsi="Arial"/>
          <w:sz w:val="18"/>
          <w:szCs w:val="18"/>
          <w:b w:val="1"/>
          <w:bCs w:val="1"/>
          <w:color w:val="auto"/>
        </w:rPr>
      </w:pPr>
      <w:r>
        <w:rPr>
          <w:rFonts w:ascii="Arial" w:cs="Arial" w:eastAsia="Arial" w:hAnsi="Arial"/>
          <w:sz w:val="20"/>
          <w:szCs w:val="20"/>
          <w:color w:val="auto"/>
        </w:rPr>
        <w:t>* * * * *</w:t>
      </w:r>
    </w:p>
    <w:p>
      <w:pPr>
        <w:spacing w:after="0" w:line="196" w:lineRule="exact"/>
        <w:rPr>
          <w:sz w:val="20"/>
          <w:szCs w:val="20"/>
          <w:color w:val="auto"/>
        </w:rPr>
      </w:pPr>
    </w:p>
    <w:p>
      <w:pPr>
        <w:ind w:firstLine="272"/>
        <w:spacing w:after="0" w:line="233" w:lineRule="auto"/>
        <w:rPr>
          <w:sz w:val="20"/>
          <w:szCs w:val="20"/>
          <w:color w:val="auto"/>
        </w:rPr>
      </w:pPr>
      <w:r>
        <w:rPr>
          <w:rFonts w:ascii="Arial" w:cs="Arial" w:eastAsia="Arial" w:hAnsi="Arial"/>
          <w:sz w:val="20"/>
          <w:szCs w:val="20"/>
          <w:color w:val="auto"/>
        </w:rPr>
        <w:t>This Restricted Stock Unit Award Agreement will be deemed to be signed by the Company and the Participant upon the signing by the Participant of the Restricted Stock Unit Grant Notice to which it is attached.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387"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Laura A. Francis, certify that:</w:t>
      </w:r>
    </w:p>
    <w:p>
      <w:pPr>
        <w:spacing w:after="0" w:line="246" w:lineRule="exact"/>
        <w:rPr>
          <w:sz w:val="20"/>
          <w:szCs w:val="20"/>
          <w:color w:val="auto"/>
        </w:rPr>
      </w:pPr>
    </w:p>
    <w:p>
      <w:pPr>
        <w:ind w:left="640" w:hanging="314"/>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Form 10-Q of SI-BONE, Inc.;</w:t>
      </w:r>
    </w:p>
    <w:p>
      <w:pPr>
        <w:spacing w:after="0" w:line="245" w:lineRule="exact"/>
        <w:rPr>
          <w:rFonts w:ascii="Arial" w:cs="Arial" w:eastAsia="Arial" w:hAnsi="Arial"/>
          <w:sz w:val="18"/>
          <w:szCs w:val="18"/>
          <w:color w:val="auto"/>
        </w:rPr>
      </w:pPr>
    </w:p>
    <w:p>
      <w:pPr>
        <w:jc w:val="both"/>
        <w:ind w:left="640" w:hanging="314"/>
        <w:spacing w:after="0" w:line="256"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rFonts w:ascii="Arial" w:cs="Arial" w:eastAsia="Arial" w:hAnsi="Arial"/>
          <w:sz w:val="18"/>
          <w:szCs w:val="18"/>
          <w:color w:val="auto"/>
        </w:rPr>
      </w:pPr>
    </w:p>
    <w:p>
      <w:pPr>
        <w:ind w:left="640" w:hanging="314"/>
        <w:spacing w:after="0" w:line="296" w:lineRule="auto"/>
        <w:tabs>
          <w:tab w:leader="none" w:pos="6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jc w:val="both"/>
        <w:ind w:left="640" w:hanging="314"/>
        <w:spacing w:after="0" w:line="256"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6" w:lineRule="exact"/>
        <w:rPr>
          <w:rFonts w:ascii="Arial" w:cs="Arial" w:eastAsia="Arial" w:hAnsi="Arial"/>
          <w:sz w:val="18"/>
          <w:szCs w:val="18"/>
          <w:color w:val="auto"/>
        </w:rPr>
      </w:pPr>
    </w:p>
    <w:p>
      <w:pPr>
        <w:jc w:val="both"/>
        <w:ind w:left="1040" w:hanging="395"/>
        <w:spacing w:after="0" w:line="256" w:lineRule="auto"/>
        <w:tabs>
          <w:tab w:leader="none" w:pos="1031"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6" w:lineRule="exact"/>
        <w:rPr>
          <w:rFonts w:ascii="Arial" w:cs="Arial" w:eastAsia="Arial" w:hAnsi="Arial"/>
          <w:sz w:val="18"/>
          <w:szCs w:val="18"/>
          <w:color w:val="auto"/>
        </w:rPr>
      </w:pPr>
    </w:p>
    <w:p>
      <w:pPr>
        <w:jc w:val="both"/>
        <w:ind w:left="1040" w:hanging="395"/>
        <w:spacing w:after="0" w:line="256" w:lineRule="auto"/>
        <w:tabs>
          <w:tab w:leader="none" w:pos="1028"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6" w:lineRule="exact"/>
        <w:rPr>
          <w:rFonts w:ascii="Arial" w:cs="Arial" w:eastAsia="Arial" w:hAnsi="Arial"/>
          <w:sz w:val="18"/>
          <w:szCs w:val="18"/>
          <w:color w:val="auto"/>
        </w:rPr>
      </w:pPr>
    </w:p>
    <w:p>
      <w:pPr>
        <w:ind w:left="1040" w:hanging="395"/>
        <w:spacing w:after="0" w:line="330" w:lineRule="auto"/>
        <w:tabs>
          <w:tab w:leader="none" w:pos="1031"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16"/>
          <w:szCs w:val="16"/>
          <w:color w:val="auto"/>
        </w:rPr>
      </w:pPr>
    </w:p>
    <w:p>
      <w:pPr>
        <w:jc w:val="both"/>
        <w:ind w:left="1040" w:hanging="395"/>
        <w:spacing w:after="0" w:line="256" w:lineRule="auto"/>
        <w:tabs>
          <w:tab w:leader="none" w:pos="1028"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640" w:right="20" w:hanging="314"/>
        <w:spacing w:after="0" w:line="330" w:lineRule="auto"/>
        <w:tabs>
          <w:tab w:leader="none" w:pos="6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Arial" w:cs="Arial" w:eastAsia="Arial" w:hAnsi="Arial"/>
          <w:sz w:val="16"/>
          <w:szCs w:val="16"/>
          <w:color w:val="auto"/>
        </w:rPr>
      </w:pPr>
    </w:p>
    <w:p>
      <w:pPr>
        <w:ind w:left="1040" w:hanging="395"/>
        <w:spacing w:after="0" w:line="296" w:lineRule="auto"/>
        <w:tabs>
          <w:tab w:leader="none" w:pos="1031" w:val="left"/>
        </w:tabs>
        <w:numPr>
          <w:ilvl w:val="1"/>
          <w:numId w:val="7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1040" w:hanging="395"/>
        <w:spacing w:after="0" w:line="266" w:lineRule="auto"/>
        <w:tabs>
          <w:tab w:leader="none" w:pos="1028"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3131820</wp:posOffset>
            </wp:positionH>
            <wp:positionV relativeFrom="paragraph">
              <wp:posOffset>11430</wp:posOffset>
            </wp:positionV>
            <wp:extent cx="29667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2966720" cy="8255"/>
                    </a:xfrm>
                    <a:prstGeom prst="rect">
                      <a:avLst/>
                    </a:prstGeom>
                    <a:noFill/>
                  </pic:spPr>
                </pic:pic>
              </a:graphicData>
            </a:graphic>
          </wp:anchor>
        </w:drawing>
      </w:r>
    </w:p>
    <w:p>
      <w:pPr>
        <w:spacing w:after="0" w:line="13" w:lineRule="exact"/>
        <w:rPr>
          <w:sz w:val="20"/>
          <w:szCs w:val="20"/>
          <w:color w:val="auto"/>
        </w:rPr>
      </w:pPr>
    </w:p>
    <w:p>
      <w:pPr>
        <w:ind w:left="400"/>
        <w:spacing w:after="0"/>
        <w:tabs>
          <w:tab w:leader="none" w:pos="920" w:val="left"/>
          <w:tab w:leader="none" w:pos="6640" w:val="left"/>
        </w:tabs>
        <w:rPr>
          <w:sz w:val="20"/>
          <w:szCs w:val="20"/>
          <w:color w:val="auto"/>
        </w:rPr>
      </w:pPr>
      <w:r>
        <w:rPr>
          <w:rFonts w:ascii="Arial" w:cs="Arial" w:eastAsia="Arial" w:hAnsi="Arial"/>
          <w:sz w:val="18"/>
          <w:szCs w:val="18"/>
          <w:color w:val="auto"/>
        </w:rPr>
        <w:t>Date:</w:t>
        <w:tab/>
        <w:t>November 8, 2022</w:t>
      </w:r>
      <w:r>
        <w:rPr>
          <w:sz w:val="20"/>
          <w:szCs w:val="20"/>
          <w:color w:val="auto"/>
        </w:rPr>
        <w:tab/>
      </w:r>
      <w:r>
        <w:rPr>
          <w:rFonts w:ascii="Arial" w:cs="Arial" w:eastAsia="Arial" w:hAnsi="Arial"/>
          <w:sz w:val="16"/>
          <w:szCs w:val="16"/>
          <w:color w:val="auto"/>
        </w:rPr>
        <w:t>Laura A. Francis</w:t>
      </w:r>
    </w:p>
    <w:p>
      <w:pPr>
        <w:spacing w:after="0" w:line="19" w:lineRule="exact"/>
        <w:rPr>
          <w:sz w:val="20"/>
          <w:szCs w:val="20"/>
          <w:color w:val="auto"/>
        </w:rPr>
      </w:pPr>
    </w:p>
    <w:p>
      <w:pPr>
        <w:jc w:val="center"/>
        <w:ind w:left="3280"/>
        <w:spacing w:after="0"/>
        <w:rPr>
          <w:sz w:val="20"/>
          <w:szCs w:val="20"/>
          <w:color w:val="auto"/>
        </w:rPr>
      </w:pPr>
      <w:r>
        <w:rPr>
          <w:rFonts w:ascii="Arial" w:cs="Arial" w:eastAsia="Arial" w:hAnsi="Arial"/>
          <w:sz w:val="18"/>
          <w:szCs w:val="18"/>
          <w:color w:val="auto"/>
        </w:rPr>
        <w:t>Chief Executive Officer</w:t>
      </w:r>
    </w:p>
    <w:p>
      <w:pPr>
        <w:spacing w:after="0" w:line="19" w:lineRule="exact"/>
        <w:rPr>
          <w:sz w:val="20"/>
          <w:szCs w:val="20"/>
          <w:color w:val="auto"/>
        </w:rPr>
      </w:pPr>
    </w:p>
    <w:p>
      <w:pPr>
        <w:jc w:val="center"/>
        <w:ind w:left="3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760"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Anshul Maheshwari, certify that:</w:t>
      </w:r>
    </w:p>
    <w:p>
      <w:pPr>
        <w:spacing w:after="0" w:line="379" w:lineRule="exact"/>
        <w:rPr>
          <w:sz w:val="20"/>
          <w:szCs w:val="20"/>
          <w:color w:val="auto"/>
        </w:rPr>
      </w:pPr>
    </w:p>
    <w:p>
      <w:pPr>
        <w:ind w:left="640" w:hanging="314"/>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Form 10-Q of SI-BONE, Inc.;</w:t>
      </w:r>
    </w:p>
    <w:p>
      <w:pPr>
        <w:spacing w:after="0" w:line="245" w:lineRule="exact"/>
        <w:rPr>
          <w:rFonts w:ascii="Arial" w:cs="Arial" w:eastAsia="Arial" w:hAnsi="Arial"/>
          <w:sz w:val="18"/>
          <w:szCs w:val="18"/>
          <w:color w:val="auto"/>
        </w:rPr>
      </w:pPr>
    </w:p>
    <w:p>
      <w:pPr>
        <w:jc w:val="both"/>
        <w:ind w:left="640" w:hanging="314"/>
        <w:spacing w:after="0" w:line="256"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rFonts w:ascii="Arial" w:cs="Arial" w:eastAsia="Arial" w:hAnsi="Arial"/>
          <w:sz w:val="18"/>
          <w:szCs w:val="18"/>
          <w:color w:val="auto"/>
        </w:rPr>
      </w:pPr>
    </w:p>
    <w:p>
      <w:pPr>
        <w:ind w:left="640" w:hanging="314"/>
        <w:spacing w:after="0" w:line="296" w:lineRule="auto"/>
        <w:tabs>
          <w:tab w:leader="none" w:pos="6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jc w:val="both"/>
        <w:ind w:left="640" w:hanging="314"/>
        <w:spacing w:after="0" w:line="256"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6" w:lineRule="exact"/>
        <w:rPr>
          <w:rFonts w:ascii="Arial" w:cs="Arial" w:eastAsia="Arial" w:hAnsi="Arial"/>
          <w:sz w:val="18"/>
          <w:szCs w:val="18"/>
          <w:color w:val="auto"/>
        </w:rPr>
      </w:pPr>
    </w:p>
    <w:p>
      <w:pPr>
        <w:jc w:val="both"/>
        <w:ind w:left="1040" w:hanging="395"/>
        <w:spacing w:after="0" w:line="256" w:lineRule="auto"/>
        <w:tabs>
          <w:tab w:leader="none" w:pos="1031"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6" w:lineRule="exact"/>
        <w:rPr>
          <w:rFonts w:ascii="Arial" w:cs="Arial" w:eastAsia="Arial" w:hAnsi="Arial"/>
          <w:sz w:val="18"/>
          <w:szCs w:val="18"/>
          <w:color w:val="auto"/>
        </w:rPr>
      </w:pPr>
    </w:p>
    <w:p>
      <w:pPr>
        <w:jc w:val="both"/>
        <w:ind w:left="1040" w:hanging="395"/>
        <w:spacing w:after="0" w:line="256" w:lineRule="auto"/>
        <w:tabs>
          <w:tab w:leader="none" w:pos="102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6" w:lineRule="exact"/>
        <w:rPr>
          <w:rFonts w:ascii="Arial" w:cs="Arial" w:eastAsia="Arial" w:hAnsi="Arial"/>
          <w:sz w:val="18"/>
          <w:szCs w:val="18"/>
          <w:color w:val="auto"/>
        </w:rPr>
      </w:pPr>
    </w:p>
    <w:p>
      <w:pPr>
        <w:ind w:left="1040" w:hanging="395"/>
        <w:spacing w:after="0" w:line="330" w:lineRule="auto"/>
        <w:tabs>
          <w:tab w:leader="none" w:pos="1031"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16"/>
          <w:szCs w:val="16"/>
          <w:color w:val="auto"/>
        </w:rPr>
      </w:pPr>
    </w:p>
    <w:p>
      <w:pPr>
        <w:jc w:val="both"/>
        <w:ind w:left="1040" w:hanging="395"/>
        <w:spacing w:after="0" w:line="256" w:lineRule="auto"/>
        <w:tabs>
          <w:tab w:leader="none" w:pos="102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640" w:right="20" w:hanging="314"/>
        <w:spacing w:after="0" w:line="330" w:lineRule="auto"/>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Arial" w:cs="Arial" w:eastAsia="Arial" w:hAnsi="Arial"/>
          <w:sz w:val="16"/>
          <w:szCs w:val="16"/>
          <w:color w:val="auto"/>
        </w:rPr>
      </w:pPr>
    </w:p>
    <w:p>
      <w:pPr>
        <w:ind w:left="1040" w:hanging="395"/>
        <w:spacing w:after="0" w:line="296" w:lineRule="auto"/>
        <w:tabs>
          <w:tab w:leader="none" w:pos="1031" w:val="left"/>
        </w:tabs>
        <w:numPr>
          <w:ilvl w:val="1"/>
          <w:numId w:val="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1040" w:hanging="395"/>
        <w:spacing w:after="0" w:line="266" w:lineRule="auto"/>
        <w:tabs>
          <w:tab w:leader="none" w:pos="1028"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3148330</wp:posOffset>
            </wp:positionH>
            <wp:positionV relativeFrom="paragraph">
              <wp:posOffset>11430</wp:posOffset>
            </wp:positionV>
            <wp:extent cx="30600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3" w:lineRule="exact"/>
        <w:rPr>
          <w:sz w:val="20"/>
          <w:szCs w:val="20"/>
          <w:color w:val="auto"/>
        </w:rPr>
      </w:pPr>
    </w:p>
    <w:p>
      <w:pPr>
        <w:ind w:left="80"/>
        <w:spacing w:after="0"/>
        <w:tabs>
          <w:tab w:leader="none" w:pos="660" w:val="left"/>
          <w:tab w:leader="none" w:pos="6640" w:val="left"/>
        </w:tabs>
        <w:rPr>
          <w:sz w:val="20"/>
          <w:szCs w:val="20"/>
          <w:color w:val="auto"/>
        </w:rPr>
      </w:pPr>
      <w:r>
        <w:rPr>
          <w:rFonts w:ascii="Arial" w:cs="Arial" w:eastAsia="Arial" w:hAnsi="Arial"/>
          <w:sz w:val="18"/>
          <w:szCs w:val="18"/>
          <w:color w:val="auto"/>
        </w:rPr>
        <w:t>Date:</w:t>
        <w:tab/>
        <w:t>November 8, 2022</w:t>
      </w:r>
      <w:r>
        <w:rPr>
          <w:sz w:val="20"/>
          <w:szCs w:val="20"/>
          <w:color w:val="auto"/>
        </w:rPr>
        <w:tab/>
      </w:r>
      <w:r>
        <w:rPr>
          <w:rFonts w:ascii="Arial" w:cs="Arial" w:eastAsia="Arial" w:hAnsi="Arial"/>
          <w:sz w:val="16"/>
          <w:szCs w:val="16"/>
          <w:color w:val="auto"/>
        </w:rPr>
        <w:t>Anshul Maheshwari</w:t>
      </w:r>
    </w:p>
    <w:p>
      <w:pPr>
        <w:spacing w:after="0" w:line="19" w:lineRule="exact"/>
        <w:rPr>
          <w:sz w:val="20"/>
          <w:szCs w:val="20"/>
          <w:color w:val="auto"/>
        </w:rPr>
      </w:pPr>
    </w:p>
    <w:p>
      <w:pPr>
        <w:jc w:val="center"/>
        <w:ind w:left="3480"/>
        <w:spacing w:after="0"/>
        <w:rPr>
          <w:sz w:val="20"/>
          <w:szCs w:val="20"/>
          <w:color w:val="auto"/>
        </w:rPr>
      </w:pPr>
      <w:r>
        <w:rPr>
          <w:rFonts w:ascii="Arial" w:cs="Arial" w:eastAsia="Arial" w:hAnsi="Arial"/>
          <w:sz w:val="18"/>
          <w:szCs w:val="18"/>
          <w:color w:val="auto"/>
        </w:rPr>
        <w:t>Chief Financial Officer</w:t>
      </w:r>
    </w:p>
    <w:p>
      <w:pPr>
        <w:spacing w:after="0" w:line="19" w:lineRule="exact"/>
        <w:rPr>
          <w:sz w:val="20"/>
          <w:szCs w:val="20"/>
          <w:color w:val="auto"/>
        </w:rPr>
      </w:pPr>
    </w:p>
    <w:p>
      <w:pPr>
        <w:jc w:val="center"/>
        <w:ind w:left="34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760"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Laura A. Francis, Chief Executive Officer of SI-BONE, Inc. (the “Company”), and Anshul Maheshwari, Chief Financial Officer of the Company, each hereby certify that, to the best of her or his knowledge:</w:t>
      </w:r>
    </w:p>
    <w:p>
      <w:pPr>
        <w:spacing w:after="0" w:line="170" w:lineRule="exact"/>
        <w:rPr>
          <w:sz w:val="20"/>
          <w:szCs w:val="20"/>
          <w:color w:val="auto"/>
        </w:rPr>
      </w:pPr>
    </w:p>
    <w:p>
      <w:pPr>
        <w:ind w:firstLine="6"/>
        <w:spacing w:after="0" w:line="266" w:lineRule="auto"/>
        <w:tabs>
          <w:tab w:leader="none" w:pos="19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2022, to which this Certification is attached as Exhibit 32.1 (the “Periodic Report”), fully complies with the requirements of Section 13(a) or Section 15(d) of the Exchange Act; and</w:t>
      </w:r>
    </w:p>
    <w:p>
      <w:pPr>
        <w:spacing w:after="0" w:line="180" w:lineRule="exact"/>
        <w:rPr>
          <w:rFonts w:ascii="Arial" w:cs="Arial" w:eastAsia="Arial" w:hAnsi="Arial"/>
          <w:sz w:val="18"/>
          <w:szCs w:val="18"/>
          <w:color w:val="auto"/>
        </w:rPr>
      </w:pPr>
    </w:p>
    <w:p>
      <w:pPr>
        <w:ind w:left="180" w:hanging="174"/>
        <w:spacing w:after="0"/>
        <w:tabs>
          <w:tab w:leader="none" w:pos="1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11430</wp:posOffset>
            </wp:positionV>
            <wp:extent cx="33216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3321685" cy="8255"/>
                    </a:xfrm>
                    <a:prstGeom prst="rect">
                      <a:avLst/>
                    </a:prstGeom>
                    <a:noFill/>
                  </pic:spPr>
                </pic:pic>
              </a:graphicData>
            </a:graphic>
          </wp:anchor>
        </w:drawing>
      </w:r>
    </w:p>
    <w:p>
      <w:pPr>
        <w:spacing w:after="0" w:line="13" w:lineRule="exact"/>
        <w:rPr>
          <w:sz w:val="20"/>
          <w:szCs w:val="20"/>
          <w:color w:val="auto"/>
        </w:rPr>
      </w:pPr>
    </w:p>
    <w:p>
      <w:pPr>
        <w:ind w:left="20"/>
        <w:spacing w:after="0"/>
        <w:tabs>
          <w:tab w:leader="none" w:pos="600" w:val="left"/>
          <w:tab w:leader="none" w:pos="7200" w:val="left"/>
        </w:tabs>
        <w:rPr>
          <w:sz w:val="20"/>
          <w:szCs w:val="20"/>
          <w:color w:val="auto"/>
        </w:rPr>
      </w:pPr>
      <w:r>
        <w:rPr>
          <w:rFonts w:ascii="Arial" w:cs="Arial" w:eastAsia="Arial" w:hAnsi="Arial"/>
          <w:sz w:val="18"/>
          <w:szCs w:val="18"/>
          <w:color w:val="auto"/>
        </w:rPr>
        <w:t>Date:</w:t>
        <w:tab/>
        <w:t>November 8, 2022</w:t>
      </w:r>
      <w:r>
        <w:rPr>
          <w:sz w:val="20"/>
          <w:szCs w:val="20"/>
          <w:color w:val="auto"/>
        </w:rPr>
        <w:tab/>
      </w:r>
      <w:r>
        <w:rPr>
          <w:rFonts w:ascii="Arial" w:cs="Arial" w:eastAsia="Arial" w:hAnsi="Arial"/>
          <w:sz w:val="16"/>
          <w:szCs w:val="16"/>
          <w:color w:val="auto"/>
        </w:rPr>
        <w:t>Laura A. Francis</w:t>
      </w:r>
    </w:p>
    <w:p>
      <w:pPr>
        <w:spacing w:after="0" w:line="1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Executive Officer</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3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11430</wp:posOffset>
            </wp:positionV>
            <wp:extent cx="33216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3321685" cy="8255"/>
                    </a:xfrm>
                    <a:prstGeom prst="rect">
                      <a:avLst/>
                    </a:prstGeom>
                    <a:noFill/>
                  </pic:spPr>
                </pic:pic>
              </a:graphicData>
            </a:graphic>
          </wp:anchor>
        </w:drawing>
      </w:r>
    </w:p>
    <w:p>
      <w:pPr>
        <w:spacing w:after="0" w:line="13" w:lineRule="exact"/>
        <w:rPr>
          <w:sz w:val="20"/>
          <w:szCs w:val="20"/>
          <w:color w:val="auto"/>
        </w:rPr>
      </w:pPr>
    </w:p>
    <w:p>
      <w:pPr>
        <w:ind w:left="20"/>
        <w:spacing w:after="0"/>
        <w:tabs>
          <w:tab w:leader="none" w:pos="600" w:val="left"/>
          <w:tab w:leader="none" w:pos="7080" w:val="left"/>
        </w:tabs>
        <w:rPr>
          <w:sz w:val="20"/>
          <w:szCs w:val="20"/>
          <w:color w:val="auto"/>
        </w:rPr>
      </w:pPr>
      <w:r>
        <w:rPr>
          <w:rFonts w:ascii="Arial" w:cs="Arial" w:eastAsia="Arial" w:hAnsi="Arial"/>
          <w:sz w:val="18"/>
          <w:szCs w:val="18"/>
          <w:color w:val="auto"/>
        </w:rPr>
        <w:t>Date:</w:t>
        <w:tab/>
        <w:t>November 8, 2022</w:t>
      </w:r>
      <w:r>
        <w:rPr>
          <w:sz w:val="20"/>
          <w:szCs w:val="20"/>
          <w:color w:val="auto"/>
        </w:rPr>
        <w:tab/>
      </w:r>
      <w:r>
        <w:rPr>
          <w:rFonts w:ascii="Arial" w:cs="Arial" w:eastAsia="Arial" w:hAnsi="Arial"/>
          <w:sz w:val="16"/>
          <w:szCs w:val="16"/>
          <w:color w:val="auto"/>
        </w:rPr>
        <w:t>Anshul Maheshwari</w:t>
      </w:r>
    </w:p>
    <w:p>
      <w:pPr>
        <w:spacing w:after="0" w:line="19" w:lineRule="exact"/>
        <w:rPr>
          <w:sz w:val="20"/>
          <w:szCs w:val="20"/>
          <w:color w:val="auto"/>
        </w:rPr>
      </w:pPr>
    </w:p>
    <w:p>
      <w:pPr>
        <w:jc w:val="center"/>
        <w:ind w:left="4360"/>
        <w:spacing w:after="0"/>
        <w:rPr>
          <w:sz w:val="20"/>
          <w:szCs w:val="20"/>
          <w:color w:val="auto"/>
        </w:rPr>
      </w:pPr>
      <w:r>
        <w:rPr>
          <w:rFonts w:ascii="Arial" w:cs="Arial" w:eastAsia="Arial" w:hAnsi="Arial"/>
          <w:sz w:val="18"/>
          <w:szCs w:val="18"/>
          <w:color w:val="auto"/>
        </w:rPr>
        <w:t>Chief Financial Officer</w:t>
      </w:r>
    </w:p>
    <w:p>
      <w:pPr>
        <w:spacing w:after="0" w:line="19" w:lineRule="exact"/>
        <w:rPr>
          <w:sz w:val="20"/>
          <w:szCs w:val="20"/>
          <w:color w:val="auto"/>
        </w:rPr>
      </w:pPr>
    </w:p>
    <w:p>
      <w:pPr>
        <w:jc w:val="center"/>
        <w:ind w:left="4360"/>
        <w:spacing w:after="0"/>
        <w:rPr>
          <w:sz w:val="20"/>
          <w:szCs w:val="20"/>
          <w:color w:val="auto"/>
        </w:rPr>
      </w:pPr>
      <w:r>
        <w:rPr>
          <w:rFonts w:ascii="Arial" w:cs="Arial" w:eastAsia="Arial" w:hAnsi="Arial"/>
          <w:sz w:val="18"/>
          <w:szCs w:val="18"/>
          <w:color w:val="auto"/>
        </w:rPr>
        <w:t>(Principal Financial Officer)</w:t>
      </w:r>
    </w:p>
    <w:p>
      <w:pPr>
        <w:spacing w:after="0" w:line="3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1."/>
      <w:numFmt w:val="decimal"/>
      <w:start w:val="5"/>
    </w:lvl>
  </w:abstractNum>
  <w:abstractNum w:abstractNumId="5">
    <w:nsid w:val="1D4ED43B"/>
    <w:multiLevelType w:val="hybridMultilevel"/>
    <w:lvl w:ilvl="0">
      <w:lvlJc w:val="left"/>
      <w:lvlText w:val="%1."/>
      <w:numFmt w:val="decimal"/>
      <w:start w:val="6"/>
    </w:lvl>
  </w:abstractNum>
  <w:abstractNum w:abstractNumId="6">
    <w:nsid w:val="725A06FB"/>
    <w:multiLevelType w:val="hybridMultilevel"/>
    <w:lvl w:ilvl="0">
      <w:lvlJc w:val="left"/>
      <w:lvlText w:val="%1."/>
      <w:numFmt w:val="decimal"/>
      <w:start w:val="7"/>
    </w:lvl>
  </w:abstractNum>
  <w:abstractNum w:abstractNumId="7">
    <w:nsid w:val="2CD89A32"/>
    <w:multiLevelType w:val="hybridMultilevel"/>
    <w:lvl w:ilvl="0">
      <w:lvlJc w:val="left"/>
      <w:lvlText w:val="(%1)"/>
      <w:numFmt w:val="lowerLetter"/>
      <w:start w:val="2"/>
    </w:lvl>
  </w:abstractNum>
  <w:abstractNum w:abstractNumId="8">
    <w:nsid w:val="57E4CCAF"/>
    <w:multiLevelType w:val="hybridMultilevel"/>
    <w:lvl w:ilvl="0">
      <w:lvlJc w:val="left"/>
      <w:lvlText w:val="%1."/>
      <w:numFmt w:val="decimal"/>
      <w:start w:val="8"/>
    </w:lvl>
  </w:abstractNum>
  <w:abstractNum w:abstractNumId="9">
    <w:nsid w:val="7A6D8D3C"/>
    <w:multiLevelType w:val="hybridMultilevel"/>
    <w:lvl w:ilvl="0">
      <w:lvlJc w:val="left"/>
      <w:lvlText w:val="(%1)"/>
      <w:numFmt w:val="decimal"/>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lvl w:ilvl="1">
      <w:lvlJc w:val="left"/>
      <w:lvlText w:val="%2"/>
      <w:numFmt w:val="decimal"/>
      <w:start w:val="104"/>
    </w:lvl>
  </w:abstractNum>
  <w:abstractNum w:abstractNumId="36">
    <w:nsid w:val="354FE9F9"/>
    <w:multiLevelType w:val="hybridMultilevel"/>
    <w:lvl w:ilvl="0">
      <w:lvlJc w:val="left"/>
      <w:lvlText w:val="**"/>
      <w:numFmt w:val="bullet"/>
      <w:start w:val="1"/>
    </w:lvl>
    <w:lvl w:ilvl="1">
      <w:lvlJc w:val="left"/>
      <w:lvlText w:val="%2"/>
      <w:numFmt w:val="decimal"/>
      <w:start w:val="1"/>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39">
    <w:nsid w:val="D34B6A8"/>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9"/>
    </w:lvl>
  </w:abstractNum>
  <w:abstractNum w:abstractNumId="40">
    <w:nsid w:val="10233C99"/>
    <w:multiLevelType w:val="hybridMultilevel"/>
    <w:lvl w:ilvl="0">
      <w:lvlJc w:val="left"/>
      <w:lvlText w:val="(%1)"/>
      <w:numFmt w:val="lowerRoman"/>
      <w:start w:val="2"/>
    </w:lvl>
  </w:abstractNum>
  <w:abstractNum w:abstractNumId="41">
    <w:nsid w:val="3F6AB60F"/>
    <w:multiLevelType w:val="hybridMultilevel"/>
    <w:lvl w:ilvl="0">
      <w:lvlJc w:val="left"/>
      <w:lvlText w:val="%1"/>
      <w:numFmt w:val="decimal"/>
      <w:start w:val="1"/>
    </w:lvl>
    <w:lvl w:ilvl="1">
      <w:lvlJc w:val="left"/>
      <w:lvlText w:val="(%2)"/>
      <w:numFmt w:val="lowerLetter"/>
      <w:start w:val="5"/>
    </w:lvl>
  </w:abstractNum>
  <w:abstractNum w:abstractNumId="42">
    <w:nsid w:val="61574095"/>
    <w:multiLevelType w:val="hybridMultilevel"/>
    <w:lvl w:ilvl="0">
      <w:lvlJc w:val="left"/>
      <w:lvlText w:val="%1."/>
      <w:numFmt w:val="decimal"/>
      <w:start w:val="7"/>
    </w:lvl>
    <w:lvl w:ilvl="1">
      <w:lvlJc w:val="left"/>
      <w:lvlText w:val="(%2)"/>
      <w:numFmt w:val="lowerLetter"/>
      <w:start w:val="6"/>
    </w:lvl>
  </w:abstractNum>
  <w:abstractNum w:abstractNumId="43">
    <w:nsid w:val="7E0C57B1"/>
    <w:multiLevelType w:val="hybridMultilevel"/>
    <w:lvl w:ilvl="0">
      <w:lvlJc w:val="left"/>
      <w:lvlText w:val="%1."/>
      <w:numFmt w:val="decimal"/>
      <w:start w:val="9"/>
    </w:lvl>
    <w:lvl w:ilvl="1">
      <w:lvlJc w:val="left"/>
      <w:lvlText w:val="(%2)"/>
      <w:numFmt w:val="lowerRoman"/>
      <w:start w:val="1"/>
    </w:lvl>
  </w:abstractNum>
  <w:abstractNum w:abstractNumId="44">
    <w:nsid w:val="77AE35EB"/>
    <w:multiLevelType w:val="hybridMultilevel"/>
    <w:lvl w:ilvl="0">
      <w:lvlJc w:val="left"/>
      <w:lvlText w:val="(%1)"/>
      <w:numFmt w:val="lowerLetter"/>
      <w:start w:val="1"/>
    </w:lvl>
  </w:abstractNum>
  <w:abstractNum w:abstractNumId="45">
    <w:nsid w:val="579BE4F1"/>
    <w:multiLevelType w:val="hybridMultilevel"/>
    <w:lvl w:ilvl="0">
      <w:lvlJc w:val="left"/>
      <w:lvlText w:val="(%1)"/>
      <w:numFmt w:val="lowerLetter"/>
      <w:start w:val="3"/>
    </w:lvl>
    <w:lvl w:ilvl="1">
      <w:lvlJc w:val="left"/>
      <w:lvlText w:val="(%2)"/>
      <w:numFmt w:val="lowerRoman"/>
      <w:start w:val="2"/>
    </w:lvl>
    <w:lvl w:ilvl="2">
      <w:lvlJc w:val="left"/>
      <w:lvlText w:val="(%3)"/>
      <w:numFmt w:val="decimal"/>
      <w:start w:val="1"/>
    </w:lvl>
  </w:abstractNum>
  <w:abstractNum w:abstractNumId="46">
    <w:nsid w:val="310C50B3"/>
    <w:multiLevelType w:val="hybridMultilevel"/>
    <w:lvl w:ilvl="0">
      <w:lvlJc w:val="left"/>
      <w:lvlText w:val="(%1)"/>
      <w:numFmt w:val="lowerRoman"/>
      <w:start w:val="9"/>
    </w:lvl>
  </w:abstractNum>
  <w:abstractNum w:abstractNumId="47">
    <w:nsid w:val="5FF87E05"/>
    <w:multiLevelType w:val="hybridMultilevel"/>
    <w:lvl w:ilvl="0">
      <w:lvlJc w:val="left"/>
      <w:lvlText w:val="%1."/>
      <w:numFmt w:val="decimal"/>
      <w:start w:val="10"/>
    </w:lvl>
  </w:abstractNum>
  <w:abstractNum w:abstractNumId="48">
    <w:nsid w:val="2F305DEF"/>
    <w:multiLevelType w:val="hybridMultilevel"/>
    <w:lvl w:ilvl="0">
      <w:lvlJc w:val="left"/>
      <w:lvlText w:val="%1."/>
      <w:numFmt w:val="decimal"/>
      <w:start w:val="10"/>
    </w:lvl>
    <w:lvl w:ilvl="1">
      <w:lvlJc w:val="left"/>
      <w:lvlText w:val="(%2)"/>
      <w:numFmt w:val="lowerLetter"/>
      <w:start w:val="8"/>
    </w:lvl>
  </w:abstractNum>
  <w:abstractNum w:abstractNumId="49">
    <w:nsid w:val="25A70BF7"/>
    <w:multiLevelType w:val="hybridMultilevel"/>
    <w:lvl w:ilvl="0">
      <w:lvlJc w:val="left"/>
      <w:lvlText w:val="%1"/>
      <w:numFmt w:val="decimal"/>
      <w:start w:val="1"/>
    </w:lvl>
    <w:lvl w:ilvl="1">
      <w:lvlJc w:val="left"/>
      <w:lvlText w:val="(%2)"/>
      <w:numFmt w:val="lowerLetter"/>
      <w:start w:val="10"/>
    </w:lvl>
  </w:abstractNum>
  <w:abstractNum w:abstractNumId="50">
    <w:nsid w:val="1DBABF00"/>
    <w:multiLevelType w:val="hybridMultilevel"/>
    <w:lvl w:ilvl="0">
      <w:lvlJc w:val="left"/>
      <w:lvlText w:val="%1."/>
      <w:numFmt w:val="decimal"/>
      <w:start w:val="13"/>
    </w:lvl>
    <w:lvl w:ilvl="1">
      <w:lvlJc w:val="left"/>
      <w:lvlText w:val="%2"/>
      <w:numFmt w:val="lowerLetter"/>
      <w:start w:val="1"/>
    </w:lvl>
  </w:abstractNum>
  <w:abstractNum w:abstractNumId="51">
    <w:nsid w:val="4AD084E9"/>
    <w:multiLevelType w:val="hybridMultilevel"/>
    <w:lvl w:ilvl="0">
      <w:lvlJc w:val="left"/>
      <w:lvlText w:val="%1."/>
      <w:numFmt w:val="decimal"/>
      <w:start w:val="17"/>
    </w:lvl>
    <w:lvl w:ilvl="1">
      <w:lvlJc w:val="left"/>
      <w:lvlText w:val="*"/>
      <w:numFmt w:val="bullet"/>
      <w:start w:val="1"/>
    </w:lvl>
  </w:abstractNum>
  <w:abstractNum w:abstractNumId="52">
    <w:nsid w:val="1F48EAA1"/>
    <w:multiLevelType w:val="hybridMultilevel"/>
    <w:lvl w:ilvl="0">
      <w:lvlJc w:val="left"/>
      <w:lvlText w:val="(%1)"/>
      <w:numFmt w:val="lowerRoman"/>
      <w:start w:val="1"/>
    </w:lvl>
  </w:abstractNum>
  <w:abstractNum w:abstractNumId="53">
    <w:nsid w:val="1381823A"/>
    <w:multiLevelType w:val="hybridMultilevel"/>
    <w:lvl w:ilvl="0">
      <w:lvlJc w:val="left"/>
      <w:lvlText w:val="%1."/>
      <w:numFmt w:val="decimal"/>
      <w:start w:val="1"/>
    </w:lvl>
  </w:abstractNum>
  <w:abstractNum w:abstractNumId="54">
    <w:nsid w:val="5DB70AE5"/>
    <w:multiLevelType w:val="hybridMultilevel"/>
    <w:lvl w:ilvl="0">
      <w:lvlJc w:val="left"/>
      <w:lvlText w:val="%1."/>
      <w:numFmt w:val="decimal"/>
      <w:start w:val="2"/>
    </w:lvl>
  </w:abstractNum>
  <w:abstractNum w:abstractNumId="55">
    <w:nsid w:val="100F8FCA"/>
    <w:multiLevelType w:val="hybridMultilevel"/>
    <w:lvl w:ilvl="0">
      <w:lvlJc w:val="left"/>
      <w:lvlText w:val="%1."/>
      <w:numFmt w:val="decimal"/>
      <w:start w:val="3"/>
    </w:lvl>
    <w:lvl w:ilvl="1">
      <w:lvlJc w:val="left"/>
      <w:lvlText w:val="(%2)"/>
      <w:numFmt w:val="lowerLetter"/>
      <w:start w:val="1"/>
    </w:lvl>
  </w:abstractNum>
  <w:abstractNum w:abstractNumId="56">
    <w:nsid w:val="6590700B"/>
    <w:multiLevelType w:val="hybridMultilevel"/>
    <w:lvl w:ilvl="0">
      <w:lvlJc w:val="left"/>
      <w:lvlText w:val="%1"/>
      <w:numFmt w:val="decimal"/>
      <w:start w:val="1"/>
    </w:lvl>
    <w:lvl w:ilvl="1">
      <w:lvlJc w:val="left"/>
      <w:lvlText w:val="(%2)"/>
      <w:numFmt w:val="lowerLetter"/>
      <w:start w:val="2"/>
    </w:lvl>
  </w:abstractNum>
  <w:abstractNum w:abstractNumId="57">
    <w:nsid w:val="15014ACB"/>
    <w:multiLevelType w:val="hybridMultilevel"/>
    <w:lvl w:ilvl="0">
      <w:lvlJc w:val="left"/>
      <w:lvlText w:val="%1."/>
      <w:numFmt w:val="decimal"/>
      <w:start w:val="4"/>
    </w:lvl>
    <w:lvl w:ilvl="1">
      <w:lvlJc w:val="left"/>
      <w:lvlText w:val="%2"/>
      <w:numFmt w:val="lowerLetter"/>
      <w:start w:val="1"/>
    </w:lvl>
  </w:abstractNum>
  <w:abstractNum w:abstractNumId="58">
    <w:nsid w:val="5F5E7FD0"/>
    <w:multiLevelType w:val="hybridMultilevel"/>
    <w:lvl w:ilvl="0">
      <w:lvlJc w:val="left"/>
      <w:lvlText w:val="%1."/>
      <w:numFmt w:val="decimal"/>
      <w:start w:val="5"/>
    </w:lvl>
    <w:lvl w:ilvl="1">
      <w:lvlJc w:val="left"/>
      <w:lvlText w:val="(%2)"/>
      <w:numFmt w:val="lowerLetter"/>
      <w:start w:val="1"/>
    </w:lvl>
  </w:abstractNum>
  <w:abstractNum w:abstractNumId="59">
    <w:nsid w:val="98A3148"/>
    <w:multiLevelType w:val="hybridMultilevel"/>
    <w:lvl w:ilvl="0">
      <w:lvlJc w:val="left"/>
      <w:lvlText w:val="%1"/>
      <w:numFmt w:val="decimal"/>
      <w:start w:val="1"/>
    </w:lvl>
    <w:lvl w:ilvl="1">
      <w:lvlJc w:val="left"/>
      <w:lvlText w:val="(%2)"/>
      <w:numFmt w:val="lowerLetter"/>
      <w:start w:val="2"/>
    </w:lvl>
  </w:abstractNum>
  <w:abstractNum w:abstractNumId="60">
    <w:nsid w:val="799D0247"/>
    <w:multiLevelType w:val="hybridMultilevel"/>
    <w:lvl w:ilvl="0">
      <w:lvlJc w:val="left"/>
      <w:lvlText w:val="%1."/>
      <w:numFmt w:val="decimal"/>
      <w:start w:val="6"/>
    </w:lvl>
    <w:lvl w:ilvl="1">
      <w:lvlJc w:val="left"/>
      <w:lvlText w:val="(%2)"/>
      <w:numFmt w:val="lowerLetter"/>
      <w:start w:val="1"/>
    </w:lvl>
  </w:abstractNum>
  <w:abstractNum w:abstractNumId="61">
    <w:nsid w:val="6B94764"/>
    <w:multiLevelType w:val="hybridMultilevel"/>
    <w:lvl w:ilvl="0">
      <w:lvlJc w:val="left"/>
      <w:lvlText w:val="(%1)"/>
      <w:numFmt w:val="lowerLetter"/>
      <w:start w:val="4"/>
    </w:lvl>
  </w:abstractNum>
  <w:abstractNum w:abstractNumId="62">
    <w:nsid w:val="42C296BD"/>
    <w:multiLevelType w:val="hybridMultilevel"/>
    <w:lvl w:ilvl="0">
      <w:lvlJc w:val="left"/>
      <w:lvlText w:val="%1."/>
      <w:numFmt w:val="decimal"/>
      <w:start w:val="1"/>
    </w:lvl>
  </w:abstractNum>
  <w:abstractNum w:abstractNumId="63">
    <w:nsid w:val="168E121F"/>
    <w:multiLevelType w:val="hybridMultilevel"/>
    <w:lvl w:ilvl="0">
      <w:lvlJc w:val="left"/>
      <w:lvlText w:val="%1."/>
      <w:numFmt w:val="decimal"/>
      <w:start w:val="4"/>
    </w:lvl>
  </w:abstractNum>
  <w:abstractNum w:abstractNumId="64">
    <w:nsid w:val="1EBA5D23"/>
    <w:multiLevelType w:val="hybridMultilevel"/>
    <w:lvl w:ilvl="0">
      <w:lvlJc w:val="left"/>
      <w:lvlText w:val="(%1)"/>
      <w:numFmt w:val="lowerLetter"/>
      <w:start w:val="1"/>
    </w:lvl>
  </w:abstractNum>
  <w:abstractNum w:abstractNumId="65">
    <w:nsid w:val="661E3F1E"/>
    <w:multiLevelType w:val="hybridMultilevel"/>
    <w:lvl w:ilvl="0">
      <w:lvlJc w:val="left"/>
      <w:lvlText w:val="%1."/>
      <w:numFmt w:val="decimal"/>
      <w:start w:val="6"/>
    </w:lvl>
  </w:abstractNum>
  <w:abstractNum w:abstractNumId="66">
    <w:nsid w:val="5DC79EA8"/>
    <w:multiLevelType w:val="hybridMultilevel"/>
    <w:lvl w:ilvl="0">
      <w:lvlJc w:val="left"/>
      <w:lvlText w:val="(%1)"/>
      <w:numFmt w:val="lowerLetter"/>
      <w:start w:val="1"/>
    </w:lvl>
  </w:abstractNum>
  <w:abstractNum w:abstractNumId="67">
    <w:nsid w:val="540A471C"/>
    <w:multiLevelType w:val="hybridMultilevel"/>
    <w:lvl w:ilvl="0">
      <w:lvlJc w:val="left"/>
      <w:lvlText w:val="(%1)"/>
      <w:numFmt w:val="lowerRoman"/>
      <w:start w:val="1"/>
    </w:lvl>
  </w:abstractNum>
  <w:abstractNum w:abstractNumId="68">
    <w:nsid w:val="7BD3EE7B"/>
    <w:multiLevelType w:val="hybridMultilevel"/>
    <w:lvl w:ilvl="0">
      <w:lvlJc w:val="left"/>
      <w:lvlText w:val="(%1)"/>
      <w:numFmt w:val="lowerRoman"/>
      <w:start w:val="2"/>
    </w:lvl>
  </w:abstractNum>
  <w:abstractNum w:abstractNumId="69">
    <w:nsid w:val="51D9C564"/>
    <w:multiLevelType w:val="hybridMultilevel"/>
    <w:lvl w:ilvl="0">
      <w:lvlJc w:val="left"/>
      <w:lvlText w:val="(%1)"/>
      <w:numFmt w:val="lowerLetter"/>
      <w:start w:val="3"/>
    </w:lvl>
  </w:abstractNum>
  <w:abstractNum w:abstractNumId="70">
    <w:nsid w:val="613EFDC5"/>
    <w:multiLevelType w:val="hybridMultilevel"/>
    <w:lvl w:ilvl="0">
      <w:lvlJc w:val="left"/>
      <w:lvlText w:val="%1."/>
      <w:numFmt w:val="decimal"/>
      <w:start w:val="7"/>
    </w:lvl>
  </w:abstractNum>
  <w:abstractNum w:abstractNumId="71">
    <w:nsid w:val="BF72B14"/>
    <w:multiLevelType w:val="hybridMultilevel"/>
    <w:lvl w:ilvl="0">
      <w:lvlJc w:val="left"/>
      <w:lvlText w:val="(%1)"/>
      <w:numFmt w:val="lowerLetter"/>
      <w:start w:val="1"/>
    </w:lvl>
  </w:abstractNum>
  <w:abstractNum w:abstractNumId="72">
    <w:nsid w:val="11447B73"/>
    <w:multiLevelType w:val="hybridMultilevel"/>
    <w:lvl w:ilvl="0">
      <w:lvlJc w:val="left"/>
      <w:lvlText w:val="%1."/>
      <w:numFmt w:val="decimal"/>
      <w:start w:val="9"/>
    </w:lvl>
    <w:lvl w:ilvl="1">
      <w:lvlJc w:val="left"/>
      <w:lvlText w:val="(%2)"/>
      <w:numFmt w:val="lowerLetter"/>
      <w:start w:val="1"/>
    </w:lvl>
  </w:abstractNum>
  <w:abstractNum w:abstractNumId="73">
    <w:nsid w:val="42963E5A"/>
    <w:multiLevelType w:val="hybridMultilevel"/>
    <w:lvl w:ilvl="0">
      <w:lvlJc w:val="left"/>
      <w:lvlText w:val="%1."/>
      <w:numFmt w:val="decimal"/>
      <w:start w:val="11"/>
    </w:lvl>
  </w:abstractNum>
  <w:abstractNum w:abstractNumId="74">
    <w:nsid w:val="A0382C5"/>
    <w:multiLevelType w:val="hybridMultilevel"/>
    <w:lvl w:ilvl="0">
      <w:lvlJc w:val="left"/>
      <w:lvlText w:val="(%1)"/>
      <w:numFmt w:val="lowerLetter"/>
      <w:start w:val="1"/>
    </w:lvl>
  </w:abstractNum>
  <w:abstractNum w:abstractNumId="75">
    <w:nsid w:val="8F2B15E"/>
    <w:multiLevelType w:val="hybridMultilevel"/>
    <w:lvl w:ilvl="0">
      <w:lvlJc w:val="left"/>
      <w:lvlText w:val="(%1)"/>
      <w:numFmt w:val="lowerLetter"/>
      <w:start w:val="6"/>
    </w:lvl>
  </w:abstractNum>
  <w:abstractNum w:abstractNumId="76">
    <w:nsid w:val="1A32234B"/>
    <w:multiLevelType w:val="hybridMultilevel"/>
    <w:lvl w:ilvl="0">
      <w:lvlJc w:val="left"/>
      <w:lvlText w:val="%1."/>
      <w:numFmt w:val="decimal"/>
      <w:start w:val="14"/>
    </w:lvl>
  </w:abstractNum>
  <w:abstractNum w:abstractNumId="77">
    <w:nsid w:val="3B0FD379"/>
    <w:multiLevelType w:val="hybridMultilevel"/>
    <w:lvl w:ilvl="0">
      <w:lvlJc w:val="left"/>
      <w:lvlText w:val="%1."/>
      <w:numFmt w:val="decimal"/>
      <w:start w:val="20"/>
    </w:lvl>
    <w:lvl w:ilvl="1">
      <w:lvlJc w:val="left"/>
      <w:lvlText w:val="*"/>
      <w:numFmt w:val="bullet"/>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84" Type="http://schemas.openxmlformats.org/officeDocument/2006/relationships/hyperlink" Target="http://www.sec.gov/Archives/edgar/data/1459839/000119312518303020/d641574dex31.htm" TargetMode="External"/><Relationship Id="rId85" Type="http://schemas.openxmlformats.org/officeDocument/2006/relationships/hyperlink" Target="http://www.sec.gov/Archives/edgar/data/1459839/000119312518293978/d452987dex34.htm" TargetMode="External"/><Relationship Id="rId86" Type="http://schemas.openxmlformats.org/officeDocument/2006/relationships/hyperlink" Target="http://www.sec.gov/Archives/edgar/data/1459839/000119312518293978/d45298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2022-11-08T15:45:08Z</dcterms:created>
  <dcterms:modified xsi:type="dcterms:W3CDTF">2022-11-08T15:45:08Z</dcterms:modified>
</cp:coreProperties>
</file>