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22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22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90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900" w:type="dxa"/>
            <w:vAlign w:val="bottom"/>
            <w:gridSpan w:val="9"/>
            <w:vMerge w:val="continue"/>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6"/>
          </w:tcPr>
          <w:p>
            <w:pPr>
              <w:jc w:val="center"/>
              <w:ind w:right="1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67"/>
              <w:spacing w:after="0" w:line="133"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05/16/2025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40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7"/>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19.8035</w:t>
            </w:r>
            <w:r>
              <w:rPr>
                <w:rFonts w:ascii="Times New Roman" w:cs="Times New Roman" w:eastAsia="Times New Roman" w:hAnsi="Times New Roman"/>
                <w:sz w:val="22"/>
                <w:szCs w:val="22"/>
                <w:color w:val="008000"/>
                <w:w w:val="97"/>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232,029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05/16/2025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1,127</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7"/>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19.3576</w:t>
            </w:r>
            <w:r>
              <w:rPr>
                <w:rFonts w:ascii="Times New Roman" w:cs="Times New Roman" w:eastAsia="Times New Roman" w:hAnsi="Times New Roman"/>
                <w:sz w:val="22"/>
                <w:szCs w:val="22"/>
                <w:color w:val="008000"/>
                <w:w w:val="97"/>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230,902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05/16/2025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968</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7"/>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19.2573</w:t>
            </w:r>
            <w:r>
              <w:rPr>
                <w:rFonts w:ascii="Times New Roman" w:cs="Times New Roman" w:eastAsia="Times New Roman" w:hAnsi="Times New Roman"/>
                <w:sz w:val="22"/>
                <w:szCs w:val="22"/>
                <w:color w:val="008000"/>
                <w:w w:val="97"/>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229,934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05/16/2025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1,924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7"/>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19.5386</w:t>
            </w:r>
            <w:r>
              <w:rPr>
                <w:rFonts w:ascii="Times New Roman" w:cs="Times New Roman" w:eastAsia="Times New Roman" w:hAnsi="Times New Roman"/>
                <w:sz w:val="22"/>
                <w:szCs w:val="22"/>
                <w:color w:val="008000"/>
                <w:w w:val="97"/>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228,010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05/16/2025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307</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7"/>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19.9152</w:t>
            </w:r>
            <w:r>
              <w:rPr>
                <w:rFonts w:ascii="Times New Roman" w:cs="Times New Roman" w:eastAsia="Times New Roman" w:hAnsi="Times New Roman"/>
                <w:sz w:val="22"/>
                <w:szCs w:val="22"/>
                <w:color w:val="008000"/>
                <w:w w:val="97"/>
                <w:vertAlign w:val="superscript"/>
              </w:rPr>
              <w:t>(6)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227,703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05/16/2025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rPr>
              <w:t>261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7"/>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19.9726</w:t>
            </w:r>
            <w:r>
              <w:rPr>
                <w:rFonts w:ascii="Times New Roman" w:cs="Times New Roman" w:eastAsia="Times New Roman" w:hAnsi="Times New Roman"/>
                <w:sz w:val="22"/>
                <w:szCs w:val="22"/>
                <w:color w:val="008000"/>
                <w:w w:val="97"/>
                <w:vertAlign w:val="superscript"/>
              </w:rPr>
              <w:t>(7)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227,442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05/16/2025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(8)</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4,958</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7"/>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20.0142</w:t>
            </w:r>
            <w:r>
              <w:rPr>
                <w:rFonts w:ascii="Times New Roman" w:cs="Times New Roman" w:eastAsia="Times New Roman" w:hAnsi="Times New Roman"/>
                <w:sz w:val="22"/>
                <w:szCs w:val="22"/>
                <w:color w:val="008000"/>
                <w:w w:val="97"/>
                <w:vertAlign w:val="superscript"/>
              </w:rPr>
              <w:t>(9)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224,507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05/19/2025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(8)</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2,424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7"/>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19.4773</w:t>
            </w:r>
            <w:r>
              <w:rPr>
                <w:rFonts w:ascii="Times New Roman" w:cs="Times New Roman" w:eastAsia="Times New Roman" w:hAnsi="Times New Roman"/>
                <w:sz w:val="22"/>
                <w:szCs w:val="22"/>
                <w:color w:val="008000"/>
                <w:w w:val="94"/>
                <w:vertAlign w:val="superscript"/>
              </w:rPr>
              <w:t>(10)</w:t>
            </w:r>
          </w:p>
        </w:tc>
        <w:tc>
          <w:tcPr>
            <w:tcW w:w="1200" w:type="dxa"/>
            <w:vAlign w:val="bottom"/>
            <w:tcBorders>
              <w:bottom w:val="single" w:sz="8" w:color="2C2C2C"/>
            </w:tcBorders>
            <w:gridSpan w:val="2"/>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222,083</w:t>
            </w:r>
            <w:r>
              <w:rPr>
                <w:rFonts w:ascii="Times New Roman" w:cs="Times New Roman" w:eastAsia="Times New Roman" w:hAnsi="Times New Roman"/>
                <w:sz w:val="11"/>
                <w:szCs w:val="11"/>
                <w:color w:val="008000"/>
                <w:w w:val="83"/>
              </w:rPr>
              <w:t>(11)(12)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$19.80 USD to $19.87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$18.76 USD to $19.71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$18.79 USD to $19.68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$18.91 USD to $19.89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$19.80 USD to $20.01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$19.91 USD to $20.01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the range set forth in this footnote.</w:t>
      </w:r>
    </w:p>
    <w:p>
      <w:pPr>
        <w:spacing w:after="0" w:line="50" w:lineRule="exact"/>
        <w:rPr>
          <w:sz w:val="20"/>
          <w:szCs w:val="20"/>
          <w:color w:val="auto"/>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$20.00 USD to $20.04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$19.31 USD to $19.68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2,023 shares acquired under the SI-BONE, Inc. 2018 Employee Stock Purchase Plan on May 15, 2025.</w:t>
      </w:r>
    </w:p>
    <w:p>
      <w:pPr>
        <w:spacing w:after="0" w:line="50" w:lineRule="exact"/>
        <w:rPr>
          <w:rFonts w:ascii="Times New Roman" w:cs="Times New Roman" w:eastAsia="Times New Roman" w:hAnsi="Times New Roman"/>
          <w:sz w:val="13"/>
          <w:szCs w:val="13"/>
          <w:color w:val="008000"/>
        </w:rPr>
      </w:pPr>
    </w:p>
    <w:p>
      <w:pPr>
        <w:ind w:right="1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170,852 shares issuable on the settlement of restricted stock units granted to the Reporting Person. Each restricted stock unit represents a contingent right to receive one share of the Issuer's common stock.</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05/20/2025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43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27" w:right="51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8"/>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2025-05-20T18:50:26Z</dcterms:created>
  <dcterms:modified xsi:type="dcterms:W3CDTF">2025-05-20T18:50:26Z</dcterms:modified>
</cp:coreProperties>
</file>