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03/26/2020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3,750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76,214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shares issuable on settlement of restricted stock units granted to the Reporting Person. Each restricted stock unit represents a contingent right to receive one shares of the Issuer's common stock. The shares subject to the restricted stock unit vest in lump sum on January 15, 2021, subject to the Reporting Person's continued service through relevant vesting date.</w:t>
      </w: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72,575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03/30/2020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2020-03-30T16:55:48Z</dcterms:created>
  <dcterms:modified xsi:type="dcterms:W3CDTF">2020-03-30T16:55:48Z</dcterms:modified>
</cp:coreProperties>
</file>