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9, 2022</w:t>
      </w:r>
    </w:p>
    <w:p>
      <w:pPr>
        <w:spacing w:after="0" w:line="2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SI-BONE,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001-38701</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26-2216351</w:t>
            </w:r>
          </w:p>
        </w:tc>
      </w:tr>
      <w:tr>
        <w:trPr>
          <w:trHeight w:val="168"/>
        </w:trPr>
        <w:tc>
          <w:tcPr>
            <w:tcW w:w="2340" w:type="dxa"/>
            <w:vAlign w:val="bottom"/>
          </w:tcPr>
          <w:p>
            <w:pPr>
              <w:jc w:val="center"/>
              <w:ind w:right="29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18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color w:val="auto"/>
              </w:rPr>
              <w:t>(Commission</w:t>
            </w:r>
          </w:p>
        </w:tc>
        <w:tc>
          <w:tcPr>
            <w:tcW w:w="1720" w:type="dxa"/>
            <w:vAlign w:val="bottom"/>
          </w:tcPr>
          <w:p>
            <w:pPr>
              <w:jc w:val="center"/>
              <w:ind w:left="41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1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File Number)</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16"/>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Suite 101</w:t>
            </w:r>
          </w:p>
        </w:tc>
        <w:tc>
          <w:tcPr>
            <w:tcW w:w="1720" w:type="dxa"/>
            <w:vAlign w:val="bottom"/>
          </w:tcPr>
          <w:p>
            <w:pPr>
              <w:spacing w:after="0"/>
              <w:rPr>
                <w:sz w:val="16"/>
                <w:szCs w:val="16"/>
                <w:color w:val="auto"/>
              </w:rPr>
            </w:pPr>
          </w:p>
        </w:tc>
      </w:tr>
      <w:tr>
        <w:trPr>
          <w:trHeight w:val="204"/>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Santa Clara, CA 95050</w:t>
            </w:r>
          </w:p>
        </w:tc>
        <w:tc>
          <w:tcPr>
            <w:tcW w:w="1720" w:type="dxa"/>
            <w:vAlign w:val="bottom"/>
          </w:tcPr>
          <w:p>
            <w:pPr>
              <w:spacing w:after="0"/>
              <w:rPr>
                <w:sz w:val="17"/>
                <w:szCs w:val="17"/>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720" w:type="dxa"/>
            <w:vAlign w:val="bottom"/>
          </w:tcPr>
          <w:p>
            <w:pPr>
              <w:spacing w:after="0"/>
              <w:rPr>
                <w:sz w:val="18"/>
                <w:szCs w:val="18"/>
                <w:color w:val="auto"/>
              </w:rPr>
            </w:pPr>
          </w:p>
        </w:tc>
      </w:tr>
      <w:tr>
        <w:trPr>
          <w:trHeight w:val="424"/>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(408) 207-0700</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include area code)</w:t>
            </w:r>
          </w:p>
        </w:tc>
        <w:tc>
          <w:tcPr>
            <w:tcW w:w="1720" w:type="dxa"/>
            <w:vAlign w:val="bottom"/>
          </w:tcPr>
          <w:p>
            <w:pPr>
              <w:spacing w:after="0"/>
              <w:rPr>
                <w:sz w:val="18"/>
                <w:szCs w:val="18"/>
                <w:color w:val="auto"/>
              </w:rPr>
            </w:pPr>
          </w:p>
        </w:tc>
      </w:tr>
      <w:tr>
        <w:trPr>
          <w:trHeight w:val="411"/>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20" w:type="dxa"/>
            <w:vAlign w:val="bottom"/>
          </w:tcPr>
          <w:p>
            <w:pPr>
              <w:spacing w:after="0"/>
              <w:rPr>
                <w:sz w:val="18"/>
                <w:szCs w:val="18"/>
                <w:color w:val="auto"/>
              </w:rPr>
            </w:pPr>
          </w:p>
        </w:tc>
      </w:tr>
    </w:tbl>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4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330" w:lineRule="exact"/>
        <w:rPr>
          <w:sz w:val="24"/>
          <w:szCs w:val="24"/>
          <w:color w:val="auto"/>
        </w:rPr>
      </w:pPr>
    </w:p>
    <w:p>
      <w:pPr>
        <w:jc w:val="cente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9"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74" w:lineRule="exact"/>
        <w:rPr>
          <w:sz w:val="24"/>
          <w:szCs w:val="24"/>
          <w:color w:val="auto"/>
        </w:rPr>
      </w:pPr>
    </w:p>
    <w:p>
      <w:pPr>
        <w:jc w:val="cente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1308735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88"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On May 9, 2022, SI-BONE, Inc. (the "Company") issued a press release (the “Press Release”) announcing results for the quarter ended March 31, 2022. A copy of the Press Release is attached as Exhibit 99.1 to this current report on Form 8-K and is incorporated by reference herein.</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26"/>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20" w:type="dxa"/>
            <w:vAlign w:val="bottom"/>
          </w:tcPr>
          <w:p>
            <w:pPr>
              <w:spacing w:after="0"/>
              <w:rPr>
                <w:sz w:val="24"/>
                <w:szCs w:val="24"/>
                <w:color w:val="auto"/>
              </w:rPr>
            </w:pPr>
          </w:p>
        </w:tc>
      </w:tr>
      <w:tr>
        <w:trPr>
          <w:trHeight w:val="412"/>
        </w:trPr>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May 9, 2022</w:t>
            </w:r>
          </w:p>
        </w:tc>
        <w:tc>
          <w:tcPr>
            <w:tcW w:w="7720" w:type="dxa"/>
            <w:vAlign w:val="bottom"/>
            <w:gridSpan w:val="2"/>
          </w:tcPr>
          <w:p>
            <w:pPr>
              <w:spacing w:after="0"/>
              <w:rPr>
                <w:sz w:val="24"/>
                <w:szCs w:val="24"/>
                <w:color w:val="auto"/>
              </w:rPr>
            </w:pPr>
          </w:p>
        </w:tc>
      </w:tr>
      <w:tr>
        <w:trPr>
          <w:trHeight w:val="250"/>
        </w:trPr>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Date File (embedded within the Inline XBRL document)</w:t>
            </w:r>
          </w:p>
        </w:tc>
      </w:tr>
      <w:tr>
        <w:trPr>
          <w:trHeight w:val="1222"/>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0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9, 2022</w:t>
            </w:r>
          </w:p>
        </w:tc>
        <w:tc>
          <w:tcPr>
            <w:tcW w:w="21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Anshul Maheshwari</w:t>
            </w:r>
          </w:p>
        </w:tc>
      </w:tr>
      <w:tr>
        <w:trPr>
          <w:trHeight w:val="228"/>
        </w:trPr>
        <w:tc>
          <w:tcPr>
            <w:tcW w:w="6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r>
    </w:tbl>
    <w:p>
      <w:pPr>
        <w:ind w:left="5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20"/>
          </w:cols>
          <w:pgMar w:left="320" w:top="88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19685</wp:posOffset>
            </wp:positionV>
            <wp:extent cx="132016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SI-BONE, Inc. Reports First Quarter 2022 Financial Results</w:t>
      </w:r>
    </w:p>
    <w:p>
      <w:pPr>
        <w:spacing w:after="0" w:line="270"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20"/>
          <w:szCs w:val="20"/>
          <w:b w:val="1"/>
          <w:bCs w:val="1"/>
          <w:color w:val="auto"/>
        </w:rPr>
        <w:t xml:space="preserve">SANTA CLARA, Calif. </w:t>
      </w:r>
      <w:r>
        <w:rPr>
          <w:rFonts w:ascii="Times New Roman" w:cs="Times New Roman" w:eastAsia="Times New Roman" w:hAnsi="Times New Roman"/>
          <w:sz w:val="20"/>
          <w:szCs w:val="20"/>
          <w:color w:val="auto"/>
        </w:rPr>
        <w:t>May 9, 2022 - SI-BONE, Inc. (Nasdaq:SIBN), a medical device company dedicated to solving musculoskeletal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disorders of the sacropelvic anatomy, today reported financial results for the quarter ended March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Highlights</w:t>
      </w:r>
    </w:p>
    <w:p>
      <w:pPr>
        <w:spacing w:after="0" w:line="58"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Worldwide revenue of $22.4 million for the first quarter 2022, representing a 10% increase over the corresponding period in 2021</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revenue of $20.4 million for the first quarter 2022, representing a 9% increase over the corresponding period in 2021</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of 87% for the first quarter 2022</w:t>
      </w:r>
    </w:p>
    <w:p>
      <w:pPr>
        <w:spacing w:after="0" w:line="80"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Expanded U.S. commercial organization to 18 sales regions with the addition of 2 new sales regions</w:t>
      </w:r>
    </w:p>
    <w:p>
      <w:pPr>
        <w:spacing w:after="0" w:line="121"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Awarded Breakthrough Device Designation by the FDA for iFuse Bedrock Granite</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targeting adult spinal deformity</w:t>
      </w:r>
    </w:p>
    <w:p>
      <w:pPr>
        <w:spacing w:after="0" w:line="53"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Technology Add-on Payment (NTAP) proposed by CMS for iFuse Bedrock Granite</w:t>
      </w:r>
      <w:r>
        <w:rPr>
          <w:rFonts w:ascii="Times New Roman" w:cs="Times New Roman" w:eastAsia="Times New Roman" w:hAnsi="Times New Roman"/>
          <w:sz w:val="25"/>
          <w:szCs w:val="25"/>
          <w:color w:val="auto"/>
          <w:vertAlign w:val="superscript"/>
        </w:rPr>
        <w:t>TM</w:t>
      </w:r>
    </w:p>
    <w:p>
      <w:pPr>
        <w:spacing w:after="0" w:line="27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0"/>
          <w:szCs w:val="20"/>
          <w:color w:val="auto"/>
        </w:rPr>
        <w:t>“Our performance in the quarter demonstrates our focused execution to navigate the macro headwinds.” said Laura Francis, Chief Executive Officer of SI-BONE. “As an innovation-driven industry pioneer, we are on the forefront of developing breakthrough sacropelvic surgical solutions to drive top line growth. After the successful launch of TORQ last year, I am extremely proud of the recognition of iFuse Bedrock Granite by the FDA and CMS. Consistent with our long-term value creation strategy, our growing portfolio of highly differentiated solutions positions us to help thousands of patients and extend our leadership as a sacropelvic solutions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2022 Financial Results</w:t>
      </w:r>
    </w:p>
    <w:p>
      <w:pPr>
        <w:spacing w:after="0" w:line="28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0"/>
          <w:szCs w:val="20"/>
          <w:color w:val="auto"/>
        </w:rPr>
        <w:t>Worldwide revenue was $22.4 million in the first quarter 2022, a 10% increase from $20.4 million in the corresponding period in 2021. U.S. revenue for the first quarter 2022 was $20.4 million, a 9% increase from $18.8 million in the corresponding period in 2021. International revenue for the first quarter 2022 was $2.1 million, a 24% increase from $1.7 million in the corresponding period in 2021.</w:t>
      </w:r>
    </w:p>
    <w:p>
      <w:pPr>
        <w:spacing w:after="0" w:line="196"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20"/>
          <w:szCs w:val="20"/>
          <w:color w:val="auto"/>
        </w:rPr>
        <w:t>Gross margin was 87% for the first quarter 2022, as compared to 89% in the corresponding period in 2021. Gross margin in the first quarter 2022 was impacted by lower average selling prices due to procedure and site of service mix, as well as an increase in cost of operations to support the growth of the business.</w:t>
      </w:r>
    </w:p>
    <w:p>
      <w:pPr>
        <w:sectPr>
          <w:pgSz w:w="11900" w:h="16838" w:orient="portrait"/>
          <w:cols w:equalWidth="0" w:num="1">
            <w:col w:w="11240"/>
          </w:cols>
          <w:pgMar w:left="320" w:top="887" w:right="339" w:bottom="1440" w:gutter="0" w:footer="0" w:header="0"/>
        </w:sectPr>
      </w:pPr>
    </w:p>
    <w:bookmarkStart w:id="4" w:name="page5"/>
    <w:bookmarkEnd w:id="4"/>
    <w:p>
      <w:pPr>
        <w:jc w:val="both"/>
        <w:spacing w:after="0" w:line="310" w:lineRule="auto"/>
        <w:rPr>
          <w:sz w:val="20"/>
          <w:szCs w:val="20"/>
          <w:color w:val="auto"/>
        </w:rPr>
      </w:pPr>
      <w:r>
        <w:rPr>
          <w:rFonts w:ascii="Times New Roman" w:cs="Times New Roman" w:eastAsia="Times New Roman" w:hAnsi="Times New Roman"/>
          <w:sz w:val="20"/>
          <w:szCs w:val="20"/>
          <w:color w:val="auto"/>
        </w:rPr>
        <w:t>Operating expenses increased 22% to $36.3 million in the first quarter 2022, as compared to $29.8 million in the corresponding period in 2021. The increase was driven by higher sales and marketing expenses related to sales force expansion, higher travel costs, research and development investment and increased stock-based compensation.</w:t>
      </w:r>
    </w:p>
    <w:p>
      <w:pPr>
        <w:spacing w:after="0" w:line="20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Operating loss was $16.9 million in the first quarter 2022, as compared to an operating loss of $11.6 million in the corresponding period in 2021.</w:t>
      </w:r>
    </w:p>
    <w:p>
      <w:pPr>
        <w:spacing w:after="0" w:line="201"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20"/>
          <w:szCs w:val="20"/>
          <w:color w:val="auto"/>
        </w:rPr>
        <w:t>Net loss was $17.4 million, or $0.52 per diluted share for the first quarter 2022, as compared to a net loss of $12.2 million, or $0.37 per diluted share in the corresponding period in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and marketable securities were $130.7 million and long-term borrowings were $35.0 million as of March 31,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2022 Financial Guidance</w:t>
      </w:r>
    </w:p>
    <w:p>
      <w:pPr>
        <w:spacing w:after="0" w:line="314"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20"/>
          <w:szCs w:val="20"/>
          <w:color w:val="auto"/>
        </w:rPr>
        <w:t xml:space="preserve">SI-BONE is encouraged by the strong momentum in the business, but remains cognizant of the uncertainty surrounding COVID-19 and its impact on elective procedures as well as hospital and ASC infrastructure and staffing levels. </w:t>
      </w:r>
      <w:r>
        <w:rPr>
          <w:rFonts w:ascii="Times New Roman" w:cs="Times New Roman" w:eastAsia="Times New Roman" w:hAnsi="Times New Roman"/>
          <w:sz w:val="21"/>
          <w:szCs w:val="21"/>
          <w:color w:val="auto"/>
        </w:rPr>
        <w:t>T</w:t>
      </w:r>
      <w:r>
        <w:rPr>
          <w:rFonts w:ascii="Times New Roman" w:cs="Times New Roman" w:eastAsia="Times New Roman" w:hAnsi="Times New Roman"/>
          <w:sz w:val="20"/>
          <w:szCs w:val="20"/>
          <w:color w:val="auto"/>
        </w:rPr>
        <w:t>he Company continues to expect total 2022 revenue of approximately $106 million to $108 million, representing growth of 18% to 20% compared to full year 2021.</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Webcast and Conference Call Information</w:t>
      </w:r>
    </w:p>
    <w:p>
      <w:pPr>
        <w:spacing w:after="0" w:line="287" w:lineRule="exact"/>
        <w:rPr>
          <w:sz w:val="20"/>
          <w:szCs w:val="20"/>
          <w:color w:val="auto"/>
        </w:rPr>
      </w:pPr>
    </w:p>
    <w:p>
      <w:pPr>
        <w:jc w:val="both"/>
        <w:spacing w:after="0" w:line="327" w:lineRule="auto"/>
        <w:rPr>
          <w:sz w:val="20"/>
          <w:szCs w:val="20"/>
          <w:color w:val="auto"/>
        </w:rPr>
      </w:pPr>
      <w:r>
        <w:rPr>
          <w:rFonts w:ascii="Times New Roman" w:cs="Times New Roman" w:eastAsia="Times New Roman" w:hAnsi="Times New Roman"/>
          <w:sz w:val="20"/>
          <w:szCs w:val="20"/>
          <w:color w:val="auto"/>
        </w:rPr>
        <w:t xml:space="preserve">SI-BONE will host a conference call to discuss the first quarter 2022 financial results after market close on Monday, May 9, 2022 at 4:30 P.M. Eastern Time. The conference call can be accessed live over the phone </w:t>
      </w:r>
      <w:r>
        <w:rPr>
          <w:rFonts w:ascii="Times New Roman" w:cs="Times New Roman" w:eastAsia="Times New Roman" w:hAnsi="Times New Roman"/>
          <w:sz w:val="21"/>
          <w:szCs w:val="21"/>
          <w:color w:val="auto"/>
        </w:rPr>
        <w:t>(866) 470-1968</w:t>
      </w:r>
      <w:r>
        <w:rPr>
          <w:rFonts w:ascii="Times New Roman" w:cs="Times New Roman" w:eastAsia="Times New Roman" w:hAnsi="Times New Roman"/>
          <w:sz w:val="20"/>
          <w:szCs w:val="20"/>
          <w:color w:val="auto"/>
        </w:rPr>
        <w:t xml:space="preserve"> for domestic callers or </w:t>
      </w:r>
      <w:r>
        <w:rPr>
          <w:rFonts w:ascii="Times New Roman" w:cs="Times New Roman" w:eastAsia="Times New Roman" w:hAnsi="Times New Roman"/>
          <w:sz w:val="21"/>
          <w:szCs w:val="21"/>
          <w:color w:val="auto"/>
        </w:rPr>
        <w:t>(409) 217-8248</w:t>
      </w:r>
      <w:r>
        <w:rPr>
          <w:rFonts w:ascii="Times New Roman" w:cs="Times New Roman" w:eastAsia="Times New Roman" w:hAnsi="Times New Roman"/>
          <w:sz w:val="20"/>
          <w:szCs w:val="20"/>
          <w:color w:val="auto"/>
        </w:rPr>
        <w:t xml:space="preserve"> for international callers, using conference ID: </w:t>
      </w:r>
      <w:r>
        <w:rPr>
          <w:rFonts w:ascii="Times New Roman" w:cs="Times New Roman" w:eastAsia="Times New Roman" w:hAnsi="Times New Roman"/>
          <w:sz w:val="21"/>
          <w:szCs w:val="21"/>
          <w:color w:val="auto"/>
        </w:rPr>
        <w:t>6088498</w:t>
      </w:r>
      <w:r>
        <w:rPr>
          <w:rFonts w:ascii="Times New Roman" w:cs="Times New Roman" w:eastAsia="Times New Roman" w:hAnsi="Times New Roman"/>
          <w:sz w:val="20"/>
          <w:szCs w:val="20"/>
          <w:color w:val="auto"/>
        </w:rPr>
        <w:t xml:space="preserve">. The webcast can be accessed at </w:t>
      </w:r>
      <w:r>
        <w:rPr>
          <w:rFonts w:ascii="Times New Roman" w:cs="Times New Roman" w:eastAsia="Times New Roman" w:hAnsi="Times New Roman"/>
          <w:sz w:val="21"/>
          <w:szCs w:val="21"/>
          <w:u w:val="single" w:color="auto"/>
          <w:color w:val="0000FF"/>
        </w:rPr>
        <w:t>https://investor.si-bone.com</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SI-BONE, Inc.</w:t>
      </w:r>
    </w:p>
    <w:p>
      <w:pPr>
        <w:spacing w:after="0" w:line="30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20"/>
          <w:szCs w:val="20"/>
          <w:color w:val="auto"/>
        </w:rPr>
        <w:t>SI-BONE (NASDAQ: SIBN) is a global leader in technology for surgical treatment of musculoskeletal disorders of the sacropelvic anatomy. In 2009, SI-BONE introduced the iFuse Implant System for minimally invasive surgery of the SI joint, shown to be a source of pain in 15% to 30% of chronic low back pain. Since then, more than 2,700 surgeons have performed a combined total of more than 65,000 SI joint fusion procedures. A unique body of evidence, supporting the triangular iFuse implant, including two RCT’s and over 100 peer reviewed publications, has enabled multiple government and private insurance payors to establish coverage of the SI joint fusion procedure exclusively when performed with SI-BONE's triangular iFuse implant. SI-BONE is leveraging its market leadership position, supported by this proprietary reimbursement advantage, to commercialize other devices intended for surgical treatment of related aspects of the human anatomy. For more information or to join our team, please visit us at at www.si-bone.com.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additional information on the company or the products including risks and benefits, please visit www.si-bone.com.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SI-BONE and iFuse Implant System are registered trademarks of SI-BONE, Inc. ©2022 SI-BONE, Inc. All Rights Reserved.</w:t>
      </w:r>
    </w:p>
    <w:p>
      <w:pPr>
        <w:sectPr>
          <w:pgSz w:w="11900" w:h="16838" w:orient="portrait"/>
          <w:cols w:equalWidth="0" w:num="1">
            <w:col w:w="11240"/>
          </w:cols>
          <w:pgMar w:left="320" w:top="9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30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0"/>
          <w:szCs w:val="20"/>
          <w:color w:val="auto"/>
        </w:rPr>
        <w:t>The statements in this press release regarding expectations of future events or results, including SI-BONE’s expectations of continued growth and financial outlook, contained in this press release are "forward-looking" statements. These forward-looking statements are based on SI-BONE's current expectations and inherently involve significant risks and uncertainties. These risks include the impact the COVID-19 pandemic will have on the ability and desire of patients and physicians to undergo procedures using the iFuse Implant System, the duration of the COVID-19 pandemic, whether the COVID-19 pandemic will recur in the future, and SI-BONE's ability to increase demand for iFuse.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Matt Bacso, CFA</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investors@SI-BONE.com</w:t>
      </w:r>
    </w:p>
    <w:p>
      <w:pPr>
        <w:sectPr>
          <w:pgSz w:w="11900" w:h="16838" w:orient="portrait"/>
          <w:cols w:equalWidth="0" w:num="1">
            <w:col w:w="11240"/>
          </w:cols>
          <w:pgMar w:left="320" w:top="1152"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58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80" w:type="dxa"/>
            <w:vAlign w:val="bottom"/>
            <w:shd w:val="clear" w:color="auto" w:fill="CCEEFF"/>
          </w:tcPr>
          <w:p>
            <w:pPr>
              <w:ind w:left="60"/>
              <w:spacing w:after="0" w:line="142" w:lineRule="exact"/>
              <w:rPr>
                <w:sz w:val="20"/>
                <w:szCs w:val="20"/>
                <w:color w:val="auto"/>
              </w:rPr>
            </w:pPr>
            <w:r>
              <w:rPr>
                <w:rFonts w:ascii="Times New Roman" w:cs="Times New Roman" w:eastAsia="Times New Roman" w:hAnsi="Times New Roman"/>
                <w:sz w:val="16"/>
                <w:szCs w:val="16"/>
                <w:color w:val="auto"/>
              </w:rPr>
              <w:t>Weighted-average number of common shares used to compute basic and diluted</w:t>
            </w:r>
          </w:p>
        </w:tc>
        <w:tc>
          <w:tcPr>
            <w:tcW w:w="3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33,792,326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32,691,578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887" w:right="1440"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63,419</w:t>
            </w:r>
          </w:p>
        </w:tc>
      </w:tr>
      <w:tr>
        <w:trPr>
          <w:trHeight w:val="230"/>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83,560</w:t>
            </w:r>
          </w:p>
        </w:tc>
      </w:tr>
      <w:tr>
        <w:trPr>
          <w:trHeight w:val="22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w:t>
            </w:r>
          </w:p>
        </w:tc>
      </w:tr>
      <w:tr>
        <w:trPr>
          <w:trHeight w:val="229"/>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w:t>
            </w:r>
          </w:p>
        </w:tc>
      </w:tr>
      <w:tr>
        <w:trPr>
          <w:trHeight w:val="23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175,866</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5,248</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3"/>
        </w:trPr>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176,849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190,506</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w:t>
            </w:r>
          </w:p>
        </w:tc>
      </w:tr>
      <w:tr>
        <w:trPr>
          <w:trHeight w:val="229"/>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12,353</w:t>
            </w:r>
          </w:p>
        </w:tc>
      </w:tr>
      <w:tr>
        <w:trPr>
          <w:trHeight w:val="229"/>
        </w:trPr>
        <w:tc>
          <w:tcPr>
            <w:tcW w:w="7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16,890</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34,973</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70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56,086</w:t>
            </w:r>
          </w:p>
        </w:tc>
      </w:tr>
      <w:tr>
        <w:trPr>
          <w:trHeight w:val="250"/>
        </w:trPr>
        <w:tc>
          <w:tcPr>
            <w:tcW w:w="7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and additional paid-in capital</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429,917</w:t>
            </w: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9"/>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(313,259)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(295,849)</w:t>
            </w:r>
          </w:p>
        </w:tc>
      </w:tr>
      <w:tr>
        <w:trPr>
          <w:trHeight w:val="223"/>
        </w:trPr>
        <w:tc>
          <w:tcPr>
            <w:tcW w:w="7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134,420</w:t>
            </w:r>
          </w:p>
        </w:tc>
      </w:tr>
      <w:tr>
        <w:trPr>
          <w:trHeight w:val="223"/>
        </w:trPr>
        <w:tc>
          <w:tcPr>
            <w:tcW w:w="7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176,849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190,506</w:t>
            </w: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260"/>
      </w:cols>
      <w:pgMar w:left="820" w:top="887"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2022-05-09T15:17:34Z</dcterms:created>
  <dcterms:modified xsi:type="dcterms:W3CDTF">2022-05-09T15:17:34Z</dcterms:modified>
</cp:coreProperties>
</file>