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GC &amp; Chief Compliance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07/16/2020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241</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16.5622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49,954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38,015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07/17/2020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2020-07-17T11:51:54Z</dcterms:created>
  <dcterms:modified xsi:type="dcterms:W3CDTF">2020-07-17T11:51:54Z</dcterms:modified>
</cp:coreProperties>
</file>