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U.S. Securities and Exchange Commission on October 5, 2018</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333-227445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81915</wp:posOffset>
            </wp:positionV>
            <wp:extent cx="698944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158750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89"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40"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Amendment No. 1</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to</w:t>
      </w:r>
    </w:p>
    <w:p>
      <w:pPr>
        <w:jc w:val="center"/>
        <w:ind w:right="-199"/>
        <w:spacing w:after="0" w:line="233" w:lineRule="auto"/>
        <w:rPr>
          <w:sz w:val="20"/>
          <w:szCs w:val="20"/>
          <w:color w:val="auto"/>
        </w:rPr>
      </w:pPr>
      <w:r>
        <w:rPr>
          <w:rFonts w:ascii="Arial" w:cs="Arial" w:eastAsia="Arial" w:hAnsi="Arial"/>
          <w:sz w:val="20"/>
          <w:szCs w:val="20"/>
          <w:b w:val="1"/>
          <w:bCs w:val="1"/>
          <w:color w:val="auto"/>
        </w:rPr>
        <w:t>Form S-1</w:t>
      </w:r>
    </w:p>
    <w:p>
      <w:pPr>
        <w:jc w:val="center"/>
        <w:ind w:right="-199"/>
        <w:spacing w:after="0" w:line="221" w:lineRule="auto"/>
        <w:rPr>
          <w:sz w:val="20"/>
          <w:szCs w:val="20"/>
          <w:color w:val="auto"/>
        </w:rPr>
      </w:pPr>
      <w:r>
        <w:rPr>
          <w:rFonts w:ascii="Arial" w:cs="Arial" w:eastAsia="Arial" w:hAnsi="Arial"/>
          <w:sz w:val="14"/>
          <w:szCs w:val="14"/>
          <w:b w:val="1"/>
          <w:bCs w:val="1"/>
          <w:color w:val="auto"/>
        </w:rPr>
        <w:t>REGISTRATION STATEMENT</w:t>
      </w:r>
    </w:p>
    <w:p>
      <w:pPr>
        <w:jc w:val="center"/>
        <w:ind w:right="-199"/>
        <w:spacing w:after="0" w:line="221" w:lineRule="auto"/>
        <w:rPr>
          <w:sz w:val="20"/>
          <w:szCs w:val="20"/>
          <w:color w:val="auto"/>
        </w:rPr>
      </w:pPr>
      <w:r>
        <w:rPr>
          <w:rFonts w:ascii="Arial" w:cs="Arial" w:eastAsia="Arial" w:hAnsi="Arial"/>
          <w:sz w:val="14"/>
          <w:szCs w:val="14"/>
          <w:b w:val="1"/>
          <w:bCs w:val="1"/>
          <w:color w:val="auto"/>
        </w:rPr>
        <w:t>Under</w:t>
      </w:r>
    </w:p>
    <w:p>
      <w:pPr>
        <w:jc w:val="center"/>
        <w:ind w:right="-19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40"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SI-BONE, INC.</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9"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3841</w:t>
            </w:r>
          </w:p>
        </w:tc>
        <w:tc>
          <w:tcPr>
            <w:tcW w:w="242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26-2216351</w:t>
            </w:r>
          </w:p>
        </w:tc>
      </w:tr>
      <w:tr>
        <w:trPr>
          <w:trHeight w:val="148"/>
        </w:trPr>
        <w:tc>
          <w:tcPr>
            <w:tcW w:w="2780" w:type="dxa"/>
            <w:vAlign w:val="bottom"/>
          </w:tcPr>
          <w:p>
            <w:pPr>
              <w:jc w:val="center"/>
              <w:ind w:right="928"/>
              <w:spacing w:after="0" w:line="149" w:lineRule="exact"/>
              <w:rPr>
                <w:sz w:val="20"/>
                <w:szCs w:val="20"/>
                <w:color w:val="auto"/>
              </w:rPr>
            </w:pPr>
            <w:r>
              <w:rPr>
                <w:rFonts w:ascii="Arial" w:cs="Arial" w:eastAsia="Arial" w:hAnsi="Arial"/>
                <w:sz w:val="14"/>
                <w:szCs w:val="14"/>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0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80" w:type="dxa"/>
            <w:vAlign w:val="bottom"/>
          </w:tcPr>
          <w:p>
            <w:pPr>
              <w:jc w:val="center"/>
              <w:ind w:right="928"/>
              <w:spacing w:after="0"/>
              <w:rPr>
                <w:sz w:val="20"/>
                <w:szCs w:val="20"/>
                <w:color w:val="auto"/>
              </w:rPr>
            </w:pPr>
            <w:r>
              <w:rPr>
                <w:rFonts w:ascii="Arial" w:cs="Arial" w:eastAsia="Arial" w:hAnsi="Arial"/>
                <w:sz w:val="14"/>
                <w:szCs w:val="14"/>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84455</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45"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SI-BONE, Inc.</w:t>
      </w:r>
    </w:p>
    <w:p>
      <w:pPr>
        <w:jc w:val="center"/>
        <w:ind w:right="-199"/>
        <w:spacing w:after="0" w:line="226" w:lineRule="auto"/>
        <w:rPr>
          <w:sz w:val="20"/>
          <w:szCs w:val="20"/>
          <w:color w:val="auto"/>
        </w:rPr>
      </w:pPr>
      <w:r>
        <w:rPr>
          <w:rFonts w:ascii="Arial" w:cs="Arial" w:eastAsia="Arial" w:hAnsi="Arial"/>
          <w:sz w:val="14"/>
          <w:szCs w:val="14"/>
          <w:b w:val="1"/>
          <w:bCs w:val="1"/>
          <w:color w:val="auto"/>
        </w:rPr>
        <w:t>471 El Camino Real, Suite 101</w:t>
      </w:r>
    </w:p>
    <w:p>
      <w:pPr>
        <w:jc w:val="center"/>
        <w:ind w:right="-199"/>
        <w:spacing w:after="0" w:line="221" w:lineRule="auto"/>
        <w:rPr>
          <w:sz w:val="20"/>
          <w:szCs w:val="20"/>
          <w:color w:val="auto"/>
        </w:rPr>
      </w:pPr>
      <w:r>
        <w:rPr>
          <w:rFonts w:ascii="Arial" w:cs="Arial" w:eastAsia="Arial" w:hAnsi="Arial"/>
          <w:sz w:val="14"/>
          <w:szCs w:val="14"/>
          <w:b w:val="1"/>
          <w:bCs w:val="1"/>
          <w:color w:val="auto"/>
        </w:rPr>
        <w:t>Santa Clara, California 95050</w:t>
      </w:r>
    </w:p>
    <w:p>
      <w:pPr>
        <w:jc w:val="center"/>
        <w:ind w:right="-199"/>
        <w:spacing w:after="0" w:line="221" w:lineRule="auto"/>
        <w:rPr>
          <w:sz w:val="20"/>
          <w:szCs w:val="20"/>
          <w:color w:val="auto"/>
        </w:rPr>
      </w:pPr>
      <w:r>
        <w:rPr>
          <w:rFonts w:ascii="Arial" w:cs="Arial" w:eastAsia="Arial" w:hAnsi="Arial"/>
          <w:sz w:val="14"/>
          <w:szCs w:val="14"/>
          <w:b w:val="1"/>
          <w:bCs w:val="1"/>
          <w:color w:val="auto"/>
        </w:rPr>
        <w:t>(408) 207-0700</w:t>
      </w:r>
    </w:p>
    <w:p>
      <w:pPr>
        <w:jc w:val="center"/>
        <w:ind w:right="-1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4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Laura A. Francis</w:t>
      </w:r>
    </w:p>
    <w:p>
      <w:pPr>
        <w:jc w:val="center"/>
        <w:ind w:right="-199"/>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right="-199"/>
        <w:spacing w:after="0" w:line="221" w:lineRule="auto"/>
        <w:rPr>
          <w:sz w:val="20"/>
          <w:szCs w:val="20"/>
          <w:color w:val="auto"/>
        </w:rPr>
      </w:pPr>
      <w:r>
        <w:rPr>
          <w:rFonts w:ascii="Arial" w:cs="Arial" w:eastAsia="Arial" w:hAnsi="Arial"/>
          <w:sz w:val="14"/>
          <w:szCs w:val="14"/>
          <w:b w:val="1"/>
          <w:bCs w:val="1"/>
          <w:color w:val="auto"/>
        </w:rPr>
        <w:t>SI-BONE, Inc.</w:t>
      </w:r>
    </w:p>
    <w:p>
      <w:pPr>
        <w:jc w:val="center"/>
        <w:ind w:right="-199"/>
        <w:spacing w:after="0" w:line="221" w:lineRule="auto"/>
        <w:rPr>
          <w:sz w:val="20"/>
          <w:szCs w:val="20"/>
          <w:color w:val="auto"/>
        </w:rPr>
      </w:pPr>
      <w:r>
        <w:rPr>
          <w:rFonts w:ascii="Arial" w:cs="Arial" w:eastAsia="Arial" w:hAnsi="Arial"/>
          <w:sz w:val="14"/>
          <w:szCs w:val="14"/>
          <w:b w:val="1"/>
          <w:bCs w:val="1"/>
          <w:color w:val="auto"/>
        </w:rPr>
        <w:t>471 El Camino Real, Suite 101</w:t>
      </w:r>
    </w:p>
    <w:p>
      <w:pPr>
        <w:jc w:val="center"/>
        <w:ind w:right="-199"/>
        <w:spacing w:after="0" w:line="221" w:lineRule="auto"/>
        <w:rPr>
          <w:sz w:val="20"/>
          <w:szCs w:val="20"/>
          <w:color w:val="auto"/>
        </w:rPr>
      </w:pPr>
      <w:r>
        <w:rPr>
          <w:rFonts w:ascii="Arial" w:cs="Arial" w:eastAsia="Arial" w:hAnsi="Arial"/>
          <w:sz w:val="14"/>
          <w:szCs w:val="14"/>
          <w:b w:val="1"/>
          <w:bCs w:val="1"/>
          <w:color w:val="auto"/>
        </w:rPr>
        <w:t>Santa Clara, California 95050</w:t>
      </w:r>
    </w:p>
    <w:p>
      <w:pPr>
        <w:jc w:val="center"/>
        <w:ind w:right="-199"/>
        <w:spacing w:after="0" w:line="222" w:lineRule="auto"/>
        <w:rPr>
          <w:sz w:val="20"/>
          <w:szCs w:val="20"/>
          <w:color w:val="auto"/>
        </w:rPr>
      </w:pPr>
      <w:r>
        <w:rPr>
          <w:rFonts w:ascii="Arial" w:cs="Arial" w:eastAsia="Arial" w:hAnsi="Arial"/>
          <w:sz w:val="14"/>
          <w:szCs w:val="14"/>
          <w:b w:val="1"/>
          <w:bCs w:val="1"/>
          <w:color w:val="auto"/>
        </w:rPr>
        <w:t>(408) 207-0700</w:t>
      </w:r>
    </w:p>
    <w:p>
      <w:pPr>
        <w:jc w:val="center"/>
        <w:ind w:right="-1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5"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2660" w:type="dxa"/>
            <w:vAlign w:val="bottom"/>
            <w:vMerge w:val="restart"/>
          </w:tcPr>
          <w:p>
            <w:pPr>
              <w:jc w:val="center"/>
              <w:ind w:right="908"/>
              <w:spacing w:after="0"/>
              <w:rPr>
                <w:sz w:val="20"/>
                <w:szCs w:val="20"/>
                <w:color w:val="auto"/>
              </w:rPr>
            </w:pPr>
            <w:r>
              <w:rPr>
                <w:rFonts w:ascii="Arial" w:cs="Arial" w:eastAsia="Arial" w:hAnsi="Arial"/>
                <w:sz w:val="14"/>
                <w:szCs w:val="14"/>
                <w:b w:val="1"/>
                <w:bCs w:val="1"/>
                <w:color w:val="auto"/>
                <w:w w:val="95"/>
              </w:rPr>
              <w:t>Matthew B. Hemington</w:t>
            </w:r>
          </w:p>
        </w:tc>
        <w:tc>
          <w:tcPr>
            <w:tcW w:w="3800" w:type="dxa"/>
            <w:vAlign w:val="bottom"/>
          </w:tcPr>
          <w:p>
            <w:pPr>
              <w:ind w:left="1560"/>
              <w:spacing w:after="0"/>
              <w:rPr>
                <w:sz w:val="20"/>
                <w:szCs w:val="20"/>
                <w:color w:val="auto"/>
              </w:rPr>
            </w:pPr>
            <w:r>
              <w:rPr>
                <w:rFonts w:ascii="Arial" w:cs="Arial" w:eastAsia="Arial" w:hAnsi="Arial"/>
                <w:sz w:val="14"/>
                <w:szCs w:val="14"/>
                <w:i w:val="1"/>
                <w:iCs w:val="1"/>
                <w:color w:val="auto"/>
              </w:rPr>
              <w:t>Copies to:</w:t>
            </w:r>
          </w:p>
        </w:tc>
        <w:tc>
          <w:tcPr>
            <w:tcW w:w="264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4"/>
              </w:rPr>
              <w:t>Michael Benjamin</w:t>
            </w:r>
          </w:p>
        </w:tc>
        <w:tc>
          <w:tcPr>
            <w:tcW w:w="0" w:type="dxa"/>
            <w:vAlign w:val="bottom"/>
          </w:tcPr>
          <w:p>
            <w:pPr>
              <w:spacing w:after="0"/>
              <w:rPr>
                <w:sz w:val="1"/>
                <w:szCs w:val="1"/>
                <w:color w:val="auto"/>
              </w:rPr>
            </w:pPr>
          </w:p>
        </w:tc>
      </w:tr>
      <w:tr>
        <w:trPr>
          <w:trHeight w:val="148"/>
        </w:trPr>
        <w:tc>
          <w:tcPr>
            <w:tcW w:w="2660" w:type="dxa"/>
            <w:vAlign w:val="bottom"/>
            <w:vMerge w:val="continue"/>
          </w:tcPr>
          <w:p>
            <w:pPr>
              <w:spacing w:after="0"/>
              <w:rPr>
                <w:sz w:val="12"/>
                <w:szCs w:val="12"/>
                <w:color w:val="auto"/>
              </w:rPr>
            </w:pP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Michael A. Pisetsky</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Peter J. Sluka</w:t>
            </w:r>
          </w:p>
        </w:tc>
        <w:tc>
          <w:tcPr>
            <w:tcW w:w="0" w:type="dxa"/>
            <w:vAlign w:val="bottom"/>
          </w:tcPr>
          <w:p>
            <w:pPr>
              <w:spacing w:after="0"/>
              <w:rPr>
                <w:sz w:val="1"/>
                <w:szCs w:val="1"/>
                <w:color w:val="auto"/>
              </w:rPr>
            </w:pPr>
          </w:p>
        </w:tc>
      </w:tr>
      <w:tr>
        <w:trPr>
          <w:trHeight w:val="148"/>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SI-BONE, Inc.</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0" w:type="dxa"/>
            <w:vAlign w:val="bottom"/>
          </w:tcPr>
          <w:p>
            <w:pPr>
              <w:spacing w:after="0"/>
              <w:rPr>
                <w:sz w:val="1"/>
                <w:szCs w:val="1"/>
                <w:color w:val="auto"/>
              </w:rPr>
            </w:pPr>
          </w:p>
        </w:tc>
      </w:tr>
      <w:tr>
        <w:trPr>
          <w:trHeight w:val="148"/>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471 El Camino Real, Suite 101</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0" w:type="dxa"/>
            <w:vAlign w:val="bottom"/>
          </w:tcPr>
          <w:p>
            <w:pPr>
              <w:spacing w:after="0"/>
              <w:rPr>
                <w:sz w:val="1"/>
                <w:szCs w:val="1"/>
                <w:color w:val="auto"/>
              </w:rPr>
            </w:pPr>
          </w:p>
        </w:tc>
      </w:tr>
      <w:tr>
        <w:trPr>
          <w:trHeight w:val="148"/>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Santa Clara, California 95050</w:t>
            </w:r>
          </w:p>
        </w:tc>
        <w:tc>
          <w:tcPr>
            <w:tcW w:w="264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86"/>
        </w:trPr>
        <w:tc>
          <w:tcPr>
            <w:tcW w:w="26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3"/>
              </w:rPr>
              <w:t>(408) 207-0700</w:t>
            </w:r>
          </w:p>
        </w:tc>
        <w:tc>
          <w:tcPr>
            <w:tcW w:w="264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(212) 906-1200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41910</wp:posOffset>
            </wp:positionV>
            <wp:extent cx="1473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91" w:lineRule="exact"/>
        <w:rPr>
          <w:sz w:val="24"/>
          <w:szCs w:val="24"/>
          <w:color w:val="auto"/>
        </w:rPr>
      </w:pPr>
    </w:p>
    <w:p>
      <w:pPr>
        <w:ind w:left="220" w:right="440" w:firstLine="330"/>
        <w:spacing w:after="0" w:line="182"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 If any of the securities being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ind w:left="220" w:right="680" w:firstLine="33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220" w:right="2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220" w:firstLine="33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220" w:right="140" w:firstLine="33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20" w:right="860"/>
        <w:spacing w:after="0" w:line="22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46" w:lineRule="exact"/>
        <w:rPr>
          <w:sz w:val="24"/>
          <w:szCs w:val="24"/>
          <w:color w:val="auto"/>
        </w:rPr>
      </w:pPr>
    </w:p>
    <w:p>
      <w:pPr>
        <w:ind w:left="220" w:right="20" w:firstLine="33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109220</wp:posOffset>
            </wp:positionV>
            <wp:extent cx="1473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2"/>
        </w:trPr>
        <w:tc>
          <w:tcPr>
            <w:tcW w:w="39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Proposed Maximum</w:t>
            </w:r>
          </w:p>
        </w:tc>
        <w:tc>
          <w:tcPr>
            <w:tcW w:w="17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Proposed Maximum</w:t>
            </w:r>
          </w:p>
        </w:tc>
        <w:tc>
          <w:tcPr>
            <w:tcW w:w="1740" w:type="dxa"/>
            <w:vAlign w:val="bottom"/>
          </w:tcPr>
          <w:p>
            <w:pPr>
              <w:spacing w:after="0"/>
              <w:rPr>
                <w:sz w:val="8"/>
                <w:szCs w:val="8"/>
                <w:color w:val="auto"/>
              </w:rPr>
            </w:pPr>
          </w:p>
        </w:tc>
      </w:tr>
      <w:tr>
        <w:trPr>
          <w:trHeight w:val="135"/>
        </w:trPr>
        <w:tc>
          <w:tcPr>
            <w:tcW w:w="398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3"/>
                <w:szCs w:val="13"/>
                <w:b w:val="1"/>
                <w:bCs w:val="1"/>
                <w:color w:val="auto"/>
                <w:w w:val="88"/>
              </w:rPr>
              <w:t>Amount to be</w:t>
            </w: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 Offering</w:t>
            </w:r>
          </w:p>
        </w:tc>
        <w:tc>
          <w:tcPr>
            <w:tcW w:w="1740" w:type="dxa"/>
            <w:vAlign w:val="bottom"/>
          </w:tcPr>
          <w:p>
            <w:pPr>
              <w:jc w:val="center"/>
              <w:ind w:left="14"/>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78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8"/>
              </w:rPr>
              <w:t>Registered</w:t>
            </w:r>
            <w:r>
              <w:rPr>
                <w:rFonts w:ascii="Arial" w:cs="Arial" w:eastAsia="Arial" w:hAnsi="Arial"/>
                <w:sz w:val="10"/>
                <w:szCs w:val="10"/>
                <w:b w:val="1"/>
                <w:bCs w:val="1"/>
                <w:color w:val="auto"/>
                <w:w w:val="88"/>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 Share</w:t>
            </w:r>
            <w:r>
              <w:rPr>
                <w:rFonts w:ascii="Arial" w:cs="Arial" w:eastAsia="Arial" w:hAnsi="Arial"/>
                <w:sz w:val="10"/>
                <w:szCs w:val="10"/>
                <w:b w:val="1"/>
                <w:bCs w:val="1"/>
                <w:color w:val="auto"/>
                <w:w w:val="90"/>
              </w:rPr>
              <w:t>(2)</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0"/>
                <w:szCs w:val="10"/>
                <w:b w:val="1"/>
                <w:bCs w:val="1"/>
                <w:color w:val="auto"/>
                <w:w w:val="92"/>
              </w:rPr>
              <w:t>(1)(2)</w:t>
            </w:r>
          </w:p>
        </w:tc>
        <w:tc>
          <w:tcPr>
            <w:tcW w:w="17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87"/>
              </w:rPr>
              <w:t>Registration Fee</w:t>
            </w:r>
            <w:r>
              <w:rPr>
                <w:rFonts w:ascii="Arial" w:cs="Arial" w:eastAsia="Arial" w:hAnsi="Arial"/>
                <w:sz w:val="10"/>
                <w:szCs w:val="10"/>
                <w:b w:val="1"/>
                <w:bCs w:val="1"/>
                <w:color w:val="auto"/>
                <w:w w:val="87"/>
              </w:rPr>
              <w:t>(3)</w:t>
            </w:r>
          </w:p>
        </w:tc>
      </w:tr>
      <w:tr>
        <w:trPr>
          <w:trHeight w:val="149"/>
        </w:trPr>
        <w:tc>
          <w:tcPr>
            <w:tcW w:w="39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78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93"/>
              </w:rPr>
              <w:t>6,900,000</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$15.00</w:t>
            </w:r>
          </w:p>
        </w:tc>
        <w:tc>
          <w:tcPr>
            <w:tcW w:w="17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$103,500,000</w:t>
            </w:r>
          </w:p>
        </w:tc>
        <w:tc>
          <w:tcPr>
            <w:tcW w:w="174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90"/>
              </w:rPr>
              <w:t>$12,545</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2" w:lineRule="exact"/>
        <w:rPr>
          <w:sz w:val="24"/>
          <w:szCs w:val="24"/>
          <w:color w:val="auto"/>
        </w:rPr>
      </w:pPr>
    </w:p>
    <w:p>
      <w:pPr>
        <w:ind w:left="540" w:hanging="330"/>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900,000 shares that the underwriters have the option to purchase.</w:t>
      </w:r>
    </w:p>
    <w:p>
      <w:pPr>
        <w:ind w:left="540" w:hanging="330"/>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540" w:hanging="330"/>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a registration fee of $12,170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81915</wp:posOffset>
            </wp:positionV>
            <wp:extent cx="1473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54" w:lineRule="exact"/>
        <w:rPr>
          <w:sz w:val="24"/>
          <w:szCs w:val="24"/>
          <w:color w:val="auto"/>
        </w:rPr>
      </w:pPr>
    </w:p>
    <w:p>
      <w:pPr>
        <w:ind w:left="220" w:right="60" w:firstLine="33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14605</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74295</wp:posOffset>
            </wp:positionV>
            <wp:extent cx="698944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342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0" w:lineRule="exact"/>
        <w:rPr>
          <w:sz w:val="20"/>
          <w:szCs w:val="20"/>
          <w:color w:val="auto"/>
        </w:rPr>
      </w:pPr>
    </w:p>
    <w:p>
      <w:pPr>
        <w:ind w:left="220" w:right="100"/>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CC062A"/>
        </w:rPr>
        <w:t>SUBJECT TO COMPLETION, DATED OCTOBER 5, 2018</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160655</wp:posOffset>
            </wp:positionV>
            <wp:extent cx="2569845" cy="1002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9845"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234315</wp:posOffset>
            </wp:positionV>
            <wp:extent cx="147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184" w:lineRule="exact"/>
        <w:rPr>
          <w:sz w:val="20"/>
          <w:szCs w:val="20"/>
          <w:color w:val="auto"/>
        </w:rPr>
      </w:pPr>
    </w:p>
    <w:p>
      <w:pPr>
        <w:ind w:left="220" w:right="300"/>
        <w:spacing w:after="0" w:line="263" w:lineRule="auto"/>
        <w:rPr>
          <w:sz w:val="20"/>
          <w:szCs w:val="20"/>
          <w:color w:val="auto"/>
        </w:rPr>
      </w:pPr>
      <w:r>
        <w:rPr>
          <w:rFonts w:ascii="Arial" w:cs="Arial" w:eastAsia="Arial" w:hAnsi="Arial"/>
          <w:sz w:val="18"/>
          <w:szCs w:val="18"/>
          <w:color w:val="auto"/>
        </w:rPr>
        <w:t>We are offering 6,000,000 shares of our common stock. Prior to this offering, there has been no public market for our common stock. It is currently estimated that the initial public offering price per share will be between $13.00 and $15.00. We have applied to list our common stock on the Nasdaq Global Market under the symbol “SIBN.”</w:t>
      </w:r>
    </w:p>
    <w:p>
      <w:pPr>
        <w:spacing w:after="0" w:line="142" w:lineRule="exact"/>
        <w:rPr>
          <w:sz w:val="20"/>
          <w:szCs w:val="20"/>
          <w:color w:val="auto"/>
        </w:rPr>
      </w:pPr>
    </w:p>
    <w:p>
      <w:pPr>
        <w:ind w:left="220" w:right="52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193675</wp:posOffset>
            </wp:positionV>
            <wp:extent cx="1473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2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15.</w:t>
      </w:r>
    </w:p>
    <w:p>
      <w:pPr>
        <w:spacing w:after="0" w:line="198"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Arial" w:cs="Arial" w:eastAsia="Arial" w:hAnsi="Arial"/>
                <w:sz w:val="14"/>
                <w:szCs w:val="14"/>
                <w:b w:val="1"/>
                <w:bCs w:val="1"/>
                <w:color w:val="auto"/>
              </w:rPr>
              <w:t>Per</w:t>
            </w:r>
          </w:p>
        </w:tc>
        <w:tc>
          <w:tcPr>
            <w:tcW w:w="56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Arial" w:cs="Arial" w:eastAsia="Arial" w:hAnsi="Arial"/>
                <w:sz w:val="14"/>
                <w:szCs w:val="14"/>
                <w:b w:val="1"/>
                <w:bCs w:val="1"/>
                <w:color w:val="auto"/>
              </w:rPr>
              <w:t>Share</w:t>
            </w:r>
          </w:p>
        </w:tc>
        <w:tc>
          <w:tcPr>
            <w:tcW w:w="5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hanging="43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184" w:lineRule="exact"/>
        <w:rPr>
          <w:sz w:val="20"/>
          <w:szCs w:val="20"/>
          <w:color w:val="auto"/>
        </w:rPr>
      </w:pPr>
    </w:p>
    <w:p>
      <w:pPr>
        <w:ind w:left="220" w:right="620"/>
        <w:spacing w:after="0" w:line="307" w:lineRule="auto"/>
        <w:rPr>
          <w:sz w:val="20"/>
          <w:szCs w:val="20"/>
          <w:color w:val="auto"/>
        </w:rPr>
      </w:pPr>
      <w:r>
        <w:rPr>
          <w:rFonts w:ascii="Arial" w:cs="Arial" w:eastAsia="Arial" w:hAnsi="Arial"/>
          <w:sz w:val="17"/>
          <w:szCs w:val="17"/>
          <w:color w:val="auto"/>
        </w:rPr>
        <w:t>To the extent that the underwriters sell more than 6,000,000 shares of common stock, the underwriters have a 30-day option to purchase up to an additional 900,000 shares from us at the initial public offering price, less the underwriting discounts and commissions.</w:t>
      </w:r>
    </w:p>
    <w:p>
      <w:pPr>
        <w:spacing w:after="0" w:line="147" w:lineRule="exact"/>
        <w:rPr>
          <w:sz w:val="20"/>
          <w:szCs w:val="20"/>
          <w:color w:val="auto"/>
        </w:rPr>
      </w:pPr>
    </w:p>
    <w:p>
      <w:pPr>
        <w:ind w:left="220" w:right="40"/>
        <w:spacing w:after="0" w:line="279" w:lineRule="auto"/>
        <w:rPr>
          <w:sz w:val="20"/>
          <w:szCs w:val="20"/>
          <w:color w:val="auto"/>
        </w:rPr>
      </w:pPr>
      <w:r>
        <w:rPr>
          <w:rFonts w:ascii="Arial" w:cs="Arial" w:eastAsia="Arial" w:hAnsi="Arial"/>
          <w:sz w:val="17"/>
          <w:szCs w:val="17"/>
          <w:color w:val="auto"/>
        </w:rPr>
        <w:t>Certain of our existing stockholders or their affiliates, including entities affiliated with our directors, have indicated an interest in purchasing up to an aggregate of $32.0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w:t>
      </w: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against payment in New York, New York on</w:t>
            </w:r>
          </w:p>
        </w:tc>
        <w:tc>
          <w:tcPr>
            <w:tcW w:w="86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170" w:lineRule="exact"/>
        <w:rPr>
          <w:sz w:val="20"/>
          <w:szCs w:val="20"/>
          <w:color w:val="auto"/>
        </w:rPr>
      </w:pPr>
    </w:p>
    <w:p>
      <w:pPr>
        <w:ind w:left="2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168910</wp:posOffset>
            </wp:positionV>
            <wp:extent cx="1473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0"/>
        <w:spacing w:after="0"/>
        <w:tabs>
          <w:tab w:leader="none" w:pos="844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31"/>
          <w:szCs w:val="31"/>
          <w:b w:val="1"/>
          <w:bCs w:val="1"/>
          <w:color w:val="auto"/>
        </w:rPr>
        <w:t>BofA Merrill Lynch</w:t>
      </w:r>
    </w:p>
    <w:p>
      <w:pPr>
        <w:spacing w:after="0" w:line="190" w:lineRule="exact"/>
        <w:rPr>
          <w:sz w:val="20"/>
          <w:szCs w:val="20"/>
          <w:color w:val="auto"/>
        </w:rPr>
      </w:pPr>
    </w:p>
    <w:p>
      <w:pPr>
        <w:ind w:left="220"/>
        <w:spacing w:after="0"/>
        <w:tabs>
          <w:tab w:leader="none" w:pos="9560" w:val="left"/>
        </w:tabs>
        <w:rPr>
          <w:sz w:val="20"/>
          <w:szCs w:val="20"/>
          <w:color w:val="auto"/>
        </w:rPr>
      </w:pPr>
      <w:r>
        <w:rPr>
          <w:rFonts w:ascii="Arial" w:cs="Arial" w:eastAsia="Arial" w:hAnsi="Arial"/>
          <w:sz w:val="25"/>
          <w:szCs w:val="25"/>
          <w:b w:val="1"/>
          <w:bCs w:val="1"/>
          <w:color w:val="auto"/>
        </w:rPr>
        <w:t>Canaccord Genuity</w:t>
      </w:r>
      <w:r>
        <w:rPr>
          <w:sz w:val="20"/>
          <w:szCs w:val="20"/>
          <w:color w:val="auto"/>
        </w:rPr>
        <w:tab/>
      </w:r>
      <w:r>
        <w:rPr>
          <w:rFonts w:ascii="Arial" w:cs="Arial" w:eastAsia="Arial" w:hAnsi="Arial"/>
          <w:sz w:val="23"/>
          <w:szCs w:val="23"/>
          <w:b w:val="1"/>
          <w:bCs w:val="1"/>
          <w:color w:val="auto"/>
        </w:rPr>
        <w:t>JMP Securities</w:t>
      </w:r>
    </w:p>
    <w:p>
      <w:pPr>
        <w:sectPr>
          <w:pgSz w:w="11900" w:h="16838" w:orient="portrait"/>
          <w:cols w:equalWidth="0" w:num="1">
            <w:col w:w="11220"/>
          </w:cols>
          <w:pgMar w:left="240" w:top="459" w:right="439" w:bottom="1440" w:gutter="0" w:footer="0" w:header="0"/>
        </w:sectPr>
      </w:pPr>
    </w:p>
    <w:p>
      <w:pPr>
        <w:spacing w:after="0" w:line="189"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7"/>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360" w:type="dxa"/>
            <w:vAlign w:val="bottom"/>
            <w:gridSpan w:val="6"/>
            <w:vMerge w:val="restart"/>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180" w:type="dxa"/>
            <w:vAlign w:val="bottom"/>
            <w:vMerge w:val="restart"/>
          </w:tcPr>
          <w:p>
            <w:pPr>
              <w:spacing w:after="0"/>
              <w:rPr>
                <w:sz w:val="14"/>
                <w:szCs w:val="14"/>
                <w:color w:val="auto"/>
              </w:rPr>
            </w:pPr>
          </w:p>
        </w:tc>
        <w:tc>
          <w:tcPr>
            <w:tcW w:w="1820" w:type="dxa"/>
            <w:vAlign w:val="bottom"/>
            <w:gridSpan w:val="6"/>
            <w:vMerge w:val="restart"/>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Executive Compensation</w:t>
              </w:r>
            </w:hyperlink>
          </w:p>
        </w:tc>
        <w:tc>
          <w:tcPr>
            <w:tcW w:w="3200" w:type="dxa"/>
            <w:vAlign w:val="bottom"/>
            <w:gridSpan w:val="8"/>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7"/>
            <w:vMerge w:val="continue"/>
          </w:tcPr>
          <w:p>
            <w:pPr>
              <w:spacing w:after="0"/>
              <w:rPr>
                <w:sz w:val="14"/>
                <w:szCs w:val="14"/>
                <w:color w:val="auto"/>
              </w:rPr>
            </w:pPr>
          </w:p>
        </w:tc>
        <w:tc>
          <w:tcPr>
            <w:tcW w:w="3360" w:type="dxa"/>
            <w:vAlign w:val="bottom"/>
            <w:gridSpan w:val="6"/>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820" w:type="dxa"/>
            <w:vAlign w:val="bottom"/>
            <w:tcBorders>
              <w:bottom w:val="single" w:sz="8" w:color="0000EE"/>
            </w:tcBorders>
            <w:gridSpan w:val="6"/>
            <w:vMerge w:val="continue"/>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900" w:type="dxa"/>
            <w:vAlign w:val="bottom"/>
            <w:gridSpan w:val="4"/>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3980" w:type="dxa"/>
            <w:vAlign w:val="bottom"/>
            <w:gridSpan w:val="9"/>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Information Regarding Forward-Looking Statements</w:t>
              </w:r>
            </w:hyperlink>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59</w:t>
            </w:r>
          </w:p>
        </w:tc>
        <w:tc>
          <w:tcPr>
            <w:tcW w:w="5200" w:type="dxa"/>
            <w:vAlign w:val="bottom"/>
            <w:gridSpan w:val="15"/>
          </w:tcPr>
          <w:p>
            <w:pPr>
              <w:ind w:left="180"/>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9"/>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Market, Industry, and Other Data</w:t>
              </w:r>
            </w:hyperlink>
          </w:p>
        </w:tc>
        <w:tc>
          <w:tcPr>
            <w:tcW w:w="142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2500" w:type="dxa"/>
            <w:vAlign w:val="bottom"/>
            <w:gridSpan w:val="4"/>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62</w:t>
            </w:r>
          </w:p>
        </w:tc>
        <w:tc>
          <w:tcPr>
            <w:tcW w:w="1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Dividend Policy</w:t>
              </w:r>
            </w:hyperlink>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62</w:t>
            </w:r>
          </w:p>
        </w:tc>
        <w:tc>
          <w:tcPr>
            <w:tcW w:w="5200" w:type="dxa"/>
            <w:vAlign w:val="bottom"/>
            <w:gridSpan w:val="15"/>
          </w:tcPr>
          <w:p>
            <w:pPr>
              <w:ind w:left="18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Capitalization</w:t>
              </w:r>
            </w:hyperlink>
          </w:p>
        </w:tc>
        <w:tc>
          <w:tcPr>
            <w:tcW w:w="3720" w:type="dxa"/>
            <w:vAlign w:val="bottom"/>
            <w:gridSpan w:val="7"/>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4460" w:type="dxa"/>
            <w:vAlign w:val="bottom"/>
            <w:tcBorders>
              <w:top w:val="single" w:sz="8" w:color="0000EE"/>
            </w:tcBorders>
            <w:gridSpan w:val="13"/>
          </w:tcPr>
          <w:p>
            <w:pPr>
              <w:ind w:left="18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Holders of our Common Stock</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Dilution</w:t>
              </w:r>
            </w:hyperlink>
          </w:p>
        </w:tc>
        <w:tc>
          <w:tcPr>
            <w:tcW w:w="400" w:type="dxa"/>
            <w:vAlign w:val="bottom"/>
            <w:gridSpan w:val="3"/>
          </w:tcPr>
          <w:p>
            <w:pPr>
              <w:spacing w:after="0"/>
              <w:rPr>
                <w:sz w:val="17"/>
                <w:szCs w:val="17"/>
                <w:color w:val="auto"/>
              </w:rPr>
            </w:pPr>
          </w:p>
        </w:tc>
        <w:tc>
          <w:tcPr>
            <w:tcW w:w="3880" w:type="dxa"/>
            <w:vAlign w:val="bottom"/>
            <w:gridSpan w:val="8"/>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66</w:t>
            </w:r>
          </w:p>
        </w:tc>
        <w:tc>
          <w:tcPr>
            <w:tcW w:w="18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72">
              <w:r>
                <w:rPr>
                  <w:rFonts w:ascii="Arial" w:cs="Arial" w:eastAsia="Arial" w:hAnsi="Arial"/>
                  <w:sz w:val="18"/>
                  <w:szCs w:val="18"/>
                  <w:color w:val="0000EE"/>
                  <w:w w:val="94"/>
                </w:rPr>
                <w:t>Underwriting</w:t>
              </w:r>
            </w:hyperlink>
          </w:p>
        </w:tc>
        <w:tc>
          <w:tcPr>
            <w:tcW w:w="40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Selected Consolidated Financial Data</w:t>
              </w:r>
            </w:hyperlink>
          </w:p>
        </w:tc>
        <w:tc>
          <w:tcPr>
            <w:tcW w:w="2180" w:type="dxa"/>
            <w:vAlign w:val="bottom"/>
            <w:gridSpan w:val="3"/>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Legal Matters</w:t>
              </w:r>
            </w:hyperlink>
          </w:p>
        </w:tc>
        <w:tc>
          <w:tcPr>
            <w:tcW w:w="40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Management’s Discussion and Analysis of Financial Condition</w:t>
              </w:r>
            </w:hyperlink>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Experts</w:t>
              </w:r>
            </w:hyperlink>
          </w:p>
        </w:tc>
        <w:tc>
          <w:tcPr>
            <w:tcW w:w="44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and Results of Operations</w:t>
              </w:r>
            </w:hyperlink>
          </w:p>
        </w:tc>
        <w:tc>
          <w:tcPr>
            <w:tcW w:w="2840" w:type="dxa"/>
            <w:vAlign w:val="bottom"/>
            <w:gridSpan w:val="5"/>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71</w:t>
            </w:r>
          </w:p>
        </w:tc>
        <w:tc>
          <w:tcPr>
            <w:tcW w:w="18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80">
              <w:r>
                <w:rPr>
                  <w:rFonts w:ascii="Arial" w:cs="Arial" w:eastAsia="Arial" w:hAnsi="Arial"/>
                  <w:sz w:val="18"/>
                  <w:szCs w:val="18"/>
                  <w:color w:val="0000EE"/>
                  <w:w w:val="93"/>
                </w:rPr>
                <w:t>Where You Can Find Additional Information</w:t>
              </w:r>
            </w:hyperlink>
          </w:p>
        </w:tc>
        <w:tc>
          <w:tcPr>
            <w:tcW w:w="17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4"/>
              </w:rPr>
            </w:pPr>
            <w:hyperlink w:anchor="page94">
              <w:r>
                <w:rPr>
                  <w:rFonts w:ascii="Arial" w:cs="Arial" w:eastAsia="Arial" w:hAnsi="Arial"/>
                  <w:sz w:val="18"/>
                  <w:szCs w:val="18"/>
                  <w:color w:val="0000EE"/>
                  <w:w w:val="84"/>
                </w:rPr>
                <w:t>Business</w:t>
              </w:r>
            </w:hyperlink>
          </w:p>
        </w:tc>
        <w:tc>
          <w:tcPr>
            <w:tcW w:w="4240" w:type="dxa"/>
            <w:vAlign w:val="bottom"/>
            <w:gridSpan w:val="10"/>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90</w:t>
            </w:r>
          </w:p>
        </w:tc>
        <w:tc>
          <w:tcPr>
            <w:tcW w:w="1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Management</w:t>
              </w:r>
            </w:hyperlink>
          </w:p>
        </w:tc>
        <w:tc>
          <w:tcPr>
            <w:tcW w:w="3880" w:type="dxa"/>
            <w:vAlign w:val="bottom"/>
            <w:gridSpan w:val="8"/>
          </w:tcPr>
          <w:p>
            <w:pPr>
              <w:spacing w:after="0"/>
              <w:rPr>
                <w:sz w:val="17"/>
                <w:szCs w:val="17"/>
                <w:color w:val="auto"/>
              </w:rPr>
            </w:pP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334010</wp:posOffset>
            </wp:positionV>
            <wp:extent cx="1473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59" w:lineRule="exact"/>
        <w:rPr>
          <w:sz w:val="20"/>
          <w:szCs w:val="20"/>
          <w:color w:val="auto"/>
        </w:rPr>
      </w:pPr>
    </w:p>
    <w:p>
      <w:pPr>
        <w:ind w:left="220" w:right="60" w:firstLine="440"/>
        <w:spacing w:after="0" w:line="288" w:lineRule="auto"/>
        <w:rPr>
          <w:sz w:val="20"/>
          <w:szCs w:val="20"/>
          <w:color w:val="auto"/>
        </w:rPr>
      </w:pPr>
      <w:r>
        <w:rPr>
          <w:rFonts w:ascii="Arial" w:cs="Arial" w:eastAsia="Arial" w:hAnsi="Arial"/>
          <w:sz w:val="17"/>
          <w:szCs w:val="17"/>
          <w:b w:val="1"/>
          <w:bCs w:val="1"/>
          <w:color w:val="auto"/>
        </w:rPr>
        <w:t>Through and including , 2018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220" w:right="80" w:firstLine="440"/>
        <w:spacing w:after="0" w:line="301" w:lineRule="auto"/>
        <w:rPr>
          <w:sz w:val="20"/>
          <w:szCs w:val="20"/>
          <w:color w:val="auto"/>
        </w:rPr>
      </w:pPr>
      <w:r>
        <w:rPr>
          <w:rFonts w:ascii="Arial" w:cs="Arial" w:eastAsia="Arial" w:hAnsi="Arial"/>
          <w:sz w:val="16"/>
          <w:szCs w:val="16"/>
          <w:color w:val="auto"/>
        </w:rPr>
        <w:t>Unless the context indicates otherwise, as used in this prospectus, the terms “SI-BONE” and “iFuse Implant System” or “iFuse” and other iFuse-formative trademarks, as well as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left="220" w:right="220" w:firstLine="440"/>
        <w:spacing w:after="0" w:line="290" w:lineRule="auto"/>
        <w:rPr>
          <w:sz w:val="20"/>
          <w:szCs w:val="20"/>
          <w:color w:val="auto"/>
        </w:rPr>
      </w:pPr>
      <w:r>
        <w:rPr>
          <w:rFonts w:ascii="Arial" w:cs="Arial" w:eastAsia="Arial" w:hAnsi="Arial"/>
          <w:sz w:val="16"/>
          <w:szCs w:val="16"/>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w:t>
      </w:r>
    </w:p>
    <w:p>
      <w:pPr>
        <w:spacing w:after="0" w:line="1" w:lineRule="exact"/>
        <w:rPr>
          <w:sz w:val="20"/>
          <w:szCs w:val="20"/>
          <w:color w:val="auto"/>
        </w:rPr>
      </w:pPr>
    </w:p>
    <w:p>
      <w:pPr>
        <w:ind w:left="220" w:right="220"/>
        <w:spacing w:after="0" w:line="260" w:lineRule="auto"/>
        <w:rPr>
          <w:sz w:val="20"/>
          <w:szCs w:val="20"/>
          <w:color w:val="auto"/>
        </w:rPr>
      </w:pPr>
      <w:r>
        <w:rPr>
          <w:rFonts w:ascii="Arial" w:cs="Arial" w:eastAsia="Arial" w:hAnsi="Arial"/>
          <w:sz w:val="18"/>
          <w:szCs w:val="18"/>
          <w:color w:val="auto"/>
        </w:rPr>
        <w:t>0.01% chance that the demonstrated reduction in pain for subjects surgically treated with iFuse in relation to the non-surgical management group was purely due to chance).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1080" w:hanging="438"/>
        <w:spacing w:after="0" w:line="28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worst pain imaginable. The VAS score is used to calculate changes in patient pain.</w:t>
      </w:r>
    </w:p>
    <w:p>
      <w:pPr>
        <w:spacing w:after="0" w:line="68" w:lineRule="exact"/>
        <w:rPr>
          <w:rFonts w:ascii="Arial" w:cs="Arial" w:eastAsia="Arial" w:hAnsi="Arial"/>
          <w:sz w:val="18"/>
          <w:szCs w:val="18"/>
          <w:color w:val="auto"/>
        </w:rPr>
      </w:pPr>
    </w:p>
    <w:p>
      <w:pPr>
        <w:ind w:left="1080" w:right="20" w:hanging="438"/>
        <w:spacing w:after="0" w:line="28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6171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3890" cy="6171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400" w:right="20" w:firstLine="42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400" w:right="60" w:firstLine="426"/>
        <w:spacing w:after="0" w:line="275"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75" w:lineRule="exact"/>
        <w:rPr>
          <w:sz w:val="20"/>
          <w:szCs w:val="20"/>
          <w:color w:val="auto"/>
        </w:rPr>
      </w:pPr>
    </w:p>
    <w:p>
      <w:pPr>
        <w:ind w:left="400" w:right="20" w:firstLine="426"/>
        <w:spacing w:after="0" w:line="275"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75" w:lineRule="exact"/>
        <w:rPr>
          <w:sz w:val="20"/>
          <w:szCs w:val="20"/>
          <w:color w:val="auto"/>
        </w:rPr>
      </w:pPr>
    </w:p>
    <w:p>
      <w:pPr>
        <w:ind w:left="400" w:right="100" w:firstLine="426"/>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18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2016 and 2017, we generated revenue of $42.1 million and $48.0 million, respectively, a growth rate of 14%, and incurred net losses of</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June 30, 2017 and 2018, we generated revenue of $22.5 million and $26.4 million, respectively, a growth rate of 17%, and incurred net losses of</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$12.5 million and $7.3 million, respectively. Our gross margins were 89% and 92% for the six months ended June 30, 2017 and 2018, respectively.</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iFuse procedures performed in the six months ended June 30, 2017 and 2018 was 2,739 and 3,200, respectively.</w:t>
      </w:r>
    </w:p>
    <w:p>
      <w:pPr>
        <w:spacing w:after="0" w:line="210" w:lineRule="exact"/>
        <w:rPr>
          <w:sz w:val="20"/>
          <w:szCs w:val="20"/>
          <w:color w:val="auto"/>
        </w:rPr>
      </w:pPr>
    </w:p>
    <w:p>
      <w:pPr>
        <w:ind w:left="400" w:firstLine="426"/>
        <w:spacing w:after="0" w:line="279" w:lineRule="auto"/>
        <w:rPr>
          <w:sz w:val="20"/>
          <w:szCs w:val="20"/>
          <w:color w:val="auto"/>
        </w:rPr>
      </w:pPr>
      <w:r>
        <w:rPr>
          <w:rFonts w:ascii="Arial" w:cs="Arial" w:eastAsia="Arial" w:hAnsi="Arial"/>
          <w:sz w:val="17"/>
          <w:szCs w:val="17"/>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70" w:lineRule="exact"/>
        <w:rPr>
          <w:sz w:val="20"/>
          <w:szCs w:val="20"/>
          <w:color w:val="auto"/>
        </w:rPr>
      </w:pPr>
    </w:p>
    <w:p>
      <w:pPr>
        <w:ind w:left="400" w:right="160" w:firstLine="426"/>
        <w:spacing w:after="0" w:line="277"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6616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3890" cy="6616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120"/>
        <w:spacing w:after="0" w:line="293" w:lineRule="auto"/>
        <w:rPr>
          <w:sz w:val="20"/>
          <w:szCs w:val="20"/>
          <w:color w:val="auto"/>
        </w:rPr>
      </w:pPr>
      <w:r>
        <w:rPr>
          <w:rFonts w:ascii="Arial" w:cs="Arial" w:eastAsia="Arial" w:hAnsi="Arial"/>
          <w:sz w:val="16"/>
          <w:szCs w:val="16"/>
          <w:color w:val="auto"/>
        </w:rPr>
        <w:t>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2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Published Clinical Evidence on iFuse</w:t>
      </w:r>
    </w:p>
    <w:p>
      <w:pPr>
        <w:spacing w:after="0" w:line="121" w:lineRule="exact"/>
        <w:rPr>
          <w:sz w:val="20"/>
          <w:szCs w:val="20"/>
          <w:color w:val="auto"/>
        </w:rPr>
      </w:pPr>
    </w:p>
    <w:p>
      <w:pPr>
        <w:ind w:left="400" w:firstLine="426"/>
        <w:spacing w:after="0" w:line="256" w:lineRule="auto"/>
        <w:rPr>
          <w:sz w:val="20"/>
          <w:szCs w:val="20"/>
          <w:color w:val="auto"/>
        </w:rPr>
      </w:pPr>
      <w:r>
        <w:rPr>
          <w:rFonts w:ascii="Arial" w:cs="Arial" w:eastAsia="Arial" w:hAnsi="Arial"/>
          <w:sz w:val="18"/>
          <w:szCs w:val="18"/>
          <w:color w:val="auto"/>
        </w:rPr>
        <w:t xml:space="preserve">The safety, clinical effectiveness, durability of pain relief and reduction in disability, cost effectiveness, and reduction in opioid use that result from iFuse are supported by a large number of studies that have resulted in more than 60 published papers. Several of these papers publish results from three prospective multicenter studies (INSITE, SIFI, and iMIA), two of which were randomized controlled clinical trials. These three prospective multicenter studies were summarized in a publication in </w:t>
      </w:r>
      <w:r>
        <w:rPr>
          <w:rFonts w:ascii="Arial" w:cs="Arial" w:eastAsia="Arial" w:hAnsi="Arial"/>
          <w:sz w:val="18"/>
          <w:szCs w:val="18"/>
          <w:i w:val="1"/>
          <w:iCs w:val="1"/>
          <w:color w:val="auto"/>
        </w:rPr>
        <w:t>SPINE</w:t>
      </w:r>
      <w:r>
        <w:rPr>
          <w:rFonts w:ascii="Arial" w:cs="Arial" w:eastAsia="Arial" w:hAnsi="Arial"/>
          <w:sz w:val="18"/>
          <w:szCs w:val="18"/>
          <w:color w:val="auto"/>
        </w:rPr>
        <w:t>, analyzing combined results from the three trials, as summarized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0" w:right="180" w:firstLine="426"/>
        <w:spacing w:after="0" w:line="279" w:lineRule="auto"/>
        <w:rPr>
          <w:sz w:val="20"/>
          <w:szCs w:val="20"/>
          <w:color w:val="auto"/>
        </w:rPr>
      </w:pPr>
      <w:r>
        <w:rPr>
          <w:rFonts w:ascii="Arial" w:cs="Arial" w:eastAsia="Arial" w:hAnsi="Arial"/>
          <w:sz w:val="17"/>
          <w:szCs w:val="17"/>
          <w:color w:val="auto"/>
        </w:rPr>
        <w:t>In INSITE, for example, one of the studies included in the graph above, subjects surgically treated with iFuse had mean 52-, 54-, and 55-point reductions in sacroiliac joint pain at 6, 12, and 24 months, respectively, as measured by the VAS, a standard method of assessing pain in which study subjects are asked to rate their pain from 0 (no pain) to 100 (worst imaginable pain). By contrast, subjects in the non-surgical management group had only a mean 12-point reduction at six months (p&lt;0.0001), and only a small proportion of patients in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6633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3890" cy="6633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spacing w:after="0" w:line="259" w:lineRule="auto"/>
        <w:rPr>
          <w:sz w:val="20"/>
          <w:szCs w:val="20"/>
          <w:color w:val="auto"/>
        </w:rPr>
      </w:pPr>
      <w:r>
        <w:rPr>
          <w:rFonts w:ascii="Arial" w:cs="Arial" w:eastAsia="Arial" w:hAnsi="Arial"/>
          <w:sz w:val="18"/>
          <w:szCs w:val="18"/>
          <w:color w:val="auto"/>
        </w:rPr>
        <w:t>non-surgical group had sufficient pain relief. The 12-point reduction in pain in the non-surgical management group is below a commonly accepted threshold of 20 points for clinically significant reduction in chronic back pain. At 24 months, the proportion of subjects with a reduction in VAS sacroiliac joint pain of 20 or more points due to the assigned treatment was 83% in the iFuse group and 10% in the non-surgical management group.</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Results from the iMIA and SIFI studies were similar to INSITE.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have been several studies showing longer-term follow-up of up to six years.</w:t>
      </w:r>
    </w:p>
    <w:p>
      <w:pPr>
        <w:spacing w:after="0" w:line="130" w:lineRule="exact"/>
        <w:rPr>
          <w:sz w:val="20"/>
          <w:szCs w:val="20"/>
          <w:color w:val="auto"/>
        </w:rPr>
      </w:pPr>
    </w:p>
    <w:p>
      <w:pPr>
        <w:ind w:left="1220" w:right="20" w:hanging="409"/>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5" w:lineRule="exact"/>
        <w:rPr>
          <w:rFonts w:ascii="Arial" w:cs="Arial" w:eastAsia="Arial" w:hAnsi="Arial"/>
          <w:sz w:val="17"/>
          <w:szCs w:val="17"/>
          <w:color w:val="auto"/>
        </w:rPr>
      </w:pPr>
    </w:p>
    <w:p>
      <w:pPr>
        <w:ind w:left="1220" w:hanging="409"/>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As shown in the graph below, at the last follow-up visit, 84% of patients who received non-surgical management were using opioids, while only 7% of patients treated with iFuse were using opioids.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0" w:right="140" w:firstLine="426"/>
        <w:spacing w:after="0" w:line="275" w:lineRule="auto"/>
        <w:rPr>
          <w:sz w:val="20"/>
          <w:szCs w:val="20"/>
          <w:color w:val="auto"/>
        </w:rPr>
      </w:pPr>
      <w:r>
        <w:rPr>
          <w:rFonts w:ascii="Arial" w:cs="Arial" w:eastAsia="Arial" w:hAnsi="Arial"/>
          <w:sz w:val="17"/>
          <w:szCs w:val="17"/>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Research </w:t>
      </w:r>
      <w:r>
        <w:rPr>
          <w:rFonts w:ascii="Arial" w:cs="Arial" w:eastAsia="Arial" w:hAnsi="Arial"/>
          <w:sz w:val="17"/>
          <w:szCs w:val="17"/>
          <w:color w:val="auto"/>
        </w:rPr>
        <w:t>in November 2015 showed that the cumulative four-year revision rate with iFuse was 3.5%. A single surgeon retrospective study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January 2017 showed that the cumulative four-year revision rate for screw-based treatment of the sacroiliac joint was five times higher than the cumulative four-year revision rate for iFuse.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“Business—Our Published Studies” for more detail from these studies.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459" w:right="7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5828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3890" cy="5828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400" w:right="140" w:firstLine="426"/>
        <w:spacing w:after="0" w:line="254" w:lineRule="auto"/>
        <w:rPr>
          <w:sz w:val="20"/>
          <w:szCs w:val="20"/>
          <w:color w:val="auto"/>
        </w:rPr>
      </w:pPr>
      <w:r>
        <w:rPr>
          <w:rFonts w:ascii="Arial" w:cs="Arial" w:eastAsia="Arial" w:hAnsi="Arial"/>
          <w:sz w:val="18"/>
          <w:szCs w:val="18"/>
          <w:color w:val="auto"/>
        </w:rPr>
        <w:t>We estimate that over 30 million American adults have chronic lower back pain</w:t>
      </w:r>
      <w:r>
        <w:rPr>
          <w:rFonts w:ascii="Arial" w:cs="Arial" w:eastAsia="Arial" w:hAnsi="Arial"/>
          <w:sz w:val="18"/>
          <w:szCs w:val="18"/>
          <w:i w:val="1"/>
          <w:iCs w:val="1"/>
          <w:color w:val="auto"/>
        </w:rPr>
        <w:t>.</w:t>
      </w:r>
      <w:r>
        <w:rPr>
          <w:rFonts w:ascii="Arial" w:cs="Arial" w:eastAsia="Arial" w:hAnsi="Arial"/>
          <w:sz w:val="18"/>
          <w:szCs w:val="18"/>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patients received only 4,319 iFuse procedures in 2017.</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Limitations of Prior Treatment</w:t>
      </w:r>
    </w:p>
    <w:p>
      <w:pPr>
        <w:spacing w:after="0" w:line="121" w:lineRule="exact"/>
        <w:rPr>
          <w:sz w:val="20"/>
          <w:szCs w:val="20"/>
          <w:color w:val="auto"/>
        </w:rPr>
      </w:pPr>
    </w:p>
    <w:p>
      <w:pPr>
        <w:ind w:left="400" w:right="60" w:firstLine="426"/>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7" w:lineRule="exact"/>
        <w:rPr>
          <w:sz w:val="20"/>
          <w:szCs w:val="20"/>
          <w:color w:val="auto"/>
        </w:rPr>
      </w:pPr>
    </w:p>
    <w:p>
      <w:pPr>
        <w:ind w:left="400" w:firstLine="426"/>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6" w:lineRule="exact"/>
        <w:rPr>
          <w:sz w:val="20"/>
          <w:szCs w:val="20"/>
          <w:color w:val="auto"/>
        </w:rPr>
      </w:pPr>
    </w:p>
    <w:p>
      <w:pPr>
        <w:ind w:left="400" w:right="20" w:firstLine="426"/>
        <w:spacing w:after="0" w:line="301"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156" w:lineRule="exact"/>
        <w:rPr>
          <w:sz w:val="20"/>
          <w:szCs w:val="20"/>
          <w:color w:val="auto"/>
        </w:rPr>
      </w:pPr>
    </w:p>
    <w:p>
      <w:pPr>
        <w:ind w:left="400" w:right="140" w:firstLine="426"/>
        <w:spacing w:after="0" w:line="293" w:lineRule="auto"/>
        <w:rPr>
          <w:sz w:val="20"/>
          <w:szCs w:val="20"/>
          <w:color w:val="auto"/>
        </w:rPr>
      </w:pPr>
      <w:r>
        <w:rPr>
          <w:rFonts w:ascii="Arial" w:cs="Arial" w:eastAsia="Arial" w:hAnsi="Arial"/>
          <w:sz w:val="16"/>
          <w:szCs w:val="16"/>
          <w:color w:val="auto"/>
        </w:rPr>
        <w:t>Since we launched iFuse, we have made considerable investments in teaching healthcare professionals to accurately diagnose and treat sacroiliac joint disorders. We provide instruction and training on how to perform provocative maneuvers in a physician’s office that can reveal the sacroiliac joint as the source of pain. If the provocative tests are positive, surgeons (or other physicians)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63" w:lineRule="exact"/>
        <w:rPr>
          <w:sz w:val="20"/>
          <w:szCs w:val="20"/>
          <w:color w:val="auto"/>
        </w:rPr>
      </w:pPr>
    </w:p>
    <w:p>
      <w:pPr>
        <w:ind w:left="400" w:right="220" w:firstLine="426"/>
        <w:spacing w:after="0" w:line="259" w:lineRule="auto"/>
        <w:rPr>
          <w:sz w:val="20"/>
          <w:szCs w:val="20"/>
          <w:color w:val="auto"/>
        </w:rPr>
      </w:pPr>
      <w:r>
        <w:rPr>
          <w:rFonts w:ascii="Arial" w:cs="Arial" w:eastAsia="Arial" w:hAnsi="Arial"/>
          <w:sz w:val="18"/>
          <w:szCs w:val="18"/>
          <w:color w:val="auto"/>
        </w:rPr>
        <w:t>Recently, major medical societies involved in spine surgery have begun offering sacroiliac joint diagnostic training sessions for their membership. In 2018, these societies include the North American Spine Society, or NASS, Congress of Neurologic Surgeons, or CNS, American Academy of Neurologic Surgeons, or AANS, International Society for the Advancement of Spine Surgery, or ISASS, and the Scoliosis Research Society, or SRS.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4004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3890" cy="40043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20" w:firstLine="42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in many cases, to failure to diagnose the sacroiliac joint as the correct cause of pain.</w:t>
      </w:r>
    </w:p>
    <w:p>
      <w:pPr>
        <w:spacing w:after="0" w:line="165" w:lineRule="exact"/>
        <w:rPr>
          <w:sz w:val="20"/>
          <w:szCs w:val="20"/>
          <w:color w:val="auto"/>
        </w:rPr>
      </w:pPr>
    </w:p>
    <w:p>
      <w:pPr>
        <w:ind w:left="400" w:right="140" w:firstLine="426"/>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firstLine="426"/>
        <w:spacing w:after="0" w:line="296" w:lineRule="auto"/>
        <w:rPr>
          <w:sz w:val="20"/>
          <w:szCs w:val="20"/>
          <w:color w:val="auto"/>
        </w:rPr>
      </w:pPr>
      <w:r>
        <w:rPr>
          <w:rFonts w:ascii="Arial" w:cs="Arial" w:eastAsia="Arial" w:hAnsi="Arial"/>
          <w:sz w:val="16"/>
          <w:szCs w:val="16"/>
          <w:color w:val="auto"/>
        </w:rPr>
        <w:t>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6205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3890" cy="6205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400" w:right="20" w:firstLine="426"/>
        <w:spacing w:after="0" w:line="272" w:lineRule="auto"/>
        <w:rPr>
          <w:sz w:val="20"/>
          <w:szCs w:val="20"/>
          <w:color w:val="auto"/>
        </w:rPr>
      </w:pPr>
      <w:r>
        <w:rPr>
          <w:rFonts w:ascii="Arial" w:cs="Arial" w:eastAsia="Arial" w:hAnsi="Arial"/>
          <w:sz w:val="17"/>
          <w:szCs w:val="17"/>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The image on the right below shows the cross section cut from an iFuse-3D implant removed from an animal as part of the study, and reveals robust growth of bone into the implants.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400" w:right="380" w:firstLine="426"/>
        <w:spacing w:after="0" w:line="259" w:lineRule="auto"/>
        <w:rPr>
          <w:sz w:val="20"/>
          <w:szCs w:val="20"/>
          <w:color w:val="auto"/>
        </w:rPr>
      </w:pPr>
      <w:r>
        <w:rPr>
          <w:rFonts w:ascii="Arial" w:cs="Arial" w:eastAsia="Arial" w:hAnsi="Arial"/>
          <w:sz w:val="18"/>
          <w:szCs w:val="18"/>
          <w:color w:val="auto"/>
        </w:rPr>
        <w:t>As of August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86" w:lineRule="exact"/>
        <w:rPr>
          <w:sz w:val="20"/>
          <w:szCs w:val="20"/>
          <w:color w:val="auto"/>
        </w:rPr>
      </w:pPr>
    </w:p>
    <w:p>
      <w:pPr>
        <w:ind w:left="400" w:right="180" w:firstLine="426"/>
        <w:spacing w:after="0" w:line="259" w:lineRule="auto"/>
        <w:rPr>
          <w:sz w:val="20"/>
          <w:szCs w:val="20"/>
          <w:color w:val="auto"/>
        </w:rPr>
      </w:pPr>
      <w:r>
        <w:rPr>
          <w:rFonts w:ascii="Arial" w:cs="Arial" w:eastAsia="Arial" w:hAnsi="Arial"/>
          <w:sz w:val="18"/>
          <w:szCs w:val="18"/>
          <w:color w:val="auto"/>
        </w:rPr>
        <w:t>Prior to our launch of iFuse in 2009, Medicare and most private insurance companies reimbursed surgeons routinely for sacroiliac joint fusions, which were primarily invasive. However, effective July 1, 2013, the American Medical Association’s, or AMA’s, Editorial Panel effectively restricted reimbursement for minimally invasive sacroiliac joint fusion because they considered the published clinical evidence at the time to be inadequate.</w:t>
      </w:r>
    </w:p>
    <w:p>
      <w:pPr>
        <w:spacing w:after="0" w:line="186" w:lineRule="exact"/>
        <w:rPr>
          <w:sz w:val="20"/>
          <w:szCs w:val="20"/>
          <w:color w:val="auto"/>
        </w:rPr>
      </w:pPr>
    </w:p>
    <w:p>
      <w:pPr>
        <w:ind w:left="400" w:firstLine="426"/>
        <w:spacing w:after="0" w:line="273" w:lineRule="auto"/>
        <w:rPr>
          <w:sz w:val="20"/>
          <w:szCs w:val="20"/>
          <w:color w:val="auto"/>
        </w:rPr>
      </w:pPr>
      <w:r>
        <w:rPr>
          <w:rFonts w:ascii="Arial" w:cs="Arial" w:eastAsia="Arial" w:hAnsi="Arial"/>
          <w:sz w:val="17"/>
          <w:szCs w:val="17"/>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5948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3890" cy="5948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0" w:right="140" w:firstLine="426"/>
        <w:spacing w:after="0" w:line="291"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However,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fiscal year 2018.</w:t>
      </w:r>
    </w:p>
    <w:p>
      <w:pPr>
        <w:spacing w:after="0" w:line="165" w:lineRule="exact"/>
        <w:rPr>
          <w:sz w:val="20"/>
          <w:szCs w:val="20"/>
          <w:color w:val="auto"/>
        </w:rPr>
      </w:pPr>
    </w:p>
    <w:p>
      <w:pPr>
        <w:ind w:left="400" w:right="40" w:firstLine="426"/>
        <w:spacing w:after="0" w:line="275"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We believe it takes between six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As reimbursement coverage has improved, surgeon interest in learning to diagnose the sacroiliac joint and perform iFuse procedures has been increasing.</w:t>
      </w:r>
    </w:p>
    <w:p>
      <w:pPr>
        <w:spacing w:after="0" w:line="175" w:lineRule="exact"/>
        <w:rPr>
          <w:sz w:val="20"/>
          <w:szCs w:val="20"/>
          <w:color w:val="auto"/>
        </w:rPr>
      </w:pPr>
    </w:p>
    <w:p>
      <w:pPr>
        <w:ind w:left="400" w:firstLine="426"/>
        <w:spacing w:after="0" w:line="290" w:lineRule="auto"/>
        <w:rPr>
          <w:sz w:val="20"/>
          <w:szCs w:val="20"/>
          <w:color w:val="auto"/>
        </w:rPr>
      </w:pPr>
      <w:r>
        <w:rPr>
          <w:rFonts w:ascii="Arial" w:cs="Arial" w:eastAsia="Arial" w:hAnsi="Arial"/>
          <w:sz w:val="16"/>
          <w:szCs w:val="16"/>
          <w:color w:val="auto"/>
        </w:rPr>
        <w:t>Specialty benefit managers and companies which perform healthcare technology assessments have significant influence on coverage decisions. In 2018, four of the leading organizations, including Milliman Care Guidelines, AIM Specialty Health, Blue Cross Blue Shield Association Evidence Street, and eviCore Healthcare published positive coverage recommendations to their constituents and payor customers, of which three have recommended that iFuse be covered exclusively. Internationally, the United Kingdom’s National Institute for Health and Care Excellence, or NICE, published a positive coverage recommendation for sacroiliac joint fusion in 2017.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Additionally, in August 2018, the public hospital system in France announced it would initiate coverage for iFuse exclusively beginning September 6, 2018.</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400" w:right="100" w:firstLine="426"/>
        <w:spacing w:after="0" w:line="341"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30" w:lineRule="exact"/>
        <w:rPr>
          <w:sz w:val="20"/>
          <w:szCs w:val="20"/>
          <w:color w:val="auto"/>
        </w:rPr>
      </w:pPr>
    </w:p>
    <w:p>
      <w:pPr>
        <w:ind w:left="1220" w:right="80" w:hanging="409"/>
        <w:spacing w:after="0" w:line="341"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30" w:lineRule="exact"/>
        <w:rPr>
          <w:rFonts w:ascii="Arial" w:cs="Arial" w:eastAsia="Arial" w:hAnsi="Arial"/>
          <w:sz w:val="16"/>
          <w:szCs w:val="16"/>
          <w:color w:val="auto"/>
        </w:rPr>
      </w:pPr>
    </w:p>
    <w:p>
      <w:pPr>
        <w:ind w:left="1220" w:right="20" w:hanging="409"/>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NASS, CNS, AANS, ISASS, SRS, and the American Academy of Orthopaedic Surgeons, or AAOS, to increase their education programs teaching the diagnosis of the sacroiliac joint as part of the differential diagnosis of lower back pain;</w:t>
      </w:r>
    </w:p>
    <w:p>
      <w:pPr>
        <w:spacing w:after="0" w:line="91" w:lineRule="exact"/>
        <w:rPr>
          <w:rFonts w:ascii="Arial" w:cs="Arial" w:eastAsia="Arial" w:hAnsi="Arial"/>
          <w:sz w:val="18"/>
          <w:szCs w:val="18"/>
          <w:color w:val="auto"/>
        </w:rPr>
      </w:pPr>
    </w:p>
    <w:p>
      <w:pPr>
        <w:ind w:left="1220" w:hanging="409"/>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220" w:hanging="409"/>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 our direct field organization in the United States and select European countries to help drive adoption of our iFuse products;</w:t>
      </w:r>
    </w:p>
    <w:p>
      <w:pPr>
        <w:spacing w:after="0" w:line="153" w:lineRule="exact"/>
        <w:rPr>
          <w:rFonts w:ascii="Arial" w:cs="Arial" w:eastAsia="Arial" w:hAnsi="Arial"/>
          <w:sz w:val="16"/>
          <w:szCs w:val="16"/>
          <w:color w:val="auto"/>
        </w:rPr>
      </w:pPr>
    </w:p>
    <w:p>
      <w:pPr>
        <w:ind w:left="1220" w:right="160" w:hanging="409"/>
        <w:spacing w:after="0" w:line="341"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30" w:lineRule="exact"/>
        <w:rPr>
          <w:rFonts w:ascii="Arial" w:cs="Arial" w:eastAsia="Arial" w:hAnsi="Arial"/>
          <w:sz w:val="16"/>
          <w:szCs w:val="16"/>
          <w:color w:val="auto"/>
        </w:rPr>
      </w:pPr>
    </w:p>
    <w:p>
      <w:pPr>
        <w:ind w:left="1220" w:hanging="409"/>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6325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3890" cy="6325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400" w:right="280" w:firstLine="426"/>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186" w:lineRule="exact"/>
        <w:rPr>
          <w:sz w:val="20"/>
          <w:szCs w:val="20"/>
          <w:color w:val="auto"/>
        </w:rPr>
      </w:pPr>
    </w:p>
    <w:p>
      <w:pPr>
        <w:ind w:left="400" w:firstLine="426"/>
        <w:spacing w:after="0" w:line="259" w:lineRule="auto"/>
        <w:rPr>
          <w:sz w:val="20"/>
          <w:szCs w:val="20"/>
          <w:color w:val="auto"/>
        </w:rPr>
      </w:pPr>
      <w:r>
        <w:rPr>
          <w:rFonts w:ascii="Arial" w:cs="Arial" w:eastAsia="Arial" w:hAnsi="Arial"/>
          <w:sz w:val="18"/>
          <w:szCs w:val="18"/>
          <w:color w:val="auto"/>
        </w:rPr>
        <w:t>As of June 30, 2018, we had 168 employees, including a direct field sales organization of 72 in the United States and 28 in Europe. We intend to expand our direct field organization with some of the proceeds from this offering. As of June 30, 2018, we had 40 issued patents throughout the world, of which 34 were in the United States, and 18 pending patent applications, of which 11 were in the United States. These patents and applications cover various aspects of the iFuse procedure, implants, and instruments.</w:t>
      </w:r>
    </w:p>
    <w:p>
      <w:pPr>
        <w:spacing w:after="0" w:line="2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400" w:right="2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“Risk Factors,” which immediately follow this prospectus summary. These risks include, among others:</w:t>
      </w:r>
    </w:p>
    <w:p>
      <w:pPr>
        <w:spacing w:after="0" w:line="75" w:lineRule="exact"/>
        <w:rPr>
          <w:sz w:val="20"/>
          <w:szCs w:val="20"/>
          <w:color w:val="auto"/>
        </w:rPr>
      </w:pPr>
    </w:p>
    <w:p>
      <w:pPr>
        <w:ind w:left="1220" w:right="60" w:hanging="409"/>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ind w:left="1220" w:right="420" w:hanging="409"/>
        <w:spacing w:after="0" w:line="263"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88" w:lineRule="exact"/>
        <w:rPr>
          <w:rFonts w:ascii="Arial" w:cs="Arial" w:eastAsia="Arial" w:hAnsi="Arial"/>
          <w:sz w:val="18"/>
          <w:szCs w:val="18"/>
          <w:color w:val="auto"/>
        </w:rPr>
      </w:pPr>
    </w:p>
    <w:p>
      <w:pPr>
        <w:ind w:left="1220" w:right="300" w:hanging="409"/>
        <w:spacing w:after="0" w:line="341"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30" w:lineRule="exact"/>
        <w:rPr>
          <w:rFonts w:ascii="Arial" w:cs="Arial" w:eastAsia="Arial" w:hAnsi="Arial"/>
          <w:sz w:val="16"/>
          <w:szCs w:val="16"/>
          <w:color w:val="auto"/>
        </w:rPr>
      </w:pPr>
    </w:p>
    <w:p>
      <w:pPr>
        <w:ind w:left="1220" w:right="240" w:hanging="409"/>
        <w:spacing w:after="0" w:line="263"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88" w:lineRule="exact"/>
        <w:rPr>
          <w:rFonts w:ascii="Arial" w:cs="Arial" w:eastAsia="Arial" w:hAnsi="Arial"/>
          <w:sz w:val="18"/>
          <w:szCs w:val="18"/>
          <w:color w:val="auto"/>
        </w:rPr>
      </w:pPr>
    </w:p>
    <w:p>
      <w:pPr>
        <w:ind w:left="1220" w:right="140" w:hanging="409"/>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220" w:right="240" w:hanging="409"/>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220" w:right="100" w:hanging="409"/>
        <w:spacing w:after="0" w:line="263"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88" w:lineRule="exact"/>
        <w:rPr>
          <w:rFonts w:ascii="Arial" w:cs="Arial" w:eastAsia="Arial" w:hAnsi="Arial"/>
          <w:sz w:val="18"/>
          <w:szCs w:val="18"/>
          <w:color w:val="auto"/>
        </w:rPr>
      </w:pPr>
    </w:p>
    <w:p>
      <w:pPr>
        <w:ind w:left="1220" w:right="240" w:hanging="409"/>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220" w:right="480" w:hanging="409"/>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manufacture and sell products used in a single procedure, which could negatively affect our operations and financial condition.</w:t>
      </w:r>
    </w:p>
    <w:p>
      <w:pPr>
        <w:spacing w:after="0" w:line="75" w:lineRule="exact"/>
        <w:rPr>
          <w:rFonts w:ascii="Arial" w:cs="Arial" w:eastAsia="Arial" w:hAnsi="Arial"/>
          <w:sz w:val="18"/>
          <w:szCs w:val="18"/>
          <w:color w:val="auto"/>
        </w:rPr>
      </w:pPr>
    </w:p>
    <w:p>
      <w:pPr>
        <w:ind w:left="1220" w:right="180" w:hanging="409"/>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5700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3890" cy="5700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20" w:right="380" w:hanging="409"/>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220" w:right="280" w:hanging="409"/>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those relating to physician kickbacks and false claims for reimbursement, as well as equivalent foreign laws.</w:t>
      </w:r>
    </w:p>
    <w:p>
      <w:pPr>
        <w:spacing w:after="0" w:line="27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400" w:right="40" w:firstLine="426"/>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400" w:right="100" w:firstLine="426"/>
        <w:spacing w:after="0" w:line="271" w:lineRule="auto"/>
        <w:rPr>
          <w:sz w:val="20"/>
          <w:szCs w:val="20"/>
          <w:color w:val="auto"/>
        </w:rPr>
      </w:pPr>
      <w:r>
        <w:rPr>
          <w:rFonts w:ascii="Arial" w:cs="Arial" w:eastAsia="Arial" w:hAnsi="Arial"/>
          <w:sz w:val="17"/>
          <w:szCs w:val="17"/>
          <w:color w:val="auto"/>
        </w:rPr>
        <w:t>Set forth below are certain preliminary revenue, cost of goods sold, and operating loss expectations for the three and nine months ended September 30, 2018 compared to actual unaudited financial results for the three and nine months ended September 30, 2017. We have provided a range for these preliminary results because our financial closing procedures for the three months ended September 30, 2018 are not yet complete. These preliminary results represent our estimates only based on currently available information and do not present all necessary information for an understanding of our financial condition as of September 30, 2018 or our results of operations for the three and nine months ended September 30, 2018. As we complete our quarter-end financial close process and finalize our unaudited financial statements for the three and nine months ended September 30, 2018, we will be required to make significant judgments in a number of areas, including inventory, stock-based compensation, and the liability for preferred stock warrants.</w:t>
      </w:r>
    </w:p>
    <w:p>
      <w:pPr>
        <w:spacing w:after="0" w:line="177" w:lineRule="exact"/>
        <w:rPr>
          <w:sz w:val="20"/>
          <w:szCs w:val="20"/>
          <w:color w:val="auto"/>
        </w:rPr>
      </w:pPr>
    </w:p>
    <w:p>
      <w:pPr>
        <w:ind w:left="400" w:firstLine="426"/>
        <w:spacing w:after="0" w:line="269" w:lineRule="auto"/>
        <w:rPr>
          <w:sz w:val="20"/>
          <w:szCs w:val="20"/>
          <w:color w:val="auto"/>
        </w:rPr>
      </w:pPr>
      <w:r>
        <w:rPr>
          <w:rFonts w:ascii="Arial" w:cs="Arial" w:eastAsia="Arial" w:hAnsi="Arial"/>
          <w:sz w:val="17"/>
          <w:szCs w:val="17"/>
          <w:color w:val="auto"/>
        </w:rPr>
        <w:t>This financial information has been prepared by and is the responsibility of our management. PricewaterhouseCoopers LLP, our independent registered public accounting firm, has not audited, reviewed, compiled, or performed any procedures with respect to this preliminary financial data or the accounting treatment thereof and does not express an opinion or any other form of assurance with respect thereto, nor has PricewaterhouseCoopers LLP audited or reviewed financial statements for the three and nine months ended September 30, 2017. We expect to complete our unaudited financial statements for the three and nine months ended September 30, 2018 subsequent to the completion of this offering. It is possible that we or PricewaterhouseCoopers LLP may identify items that require us to make adjustments to the financial information set forth below and those changes could be material. We do not intend to update the financial information set forth below prior to completion of our interim financial statements. Accordingly, undue reliance should not be placed on these preliminary estimates. These preliminary estimates are not necessarily indicative of any future period and should be read together with “Risk Factors,” “Information Regarding Forward-Looking Statements,” “Management’s Discussion and Analysis of Financial Condition and Results of Operations,” “Selected Consolidated Financial Data,”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3636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3890" cy="363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estimate that our total revenue for the three months ended September 30, 2018 was between approximately $13.2 million and</w:t>
      </w:r>
    </w:p>
    <w:p>
      <w:pPr>
        <w:spacing w:after="0" w:line="35" w:lineRule="exact"/>
        <w:rPr>
          <w:sz w:val="20"/>
          <w:szCs w:val="20"/>
          <w:color w:val="auto"/>
        </w:rPr>
      </w:pPr>
    </w:p>
    <w:p>
      <w:pPr>
        <w:ind w:left="400" w:right="40"/>
        <w:spacing w:after="0" w:line="255" w:lineRule="auto"/>
        <w:rPr>
          <w:sz w:val="20"/>
          <w:szCs w:val="20"/>
          <w:color w:val="auto"/>
        </w:rPr>
      </w:pPr>
      <w:r>
        <w:rPr>
          <w:rFonts w:ascii="Arial" w:cs="Arial" w:eastAsia="Arial" w:hAnsi="Arial"/>
          <w:sz w:val="18"/>
          <w:szCs w:val="18"/>
          <w:color w:val="auto"/>
        </w:rPr>
        <w:t>$13.4 million as compared to $11.7 million for the three months ended September 30, 2017. We estimate that our total revenue for the nine months ended September 30, 2018 was between approximately $39.6 million and $39.8 million as compared to $34.2 million for the nine months ended September 30, 2017.</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400" w:right="100" w:firstLine="426"/>
        <w:spacing w:after="0" w:line="259" w:lineRule="auto"/>
        <w:rPr>
          <w:sz w:val="20"/>
          <w:szCs w:val="20"/>
          <w:color w:val="auto"/>
        </w:rPr>
      </w:pPr>
      <w:r>
        <w:rPr>
          <w:rFonts w:ascii="Arial" w:cs="Arial" w:eastAsia="Arial" w:hAnsi="Arial"/>
          <w:sz w:val="18"/>
          <w:szCs w:val="18"/>
          <w:color w:val="auto"/>
        </w:rPr>
        <w:t>We estimate that our cost of goods sold was between approximately $1.1 million and $1.3 million for the three months ended September 30, 2018 as compared to cost of goods sold of $1.3 million for the three months ended September 30, 2017. We estimate that our cost of goods sold was between approximately $3.4 million and $3.6 million for the nine months ended September 30, 2018 as compared to cost of goods sold of $3.9 million for the nine months ended September 30, 2017.</w:t>
      </w:r>
    </w:p>
    <w:p>
      <w:pPr>
        <w:spacing w:after="0" w:line="29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Operating loss</w:t>
      </w:r>
    </w:p>
    <w:p>
      <w:pPr>
        <w:spacing w:after="0" w:line="117" w:lineRule="exact"/>
        <w:rPr>
          <w:sz w:val="20"/>
          <w:szCs w:val="20"/>
          <w:color w:val="auto"/>
        </w:rPr>
      </w:pPr>
    </w:p>
    <w:p>
      <w:pPr>
        <w:ind w:left="400" w:firstLine="426"/>
        <w:spacing w:after="0" w:line="311" w:lineRule="auto"/>
        <w:rPr>
          <w:sz w:val="20"/>
          <w:szCs w:val="20"/>
          <w:color w:val="auto"/>
        </w:rPr>
      </w:pPr>
      <w:r>
        <w:rPr>
          <w:rFonts w:ascii="Arial" w:cs="Arial" w:eastAsia="Arial" w:hAnsi="Arial"/>
          <w:sz w:val="16"/>
          <w:szCs w:val="16"/>
          <w:color w:val="auto"/>
        </w:rPr>
        <w:t>We estimate that our operating loss was between approximately $2.7 million and $3.5 million for the three months ended September 30, 2018 as compared to $5.0 million for the three months ended September 30, 2017. We estimate that our operating loss was between $7.4 million and $8.2 million for the nine months ended September 30, 2018 as compared to $15.7 million for the nine months ended September 30, 2017.</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400" w:firstLine="426"/>
        <w:spacing w:after="0" w:line="311" w:lineRule="auto"/>
        <w:rPr>
          <w:sz w:val="20"/>
          <w:szCs w:val="20"/>
          <w:color w:val="auto"/>
        </w:rPr>
      </w:pPr>
      <w:r>
        <w:rPr>
          <w:rFonts w:ascii="Arial" w:cs="Arial" w:eastAsia="Arial" w:hAnsi="Arial"/>
          <w:sz w:val="16"/>
          <w:szCs w:val="16"/>
          <w:color w:val="auto"/>
        </w:rPr>
        <w:t>We were incorporated in March 2008 in Delaware.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38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5537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3890" cy="55378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3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110"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Shares of common stock to be outstanding after this offering</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21,793,160 shares (22,693,160 shares if the underwriters exercise their option to purchase additional shares in full)</w:t>
      </w:r>
    </w:p>
    <w:p>
      <w:pPr>
        <w:spacing w:after="0" w:line="35"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jc w:val="both"/>
        <w:ind w:right="220"/>
        <w:spacing w:after="0" w:line="263" w:lineRule="auto"/>
        <w:rPr>
          <w:sz w:val="20"/>
          <w:szCs w:val="20"/>
          <w:color w:val="auto"/>
        </w:rPr>
      </w:pPr>
      <w:r>
        <w:rPr>
          <w:rFonts w:ascii="Arial" w:cs="Arial" w:eastAsia="Arial" w:hAnsi="Arial"/>
          <w:sz w:val="18"/>
          <w:szCs w:val="18"/>
          <w:color w:val="auto"/>
        </w:rPr>
        <w:t>We have granted to the underwriters the option, exercisable for 30 days, to purchase up to 900,000 additional shares of our common stock.</w:t>
      </w:r>
    </w:p>
    <w:p>
      <w:pPr>
        <w:spacing w:after="0" w:line="34"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that the net proceeds from this offering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 6,000,000 shares of our common stock will be approximately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$76.4 million, or $88.1 million if the underwriters exercise their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 in full, after deducting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underwriting discounts and commissions and estimated offering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expenses payable by us, assuming an initial public offering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$14.00 per share, which is the midpoint of the price range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cover page of this prospectus.</w:t>
      </w:r>
    </w:p>
    <w:p>
      <w:pPr>
        <w:spacing w:after="0" w:line="62"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6040"/>
        <w:spacing w:after="0"/>
        <w:rPr>
          <w:sz w:val="20"/>
          <w:szCs w:val="20"/>
          <w:color w:val="auto"/>
        </w:rPr>
      </w:pPr>
      <w:r>
        <w:rPr>
          <w:rFonts w:ascii="Arial" w:cs="Arial" w:eastAsia="Arial" w:hAnsi="Arial"/>
          <w:sz w:val="16"/>
          <w:szCs w:val="16"/>
          <w:color w:val="auto"/>
        </w:rPr>
        <w:t>We expect to use approximately $65.0 million of the net proceeds for</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sales and marketing activities to support ongoing commercialization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of the iFuse Implant System and the remainder, if any, for working</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capital and general corporate purposes, including research and</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development and clinical studies. We may also use a portion of our</w:t>
      </w:r>
    </w:p>
    <w:p>
      <w:pPr>
        <w:spacing w:after="0" w:line="23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technologies, or businesses; however, we currently have no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agreements or commitments to complete any such transactions. See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“Use of Proceeds.”</w:t>
      </w:r>
    </w:p>
    <w:p>
      <w:pPr>
        <w:sectPr>
          <w:pgSz w:w="11900" w:h="16838" w:orient="portrait"/>
          <w:cols w:equalWidth="0" w:num="1">
            <w:col w:w="11020"/>
          </w:cols>
          <w:pgMar w:left="240" w:top="459" w:right="639" w:bottom="1440" w:gutter="0" w:footer="0" w:header="0"/>
          <w:type w:val="continuous"/>
        </w:sectPr>
      </w:pPr>
    </w:p>
    <w:p>
      <w:pPr>
        <w:spacing w:after="0" w:line="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and the other information included in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you should consider carefully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deciding to invest in our common stock.</w:t>
      </w:r>
    </w:p>
    <w:p>
      <w:pPr>
        <w:spacing w:after="0" w:line="62"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“SIBN”</w:t>
      </w:r>
    </w:p>
    <w:p>
      <w:pPr>
        <w:spacing w:after="0" w:line="200"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spacing w:after="0" w:line="25" w:lineRule="exact"/>
        <w:rPr>
          <w:sz w:val="20"/>
          <w:szCs w:val="20"/>
          <w:color w:val="auto"/>
        </w:rPr>
      </w:pPr>
    </w:p>
    <w:p>
      <w:pPr>
        <w:ind w:left="400" w:right="180" w:firstLine="426"/>
        <w:spacing w:after="0" w:line="273" w:lineRule="auto"/>
        <w:rPr>
          <w:sz w:val="20"/>
          <w:szCs w:val="20"/>
          <w:color w:val="auto"/>
        </w:rPr>
      </w:pPr>
      <w:r>
        <w:rPr>
          <w:rFonts w:ascii="Arial" w:cs="Arial" w:eastAsia="Arial" w:hAnsi="Arial"/>
          <w:sz w:val="17"/>
          <w:szCs w:val="17"/>
          <w:color w:val="auto"/>
        </w:rPr>
        <w:t>Certain of our existing stockholders or their affiliates, including entities affiliated with Arboretum Ventures, Novo Holdings A/S, OrbiMed, and Skyline Venture Partners, have indicated an interest in purchasing up to an aggregate of $32.0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56661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3890" cy="5666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number of shares of common stock to be outstanding after this offering is based on 15,793,160 shares of common stock outstanding as of</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June 30, 2018, and excludes:</w:t>
      </w:r>
    </w:p>
    <w:p>
      <w:pPr>
        <w:spacing w:after="0" w:line="116" w:lineRule="exact"/>
        <w:rPr>
          <w:sz w:val="20"/>
          <w:szCs w:val="20"/>
          <w:color w:val="auto"/>
        </w:rPr>
      </w:pPr>
    </w:p>
    <w:p>
      <w:pPr>
        <w:ind w:left="1220" w:right="42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2,900,842 shares of common stock issuable upon the exercise of options outstanding as of June 30, 2018, with a weighted-average exercise price of $4.09 per share;</w:t>
      </w:r>
    </w:p>
    <w:p>
      <w:pPr>
        <w:spacing w:after="0" w:line="75" w:lineRule="exact"/>
        <w:rPr>
          <w:rFonts w:ascii="Arial" w:cs="Arial" w:eastAsia="Arial" w:hAnsi="Arial"/>
          <w:sz w:val="18"/>
          <w:szCs w:val="18"/>
          <w:color w:val="auto"/>
        </w:rPr>
      </w:pPr>
    </w:p>
    <w:p>
      <w:pPr>
        <w:ind w:left="1220" w:right="760" w:hanging="409"/>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the exercise of warrants outstanding as of June 30, 2018, with a weighted-average exercise price of $8.69 per share;</w:t>
      </w:r>
    </w:p>
    <w:p>
      <w:pPr>
        <w:spacing w:after="0" w:line="75" w:lineRule="exact"/>
        <w:rPr>
          <w:rFonts w:ascii="Arial" w:cs="Arial" w:eastAsia="Arial" w:hAnsi="Arial"/>
          <w:sz w:val="18"/>
          <w:szCs w:val="18"/>
          <w:color w:val="auto"/>
        </w:rPr>
      </w:pPr>
    </w:p>
    <w:p>
      <w:pPr>
        <w:ind w:left="1220" w:right="160" w:hanging="40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26,613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8" w:lineRule="exact"/>
        <w:rPr>
          <w:rFonts w:ascii="Arial" w:cs="Arial" w:eastAsia="Arial" w:hAnsi="Arial"/>
          <w:sz w:val="18"/>
          <w:szCs w:val="18"/>
          <w:color w:val="auto"/>
        </w:rPr>
      </w:pPr>
    </w:p>
    <w:p>
      <w:pPr>
        <w:ind w:left="1220" w:right="120" w:hanging="40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2,576,538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88" w:lineRule="exact"/>
        <w:rPr>
          <w:rFonts w:ascii="Arial" w:cs="Arial" w:eastAsia="Arial" w:hAnsi="Arial"/>
          <w:sz w:val="18"/>
          <w:szCs w:val="18"/>
          <w:color w:val="auto"/>
        </w:rPr>
      </w:pPr>
    </w:p>
    <w:p>
      <w:pPr>
        <w:jc w:val="both"/>
        <w:ind w:left="1220" w:right="140" w:hanging="409"/>
        <w:spacing w:after="0" w:line="263"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515,307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0" w:lineRule="exact"/>
        <w:rPr>
          <w:sz w:val="20"/>
          <w:szCs w:val="20"/>
          <w:color w:val="auto"/>
        </w:rPr>
      </w:pPr>
    </w:p>
    <w:p>
      <w:pPr>
        <w:ind w:left="1220" w:right="180" w:hanging="409"/>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hanging="409"/>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1-for-18 reverse stock split of common stock and preferred stock effected on October 4, 2018;</w:t>
      </w:r>
    </w:p>
    <w:p>
      <w:pPr>
        <w:spacing w:after="0" w:line="130" w:lineRule="exact"/>
        <w:rPr>
          <w:rFonts w:ascii="Arial" w:cs="Arial" w:eastAsia="Arial" w:hAnsi="Arial"/>
          <w:sz w:val="18"/>
          <w:szCs w:val="18"/>
          <w:color w:val="auto"/>
        </w:rPr>
      </w:pPr>
    </w:p>
    <w:p>
      <w:pPr>
        <w:ind w:left="1220" w:right="340" w:hanging="409"/>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warrants to purchase shares of preferred stock into warrants to purchase shares of common stock immediately prior to the closing of this offering;</w:t>
      </w:r>
    </w:p>
    <w:p>
      <w:pPr>
        <w:spacing w:after="0" w:line="75" w:lineRule="exact"/>
        <w:rPr>
          <w:rFonts w:ascii="Arial" w:cs="Arial" w:eastAsia="Arial" w:hAnsi="Arial"/>
          <w:sz w:val="18"/>
          <w:szCs w:val="18"/>
          <w:color w:val="auto"/>
        </w:rPr>
      </w:pPr>
    </w:p>
    <w:p>
      <w:pPr>
        <w:ind w:left="1220" w:right="120" w:hanging="409"/>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12,066,654 shares of common stock immediately prior to the closing of this offering;</w:t>
      </w:r>
    </w:p>
    <w:p>
      <w:pPr>
        <w:spacing w:after="0" w:line="75" w:lineRule="exact"/>
        <w:rPr>
          <w:rFonts w:ascii="Arial" w:cs="Arial" w:eastAsia="Arial" w:hAnsi="Arial"/>
          <w:sz w:val="18"/>
          <w:szCs w:val="18"/>
          <w:color w:val="auto"/>
        </w:rPr>
      </w:pPr>
    </w:p>
    <w:p>
      <w:pPr>
        <w:jc w:val="both"/>
        <w:ind w:left="1220" w:right="120" w:hanging="409"/>
        <w:spacing w:after="0" w:line="263"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19,238 shares of common stock upon the automatic net exercise of warrants, with an exercise price of $9.10 per share, immediately prior to the closing of this offering, assuming an initial public offering price of $14.00 per share, which is the midpoint of the price range set forth on the cover page of this prospectus;</w:t>
      </w:r>
    </w:p>
    <w:p>
      <w:pPr>
        <w:spacing w:after="0" w:line="88" w:lineRule="exact"/>
        <w:rPr>
          <w:rFonts w:ascii="Arial" w:cs="Arial" w:eastAsia="Arial" w:hAnsi="Arial"/>
          <w:sz w:val="18"/>
          <w:szCs w:val="18"/>
          <w:color w:val="auto"/>
        </w:rPr>
      </w:pPr>
    </w:p>
    <w:p>
      <w:pPr>
        <w:jc w:val="both"/>
        <w:ind w:left="1220" w:right="20" w:hanging="409"/>
        <w:spacing w:after="0" w:line="263"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Series 1 common stock and Series 2 common stock into a single class of common stock named “common stock,” which shall have the same voting powers, preferences, rights and qualifications, limitations, and restrictions as the current Series 2 common stock, immediately prior to the closing of this offering;</w:t>
      </w:r>
    </w:p>
    <w:p>
      <w:pPr>
        <w:spacing w:after="0" w:line="88" w:lineRule="exact"/>
        <w:rPr>
          <w:rFonts w:ascii="Arial" w:cs="Arial" w:eastAsia="Arial" w:hAnsi="Arial"/>
          <w:sz w:val="18"/>
          <w:szCs w:val="18"/>
          <w:color w:val="auto"/>
        </w:rPr>
      </w:pPr>
    </w:p>
    <w:p>
      <w:pPr>
        <w:ind w:left="1220" w:hanging="409"/>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options and warrants, other than as provided for above; and</w:t>
      </w:r>
    </w:p>
    <w:p>
      <w:pPr>
        <w:spacing w:after="0" w:line="130" w:lineRule="exact"/>
        <w:rPr>
          <w:rFonts w:ascii="Arial" w:cs="Arial" w:eastAsia="Arial" w:hAnsi="Arial"/>
          <w:sz w:val="18"/>
          <w:szCs w:val="18"/>
          <w:color w:val="auto"/>
        </w:rPr>
      </w:pPr>
    </w:p>
    <w:p>
      <w:pPr>
        <w:ind w:left="1220" w:hanging="409"/>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900,000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6334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3890" cy="6334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400" w:right="40" w:firstLine="426"/>
        <w:spacing w:after="0" w:line="291" w:lineRule="auto"/>
        <w:rPr>
          <w:sz w:val="20"/>
          <w:szCs w:val="20"/>
          <w:color w:val="auto"/>
        </w:rPr>
      </w:pPr>
      <w:r>
        <w:rPr>
          <w:rFonts w:ascii="Arial" w:cs="Arial" w:eastAsia="Arial" w:hAnsi="Arial"/>
          <w:sz w:val="16"/>
          <w:szCs w:val="16"/>
          <w:color w:val="auto"/>
        </w:rPr>
        <w:t>The following summary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84"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gridSpan w:val="8"/>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(in thousands, except share and per share data)</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42,101</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47,983</w:t>
            </w:r>
          </w:p>
        </w:tc>
        <w:tc>
          <w:tcPr>
            <w:tcW w:w="360" w:type="dxa"/>
            <w:vAlign w:val="bottom"/>
          </w:tcPr>
          <w:p>
            <w:pPr>
              <w:spacing w:after="0"/>
              <w:rPr>
                <w:sz w:val="18"/>
                <w:szCs w:val="18"/>
                <w:color w:val="auto"/>
              </w:rPr>
            </w:pP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22,531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35,215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41,646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21,130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30,635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0" w:type="dxa"/>
            <w:vAlign w:val="bottom"/>
          </w:tcPr>
          <w:p>
            <w:pPr>
              <w:spacing w:after="0"/>
              <w:rPr>
                <w:sz w:val="1"/>
                <w:szCs w:val="1"/>
                <w:color w:val="auto"/>
              </w:rPr>
            </w:pPr>
          </w:p>
        </w:tc>
      </w:tr>
      <w:tr>
        <w:trPr>
          <w:trHeight w:val="223"/>
        </w:trPr>
        <w:tc>
          <w:tcPr>
            <w:tcW w:w="426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3"/>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shares used to compute</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15"/>
                <w:szCs w:val="15"/>
                <w:color w:val="auto"/>
              </w:rPr>
              <w:t>(1)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3,314,198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3,467,096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3,426,963</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common share, basic and</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Pro forma weighted-average number of common</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w w:val="94"/>
              </w:rPr>
              <w:t>shares used to compute basic and diluted net loss per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15,478,016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15,689,200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20" w:right="140" w:hanging="427"/>
        <w:spacing w:after="0" w:line="26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212090</wp:posOffset>
            </wp:positionV>
            <wp:extent cx="6993890" cy="4355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3890" cy="43554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As of June 30, 2018</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Actual</w:t>
            </w:r>
          </w:p>
        </w:tc>
        <w:tc>
          <w:tcPr>
            <w:tcW w:w="1740" w:type="dxa"/>
            <w:vAlign w:val="bottom"/>
          </w:tcPr>
          <w:p>
            <w:pPr>
              <w:jc w:val="right"/>
              <w:ind w:right="757"/>
              <w:spacing w:after="0" w:line="119" w:lineRule="exact"/>
              <w:rPr>
                <w:sz w:val="20"/>
                <w:szCs w:val="20"/>
                <w:color w:val="auto"/>
              </w:rPr>
            </w:pPr>
            <w:r>
              <w:rPr>
                <w:rFonts w:ascii="Arial" w:cs="Arial" w:eastAsia="Arial" w:hAnsi="Arial"/>
                <w:sz w:val="13"/>
                <w:szCs w:val="13"/>
                <w:b w:val="1"/>
                <w:bCs w:val="1"/>
                <w:color w:val="auto"/>
              </w:rPr>
              <w:t>Pro</w:t>
            </w:r>
          </w:p>
        </w:tc>
        <w:tc>
          <w:tcPr>
            <w:tcW w:w="380" w:type="dxa"/>
            <w:vAlign w:val="bottom"/>
          </w:tcPr>
          <w:p>
            <w:pPr>
              <w:spacing w:after="0"/>
              <w:rPr>
                <w:sz w:val="10"/>
                <w:szCs w:val="10"/>
                <w:color w:val="auto"/>
              </w:rPr>
            </w:pPr>
          </w:p>
        </w:tc>
        <w:tc>
          <w:tcPr>
            <w:tcW w:w="9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740" w:type="dxa"/>
            <w:vAlign w:val="bottom"/>
          </w:tcPr>
          <w:p>
            <w:pPr>
              <w:jc w:val="right"/>
              <w:ind w:right="597"/>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(2)(3)</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348"/>
              <w:spacing w:after="0"/>
              <w:rPr>
                <w:sz w:val="20"/>
                <w:szCs w:val="20"/>
                <w:color w:val="auto"/>
              </w:rPr>
            </w:pPr>
            <w:r>
              <w:rPr>
                <w:rFonts w:ascii="Arial" w:cs="Arial" w:eastAsia="Arial" w:hAnsi="Arial"/>
                <w:sz w:val="18"/>
                <w:szCs w:val="18"/>
                <w:color w:val="auto"/>
              </w:rPr>
              <w:t>$  16,233</w:t>
            </w:r>
          </w:p>
        </w:tc>
        <w:tc>
          <w:tcPr>
            <w:tcW w:w="1740" w:type="dxa"/>
            <w:vAlign w:val="bottom"/>
          </w:tcPr>
          <w:p>
            <w:pPr>
              <w:jc w:val="right"/>
              <w:ind w:right="537"/>
              <w:spacing w:after="0"/>
              <w:rPr>
                <w:sz w:val="20"/>
                <w:szCs w:val="20"/>
                <w:color w:val="auto"/>
              </w:rPr>
            </w:pPr>
            <w:r>
              <w:rPr>
                <w:rFonts w:ascii="Arial" w:cs="Arial" w:eastAsia="Arial" w:hAnsi="Arial"/>
                <w:sz w:val="18"/>
                <w:szCs w:val="18"/>
                <w:color w:val="auto"/>
              </w:rPr>
              <w:t>$ 16,233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3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20,040</w:t>
            </w:r>
          </w:p>
        </w:tc>
        <w:tc>
          <w:tcPr>
            <w:tcW w:w="17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20,040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2320" w:type="dxa"/>
            <w:vAlign w:val="bottom"/>
            <w:gridSpan w:val="2"/>
          </w:tcPr>
          <w:p>
            <w:pPr>
              <w:jc w:val="right"/>
              <w:ind w:right="348"/>
              <w:spacing w:after="0"/>
              <w:rPr>
                <w:sz w:val="20"/>
                <w:szCs w:val="20"/>
                <w:color w:val="auto"/>
              </w:rPr>
            </w:pPr>
            <w:r>
              <w:rPr>
                <w:rFonts w:ascii="Arial" w:cs="Arial" w:eastAsia="Arial" w:hAnsi="Arial"/>
                <w:sz w:val="18"/>
                <w:szCs w:val="18"/>
                <w:color w:val="auto"/>
              </w:rPr>
              <w:t>29,913</w:t>
            </w:r>
          </w:p>
        </w:tc>
        <w:tc>
          <w:tcPr>
            <w:tcW w:w="1740" w:type="dxa"/>
            <w:vAlign w:val="bottom"/>
          </w:tcPr>
          <w:p>
            <w:pPr>
              <w:jc w:val="right"/>
              <w:ind w:right="537"/>
              <w:spacing w:after="0"/>
              <w:rPr>
                <w:sz w:val="20"/>
                <w:szCs w:val="20"/>
                <w:color w:val="auto"/>
              </w:rPr>
            </w:pPr>
            <w:r>
              <w:rPr>
                <w:rFonts w:ascii="Arial" w:cs="Arial" w:eastAsia="Arial" w:hAnsi="Arial"/>
                <w:sz w:val="18"/>
                <w:szCs w:val="18"/>
                <w:color w:val="auto"/>
              </w:rPr>
              <w:t>29,913</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3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646</w:t>
            </w:r>
          </w:p>
        </w:tc>
        <w:tc>
          <w:tcPr>
            <w:tcW w:w="17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long-term borrowings</w:t>
            </w:r>
          </w:p>
        </w:tc>
        <w:tc>
          <w:tcPr>
            <w:tcW w:w="2320" w:type="dxa"/>
            <w:vAlign w:val="bottom"/>
            <w:gridSpan w:val="2"/>
          </w:tcPr>
          <w:p>
            <w:pPr>
              <w:jc w:val="right"/>
              <w:ind w:right="348"/>
              <w:spacing w:after="0"/>
              <w:rPr>
                <w:sz w:val="20"/>
                <w:szCs w:val="20"/>
                <w:color w:val="auto"/>
              </w:rPr>
            </w:pPr>
            <w:r>
              <w:rPr>
                <w:rFonts w:ascii="Arial" w:cs="Arial" w:eastAsia="Arial" w:hAnsi="Arial"/>
                <w:sz w:val="18"/>
                <w:szCs w:val="18"/>
                <w:color w:val="auto"/>
              </w:rPr>
              <w:t>38,834</w:t>
            </w:r>
          </w:p>
        </w:tc>
        <w:tc>
          <w:tcPr>
            <w:tcW w:w="1740" w:type="dxa"/>
            <w:vAlign w:val="bottom"/>
          </w:tcPr>
          <w:p>
            <w:pPr>
              <w:jc w:val="right"/>
              <w:ind w:right="537"/>
              <w:spacing w:after="0"/>
              <w:rPr>
                <w:sz w:val="20"/>
                <w:szCs w:val="20"/>
                <w:color w:val="auto"/>
              </w:rPr>
            </w:pPr>
            <w:r>
              <w:rPr>
                <w:rFonts w:ascii="Arial" w:cs="Arial" w:eastAsia="Arial" w:hAnsi="Arial"/>
                <w:sz w:val="18"/>
                <w:szCs w:val="18"/>
                <w:color w:val="auto"/>
              </w:rPr>
              <w:t>38,834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47,068</w:t>
            </w:r>
          </w:p>
        </w:tc>
        <w:tc>
          <w:tcPr>
            <w:tcW w:w="17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46,422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320" w:type="dxa"/>
            <w:vAlign w:val="bottom"/>
            <w:gridSpan w:val="2"/>
          </w:tcPr>
          <w:p>
            <w:pPr>
              <w:jc w:val="right"/>
              <w:ind w:right="348"/>
              <w:spacing w:after="0"/>
              <w:rPr>
                <w:sz w:val="20"/>
                <w:szCs w:val="20"/>
                <w:color w:val="auto"/>
              </w:rPr>
            </w:pPr>
            <w:r>
              <w:rPr>
                <w:rFonts w:ascii="Arial" w:cs="Arial" w:eastAsia="Arial" w:hAnsi="Arial"/>
                <w:sz w:val="18"/>
                <w:szCs w:val="18"/>
                <w:color w:val="auto"/>
              </w:rPr>
              <w:t>118,548</w:t>
            </w:r>
          </w:p>
        </w:tc>
        <w:tc>
          <w:tcPr>
            <w:tcW w:w="1740" w:type="dxa"/>
            <w:vAlign w:val="bottom"/>
          </w:tcPr>
          <w:p>
            <w:pPr>
              <w:jc w:val="right"/>
              <w:ind w:right="53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3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(135,703)</w:t>
            </w:r>
          </w:p>
        </w:tc>
        <w:tc>
          <w:tcPr>
            <w:tcW w:w="174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(16,509)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00" w:hanging="427"/>
        <w:spacing w:after="0" w:line="285"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 forma column reflects (i) the conversion of all outstanding shares of our preferred stock into an aggregate of 12,066,654 shares of common stock immediately prior to the closing of this offering, (ii) the issuance of 19,238 shares of common stock upon the automatic net exercise of outstanding warrants, with an exercise price of $9.10 per share, immediately prior to the closing of this offering, assuming an initial public offering price of $14.00 per share, which is the midpoint of the price range set forth on the cover page of this prospectus, and (iii) the reclassification of our preferred stock warrant liability to additional paid-in capital immediately prior to the closing of this offering.</w:t>
      </w:r>
    </w:p>
    <w:p>
      <w:pPr>
        <w:spacing w:after="0" w:line="1" w:lineRule="exact"/>
        <w:rPr>
          <w:rFonts w:ascii="Arial" w:cs="Arial" w:eastAsia="Arial" w:hAnsi="Arial"/>
          <w:sz w:val="16"/>
          <w:szCs w:val="16"/>
          <w:color w:val="auto"/>
        </w:rPr>
      </w:pPr>
    </w:p>
    <w:p>
      <w:pPr>
        <w:ind w:left="820" w:right="260" w:hanging="427"/>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 forma as adjusted column further reflects the sale of 6,000,000 shares of common stock in this offering, assuming an initial public offering price of $14.00 per share, which is the midpoint of the price range set forth on the cover page of this prospectus, after deducting underwriting discounts and commissions and estimated offering expenses payable by us.</w:t>
      </w:r>
    </w:p>
    <w:p>
      <w:pPr>
        <w:ind w:left="820" w:right="40" w:hanging="427"/>
        <w:spacing w:after="0" w:line="286"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$1.00 increase (decrease) in the assumed initial public offering price of $14.00 per share, which is the midpoint of the price range set forth on the cover page of this prospectus, would increase (decrease) each of pro forma as adjusted cash and cash equivalents, working capital, total assets, and total stockholders’ equity by $5.6 million, assuming the number of shares we are offering, as set forth on the cover page of this prospectus, remains the same, after deducting underwriting discounts and commissions and estimated offering expenses payable by us. We may also increase or decrease the number of shares we are offering. An increase (decrease) of 1,000,000 in the number of shares offered by us would increase (decrease) each of pro forma as adjusted cash and cash equivalents, working capital, total assets, and total stockholders’ equity by $13.0 million, assuming the initial public offering price per share remains the same, after deducting underwriting discounts and commissions. The pro forma as adjusted information is illustrative only, 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We have incurred net losses since our inception in 2008. For 2017 and the six months ended June 30, 2018, we had net losses of $23.0 million and $7.3 million, respectively. As of June 30, 2018, we had an accumulated deficit of $147.1 million. To date, we have financed our operations primarily through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0" w:lineRule="exact"/>
        <w:rPr>
          <w:sz w:val="20"/>
          <w:szCs w:val="20"/>
          <w:color w:val="auto"/>
        </w:rPr>
      </w:pPr>
    </w:p>
    <w:p>
      <w:pPr>
        <w:ind w:left="220" w:right="20" w:firstLine="440"/>
        <w:spacing w:after="0" w:line="286" w:lineRule="auto"/>
        <w:rPr>
          <w:sz w:val="20"/>
          <w:szCs w:val="20"/>
          <w:color w:val="auto"/>
        </w:rPr>
      </w:pPr>
      <w:r>
        <w:rPr>
          <w:rFonts w:ascii="Arial" w:cs="Arial" w:eastAsia="Arial" w:hAnsi="Arial"/>
          <w:sz w:val="16"/>
          <w:szCs w:val="16"/>
          <w:color w:val="auto"/>
        </w:rPr>
        <w:t>Our recurring losses from operations and negative cash flows raise substantial doubt about our ability to continue as a going concern. In addition, our credit facility agreement requires us to comply with certain financial covenants, including minimum liquidity, revenue, and earnings targets. As a result, our independent registered public accounting firm included an explanatory paragraph in its report on our financial statements as of, and for the year ended, December 31, 2017, describing the existence of substantial doubt about our ability to continue as a going concern. We believe that the successful completion of this offering will eliminate this doubt and enable us to continue as a going concern; however, if we are unable to raise sufficient capital in this offering, we may need to obtain alternative financing or significantly modify our operational plans for us to continue as a going concern. 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20"/>
        <w:spacing w:after="0" w:line="307" w:lineRule="auto"/>
        <w:rPr>
          <w:sz w:val="20"/>
          <w:szCs w:val="20"/>
          <w:color w:val="auto"/>
        </w:rPr>
      </w:pPr>
      <w:r>
        <w:rPr>
          <w:rFonts w:ascii="Arial" w:cs="Arial" w:eastAsia="Arial" w:hAnsi="Arial"/>
          <w:sz w:val="17"/>
          <w:szCs w:val="17"/>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55" w:lineRule="exact"/>
        <w:rPr>
          <w:sz w:val="20"/>
          <w:szCs w:val="20"/>
          <w:color w:val="auto"/>
        </w:rPr>
      </w:pPr>
    </w:p>
    <w:p>
      <w:pPr>
        <w:ind w:left="220" w:right="36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1"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6"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63" w:lineRule="exact"/>
        <w:rPr>
          <w:sz w:val="20"/>
          <w:szCs w:val="20"/>
          <w:color w:val="auto"/>
        </w:rPr>
      </w:pPr>
    </w:p>
    <w:p>
      <w:pPr>
        <w:ind w:left="220" w:right="60" w:firstLine="440"/>
        <w:spacing w:after="0" w:line="291" w:lineRule="auto"/>
        <w:rPr>
          <w:sz w:val="20"/>
          <w:szCs w:val="20"/>
          <w:color w:val="auto"/>
        </w:rPr>
      </w:pPr>
      <w:r>
        <w:rPr>
          <w:rFonts w:ascii="Arial" w:cs="Arial" w:eastAsia="Arial" w:hAnsi="Arial"/>
          <w:sz w:val="16"/>
          <w:szCs w:val="16"/>
          <w:color w:val="auto"/>
        </w:rPr>
        <w:t>Many private payors refer to coverage decisions and payment amounts determined by the Centers for Medicare and Medicaid Services, or CMS, which administers the Medicare program, as guidelines for setting their coverage and reimbursement policies. By June 30,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65"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64" w:lineRule="exact"/>
        <w:rPr>
          <w:sz w:val="20"/>
          <w:szCs w:val="20"/>
          <w:color w:val="auto"/>
        </w:rPr>
      </w:pPr>
    </w:p>
    <w:p>
      <w:pPr>
        <w:ind w:left="220" w:right="40" w:firstLine="440"/>
        <w:spacing w:after="0" w:line="311" w:lineRule="auto"/>
        <w:rPr>
          <w:sz w:val="20"/>
          <w:szCs w:val="20"/>
          <w:color w:val="auto"/>
        </w:rPr>
      </w:pPr>
      <w:r>
        <w:rPr>
          <w:rFonts w:ascii="Arial" w:cs="Arial" w:eastAsia="Arial" w:hAnsi="Arial"/>
          <w:sz w:val="16"/>
          <w:szCs w:val="16"/>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timely manner, if at all. Our failure to receive such approvals would negatively impact market acceptance of our products in the international markets in which those approvals are sought.</w:t>
      </w:r>
    </w:p>
    <w:p>
      <w:pPr>
        <w:spacing w:after="0" w:line="278" w:lineRule="exact"/>
        <w:rPr>
          <w:sz w:val="20"/>
          <w:szCs w:val="20"/>
          <w:color w:val="auto"/>
        </w:rPr>
      </w:pPr>
    </w:p>
    <w:p>
      <w:pPr>
        <w:ind w:left="220" w:right="440"/>
        <w:spacing w:after="0" w:line="307" w:lineRule="auto"/>
        <w:rPr>
          <w:sz w:val="20"/>
          <w:szCs w:val="20"/>
          <w:color w:val="auto"/>
        </w:rPr>
      </w:pPr>
      <w:r>
        <w:rPr>
          <w:rFonts w:ascii="Arial" w:cs="Arial" w:eastAsia="Arial" w:hAnsi="Arial"/>
          <w:sz w:val="17"/>
          <w:szCs w:val="17"/>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39" w:lineRule="exact"/>
        <w:rPr>
          <w:sz w:val="20"/>
          <w:szCs w:val="20"/>
          <w:color w:val="auto"/>
        </w:rPr>
      </w:pPr>
    </w:p>
    <w:p>
      <w:pPr>
        <w:ind w:left="220" w:right="100" w:firstLine="440"/>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surgery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1" w:lineRule="exact"/>
        <w:rPr>
          <w:sz w:val="20"/>
          <w:szCs w:val="20"/>
          <w:color w:val="auto"/>
        </w:rPr>
      </w:pPr>
    </w:p>
    <w:p>
      <w:pPr>
        <w:ind w:left="220" w:right="120" w:firstLine="440"/>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2018, the national average Medicare payment to hospital outpatient departments is $15,371. Effective January 1, 2018, the Medicare payment to an ambulatory surgery center for a sacroiliac joint fusion is $12,456.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1"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2018,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4" w:lineRule="exact"/>
        <w:rPr>
          <w:sz w:val="20"/>
          <w:szCs w:val="20"/>
          <w:color w:val="auto"/>
        </w:rPr>
      </w:pPr>
    </w:p>
    <w:p>
      <w:pPr>
        <w:ind w:left="220" w:right="80" w:firstLine="440"/>
        <w:spacing w:after="0" w:line="254" w:lineRule="auto"/>
        <w:rPr>
          <w:sz w:val="20"/>
          <w:szCs w:val="20"/>
          <w:color w:val="auto"/>
        </w:rPr>
      </w:pPr>
      <w:r>
        <w:rPr>
          <w:rFonts w:ascii="Arial" w:cs="Arial" w:eastAsia="Arial" w:hAnsi="Arial"/>
          <w:sz w:val="18"/>
          <w:szCs w:val="18"/>
          <w:color w:val="auto"/>
        </w:rPr>
        <w:t>We believe that some surgeons view the current Medicare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80"/>
        <w:spacing w:after="0" w:line="375" w:lineRule="auto"/>
        <w:rPr>
          <w:sz w:val="20"/>
          <w:szCs w:val="20"/>
          <w:color w:val="auto"/>
        </w:rPr>
      </w:pPr>
      <w:r>
        <w:rPr>
          <w:rFonts w:ascii="Arial" w:cs="Arial" w:eastAsia="Arial" w:hAnsi="Arial"/>
          <w:sz w:val="15"/>
          <w:szCs w:val="15"/>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As of August 31, 2018, 23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in August 2018, the public hospital system in France announced it would initiate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the first six months of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91"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6" w:lineRule="exact"/>
        <w:rPr>
          <w:sz w:val="20"/>
          <w:szCs w:val="20"/>
          <w:color w:val="auto"/>
        </w:rPr>
      </w:pPr>
    </w:p>
    <w:p>
      <w:pPr>
        <w:ind w:left="220" w:right="40" w:firstLine="440"/>
        <w:spacing w:after="0" w:line="296"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0" w:lineRule="exact"/>
        <w:rPr>
          <w:sz w:val="20"/>
          <w:szCs w:val="20"/>
          <w:color w:val="auto"/>
        </w:rPr>
      </w:pPr>
    </w:p>
    <w:p>
      <w:pPr>
        <w:ind w:left="1080" w:hanging="438"/>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2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81" w:lineRule="exact"/>
        <w:rPr>
          <w:sz w:val="20"/>
          <w:szCs w:val="20"/>
          <w:color w:val="auto"/>
        </w:rPr>
      </w:pPr>
    </w:p>
    <w:p>
      <w:pPr>
        <w:ind w:left="220" w:right="60"/>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5" w:lineRule="exact"/>
        <w:rPr>
          <w:sz w:val="20"/>
          <w:szCs w:val="20"/>
          <w:color w:val="auto"/>
        </w:rPr>
      </w:pPr>
    </w:p>
    <w:p>
      <w:pPr>
        <w:ind w:left="220" w:right="20" w:firstLine="440"/>
        <w:spacing w:after="0" w:line="311" w:lineRule="auto"/>
        <w:rPr>
          <w:sz w:val="20"/>
          <w:szCs w:val="20"/>
          <w:color w:val="auto"/>
        </w:rPr>
      </w:pPr>
      <w:r>
        <w:rPr>
          <w:rFonts w:ascii="Arial" w:cs="Arial" w:eastAsia="Arial" w:hAnsi="Arial"/>
          <w:sz w:val="16"/>
          <w:szCs w:val="16"/>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48"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3" w:lineRule="exact"/>
        <w:rPr>
          <w:sz w:val="20"/>
          <w:szCs w:val="20"/>
          <w:color w:val="auto"/>
        </w:rPr>
      </w:pPr>
    </w:p>
    <w:p>
      <w:pPr>
        <w:ind w:left="220" w:right="200" w:firstLine="440"/>
        <w:spacing w:after="0" w:line="256"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91" w:lineRule="exact"/>
        <w:rPr>
          <w:sz w:val="20"/>
          <w:szCs w:val="20"/>
          <w:color w:val="auto"/>
        </w:rPr>
      </w:pPr>
    </w:p>
    <w:p>
      <w:pPr>
        <w:jc w:val="both"/>
        <w:ind w:left="220" w:right="60" w:firstLine="440"/>
        <w:spacing w:after="0" w:line="263"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69" w:lineRule="auto"/>
        <w:rPr>
          <w:sz w:val="20"/>
          <w:szCs w:val="20"/>
          <w:color w:val="auto"/>
        </w:rPr>
      </w:pPr>
      <w:r>
        <w:rPr>
          <w:rFonts w:ascii="Arial" w:cs="Arial" w:eastAsia="Arial" w:hAnsi="Arial"/>
          <w:sz w:val="17"/>
          <w:szCs w:val="17"/>
          <w:color w:val="auto"/>
        </w:rPr>
        <w:t>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83"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78"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left="220" w:right="60" w:firstLine="440"/>
        <w:spacing w:after="0" w:line="253"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The number of competitors that we are aware of marketing sacroiliac joint fusion products in the United States has grown from zero to 18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92"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5" w:lineRule="exact"/>
        <w:rPr>
          <w:sz w:val="20"/>
          <w:szCs w:val="20"/>
          <w:color w:val="auto"/>
        </w:rPr>
      </w:pPr>
    </w:p>
    <w:p>
      <w:pPr>
        <w:ind w:left="1080" w:hanging="43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1080" w:right="600" w:hanging="438"/>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60" w:lineRule="exact"/>
        <w:rPr>
          <w:sz w:val="20"/>
          <w:szCs w:val="20"/>
          <w:color w:val="auto"/>
        </w:rPr>
      </w:pPr>
    </w:p>
    <w:p>
      <w:pPr>
        <w:jc w:val="both"/>
        <w:ind w:left="220" w:right="20" w:firstLine="440"/>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currently manufacture and sell products used in a single procedure, which could negatively affect our operations and financial condition.</w:t>
      </w:r>
    </w:p>
    <w:p>
      <w:pPr>
        <w:spacing w:after="0" w:line="140"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99"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As of June 30, 2018, our U.S. sales force consisted of 45 sales representatives directly employed by us and 30 third-party distributors. As of June 30, 2018, our international sales force consisted of 18 sales representatives and 27 exclusive third-party distributors, which together have had sales in 33 countries through June 30, 2018. Our operating results are directly dependent upon the sales and marketing efforts of both our direct sales force and of our third-party distributors.</w:t>
      </w:r>
    </w:p>
    <w:p>
      <w:pPr>
        <w:spacing w:after="0" w:line="186" w:lineRule="exact"/>
        <w:rPr>
          <w:sz w:val="20"/>
          <w:szCs w:val="20"/>
          <w:color w:val="auto"/>
        </w:rPr>
      </w:pPr>
    </w:p>
    <w:p>
      <w:pPr>
        <w:ind w:left="220" w:right="320" w:firstLine="440"/>
        <w:spacing w:after="0" w:line="31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spacing w:after="0" w:line="256"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91"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4"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63"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have a limited operating history and may face difficulties encountered by early stage companies in new and rapidly evolving markets.</w:t>
      </w:r>
    </w:p>
    <w:p>
      <w:pPr>
        <w:spacing w:after="0" w:line="140" w:lineRule="exact"/>
        <w:rPr>
          <w:sz w:val="20"/>
          <w:szCs w:val="20"/>
          <w:color w:val="auto"/>
        </w:rPr>
      </w:pPr>
    </w:p>
    <w:p>
      <w:pPr>
        <w:ind w:left="220" w:right="320" w:firstLine="440"/>
        <w:spacing w:after="0" w:line="311" w:lineRule="auto"/>
        <w:rPr>
          <w:sz w:val="20"/>
          <w:szCs w:val="20"/>
          <w:color w:val="auto"/>
        </w:rPr>
      </w:pPr>
      <w:r>
        <w:rPr>
          <w:rFonts w:ascii="Arial" w:cs="Arial" w:eastAsia="Arial" w:hAnsi="Arial"/>
          <w:sz w:val="16"/>
          <w:szCs w:val="16"/>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4" w:lineRule="exact"/>
        <w:rPr>
          <w:sz w:val="20"/>
          <w:szCs w:val="20"/>
          <w:color w:val="auto"/>
        </w:rPr>
      </w:pPr>
    </w:p>
    <w:p>
      <w:pPr>
        <w:ind w:left="1080" w:hanging="438"/>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1080" w:right="20" w:hanging="438"/>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left="220" w:right="80" w:firstLine="440"/>
        <w:spacing w:after="0" w:line="307"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75" w:lineRule="exact"/>
        <w:rPr>
          <w:sz w:val="20"/>
          <w:szCs w:val="20"/>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1080" w:right="540" w:hanging="438"/>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5"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0" w:lineRule="exact"/>
        <w:rPr>
          <w:sz w:val="20"/>
          <w:szCs w:val="20"/>
          <w:color w:val="auto"/>
        </w:rPr>
      </w:pPr>
    </w:p>
    <w:p>
      <w:pPr>
        <w:ind w:left="220" w:right="140" w:firstLine="440"/>
        <w:spacing w:after="0" w:line="269" w:lineRule="auto"/>
        <w:rPr>
          <w:sz w:val="20"/>
          <w:szCs w:val="20"/>
          <w:color w:val="auto"/>
        </w:rPr>
      </w:pPr>
      <w:r>
        <w:rPr>
          <w:rFonts w:ascii="Arial" w:cs="Arial" w:eastAsia="Arial" w:hAnsi="Arial"/>
          <w:sz w:val="17"/>
          <w:szCs w:val="17"/>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93"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80"/>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0" w:lineRule="exact"/>
        <w:rPr>
          <w:sz w:val="20"/>
          <w:szCs w:val="20"/>
          <w:color w:val="auto"/>
        </w:rPr>
      </w:pPr>
    </w:p>
    <w:p>
      <w:pPr>
        <w:ind w:left="1080" w:hanging="438"/>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1080" w:right="320" w:hanging="438"/>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1080" w:right="380" w:hanging="438"/>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20" w:right="400" w:firstLine="440"/>
        <w:spacing w:after="0" w:line="341"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8" w:lineRule="exact"/>
        <w:rPr>
          <w:sz w:val="20"/>
          <w:szCs w:val="20"/>
          <w:color w:val="auto"/>
        </w:rPr>
      </w:pPr>
    </w:p>
    <w:p>
      <w:pPr>
        <w:ind w:left="1080" w:hanging="438"/>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 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00"/>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5"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you that we will be able to obtain sufficient quantities of product in the future.</w:t>
      </w:r>
    </w:p>
    <w:p>
      <w:pPr>
        <w:spacing w:after="0" w:line="191" w:lineRule="exact"/>
        <w:rPr>
          <w:sz w:val="20"/>
          <w:szCs w:val="20"/>
          <w:color w:val="auto"/>
        </w:rPr>
      </w:pPr>
    </w:p>
    <w:p>
      <w:pPr>
        <w:ind w:left="220" w:right="140" w:firstLine="440"/>
        <w:spacing w:after="0" w:line="311"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8"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our iFuse implants and one supplier, rms Company, for our second-generation iFuse-3D implants. Our dependence on such a limited number of suppliers exposes us to risks, including, among other things:</w:t>
      </w:r>
    </w:p>
    <w:p>
      <w:pPr>
        <w:spacing w:after="0" w:line="88" w:lineRule="exact"/>
        <w:rPr>
          <w:sz w:val="20"/>
          <w:szCs w:val="20"/>
          <w:color w:val="auto"/>
        </w:rPr>
      </w:pPr>
    </w:p>
    <w:p>
      <w:pPr>
        <w:ind w:left="1080" w:right="120" w:hanging="438"/>
        <w:spacing w:after="0" w:line="307"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2" w:lineRule="exact"/>
        <w:rPr>
          <w:rFonts w:ascii="Arial" w:cs="Arial" w:eastAsia="Arial" w:hAnsi="Arial"/>
          <w:sz w:val="17"/>
          <w:szCs w:val="17"/>
          <w:color w:val="auto"/>
        </w:rPr>
      </w:pPr>
    </w:p>
    <w:p>
      <w:pPr>
        <w:ind w:left="1080" w:right="160" w:hanging="438"/>
        <w:spacing w:after="0" w:line="307"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52" w:lineRule="exact"/>
        <w:rPr>
          <w:rFonts w:ascii="Arial" w:cs="Arial" w:eastAsia="Arial" w:hAnsi="Arial"/>
          <w:sz w:val="17"/>
          <w:szCs w:val="17"/>
          <w:color w:val="auto"/>
        </w:rPr>
      </w:pPr>
    </w:p>
    <w:p>
      <w:pPr>
        <w:ind w:left="1080" w:right="26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1080" w:right="34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1080" w:right="54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1080" w:right="54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53" w:lineRule="exact"/>
        <w:rPr>
          <w:rFonts w:ascii="Arial" w:cs="Arial" w:eastAsia="Arial" w:hAnsi="Arial"/>
          <w:sz w:val="16"/>
          <w:szCs w:val="16"/>
          <w:color w:val="auto"/>
        </w:rPr>
      </w:pPr>
    </w:p>
    <w:p>
      <w:pPr>
        <w:ind w:left="1080" w:right="12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1080" w:right="160" w:hanging="438"/>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80"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63" w:lineRule="exact"/>
        <w:rPr>
          <w:sz w:val="20"/>
          <w:szCs w:val="20"/>
          <w:color w:val="auto"/>
        </w:rPr>
      </w:pPr>
    </w:p>
    <w:p>
      <w:pPr>
        <w:ind w:left="220" w:right="200" w:firstLine="440"/>
        <w:spacing w:after="0" w:line="254"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93" w:lineRule="exact"/>
        <w:rPr>
          <w:sz w:val="20"/>
          <w:szCs w:val="20"/>
          <w:color w:val="auto"/>
        </w:rPr>
      </w:pPr>
    </w:p>
    <w:p>
      <w:pPr>
        <w:ind w:left="220" w:right="100" w:firstLine="440"/>
        <w:spacing w:after="0" w:line="272" w:lineRule="auto"/>
        <w:rPr>
          <w:sz w:val="20"/>
          <w:szCs w:val="20"/>
          <w:color w:val="auto"/>
        </w:rPr>
      </w:pPr>
      <w:r>
        <w:rPr>
          <w:rFonts w:ascii="Arial" w:cs="Arial" w:eastAsia="Arial" w:hAnsi="Arial"/>
          <w:sz w:val="17"/>
          <w:szCs w:val="17"/>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84"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8" w:lineRule="exact"/>
        <w:rPr>
          <w:sz w:val="20"/>
          <w:szCs w:val="20"/>
          <w:color w:val="auto"/>
        </w:rPr>
      </w:pPr>
    </w:p>
    <w:p>
      <w:pPr>
        <w:ind w:left="1080" w:hanging="438"/>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left="220" w:right="380" w:firstLine="440"/>
        <w:spacing w:after="0" w:line="263" w:lineRule="auto"/>
        <w:rPr>
          <w:sz w:val="20"/>
          <w:szCs w:val="20"/>
          <w:color w:val="auto"/>
        </w:rPr>
      </w:pPr>
      <w:r>
        <w:rPr>
          <w:rFonts w:ascii="Arial" w:cs="Arial" w:eastAsia="Arial" w:hAnsi="Arial"/>
          <w:sz w:val="18"/>
          <w:szCs w:val="18"/>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8" w:lineRule="exact"/>
        <w:rPr>
          <w:sz w:val="20"/>
          <w:szCs w:val="20"/>
          <w:color w:val="auto"/>
        </w:rPr>
      </w:pPr>
    </w:p>
    <w:p>
      <w:pPr>
        <w:ind w:left="220" w:right="340" w:firstLine="440"/>
        <w:spacing w:after="0" w:line="296" w:lineRule="auto"/>
        <w:rPr>
          <w:sz w:val="20"/>
          <w:szCs w:val="20"/>
          <w:color w:val="auto"/>
        </w:rPr>
      </w:pPr>
      <w:r>
        <w:rPr>
          <w:rFonts w:ascii="Arial" w:cs="Arial" w:eastAsia="Arial" w:hAnsi="Arial"/>
          <w:sz w:val="16"/>
          <w:szCs w:val="16"/>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6" w:lineRule="exact"/>
        <w:rPr>
          <w:sz w:val="20"/>
          <w:szCs w:val="20"/>
          <w:color w:val="auto"/>
        </w:rPr>
      </w:pPr>
    </w:p>
    <w:p>
      <w:pPr>
        <w:ind w:left="1080" w:hanging="438"/>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30" w:lineRule="exact"/>
        <w:rPr>
          <w:rFonts w:ascii="Arial" w:cs="Arial" w:eastAsia="Arial" w:hAnsi="Arial"/>
          <w:sz w:val="18"/>
          <w:szCs w:val="18"/>
          <w:color w:val="auto"/>
        </w:rPr>
      </w:pPr>
    </w:p>
    <w:p>
      <w:pPr>
        <w:ind w:left="1080" w:right="220" w:hanging="438"/>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8"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79" w:lineRule="auto"/>
        <w:rPr>
          <w:sz w:val="20"/>
          <w:szCs w:val="20"/>
          <w:color w:val="auto"/>
        </w:rPr>
      </w:pPr>
      <w:r>
        <w:rPr>
          <w:rFonts w:ascii="Arial" w:cs="Arial" w:eastAsia="Arial" w:hAnsi="Arial"/>
          <w:sz w:val="17"/>
          <w:szCs w:val="17"/>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62"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some of the countries in which we sell or plan to sell our products are, to some degree, subject to various risks, including:</w:t>
      </w:r>
    </w:p>
    <w:p>
      <w:pPr>
        <w:spacing w:after="0" w:line="142" w:lineRule="exact"/>
        <w:rPr>
          <w:sz w:val="20"/>
          <w:szCs w:val="20"/>
          <w:color w:val="auto"/>
        </w:rPr>
      </w:pPr>
    </w:p>
    <w:p>
      <w:pPr>
        <w:ind w:left="1080" w:hanging="438"/>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1080" w:right="240" w:hanging="438"/>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299"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left="220" w:right="540" w:firstLine="440"/>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5" w:lineRule="exact"/>
        <w:rPr>
          <w:sz w:val="20"/>
          <w:szCs w:val="20"/>
          <w:color w:val="auto"/>
        </w:rPr>
      </w:pPr>
    </w:p>
    <w:p>
      <w:pPr>
        <w:ind w:left="1080" w:hanging="438"/>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0" w:lineRule="exact"/>
        <w:rPr>
          <w:sz w:val="20"/>
          <w:szCs w:val="20"/>
          <w:color w:val="auto"/>
        </w:rPr>
      </w:pPr>
    </w:p>
    <w:p>
      <w:pPr>
        <w:ind w:left="1080" w:hanging="438"/>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5620" w:right="4560" w:hanging="4978"/>
        <w:spacing w:after="0" w:line="449" w:lineRule="auto"/>
        <w:tabs>
          <w:tab w:leader="none" w:pos="10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 30</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140" w:firstLine="440"/>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ind w:left="220" w:firstLine="440"/>
        <w:spacing w:after="0" w:line="288" w:lineRule="auto"/>
        <w:rPr>
          <w:sz w:val="20"/>
          <w:szCs w:val="20"/>
          <w:color w:val="auto"/>
        </w:rPr>
      </w:pPr>
      <w:r>
        <w:rPr>
          <w:rFonts w:ascii="Arial" w:cs="Arial" w:eastAsia="Arial" w:hAnsi="Arial"/>
          <w:sz w:val="16"/>
          <w:szCs w:val="16"/>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74" w:lineRule="exact"/>
        <w:rPr>
          <w:sz w:val="20"/>
          <w:szCs w:val="20"/>
          <w:color w:val="auto"/>
        </w:rPr>
      </w:pPr>
    </w:p>
    <w:p>
      <w:pPr>
        <w:ind w:left="220" w:right="2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8" w:lineRule="exact"/>
        <w:rPr>
          <w:sz w:val="20"/>
          <w:szCs w:val="20"/>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left="220" w:right="80" w:firstLine="44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79" w:lineRule="exact"/>
        <w:rPr>
          <w:sz w:val="20"/>
          <w:szCs w:val="20"/>
          <w:color w:val="auto"/>
        </w:rPr>
      </w:pPr>
    </w:p>
    <w:p>
      <w:pPr>
        <w:ind w:left="220" w:right="80" w:firstLine="440"/>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6" w:lineRule="exact"/>
        <w:rPr>
          <w:sz w:val="20"/>
          <w:szCs w:val="20"/>
          <w:color w:val="auto"/>
        </w:rPr>
      </w:pPr>
    </w:p>
    <w:p>
      <w:pPr>
        <w:ind w:left="220" w:right="80" w:firstLine="440"/>
        <w:spacing w:after="0" w:line="288" w:lineRule="auto"/>
        <w:rPr>
          <w:sz w:val="20"/>
          <w:szCs w:val="20"/>
          <w:color w:val="auto"/>
        </w:rPr>
      </w:pPr>
      <w:r>
        <w:rPr>
          <w:rFonts w:ascii="Arial" w:cs="Arial" w:eastAsia="Arial" w:hAnsi="Arial"/>
          <w:sz w:val="16"/>
          <w:szCs w:val="16"/>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left="220" w:right="560" w:firstLine="440"/>
        <w:spacing w:after="0" w:line="341"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0" w:lineRule="exact"/>
        <w:rPr>
          <w:sz w:val="20"/>
          <w:szCs w:val="20"/>
          <w:color w:val="auto"/>
        </w:rPr>
      </w:pPr>
    </w:p>
    <w:p>
      <w:pPr>
        <w:ind w:left="1080" w:hanging="438"/>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30" w:lineRule="exact"/>
        <w:rPr>
          <w:rFonts w:ascii="Arial" w:cs="Arial" w:eastAsia="Arial" w:hAnsi="Arial"/>
          <w:sz w:val="18"/>
          <w:szCs w:val="18"/>
          <w:color w:val="auto"/>
        </w:rPr>
      </w:pPr>
    </w:p>
    <w:p>
      <w:pPr>
        <w:ind w:left="5620" w:right="4800" w:hanging="4978"/>
        <w:spacing w:after="0" w:line="535" w:lineRule="auto"/>
        <w:tabs>
          <w:tab w:leader="none" w:pos="10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testing, labeling, content, and language of instructions for use and storage; 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1080" w:right="80" w:hanging="438"/>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3" w:lineRule="exact"/>
        <w:rPr>
          <w:sz w:val="20"/>
          <w:szCs w:val="20"/>
          <w:color w:val="auto"/>
        </w:rPr>
      </w:pPr>
    </w:p>
    <w:p>
      <w:pPr>
        <w:ind w:left="220" w:right="60" w:firstLine="440"/>
        <w:spacing w:after="0" w:line="286" w:lineRule="auto"/>
        <w:rPr>
          <w:sz w:val="20"/>
          <w:szCs w:val="20"/>
          <w:color w:val="auto"/>
        </w:rPr>
      </w:pPr>
      <w:r>
        <w:rPr>
          <w:rFonts w:ascii="Arial" w:cs="Arial" w:eastAsia="Arial" w:hAnsi="Arial"/>
          <w:sz w:val="16"/>
          <w:szCs w:val="16"/>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68"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0" w:lineRule="exact"/>
        <w:rPr>
          <w:sz w:val="20"/>
          <w:szCs w:val="20"/>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data from our pre-clinical studies and clinical trials may be insufficient to support clearance or approval, where required; and</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3" w:lineRule="exact"/>
        <w:rPr>
          <w:sz w:val="20"/>
          <w:szCs w:val="20"/>
          <w:color w:val="auto"/>
        </w:rPr>
      </w:pPr>
    </w:p>
    <w:p>
      <w:pPr>
        <w:ind w:left="220" w:right="560" w:firstLine="440"/>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left="220" w:right="200" w:firstLine="440"/>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6" w:lineRule="exact"/>
        <w:rPr>
          <w:sz w:val="20"/>
          <w:szCs w:val="20"/>
          <w:color w:val="auto"/>
        </w:rPr>
      </w:pPr>
    </w:p>
    <w:p>
      <w:pPr>
        <w:ind w:left="220" w:right="40" w:firstLine="440"/>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4"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40"/>
        <w:spacing w:after="0" w:line="263" w:lineRule="auto"/>
        <w:rPr>
          <w:sz w:val="20"/>
          <w:szCs w:val="20"/>
          <w:color w:val="auto"/>
        </w:rPr>
      </w:pPr>
      <w:r>
        <w:rPr>
          <w:rFonts w:ascii="Arial" w:cs="Arial" w:eastAsia="Arial" w:hAnsi="Arial"/>
          <w:sz w:val="18"/>
          <w:szCs w:val="18"/>
          <w:color w:val="auto"/>
        </w:rPr>
        <w:t>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3" w:lineRule="exact"/>
        <w:rPr>
          <w:sz w:val="20"/>
          <w:szCs w:val="20"/>
          <w:color w:val="auto"/>
        </w:rPr>
      </w:pPr>
    </w:p>
    <w:p>
      <w:pPr>
        <w:jc w:val="both"/>
        <w:ind w:left="220" w:right="40" w:firstLine="440"/>
        <w:spacing w:after="0" w:line="341"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Failure to comply with applicable regulations could jeopardize our ability to sell our products and result in enforcement actions such as:</w:t>
      </w:r>
    </w:p>
    <w:p>
      <w:pPr>
        <w:spacing w:after="0" w:line="142" w:lineRule="exact"/>
        <w:rPr>
          <w:sz w:val="20"/>
          <w:szCs w:val="20"/>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1080" w:right="240" w:hanging="438"/>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91"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ind w:left="220" w:right="80" w:firstLine="440"/>
        <w:spacing w:after="0" w:line="289"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spacing w:after="0" w:line="263" w:lineRule="auto"/>
        <w:rPr>
          <w:sz w:val="20"/>
          <w:szCs w:val="20"/>
          <w:color w:val="auto"/>
        </w:rPr>
      </w:pPr>
      <w:r>
        <w:rPr>
          <w:rFonts w:ascii="Arial" w:cs="Arial" w:eastAsia="Arial" w:hAnsi="Arial"/>
          <w:sz w:val="18"/>
          <w:szCs w:val="18"/>
          <w:color w:val="auto"/>
        </w:rPr>
        <w:t>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83" w:lineRule="exact"/>
        <w:rPr>
          <w:sz w:val="20"/>
          <w:szCs w:val="20"/>
          <w:color w:val="auto"/>
        </w:rPr>
      </w:pPr>
    </w:p>
    <w:p>
      <w:pPr>
        <w:ind w:left="220" w:right="360" w:firstLine="440"/>
        <w:spacing w:after="0" w:line="341"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25"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5" w:lineRule="exact"/>
        <w:rPr>
          <w:sz w:val="20"/>
          <w:szCs w:val="20"/>
          <w:color w:val="auto"/>
        </w:rPr>
      </w:pPr>
    </w:p>
    <w:p>
      <w:pPr>
        <w:ind w:left="1080" w:right="180" w:hanging="438"/>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1" w:lineRule="exact"/>
        <w:rPr>
          <w:rFonts w:ascii="Arial" w:cs="Arial" w:eastAsia="Arial" w:hAnsi="Arial"/>
          <w:sz w:val="18"/>
          <w:szCs w:val="18"/>
          <w:color w:val="auto"/>
        </w:rPr>
      </w:pPr>
    </w:p>
    <w:p>
      <w:pPr>
        <w:ind w:left="1080" w:right="40" w:hanging="438"/>
        <w:spacing w:after="0" w:line="255"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96" w:lineRule="exact"/>
        <w:rPr>
          <w:rFonts w:ascii="Arial" w:cs="Arial" w:eastAsia="Arial" w:hAnsi="Arial"/>
          <w:sz w:val="18"/>
          <w:szCs w:val="18"/>
          <w:color w:val="auto"/>
        </w:rPr>
      </w:pPr>
    </w:p>
    <w:p>
      <w:pPr>
        <w:ind w:left="1080" w:right="40" w:hanging="438"/>
        <w:spacing w:after="0" w:line="29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5" w:lineRule="exact"/>
        <w:rPr>
          <w:rFonts w:ascii="Arial" w:cs="Arial" w:eastAsia="Arial" w:hAnsi="Arial"/>
          <w:sz w:val="16"/>
          <w:szCs w:val="16"/>
          <w:color w:val="auto"/>
        </w:rPr>
      </w:pPr>
    </w:p>
    <w:p>
      <w:pPr>
        <w:ind w:left="1080" w:right="80" w:hanging="438"/>
        <w:spacing w:after="0" w:line="275"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80" w:lineRule="exact"/>
        <w:rPr>
          <w:rFonts w:ascii="Arial" w:cs="Arial" w:eastAsia="Arial" w:hAnsi="Arial"/>
          <w:sz w:val="17"/>
          <w:szCs w:val="17"/>
          <w:color w:val="auto"/>
        </w:rPr>
      </w:pPr>
    </w:p>
    <w:p>
      <w:pPr>
        <w:ind w:left="1080" w:hanging="438"/>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80" w:firstLine="440"/>
        <w:spacing w:after="0" w:line="311" w:lineRule="auto"/>
        <w:rPr>
          <w:sz w:val="20"/>
          <w:szCs w:val="20"/>
          <w:color w:val="auto"/>
        </w:rPr>
      </w:pPr>
      <w:r>
        <w:rPr>
          <w:rFonts w:ascii="Arial" w:cs="Arial" w:eastAsia="Arial" w:hAnsi="Arial"/>
          <w:sz w:val="16"/>
          <w:szCs w:val="16"/>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 Additional information about these laws is provided in “Business—Regulation.”</w:t>
      </w:r>
    </w:p>
    <w:p>
      <w:pPr>
        <w:spacing w:after="0" w:line="148" w:lineRule="exact"/>
        <w:rPr>
          <w:sz w:val="20"/>
          <w:szCs w:val="20"/>
          <w:color w:val="auto"/>
        </w:rPr>
      </w:pPr>
    </w:p>
    <w:p>
      <w:pPr>
        <w:ind w:left="220" w:right="300" w:firstLine="440"/>
        <w:spacing w:after="0" w:line="290"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w:t>
      </w:r>
    </w:p>
    <w:p>
      <w:pPr>
        <w:spacing w:after="0" w:line="1" w:lineRule="exact"/>
        <w:rPr>
          <w:sz w:val="20"/>
          <w:szCs w:val="20"/>
          <w:color w:val="auto"/>
        </w:rPr>
      </w:pPr>
    </w:p>
    <w:p>
      <w:pPr>
        <w:ind w:left="220" w:right="80"/>
        <w:spacing w:after="0" w:line="269" w:lineRule="auto"/>
        <w:rPr>
          <w:sz w:val="20"/>
          <w:szCs w:val="20"/>
          <w:color w:val="auto"/>
        </w:rPr>
      </w:pPr>
      <w:r>
        <w:rPr>
          <w:rFonts w:ascii="Arial" w:cs="Arial" w:eastAsia="Arial" w:hAnsi="Arial"/>
          <w:sz w:val="17"/>
          <w:szCs w:val="17"/>
          <w:color w:val="auto"/>
        </w:rPr>
        <w:t>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79"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179"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7"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3"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79"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1" w:lineRule="exact"/>
        <w:rPr>
          <w:sz w:val="20"/>
          <w:szCs w:val="20"/>
          <w:color w:val="auto"/>
        </w:rPr>
      </w:pPr>
    </w:p>
    <w:p>
      <w:pPr>
        <w:ind w:left="220" w:right="100" w:firstLine="440"/>
        <w:spacing w:after="0" w:line="269" w:lineRule="auto"/>
        <w:rPr>
          <w:sz w:val="20"/>
          <w:szCs w:val="20"/>
          <w:color w:val="auto"/>
        </w:rPr>
      </w:pPr>
      <w:r>
        <w:rPr>
          <w:rFonts w:ascii="Arial" w:cs="Arial" w:eastAsia="Arial" w:hAnsi="Arial"/>
          <w:sz w:val="17"/>
          <w:szCs w:val="17"/>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will supersede current EU data protection legislation, impose more stringent EU data protection requirements and provide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91" w:lineRule="exact"/>
        <w:rPr>
          <w:sz w:val="20"/>
          <w:szCs w:val="20"/>
          <w:color w:val="auto"/>
        </w:rPr>
      </w:pPr>
    </w:p>
    <w:p>
      <w:pPr>
        <w:ind w:left="220" w:right="20" w:firstLine="440"/>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70"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5"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3" w:lineRule="exact"/>
        <w:rPr>
          <w:sz w:val="20"/>
          <w:szCs w:val="20"/>
          <w:color w:val="auto"/>
        </w:rPr>
      </w:pPr>
    </w:p>
    <w:p>
      <w:pPr>
        <w:ind w:left="220" w:right="40" w:firstLine="440"/>
        <w:spacing w:after="0" w:line="307"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3" w:lineRule="exact"/>
        <w:rPr>
          <w:sz w:val="20"/>
          <w:szCs w:val="20"/>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80" w:right="440" w:hanging="43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20" w:right="40" w:firstLine="440"/>
        <w:spacing w:after="0" w:line="271"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77"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00" w:firstLine="440"/>
        <w:spacing w:after="0" w:line="311"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8" w:lineRule="exact"/>
        <w:rPr>
          <w:sz w:val="20"/>
          <w:szCs w:val="20"/>
          <w:color w:val="auto"/>
        </w:rPr>
      </w:pPr>
    </w:p>
    <w:p>
      <w:pPr>
        <w:ind w:left="220" w:right="220" w:firstLine="440"/>
        <w:spacing w:after="0" w:line="301" w:lineRule="auto"/>
        <w:rPr>
          <w:sz w:val="20"/>
          <w:szCs w:val="20"/>
          <w:color w:val="auto"/>
        </w:rPr>
      </w:pPr>
      <w:r>
        <w:rPr>
          <w:rFonts w:ascii="Arial" w:cs="Arial" w:eastAsia="Arial" w:hAnsi="Arial"/>
          <w:sz w:val="16"/>
          <w:szCs w:val="16"/>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64"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76"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left="220" w:right="80" w:firstLine="44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Moreover, iFuse is one of the few devices regulated through the class II pathway that has claims for clinical improvements. 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78" w:lineRule="exact"/>
        <w:rPr>
          <w:sz w:val="20"/>
          <w:szCs w:val="20"/>
          <w:color w:val="auto"/>
        </w:rPr>
      </w:pPr>
    </w:p>
    <w:p>
      <w:pPr>
        <w:ind w:left="220" w:right="18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ind w:left="220" w:right="140" w:firstLine="440"/>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5" w:lineRule="exact"/>
        <w:rPr>
          <w:sz w:val="20"/>
          <w:szCs w:val="20"/>
          <w:color w:val="auto"/>
        </w:rPr>
      </w:pPr>
    </w:p>
    <w:p>
      <w:pPr>
        <w:ind w:left="220" w:right="160" w:firstLine="440"/>
        <w:spacing w:after="0" w:line="291" w:lineRule="auto"/>
        <w:rPr>
          <w:sz w:val="20"/>
          <w:szCs w:val="20"/>
          <w:color w:val="auto"/>
        </w:rPr>
      </w:pPr>
      <w:r>
        <w:rPr>
          <w:rFonts w:ascii="Arial" w:cs="Arial" w:eastAsia="Arial" w:hAnsi="Arial"/>
          <w:sz w:val="16"/>
          <w:szCs w:val="16"/>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65"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560"/>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5" w:lineRule="exact"/>
        <w:rPr>
          <w:sz w:val="20"/>
          <w:szCs w:val="20"/>
          <w:color w:val="auto"/>
        </w:rPr>
      </w:pPr>
    </w:p>
    <w:p>
      <w:pPr>
        <w:jc w:val="both"/>
        <w:ind w:left="220" w:right="80" w:firstLine="440"/>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3"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5"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9" w:lineRule="exact"/>
        <w:rPr>
          <w:sz w:val="20"/>
          <w:szCs w:val="20"/>
          <w:color w:val="auto"/>
        </w:rPr>
      </w:pPr>
    </w:p>
    <w:p>
      <w:pPr>
        <w:ind w:left="220" w:right="180"/>
        <w:spacing w:after="0" w:line="375" w:lineRule="auto"/>
        <w:rPr>
          <w:sz w:val="20"/>
          <w:szCs w:val="20"/>
          <w:color w:val="auto"/>
        </w:rPr>
      </w:pPr>
      <w:r>
        <w:rPr>
          <w:rFonts w:ascii="Arial" w:cs="Arial" w:eastAsia="Arial" w:hAnsi="Arial"/>
          <w:sz w:val="15"/>
          <w:szCs w:val="15"/>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 w:lineRule="exact"/>
        <w:rPr>
          <w:sz w:val="20"/>
          <w:szCs w:val="20"/>
          <w:color w:val="auto"/>
        </w:rPr>
      </w:pPr>
    </w:p>
    <w:p>
      <w:pPr>
        <w:ind w:left="220" w:right="20" w:firstLine="440"/>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4"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3"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91"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91" w:lineRule="exact"/>
        <w:rPr>
          <w:sz w:val="20"/>
          <w:szCs w:val="20"/>
          <w:color w:val="auto"/>
        </w:rPr>
      </w:pPr>
    </w:p>
    <w:p>
      <w:pPr>
        <w:jc w:val="both"/>
        <w:ind w:left="220" w:right="280"/>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5"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left="220" w:right="260" w:firstLine="440"/>
        <w:spacing w:after="0" w:line="296" w:lineRule="auto"/>
        <w:rPr>
          <w:sz w:val="20"/>
          <w:szCs w:val="20"/>
          <w:color w:val="auto"/>
        </w:rPr>
      </w:pPr>
      <w:r>
        <w:rPr>
          <w:rFonts w:ascii="Arial" w:cs="Arial" w:eastAsia="Arial" w:hAnsi="Arial"/>
          <w:sz w:val="16"/>
          <w:szCs w:val="16"/>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60" w:lineRule="exact"/>
        <w:rPr>
          <w:sz w:val="20"/>
          <w:szCs w:val="20"/>
          <w:color w:val="auto"/>
        </w:rPr>
      </w:pPr>
    </w:p>
    <w:p>
      <w:pPr>
        <w:ind w:left="220" w:right="120" w:firstLine="440"/>
        <w:spacing w:after="0" w:line="256"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80"/>
        <w:spacing w:after="0" w:line="256" w:lineRule="auto"/>
        <w:rPr>
          <w:sz w:val="20"/>
          <w:szCs w:val="20"/>
          <w:color w:val="auto"/>
        </w:rPr>
      </w:pPr>
      <w:r>
        <w:rPr>
          <w:rFonts w:ascii="Arial" w:cs="Arial" w:eastAsia="Arial" w:hAnsi="Arial"/>
          <w:sz w:val="18"/>
          <w:szCs w:val="18"/>
          <w:color w:val="auto"/>
        </w:rPr>
        <w:t>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99" w:lineRule="exact"/>
        <w:rPr>
          <w:sz w:val="20"/>
          <w:szCs w:val="20"/>
          <w:color w:val="auto"/>
        </w:rPr>
      </w:pPr>
    </w:p>
    <w:p>
      <w:pPr>
        <w:ind w:left="220" w:right="34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2"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0" w:lineRule="exact"/>
        <w:rPr>
          <w:sz w:val="20"/>
          <w:szCs w:val="20"/>
          <w:color w:val="auto"/>
        </w:rPr>
      </w:pPr>
    </w:p>
    <w:p>
      <w:pPr>
        <w:ind w:left="220" w:right="40" w:firstLine="440"/>
        <w:spacing w:after="0" w:line="268"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6" w:lineRule="exact"/>
        <w:rPr>
          <w:sz w:val="20"/>
          <w:szCs w:val="20"/>
          <w:color w:val="auto"/>
        </w:rPr>
      </w:pPr>
    </w:p>
    <w:p>
      <w:pPr>
        <w:ind w:left="220" w:right="140" w:firstLine="440"/>
        <w:spacing w:after="0" w:line="296" w:lineRule="auto"/>
        <w:rPr>
          <w:sz w:val="20"/>
          <w:szCs w:val="20"/>
          <w:color w:val="auto"/>
        </w:rPr>
      </w:pPr>
      <w:r>
        <w:rPr>
          <w:rFonts w:ascii="Arial" w:cs="Arial" w:eastAsia="Arial" w:hAnsi="Arial"/>
          <w:sz w:val="16"/>
          <w:szCs w:val="16"/>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8" w:lineRule="exact"/>
        <w:rPr>
          <w:sz w:val="20"/>
          <w:szCs w:val="20"/>
          <w:color w:val="auto"/>
        </w:rPr>
      </w:pPr>
    </w:p>
    <w:p>
      <w:pPr>
        <w:ind w:left="220" w:right="260" w:firstLine="440"/>
        <w:spacing w:after="0" w:line="279"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94" w:lineRule="exact"/>
        <w:rPr>
          <w:sz w:val="20"/>
          <w:szCs w:val="20"/>
          <w:color w:val="auto"/>
        </w:rPr>
      </w:pPr>
    </w:p>
    <w:p>
      <w:pPr>
        <w:ind w:left="220" w:right="180"/>
        <w:spacing w:after="0" w:line="375" w:lineRule="auto"/>
        <w:rPr>
          <w:sz w:val="20"/>
          <w:szCs w:val="20"/>
          <w:color w:val="auto"/>
        </w:rPr>
      </w:pPr>
      <w:r>
        <w:rPr>
          <w:rFonts w:ascii="Arial" w:cs="Arial" w:eastAsia="Arial" w:hAnsi="Arial"/>
          <w:sz w:val="15"/>
          <w:szCs w:val="15"/>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 w:lineRule="exact"/>
        <w:rPr>
          <w:sz w:val="20"/>
          <w:szCs w:val="20"/>
          <w:color w:val="auto"/>
        </w:rPr>
      </w:pPr>
    </w:p>
    <w:p>
      <w:pPr>
        <w:ind w:left="220" w:right="60" w:firstLine="440"/>
        <w:spacing w:after="0" w:line="293" w:lineRule="auto"/>
        <w:rPr>
          <w:sz w:val="20"/>
          <w:szCs w:val="20"/>
          <w:color w:val="auto"/>
        </w:rPr>
      </w:pPr>
      <w:r>
        <w:rPr>
          <w:rFonts w:ascii="Arial" w:cs="Arial" w:eastAsia="Arial" w:hAnsi="Arial"/>
          <w:sz w:val="16"/>
          <w:szCs w:val="16"/>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3"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63" w:lineRule="exact"/>
        <w:rPr>
          <w:sz w:val="20"/>
          <w:szCs w:val="20"/>
          <w:color w:val="auto"/>
        </w:rPr>
      </w:pPr>
    </w:p>
    <w:p>
      <w:pPr>
        <w:ind w:left="220" w:right="100" w:firstLine="440"/>
        <w:spacing w:after="0" w:line="255" w:lineRule="auto"/>
        <w:rPr>
          <w:sz w:val="20"/>
          <w:szCs w:val="20"/>
          <w:color w:val="auto"/>
        </w:rPr>
      </w:pPr>
      <w:r>
        <w:rPr>
          <w:rFonts w:ascii="Arial" w:cs="Arial" w:eastAsia="Arial" w:hAnsi="Arial"/>
          <w:sz w:val="18"/>
          <w:szCs w:val="18"/>
          <w:color w:val="auto"/>
        </w:rPr>
        <w:t>Moreover, the policies of the Trump Administration and their impact on the regulation of our products in the United States remain uncertain. The outcome of the 2016 election and the forthcoming 2018 mid-term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1" w:lineRule="exact"/>
        <w:rPr>
          <w:sz w:val="20"/>
          <w:szCs w:val="20"/>
          <w:color w:val="auto"/>
        </w:rPr>
      </w:pPr>
    </w:p>
    <w:p>
      <w:pPr>
        <w:ind w:left="220" w:right="160" w:firstLine="440"/>
        <w:spacing w:after="0" w:line="255"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97" w:lineRule="exact"/>
        <w:rPr>
          <w:sz w:val="20"/>
          <w:szCs w:val="20"/>
          <w:color w:val="auto"/>
        </w:rPr>
      </w:pPr>
    </w:p>
    <w:p>
      <w:pPr>
        <w:ind w:left="1080" w:hanging="438"/>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30" w:lineRule="exact"/>
        <w:rPr>
          <w:rFonts w:ascii="Arial" w:cs="Arial" w:eastAsia="Arial" w:hAnsi="Arial"/>
          <w:sz w:val="18"/>
          <w:szCs w:val="18"/>
          <w:color w:val="auto"/>
        </w:rPr>
      </w:pPr>
    </w:p>
    <w:p>
      <w:pPr>
        <w:ind w:left="1080" w:right="100" w:hanging="438"/>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30" w:lineRule="exact"/>
        <w:rPr>
          <w:rFonts w:ascii="Arial" w:cs="Arial" w:eastAsia="Arial" w:hAnsi="Arial"/>
          <w:sz w:val="18"/>
          <w:szCs w:val="18"/>
          <w:color w:val="auto"/>
        </w:rPr>
      </w:pPr>
    </w:p>
    <w:p>
      <w:pPr>
        <w:jc w:val="both"/>
        <w:ind w:left="1080" w:right="40" w:hanging="438"/>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3" w:lineRule="exact"/>
        <w:rPr>
          <w:sz w:val="20"/>
          <w:szCs w:val="20"/>
          <w:color w:val="auto"/>
        </w:rPr>
      </w:pPr>
    </w:p>
    <w:p>
      <w:pPr>
        <w:ind w:left="220" w:right="40" w:firstLine="440"/>
        <w:spacing w:after="0" w:line="268" w:lineRule="auto"/>
        <w:rPr>
          <w:sz w:val="20"/>
          <w:szCs w:val="20"/>
          <w:color w:val="auto"/>
        </w:rPr>
      </w:pPr>
      <w:r>
        <w:rPr>
          <w:rFonts w:ascii="Arial" w:cs="Arial" w:eastAsia="Arial" w:hAnsi="Arial"/>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and appear likely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 In July 2018, the U.S. House of Representatives voted to repeal this tax. The U.S. Senate is expected to vote on the matter in the fourth quarter of 2018.</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40"/>
        <w:spacing w:after="0" w:line="279" w:lineRule="auto"/>
        <w:rPr>
          <w:sz w:val="20"/>
          <w:szCs w:val="20"/>
          <w:color w:val="auto"/>
        </w:rPr>
      </w:pPr>
      <w:r>
        <w:rPr>
          <w:rFonts w:ascii="Arial" w:cs="Arial" w:eastAsia="Arial" w:hAnsi="Arial"/>
          <w:sz w:val="17"/>
          <w:szCs w:val="17"/>
          <w:color w:val="auto"/>
        </w:rPr>
        <w:t>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0" w:lineRule="exact"/>
        <w:rPr>
          <w:sz w:val="20"/>
          <w:szCs w:val="20"/>
          <w:color w:val="auto"/>
        </w:rPr>
      </w:pPr>
    </w:p>
    <w:p>
      <w:pPr>
        <w:ind w:left="220" w:right="140" w:firstLine="440"/>
        <w:spacing w:after="0" w:line="279"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70"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8"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7" w:lineRule="exact"/>
        <w:rPr>
          <w:sz w:val="20"/>
          <w:szCs w:val="20"/>
          <w:color w:val="auto"/>
        </w:rPr>
      </w:pPr>
    </w:p>
    <w:p>
      <w:pPr>
        <w:ind w:left="220" w:right="80" w:firstLine="440"/>
        <w:spacing w:after="0" w:line="287" w:lineRule="auto"/>
        <w:rPr>
          <w:sz w:val="20"/>
          <w:szCs w:val="20"/>
          <w:color w:val="auto"/>
        </w:rPr>
      </w:pPr>
      <w:r>
        <w:rPr>
          <w:rFonts w:ascii="Arial" w:cs="Arial" w:eastAsia="Arial" w:hAnsi="Arial"/>
          <w:sz w:val="16"/>
          <w:szCs w:val="16"/>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June 30, 2018, we owned 34 issued U.S. patents and had 11 pending U.S. patent applications, and we owned six issued foreign patents and had seven pending foreign patent applications. As of June 30, 2018, we have 12 registered trademarks in the United States and have filed for one more. We have sought protection for at least two of these trademarks in 60 countries including the 28 European member countries of the Madrid Protocol.</w:t>
      </w:r>
    </w:p>
    <w:p>
      <w:pPr>
        <w:spacing w:after="0" w:line="191" w:lineRule="exact"/>
        <w:rPr>
          <w:sz w:val="20"/>
          <w:szCs w:val="20"/>
          <w:color w:val="auto"/>
        </w:rPr>
      </w:pPr>
    </w:p>
    <w:p>
      <w:pPr>
        <w:ind w:left="220" w:right="120" w:firstLine="440"/>
        <w:spacing w:after="0" w:line="286"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7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91" w:lineRule="exact"/>
        <w:rPr>
          <w:sz w:val="20"/>
          <w:szCs w:val="20"/>
          <w:color w:val="auto"/>
        </w:rPr>
      </w:pPr>
    </w:p>
    <w:p>
      <w:pPr>
        <w:ind w:left="220" w:right="140" w:firstLine="440"/>
        <w:spacing w:after="0" w:line="290"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 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64"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40"/>
        <w:spacing w:after="0" w:line="296" w:lineRule="auto"/>
        <w:rPr>
          <w:sz w:val="20"/>
          <w:szCs w:val="20"/>
          <w:color w:val="auto"/>
        </w:rPr>
      </w:pPr>
      <w:r>
        <w:rPr>
          <w:rFonts w:ascii="Arial" w:cs="Arial" w:eastAsia="Arial" w:hAnsi="Arial"/>
          <w:sz w:val="16"/>
          <w:szCs w:val="16"/>
          <w:color w:val="auto"/>
        </w:rPr>
        <w:t>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0"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5" w:lineRule="exact"/>
        <w:rPr>
          <w:sz w:val="20"/>
          <w:szCs w:val="20"/>
          <w:color w:val="auto"/>
        </w:rPr>
      </w:pPr>
    </w:p>
    <w:p>
      <w:pPr>
        <w:ind w:left="220" w:right="560"/>
        <w:spacing w:after="0" w:line="375"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1" w:lineRule="exact"/>
        <w:rPr>
          <w:sz w:val="20"/>
          <w:szCs w:val="20"/>
          <w:color w:val="auto"/>
        </w:rPr>
      </w:pPr>
    </w:p>
    <w:p>
      <w:pPr>
        <w:ind w:left="220" w:right="4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left="220" w:right="60" w:firstLine="440"/>
        <w:spacing w:after="0" w:line="269"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spacing w:after="0" w:line="271" w:lineRule="auto"/>
        <w:rPr>
          <w:sz w:val="20"/>
          <w:szCs w:val="20"/>
          <w:color w:val="auto"/>
        </w:rPr>
      </w:pPr>
      <w:r>
        <w:rPr>
          <w:rFonts w:ascii="Arial" w:cs="Arial" w:eastAsia="Arial" w:hAnsi="Arial"/>
          <w:sz w:val="17"/>
          <w:szCs w:val="17"/>
          <w:color w:val="auto"/>
        </w:rPr>
        <w:t>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77" w:lineRule="exact"/>
        <w:rPr>
          <w:sz w:val="20"/>
          <w:szCs w:val="20"/>
          <w:color w:val="auto"/>
        </w:rPr>
      </w:pPr>
    </w:p>
    <w:p>
      <w:pPr>
        <w:ind w:left="220" w:right="40" w:firstLine="440"/>
        <w:spacing w:after="0" w:line="273" w:lineRule="auto"/>
        <w:rPr>
          <w:sz w:val="20"/>
          <w:szCs w:val="20"/>
          <w:color w:val="auto"/>
        </w:rPr>
      </w:pPr>
      <w:r>
        <w:rPr>
          <w:rFonts w:ascii="Arial" w:cs="Arial" w:eastAsia="Arial" w:hAnsi="Arial"/>
          <w:sz w:val="17"/>
          <w:szCs w:val="17"/>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Prior to this offering, there has been no public market for our common stock, and medical device stocks have historically experienced volatility. The trading price of our common stock following this offering may fluctuate substantially. Following the closing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81" w:lineRule="exact"/>
        <w:rPr>
          <w:sz w:val="20"/>
          <w:szCs w:val="20"/>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right="320" w:hanging="438"/>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80" w:right="280" w:hanging="438"/>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301" w:lineRule="exact"/>
        <w:rPr>
          <w:sz w:val="20"/>
          <w:szCs w:val="20"/>
          <w:color w:val="auto"/>
        </w:rPr>
      </w:pPr>
    </w:p>
    <w:p>
      <w:pPr>
        <w:ind w:left="220" w:right="6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 deem appropriate. Based on the total number of outstanding shares of our common stock as of June 30, 2018, upon the closing of this offering, we will have 21,793,160 shares of common stock outstanding. All of the shares of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91"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Subject to certain exceptions, we, our directors and officers and the holders of substantially all of our capital stock, warrants and stock options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7" w:lineRule="exact"/>
        <w:rPr>
          <w:sz w:val="20"/>
          <w:szCs w:val="20"/>
          <w:color w:val="auto"/>
        </w:rPr>
      </w:pPr>
    </w:p>
    <w:p>
      <w:pPr>
        <w:ind w:left="220" w:right="380" w:firstLine="440"/>
        <w:spacing w:after="0" w:line="259" w:lineRule="auto"/>
        <w:rPr>
          <w:sz w:val="20"/>
          <w:szCs w:val="20"/>
          <w:color w:val="auto"/>
        </w:rPr>
      </w:pPr>
      <w:r>
        <w:rPr>
          <w:rFonts w:ascii="Arial" w:cs="Arial" w:eastAsia="Arial" w:hAnsi="Arial"/>
          <w:sz w:val="18"/>
          <w:szCs w:val="18"/>
          <w:color w:val="auto"/>
        </w:rPr>
        <w:t>Based on shares outstanding as of June 30, 2018, the holders of 12,066,654 shares, or approximately 55.4%,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6"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91" w:lineRule="exact"/>
        <w:rPr>
          <w:sz w:val="20"/>
          <w:szCs w:val="20"/>
          <w:color w:val="auto"/>
        </w:rPr>
      </w:pPr>
    </w:p>
    <w:p>
      <w:pPr>
        <w:ind w:left="220" w:right="76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jc w:val="both"/>
        <w:ind w:left="220" w:right="80" w:firstLine="440"/>
        <w:spacing w:after="0" w:line="263" w:lineRule="auto"/>
        <w:rPr>
          <w:sz w:val="20"/>
          <w:szCs w:val="20"/>
          <w:color w:val="auto"/>
        </w:rPr>
      </w:pPr>
      <w:r>
        <w:rPr>
          <w:rFonts w:ascii="Arial" w:cs="Arial" w:eastAsia="Arial" w:hAnsi="Arial"/>
          <w:sz w:val="18"/>
          <w:szCs w:val="18"/>
          <w:color w:val="auto"/>
        </w:rPr>
        <w:t>Our directors, executive officers, and each of our stockholders that own greater than 5% of our outstanding common stock, in the aggregate, will beneficially own approximately 52.0% of the outstanding shares of our common stock after this offering, based on the number of shares outstanding as of June 30, 2018. In addition,</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56" w:lineRule="auto"/>
        <w:rPr>
          <w:sz w:val="20"/>
          <w:szCs w:val="20"/>
          <w:color w:val="auto"/>
        </w:rPr>
      </w:pPr>
      <w:r>
        <w:rPr>
          <w:rFonts w:ascii="Arial" w:cs="Arial" w:eastAsia="Arial" w:hAnsi="Arial"/>
          <w:sz w:val="18"/>
          <w:szCs w:val="18"/>
          <w:color w:val="auto"/>
        </w:rPr>
        <w:t>certain of our existing stockholders or their affiliates, including entities affiliated with Arboretum Ventures, Novo Holdings A/S, OrbiMed, and Skyline Venture Partners, have indicated an interest in purchasing up to an aggregate of $32.0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entities, or any or all of these entities may determine to purchase more, fewer, or no shares in this offering.</w:t>
      </w:r>
    </w:p>
    <w:p>
      <w:pPr>
        <w:spacing w:after="0" w:line="191"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99"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6" w:lineRule="exact"/>
        <w:rPr>
          <w:sz w:val="20"/>
          <w:szCs w:val="20"/>
          <w:color w:val="auto"/>
        </w:rPr>
      </w:pPr>
    </w:p>
    <w:p>
      <w:pPr>
        <w:ind w:left="220" w:right="300" w:firstLine="440"/>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4"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left="220" w:firstLine="440"/>
        <w:spacing w:after="0" w:line="290" w:lineRule="auto"/>
        <w:rPr>
          <w:sz w:val="20"/>
          <w:szCs w:val="20"/>
          <w:color w:val="auto"/>
        </w:rPr>
      </w:pPr>
      <w:r>
        <w:rPr>
          <w:rFonts w:ascii="Arial" w:cs="Arial" w:eastAsia="Arial" w:hAnsi="Arial"/>
          <w:sz w:val="16"/>
          <w:szCs w:val="16"/>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As of December 31, 2017, we had net operating loss, or NOL, carryforwards of $124.9 million and $101.7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spacing w:after="0" w:line="255" w:lineRule="auto"/>
        <w:rPr>
          <w:sz w:val="20"/>
          <w:szCs w:val="20"/>
          <w:color w:val="auto"/>
        </w:rPr>
      </w:pPr>
      <w:r>
        <w:rPr>
          <w:rFonts w:ascii="Arial" w:cs="Arial" w:eastAsia="Arial" w:hAnsi="Arial"/>
          <w:sz w:val="18"/>
          <w:szCs w:val="18"/>
          <w:color w:val="auto"/>
        </w:rPr>
        <w:t>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may experience ownership changes in the future as a result of subsequent shifts in our stock ownership, including this offering, some of which may be outside of our control. If a future ownership change occurs, our ability to use our NOL tax credit carryforwards may be materially limited, which would harm our future operating results by effectively increasing our future tax obligations.</w:t>
      </w:r>
    </w:p>
    <w:p>
      <w:pPr>
        <w:spacing w:after="0" w:line="299"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left="220" w:right="20" w:firstLine="440"/>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66" w:lineRule="exact"/>
        <w:rPr>
          <w:sz w:val="20"/>
          <w:szCs w:val="20"/>
          <w:color w:val="auto"/>
        </w:rPr>
      </w:pPr>
    </w:p>
    <w:p>
      <w:pPr>
        <w:ind w:left="220" w:right="140" w:firstLine="440"/>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4" w:lineRule="exact"/>
        <w:rPr>
          <w:sz w:val="20"/>
          <w:szCs w:val="20"/>
          <w:color w:val="auto"/>
        </w:rPr>
      </w:pPr>
    </w:p>
    <w:p>
      <w:pPr>
        <w:jc w:val="both"/>
        <w:ind w:left="220" w:right="60"/>
        <w:spacing w:after="0" w:line="263"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5" w:lineRule="exact"/>
        <w:rPr>
          <w:sz w:val="20"/>
          <w:szCs w:val="20"/>
          <w:color w:val="auto"/>
        </w:rPr>
      </w:pPr>
    </w:p>
    <w:p>
      <w:pPr>
        <w:ind w:left="220" w:right="100" w:firstLine="440"/>
        <w:spacing w:after="0" w:line="270"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79" w:lineRule="exact"/>
        <w:rPr>
          <w:sz w:val="20"/>
          <w:szCs w:val="20"/>
          <w:color w:val="auto"/>
        </w:rPr>
      </w:pPr>
    </w:p>
    <w:p>
      <w:pPr>
        <w:ind w:left="220" w:right="920" w:firstLine="440"/>
        <w:spacing w:after="0" w:line="27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40"/>
        <w:spacing w:after="0" w:line="259" w:lineRule="auto"/>
        <w:rPr>
          <w:sz w:val="20"/>
          <w:szCs w:val="20"/>
          <w:color w:val="auto"/>
        </w:rPr>
      </w:pPr>
      <w:r>
        <w:rPr>
          <w:rFonts w:ascii="Arial" w:cs="Arial" w:eastAsia="Arial" w:hAnsi="Arial"/>
          <w:sz w:val="18"/>
          <w:szCs w:val="18"/>
          <w:color w:val="auto"/>
        </w:rPr>
        <w:t>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6" w:lineRule="exact"/>
        <w:rPr>
          <w:sz w:val="20"/>
          <w:szCs w:val="20"/>
          <w:color w:val="auto"/>
        </w:rPr>
      </w:pPr>
    </w:p>
    <w:p>
      <w:pPr>
        <w:ind w:left="220" w:right="60" w:firstLine="440"/>
        <w:spacing w:after="0" w:line="270"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87" w:lineRule="exact"/>
        <w:rPr>
          <w:sz w:val="20"/>
          <w:szCs w:val="20"/>
          <w:color w:val="auto"/>
        </w:rPr>
      </w:pPr>
    </w:p>
    <w:p>
      <w:pPr>
        <w:ind w:left="220"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left="220" w:right="280" w:firstLine="440"/>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5" w:lineRule="exact"/>
        <w:rPr>
          <w:sz w:val="20"/>
          <w:szCs w:val="20"/>
          <w:color w:val="auto"/>
        </w:rPr>
      </w:pPr>
    </w:p>
    <w:p>
      <w:pPr>
        <w:ind w:left="1080" w:right="60" w:hanging="438"/>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53" w:lineRule="exact"/>
        <w:rPr>
          <w:rFonts w:ascii="Arial" w:cs="Arial" w:eastAsia="Arial" w:hAnsi="Arial"/>
          <w:sz w:val="16"/>
          <w:szCs w:val="16"/>
          <w:color w:val="auto"/>
        </w:rPr>
      </w:pPr>
    </w:p>
    <w:p>
      <w:pPr>
        <w:ind w:left="1080" w:hanging="438"/>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53" w:lineRule="exact"/>
        <w:rPr>
          <w:rFonts w:ascii="Arial" w:cs="Arial" w:eastAsia="Arial" w:hAnsi="Arial"/>
          <w:sz w:val="16"/>
          <w:szCs w:val="16"/>
          <w:color w:val="auto"/>
        </w:rPr>
      </w:pPr>
    </w:p>
    <w:p>
      <w:pPr>
        <w:ind w:left="1080" w:right="260" w:hanging="438"/>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spacing w:after="0" w:line="341"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7"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 shares of our common stock in this offering, you will experience immediate dilution of $11.25 per share, the difference between the assumed initial public offering price of $14.00 per share, which is the midpoint of the range as set forth on the cover page of this prospectus, after deducting underwriting discounts and commissions and estimated offering expenses payable by us, and the pro forma as adjusted net tangible book value per share of our common stock of $2.75, immediately after giving effect to the issuance of shares of our common stock in this offering. See “Dilution.”</w:t>
      </w:r>
    </w:p>
    <w:p>
      <w:pPr>
        <w:spacing w:after="0" w:line="271"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64"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220" w:right="460" w:firstLine="440"/>
        <w:spacing w:after="0" w:line="277" w:lineRule="auto"/>
        <w:rPr>
          <w:sz w:val="20"/>
          <w:szCs w:val="20"/>
          <w:color w:val="auto"/>
        </w:rPr>
      </w:pPr>
      <w:r>
        <w:rPr>
          <w:rFonts w:ascii="Arial" w:cs="Arial" w:eastAsia="Arial" w:hAnsi="Arial"/>
          <w:sz w:val="18"/>
          <w:szCs w:val="18"/>
          <w:color w:val="auto"/>
        </w:rPr>
        <w:t>Borrowings under our credit facility are secured by substantially all of our assets. Our credit facility also restricts our ability to, among other things:</w:t>
      </w:r>
    </w:p>
    <w:p>
      <w:pPr>
        <w:spacing w:after="0" w:line="75" w:lineRule="exact"/>
        <w:rPr>
          <w:sz w:val="20"/>
          <w:szCs w:val="20"/>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30" w:lineRule="exact"/>
        <w:rPr>
          <w:rFonts w:ascii="Arial" w:cs="Arial" w:eastAsia="Arial" w:hAnsi="Arial"/>
          <w:sz w:val="18"/>
          <w:szCs w:val="18"/>
          <w:color w:val="auto"/>
        </w:rPr>
      </w:pPr>
    </w:p>
    <w:p>
      <w:pPr>
        <w:ind w:left="5620" w:right="3720" w:hanging="4978"/>
        <w:spacing w:after="0" w:line="449" w:lineRule="auto"/>
        <w:tabs>
          <w:tab w:leader="none" w:pos="10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 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60" w:firstLine="440"/>
        <w:spacing w:after="0" w:line="341" w:lineRule="auto"/>
        <w:rPr>
          <w:sz w:val="20"/>
          <w:szCs w:val="20"/>
          <w:color w:val="auto"/>
        </w:rPr>
      </w:pPr>
      <w:r>
        <w:rPr>
          <w:rFonts w:ascii="Arial" w:cs="Arial" w:eastAsia="Arial" w:hAnsi="Arial"/>
          <w:sz w:val="16"/>
          <w:szCs w:val="16"/>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25"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91" w:lineRule="exact"/>
        <w:rPr>
          <w:sz w:val="20"/>
          <w:szCs w:val="20"/>
          <w:color w:val="auto"/>
        </w:rPr>
      </w:pPr>
    </w:p>
    <w:p>
      <w:pPr>
        <w:jc w:val="both"/>
        <w:ind w:left="220" w:right="80" w:firstLine="440"/>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closing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1" w:lineRule="exact"/>
        <w:rPr>
          <w:sz w:val="20"/>
          <w:szCs w:val="20"/>
          <w:color w:val="auto"/>
        </w:rPr>
      </w:pPr>
    </w:p>
    <w:p>
      <w:pPr>
        <w:ind w:left="1080" w:right="120" w:hanging="438"/>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80" w:right="120" w:hanging="438"/>
        <w:spacing w:after="0" w:line="34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0" w:lineRule="exact"/>
        <w:rPr>
          <w:rFonts w:ascii="Arial" w:cs="Arial" w:eastAsia="Arial" w:hAnsi="Arial"/>
          <w:sz w:val="16"/>
          <w:szCs w:val="16"/>
          <w:color w:val="auto"/>
        </w:rPr>
      </w:pPr>
    </w:p>
    <w:p>
      <w:pPr>
        <w:ind w:left="1080" w:right="440" w:hanging="438"/>
        <w:spacing w:after="0" w:line="34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0" w:lineRule="exact"/>
        <w:rPr>
          <w:rFonts w:ascii="Arial" w:cs="Arial" w:eastAsia="Arial" w:hAnsi="Arial"/>
          <w:sz w:val="16"/>
          <w:szCs w:val="16"/>
          <w:color w:val="auto"/>
        </w:rPr>
      </w:pPr>
    </w:p>
    <w:p>
      <w:pPr>
        <w:ind w:left="1080" w:right="280" w:hanging="438"/>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jc w:val="both"/>
        <w:ind w:left="1080" w:hanging="438"/>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88" w:lineRule="exact"/>
        <w:rPr>
          <w:rFonts w:ascii="Arial" w:cs="Arial" w:eastAsia="Arial" w:hAnsi="Arial"/>
          <w:sz w:val="18"/>
          <w:szCs w:val="18"/>
          <w:color w:val="auto"/>
        </w:rPr>
      </w:pPr>
    </w:p>
    <w:p>
      <w:pPr>
        <w:ind w:left="1080" w:right="80" w:hanging="438"/>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1" w:lineRule="exact"/>
        <w:rPr>
          <w:rFonts w:ascii="Arial" w:cs="Arial" w:eastAsia="Arial" w:hAnsi="Arial"/>
          <w:sz w:val="18"/>
          <w:szCs w:val="18"/>
          <w:color w:val="auto"/>
        </w:rPr>
      </w:pPr>
    </w:p>
    <w:p>
      <w:pPr>
        <w:ind w:left="1080" w:right="220" w:hanging="438"/>
        <w:spacing w:after="0" w:line="286"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160" w:firstLine="440"/>
        <w:spacing w:after="0" w:line="26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83" w:lineRule="exact"/>
        <w:rPr>
          <w:sz w:val="20"/>
          <w:szCs w:val="20"/>
          <w:color w:val="auto"/>
        </w:rPr>
      </w:pPr>
    </w:p>
    <w:p>
      <w:pPr>
        <w:ind w:left="220" w:right="280" w:firstLine="440"/>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3"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78"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78" w:lineRule="exact"/>
        <w:rPr>
          <w:sz w:val="20"/>
          <w:szCs w:val="20"/>
          <w:color w:val="auto"/>
        </w:rPr>
      </w:pPr>
    </w:p>
    <w:p>
      <w:pPr>
        <w:ind w:left="220" w:right="40" w:firstLine="440"/>
        <w:spacing w:after="0" w:line="287"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Results of Operations” and “Business.” These forward-looking statements include, but are not limited to, statements concerning the following:</w:t>
      </w:r>
    </w:p>
    <w:p>
      <w:pPr>
        <w:spacing w:after="0" w:line="85" w:lineRule="exact"/>
        <w:rPr>
          <w:sz w:val="20"/>
          <w:szCs w:val="20"/>
          <w:color w:val="auto"/>
        </w:rPr>
      </w:pPr>
    </w:p>
    <w:p>
      <w:pPr>
        <w:ind w:left="1080" w:right="80" w:hanging="438"/>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the iFuse Implant System, or iFuse;</w:t>
      </w:r>
    </w:p>
    <w:p>
      <w:pPr>
        <w:spacing w:after="0" w:line="75" w:lineRule="exact"/>
        <w:rPr>
          <w:rFonts w:ascii="Arial" w:cs="Arial" w:eastAsia="Arial" w:hAnsi="Arial"/>
          <w:sz w:val="18"/>
          <w:szCs w:val="18"/>
          <w:color w:val="auto"/>
        </w:rPr>
      </w:pPr>
    </w:p>
    <w:p>
      <w:pPr>
        <w:ind w:left="1080" w:right="640" w:hanging="438"/>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1080" w:right="60" w:hanging="438"/>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left="220" w:right="140" w:firstLine="440"/>
        <w:spacing w:after="0" w:line="311"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the section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spacing w:after="0" w:line="263"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3"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60" w:lineRule="exact"/>
        <w:rPr>
          <w:sz w:val="20"/>
          <w:szCs w:val="20"/>
          <w:color w:val="auto"/>
        </w:rPr>
      </w:pPr>
    </w:p>
    <w:p>
      <w:pPr>
        <w:ind w:left="220" w:right="280" w:firstLine="440"/>
        <w:spacing w:after="0" w:line="25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1" w:lineRule="exact"/>
        <w:rPr>
          <w:sz w:val="20"/>
          <w:szCs w:val="20"/>
          <w:color w:val="auto"/>
        </w:rPr>
      </w:pPr>
    </w:p>
    <w:p>
      <w:pPr>
        <w:ind w:left="220" w:right="30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24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60" w:lineRule="exact"/>
        <w:rPr>
          <w:sz w:val="20"/>
          <w:szCs w:val="20"/>
          <w:color w:val="auto"/>
        </w:rPr>
      </w:pPr>
    </w:p>
    <w:p>
      <w:pPr>
        <w:jc w:val="both"/>
        <w:ind w:left="220" w:right="400" w:firstLine="440"/>
        <w:spacing w:after="0" w:line="263"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We estimate that the net proceeds from this offering of 6,000,000 shares of common stock will be approximately $76.4 million, or $88.1 million if the underwriters exercise their option to purchase additional shares in full, after deducting underwriting discounts and commissions and estimated offering expenses payable by us, assuming an initial public offering price of $14.00 per share, which is the midpoint of the price range set forth on the cover page of this prospectus.</w:t>
      </w:r>
    </w:p>
    <w:p>
      <w:pPr>
        <w:spacing w:after="0" w:line="186" w:lineRule="exact"/>
        <w:rPr>
          <w:sz w:val="20"/>
          <w:szCs w:val="20"/>
          <w:color w:val="auto"/>
        </w:rPr>
      </w:pPr>
    </w:p>
    <w:p>
      <w:pPr>
        <w:ind w:left="220" w:right="60" w:firstLine="440"/>
        <w:spacing w:after="0" w:line="296" w:lineRule="auto"/>
        <w:rPr>
          <w:sz w:val="20"/>
          <w:szCs w:val="20"/>
          <w:color w:val="auto"/>
        </w:rPr>
      </w:pPr>
      <w:r>
        <w:rPr>
          <w:rFonts w:ascii="Arial" w:cs="Arial" w:eastAsia="Arial" w:hAnsi="Arial"/>
          <w:sz w:val="16"/>
          <w:szCs w:val="16"/>
          <w:color w:val="auto"/>
        </w:rPr>
        <w:t>Each $1.00 increase (decrease) in the assumed initial public offering price of $14.00 per share, the midpoint of the price range set forth on the cover page of this prospectus, would increase (decrease) our net proceeds by $5.6 million, assuming the number of shares offered by us, as set forth on the cover page of this prospectus, remains the same, after deducting underwriting discounts and commissions and estimated offering expenses payable by us. Each increase (decrease) by 1,000,000 shares in the number of shares offered by us would increase (decrease) the net proceeds from this offering by $13.0 million, assuming the assumed initial public offering price remains the same, after deducting underwriting discounts and commissions.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use the net proceeds from this offering, as follows:</w:t>
      </w:r>
    </w:p>
    <w:p>
      <w:pPr>
        <w:spacing w:after="0" w:line="130" w:lineRule="exact"/>
        <w:rPr>
          <w:sz w:val="20"/>
          <w:szCs w:val="20"/>
          <w:color w:val="auto"/>
        </w:rPr>
      </w:pPr>
    </w:p>
    <w:p>
      <w:pPr>
        <w:ind w:left="1080" w:hanging="438"/>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$65.0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8" w:lineRule="exact"/>
        <w:rPr>
          <w:rFonts w:ascii="Arial" w:cs="Arial" w:eastAsia="Arial" w:hAnsi="Arial"/>
          <w:sz w:val="18"/>
          <w:szCs w:val="18"/>
          <w:color w:val="auto"/>
        </w:rPr>
      </w:pPr>
    </w:p>
    <w:p>
      <w:pPr>
        <w:ind w:left="1080" w:right="160" w:hanging="438"/>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left="220" w:right="180" w:firstLine="440"/>
        <w:spacing w:after="0" w:line="286" w:lineRule="auto"/>
        <w:rPr>
          <w:sz w:val="20"/>
          <w:szCs w:val="20"/>
          <w:color w:val="auto"/>
        </w:rPr>
      </w:pPr>
      <w:r>
        <w:rPr>
          <w:rFonts w:ascii="Arial" w:cs="Arial" w:eastAsia="Arial" w:hAnsi="Arial"/>
          <w:sz w:val="17"/>
          <w:szCs w:val="17"/>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credit facility with Biopharma Credit Investments IV Sub LP, or Pharmakon,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2018:</w:t>
      </w:r>
    </w:p>
    <w:p>
      <w:pPr>
        <w:spacing w:after="0" w:line="130" w:lineRule="exact"/>
        <w:rPr>
          <w:sz w:val="20"/>
          <w:szCs w:val="20"/>
          <w:color w:val="auto"/>
        </w:rPr>
      </w:pPr>
    </w:p>
    <w:p>
      <w:pPr>
        <w:ind w:left="1080" w:hanging="438"/>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620" w:right="40" w:hanging="533"/>
        <w:spacing w:after="0" w:line="277"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12,066,654 shares of common stock immediately prior to the closing of this offering;</w:t>
      </w:r>
    </w:p>
    <w:p>
      <w:pPr>
        <w:spacing w:after="0" w:line="75" w:lineRule="exact"/>
        <w:rPr>
          <w:rFonts w:ascii="Arial" w:cs="Arial" w:eastAsia="Arial" w:hAnsi="Arial"/>
          <w:sz w:val="18"/>
          <w:szCs w:val="18"/>
          <w:color w:val="auto"/>
        </w:rPr>
      </w:pPr>
    </w:p>
    <w:p>
      <w:pPr>
        <w:ind w:left="1620" w:hanging="533"/>
        <w:spacing w:after="0"/>
        <w:tabs>
          <w:tab w:leader="none" w:pos="1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issuance of 19,238 shares of common stock upon the automatic net exercise of outstanding warrants, with an exercise price of</w:t>
      </w:r>
    </w:p>
    <w:p>
      <w:pPr>
        <w:spacing w:after="0" w:line="46" w:lineRule="exact"/>
        <w:rPr>
          <w:rFonts w:ascii="Arial" w:cs="Arial" w:eastAsia="Arial" w:hAnsi="Arial"/>
          <w:sz w:val="16"/>
          <w:szCs w:val="16"/>
          <w:color w:val="auto"/>
        </w:rPr>
      </w:pPr>
    </w:p>
    <w:p>
      <w:pPr>
        <w:ind w:left="1620"/>
        <w:spacing w:after="0" w:line="260" w:lineRule="auto"/>
        <w:rPr>
          <w:rFonts w:ascii="Arial" w:cs="Arial" w:eastAsia="Arial" w:hAnsi="Arial"/>
          <w:sz w:val="16"/>
          <w:szCs w:val="16"/>
          <w:color w:val="auto"/>
        </w:rPr>
      </w:pPr>
      <w:r>
        <w:rPr>
          <w:rFonts w:ascii="Arial" w:cs="Arial" w:eastAsia="Arial" w:hAnsi="Arial"/>
          <w:sz w:val="18"/>
          <w:szCs w:val="18"/>
          <w:color w:val="auto"/>
        </w:rPr>
        <w:t>$9.10 per share, immediately prior to the closing of this offering, assuming an initial public offering price of $14.00 per share, which is the midpoint of the price range set forth on the cover page of this prospectus;</w:t>
      </w:r>
    </w:p>
    <w:p>
      <w:pPr>
        <w:spacing w:after="0" w:line="90" w:lineRule="exact"/>
        <w:rPr>
          <w:rFonts w:ascii="Arial" w:cs="Arial" w:eastAsia="Arial" w:hAnsi="Arial"/>
          <w:sz w:val="16"/>
          <w:szCs w:val="16"/>
          <w:color w:val="auto"/>
        </w:rPr>
      </w:pPr>
    </w:p>
    <w:p>
      <w:pPr>
        <w:ind w:left="1620" w:right="520" w:hanging="533"/>
        <w:spacing w:after="0" w:line="277"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reclassification of our preferred stock warrant liability to additional paid-in capital immediately prior to the closing of this offering; and</w:t>
      </w:r>
    </w:p>
    <w:p>
      <w:pPr>
        <w:spacing w:after="0" w:line="75" w:lineRule="exact"/>
        <w:rPr>
          <w:rFonts w:ascii="Arial" w:cs="Arial" w:eastAsia="Arial" w:hAnsi="Arial"/>
          <w:sz w:val="18"/>
          <w:szCs w:val="18"/>
          <w:color w:val="auto"/>
        </w:rPr>
      </w:pPr>
    </w:p>
    <w:p>
      <w:pPr>
        <w:ind w:left="1620" w:hanging="533"/>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jc w:val="both"/>
        <w:ind w:left="1080" w:right="240" w:hanging="438"/>
        <w:spacing w:after="0" w:line="286"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the sale of 6,000,000 shares of common stock in this offering assuming an initial public offering price of $14.00 per share, which is the midpoint of the price range set forth on the cover page of this prospectus, and after deducting underwriting discounts and commissions and estimated offering expenses payable by us.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100" w:firstLine="440"/>
        <w:spacing w:after="0" w:line="263"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in “Selected Consolidated Financial Data” and “Management’s Discussion and Analysis of Financial Condition and Results of Operations.”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June 30, 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Pro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Forma As</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Forma</w:t>
            </w: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7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140" w:type="dxa"/>
            <w:vAlign w:val="bottom"/>
            <w:tcBorders>
              <w:top w:val="single" w:sz="8" w:color="auto"/>
            </w:tcBorders>
            <w:gridSpan w:val="10"/>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for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per share amounts)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16,233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92,653</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38,834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38,834</w:t>
            </w:r>
          </w:p>
        </w:tc>
        <w:tc>
          <w:tcPr>
            <w:tcW w:w="0" w:type="dxa"/>
            <w:vAlign w:val="bottom"/>
          </w:tcPr>
          <w:p>
            <w:pPr>
              <w:spacing w:after="0"/>
              <w:rPr>
                <w:sz w:val="1"/>
                <w:szCs w:val="1"/>
                <w:color w:val="auto"/>
              </w:rPr>
            </w:pPr>
          </w:p>
        </w:tc>
      </w:tr>
      <w:tr>
        <w:trPr>
          <w:trHeight w:val="201"/>
        </w:trPr>
        <w:tc>
          <w:tcPr>
            <w:tcW w:w="7640" w:type="dxa"/>
            <w:vAlign w:val="bottom"/>
          </w:tcPr>
          <w:p>
            <w:pPr>
              <w:spacing w:after="0" w:line="201" w:lineRule="exact"/>
              <w:rPr>
                <w:sz w:val="20"/>
                <w:szCs w:val="20"/>
                <w:color w:val="auto"/>
              </w:rPr>
            </w:pPr>
            <w:r>
              <w:rPr>
                <w:rFonts w:ascii="Arial" w:cs="Arial" w:eastAsia="Arial" w:hAnsi="Arial"/>
                <w:sz w:val="18"/>
                <w:szCs w:val="18"/>
                <w:color w:val="auto"/>
              </w:rPr>
              <w:t>Redeemable convertible preferred stock, $0.0001 par value; 12,104,749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w w:val="93"/>
              </w:rPr>
              <w:t>11,871,578 shares issued and outstanding, actual; no shares authorized, issued or outstanding, pro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forma and pro forma as adjusted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118,548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20"/>
              <w:spacing w:after="0"/>
              <w:rPr>
                <w:sz w:val="20"/>
                <w:szCs w:val="20"/>
                <w:color w:val="auto"/>
              </w:rPr>
            </w:pPr>
            <w:r>
              <w:rPr>
                <w:rFonts w:ascii="Arial" w:cs="Arial" w:eastAsia="Arial" w:hAnsi="Arial"/>
                <w:sz w:val="18"/>
                <w:szCs w:val="18"/>
                <w:color w:val="auto"/>
                <w:w w:val="98"/>
              </w:rPr>
              <w:t>5,000,000 shares authorized, no shares issued or outstanding, pro forma and pro forma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52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$0.0001 par value; 19,333,333 shares authorized, 3,707,268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actual; 100,000,000 shares authorized, 15,793,160 shares issued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outstanding, pro forma; and 100,000,000 shares authorized, 21,793,160 shares issued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pro forma as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10,933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130,126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(147,072)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(147,072)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(147,072)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(135,703)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right="20" w:hanging="430"/>
        <w:spacing w:after="0" w:line="266"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$14.00 per share, the midpoint of the price range set forth on the cover page of this prospectus, would increase (decrease) each of pro forma as adjusted cash and cash equivalents, additional paid-in capital, total stockholders’ equity and total capitalization by $5.6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An increase (decrease) of 1,000,000 shares in the number of shares offered by us would increase (decrease) each of pro forma as adjusted cash and cash equivalents, additional paid-in-capital, total stockholders’ equity and total capitalization by $13.0 million, assuming that the assumed initial price to the public remains the same, and after deducting underwriting discounts and commissions and estimated offering expenses payable by us. The pro forma as adjusted information discussed above is illustrative only, and we will adjust this information based on the actual initial public offering price, number of shares offered and other terms of this offering determined at pricing.</w:t>
      </w:r>
    </w:p>
    <w:p>
      <w:pPr>
        <w:spacing w:after="0" w:line="6" w:lineRule="exact"/>
        <w:rPr>
          <w:rFonts w:ascii="Arial" w:cs="Arial" w:eastAsia="Arial" w:hAnsi="Arial"/>
          <w:sz w:val="17"/>
          <w:szCs w:val="17"/>
          <w:color w:val="auto"/>
        </w:rPr>
      </w:pPr>
    </w:p>
    <w:p>
      <w:pPr>
        <w:ind w:left="640" w:hanging="430"/>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borrowings consist of $40.0 million of principal, net of discount of $1.2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of common stock to be outstanding after this offering is based on 15,793,160 shares of common stock outstanding as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June 30, 2018, and excludes:</w:t>
      </w:r>
    </w:p>
    <w:p>
      <w:pPr>
        <w:spacing w:after="0" w:line="116" w:lineRule="exact"/>
        <w:rPr>
          <w:sz w:val="20"/>
          <w:szCs w:val="20"/>
          <w:color w:val="auto"/>
        </w:rPr>
      </w:pPr>
    </w:p>
    <w:p>
      <w:pPr>
        <w:ind w:left="1080" w:right="140" w:hanging="438"/>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2,900,842 shares of common stock issuable upon the exercise of options outstanding as of June 30, 2018, with a weighted-average exercise price of $4.09 per share;</w:t>
      </w:r>
    </w:p>
    <w:p>
      <w:pPr>
        <w:spacing w:after="0" w:line="75" w:lineRule="exact"/>
        <w:rPr>
          <w:rFonts w:ascii="Arial" w:cs="Arial" w:eastAsia="Arial" w:hAnsi="Arial"/>
          <w:sz w:val="18"/>
          <w:szCs w:val="18"/>
          <w:color w:val="auto"/>
        </w:rPr>
      </w:pPr>
    </w:p>
    <w:p>
      <w:pPr>
        <w:ind w:left="1080" w:right="340" w:hanging="438"/>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the exercise of warrants outstanding as of June 30, 2018, with a weighted-average exercise price of $8.69 per share;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200" w:hanging="438"/>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26,613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8" w:lineRule="exact"/>
        <w:rPr>
          <w:rFonts w:ascii="Arial" w:cs="Arial" w:eastAsia="Arial" w:hAnsi="Arial"/>
          <w:sz w:val="18"/>
          <w:szCs w:val="18"/>
          <w:color w:val="auto"/>
        </w:rPr>
      </w:pPr>
    </w:p>
    <w:p>
      <w:pPr>
        <w:ind w:left="1080" w:hanging="438"/>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2,576,538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88" w:lineRule="exact"/>
        <w:rPr>
          <w:rFonts w:ascii="Arial" w:cs="Arial" w:eastAsia="Arial" w:hAnsi="Arial"/>
          <w:sz w:val="18"/>
          <w:szCs w:val="18"/>
          <w:color w:val="auto"/>
        </w:rPr>
      </w:pPr>
    </w:p>
    <w:p>
      <w:pPr>
        <w:ind w:left="1080" w:right="40" w:hanging="438"/>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515,307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20" w:right="80" w:firstLine="440"/>
        <w:spacing w:after="0" w:line="341"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5"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Historical net tangible book value (deficit) per share represents our total tangible assets less our liabilities and preferred stock that is not included in equity divided by the total number of shares outstanding. As of June 30, 2018, our historical net tangible book value (deficit) was $(135.7) million, or $(36.61) per share.</w:t>
      </w:r>
    </w:p>
    <w:p>
      <w:pPr>
        <w:spacing w:after="0" w:line="183" w:lineRule="exact"/>
        <w:rPr>
          <w:sz w:val="20"/>
          <w:szCs w:val="20"/>
          <w:color w:val="auto"/>
        </w:rPr>
      </w:pPr>
    </w:p>
    <w:p>
      <w:pPr>
        <w:ind w:left="220" w:right="20" w:firstLine="440"/>
        <w:spacing w:after="0" w:line="296" w:lineRule="auto"/>
        <w:rPr>
          <w:sz w:val="20"/>
          <w:szCs w:val="20"/>
          <w:color w:val="auto"/>
        </w:rPr>
      </w:pPr>
      <w:r>
        <w:rPr>
          <w:rFonts w:ascii="Arial" w:cs="Arial" w:eastAsia="Arial" w:hAnsi="Arial"/>
          <w:sz w:val="16"/>
          <w:szCs w:val="16"/>
          <w:color w:val="auto"/>
        </w:rPr>
        <w:t>Our pro forma net tangible book value (deficit) as of June 30, 2018, was $(16.5) million, or $(1.05) per share after giving effect to (i) the conversion of all outstanding shares of our preferred stock into an aggregate of 12,066,654 shares of common stock; (ii) the issuance of 19,238 shares of common stock upon the automatic net exercise of outstanding warrants, with an exercise price of $9.10 per share, immediately prior to the closing of this offering, assuming an initial public offering price of $14.00 per share, which is the midpoint of the price range set forth on the cover page of this prospectus; (iii) the reclassification of our preferred stock warrant liability to additional paid-in capital immediately prior to the closing of this offering.</w:t>
      </w:r>
    </w:p>
    <w:p>
      <w:pPr>
        <w:spacing w:after="0" w:line="160"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After giving further effect to receipt of the net proceeds of our sale of 6,000,000 shares of common stock, assuming an initial public offering price of $14.00 per share, which is the midpoint of the price range set forth on the cover page of this prospectus, after deducting underwriting discounts and commissions and estimated offering expenses, our pro forma as adjusted net tangible book value as of June 30, 2018, would have been approximately $59.9 million, or $2.75 per share. This represents an immediate increase in pro forma as adjusted net tangible book value of $3.80 per share to our existing stockholders and an immediate dilution of $11.25 per share to new investors participating in this offering.</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to new investors on a per share basis:</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vMerge w:val="restart"/>
          </w:tcPr>
          <w:p>
            <w:pPr>
              <w:spacing w:after="0"/>
              <w:rPr>
                <w:sz w:val="21"/>
                <w:szCs w:val="21"/>
                <w:color w:val="auto"/>
              </w:rPr>
            </w:pPr>
          </w:p>
        </w:tc>
        <w:tc>
          <w:tcPr>
            <w:tcW w:w="7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June 30, 2018</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$(36.61)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Pro forma increase in net tangible book value (deficit) per share attributable to the conversion of</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our preferred stock and preferred stock warrants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2018</w:t>
            </w: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Increase in net tangible book value per share attributable to new investors purchasing shares in</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If the underwriters’ option to purchase additional shares in this offering is exercised in full, the pro forma as adjusted net tangible book value would be $3.15 per share, the increase in the pro forma as adjusted net tangible book value per share for existing stockholders would be $4.20 per share and the dilution to new investors participating in this offering would be $10.85 per share.</w:t>
      </w:r>
    </w:p>
    <w:p>
      <w:pPr>
        <w:spacing w:after="0" w:line="183"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Each $1.00 increase (decrease) in the assumed initial public offering price of $14.00 per share, which is the midpoint of the price range set forth on the cover page of this prospectus, would increase (decrease) the pro forma as adjusted net tangible book value, by $0.26 per share and the dilution per share to new investors by $0.74 per share, assuming the number of shares offered by us, as set forth on the cover page of this prospectus, remains the same, after deducting underwriting discounts and commissions and estimated offering expenses payable by 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firstLine="440"/>
        <w:spacing w:after="0" w:line="291" w:lineRule="auto"/>
        <w:rPr>
          <w:sz w:val="20"/>
          <w:szCs w:val="20"/>
          <w:color w:val="auto"/>
        </w:rPr>
      </w:pPr>
      <w:r>
        <w:rPr>
          <w:rFonts w:ascii="Arial" w:cs="Arial" w:eastAsia="Arial" w:hAnsi="Arial"/>
          <w:sz w:val="16"/>
          <w:szCs w:val="16"/>
          <w:color w:val="auto"/>
        </w:rPr>
        <w:t>We may also increase or decrease the number of shares we are offering. An increase of 1,000,000 shares in the number of shares we are offering would increase our pro forma as adjusted net tangible book value by $0.45 per share, and the dilution to new investors would decrease by $0.45 per share, assuming that the assumed initial public offering price remains the same, after deducting underwriting discounts and commissions and estimated offering expenses. A decrease of 1,000,000 shares in the number of shares we are offering would decrease the pro forma as adjusted net book value by $0.49 per share, and the dilution to new investors would increase by $0.49 per share, assuming the assumed initial public offering price remains the same,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65"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The table below summarizes, as of June 30, 2018, on the pro forma basis described above, the number of shares of our common stock, the total consideration, and the average price per share (1) paid to us by our existing stockholders and (2) to be paid by new investors participating in this offering assuming an initial public offering price of $14.00 per share, which is the midpoint of the price range set forth on the cover page of this prospectus, before deducting underwriting discounts and commissions and estimated offering expenses payable by us.</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jc w:val="center"/>
              <w:ind w:left="4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20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2"/>
                <w:szCs w:val="12"/>
                <w:color w:val="auto"/>
              </w:rPr>
            </w:pPr>
          </w:p>
        </w:tc>
        <w:tc>
          <w:tcPr>
            <w:tcW w:w="216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gridSpan w:val="3"/>
          </w:tcPr>
          <w:p>
            <w:pPr>
              <w:jc w:val="center"/>
              <w:ind w:left="4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578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860" w:type="dxa"/>
            <w:vAlign w:val="bottom"/>
            <w:gridSpan w:val="3"/>
          </w:tcPr>
          <w:p>
            <w:pPr>
              <w:jc w:val="center"/>
              <w:ind w:left="44"/>
              <w:spacing w:after="0" w:line="12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2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Percent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15,793,160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$123,319,207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jc w:val="right"/>
              <w:spacing w:after="0"/>
              <w:rPr>
                <w:sz w:val="20"/>
                <w:szCs w:val="20"/>
                <w:color w:val="auto"/>
              </w:rPr>
            </w:pPr>
            <w:r>
              <w:rPr>
                <w:rFonts w:ascii="Arial" w:cs="Arial" w:eastAsia="Arial" w:hAnsi="Arial"/>
                <w:sz w:val="18"/>
                <w:szCs w:val="18"/>
                <w:color w:val="auto"/>
              </w:rPr>
              <w:t>6,000,000</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84,000,000</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21,793,160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207,319,207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In addition, if the underwriters’ option to purchase additional shares is exercised in full, the number of shares held by existing stockholders will be reduced to 69.6% of the total number of shares of common stock to be outstanding upon closing of this offering, and the number of shares of common stock held by new investors participating in this offering will be further increased to 30.4% of the total number of shares of common stock to be outstanding upon closing of the offering.</w:t>
      </w:r>
    </w:p>
    <w:p>
      <w:pPr>
        <w:spacing w:after="0" w:line="186"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Each $1.00 increase (decrease) in the assumed initial public offering price of $14.00 per share would increase (decrease) total consideration paid by new investors by $6.0 million and increase (decrease) the percent of total consideration paid by new investors by 1.7%, assuming the number of shares we are offering, as set forth on the cover page of this prospectus, remains the same and before deducting underwriting discounts and commissions.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common stock to be outstanding after this offering excludes:</w:t>
      </w:r>
    </w:p>
    <w:p>
      <w:pPr>
        <w:spacing w:after="0" w:line="130" w:lineRule="exact"/>
        <w:rPr>
          <w:sz w:val="20"/>
          <w:szCs w:val="20"/>
          <w:color w:val="auto"/>
        </w:rPr>
      </w:pPr>
    </w:p>
    <w:p>
      <w:pPr>
        <w:ind w:left="1080" w:right="140" w:hanging="438"/>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2,900,842 shares of common stock issuable upon the exercise of options outstanding as of June 30, 2018, with a weighted-average exercise price of $4.09 per share;</w:t>
      </w:r>
    </w:p>
    <w:p>
      <w:pPr>
        <w:spacing w:after="0" w:line="75" w:lineRule="exact"/>
        <w:rPr>
          <w:rFonts w:ascii="Arial" w:cs="Arial" w:eastAsia="Arial" w:hAnsi="Arial"/>
          <w:sz w:val="18"/>
          <w:szCs w:val="18"/>
          <w:color w:val="auto"/>
        </w:rPr>
      </w:pPr>
    </w:p>
    <w:p>
      <w:pPr>
        <w:ind w:left="1080" w:right="340" w:hanging="438"/>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the exercise of warrants outstanding as of June 30, 2018, with a weighted-average exercise price of $8.69 per share;</w:t>
      </w:r>
    </w:p>
    <w:p>
      <w:pPr>
        <w:spacing w:after="0" w:line="75" w:lineRule="exact"/>
        <w:rPr>
          <w:rFonts w:ascii="Arial" w:cs="Arial" w:eastAsia="Arial" w:hAnsi="Arial"/>
          <w:sz w:val="18"/>
          <w:szCs w:val="18"/>
          <w:color w:val="auto"/>
        </w:rPr>
      </w:pPr>
    </w:p>
    <w:p>
      <w:pPr>
        <w:ind w:left="1080" w:right="220" w:hanging="438"/>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26,613 additional shares of common stock reserved for future issuance under our 2008 Stock Plan, which shares will cease to be available for issuance at the time our 2018 Equity Incentive Plan becomes effective upon the execution of the underwriting agreement for this offering;</w:t>
      </w:r>
    </w:p>
    <w:p>
      <w:pPr>
        <w:spacing w:after="0" w:line="88" w:lineRule="exact"/>
        <w:rPr>
          <w:rFonts w:ascii="Arial" w:cs="Arial" w:eastAsia="Arial" w:hAnsi="Arial"/>
          <w:sz w:val="18"/>
          <w:szCs w:val="18"/>
          <w:color w:val="auto"/>
        </w:rPr>
      </w:pPr>
    </w:p>
    <w:p>
      <w:pPr>
        <w:ind w:left="1080" w:right="20" w:hanging="438"/>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2,576,538 shares of common stock reserved for future issuance under our 2018 Equity Incentive Plan, as well as any increases in the number of shares of common stock reserved for future issuance under this plan, which will become effective upon the execution of the underwriting agreement for this offering; and</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515,307 shares of common stock reserved for future issuance under our 2018 Employee Stock Purchase Plan, as well as any increases in the number of shares of common stock reserved for future issuance under this plan, which will become effective upon the execution of the underwriting agreement for this offering.</w:t>
      </w:r>
    </w:p>
    <w:p>
      <w:pPr>
        <w:spacing w:after="0" w:line="183" w:lineRule="exact"/>
        <w:rPr>
          <w:sz w:val="20"/>
          <w:szCs w:val="20"/>
          <w:color w:val="auto"/>
        </w:rPr>
      </w:pPr>
    </w:p>
    <w:p>
      <w:pPr>
        <w:ind w:left="220" w:right="80" w:firstLine="440"/>
        <w:spacing w:after="0" w:line="290" w:lineRule="auto"/>
        <w:rPr>
          <w:sz w:val="20"/>
          <w:szCs w:val="20"/>
          <w:color w:val="auto"/>
        </w:rPr>
      </w:pPr>
      <w:r>
        <w:rPr>
          <w:rFonts w:ascii="Arial" w:cs="Arial" w:eastAsia="Arial" w:hAnsi="Arial"/>
          <w:sz w:val="16"/>
          <w:szCs w:val="16"/>
          <w:color w:val="auto"/>
        </w:rPr>
        <w:t>To the extent that any outstanding stock options or warrants are exercised, new options are issued under our stock-based compensation plans, or we issue additional shares of common stock in the future, there will be further dilution to investors participating in this offering. If all outstanding options under our 2008 Stock Plan as of June 30, 2018 and all outstanding warrants as of June 30, 2018 (other than warrants that will be automatically net exercised immediately prior to the closing of this offering) were exercised for cash, then our existing stockholders, including the holders of these options and warrants, would own 75.9% and our new investors would own 24.1% of the total number of shares of our common stock outstanding upon the closing of this offering, respectively. In such event, the total consideration paid by our existing stockholders, including the holders of these options and warrants, would be $137.1 million, or 62.0%, the total consideration paid by our new investors would be $84.0 million, or 38.0%, the weighted-average price per share paid by our existing stockholders would be $7.25 and the price per share paid by our new investors would be $14.00.</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and the consolidated balance sheet data at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40" w:type="dxa"/>
            <w:vAlign w:val="bottom"/>
            <w:gridSpan w:val="8"/>
          </w:tcPr>
          <w:p>
            <w:pPr>
              <w:jc w:val="right"/>
              <w:ind w:right="41"/>
              <w:spacing w:after="0" w:line="142" w:lineRule="exact"/>
              <w:rPr>
                <w:sz w:val="20"/>
                <w:szCs w:val="20"/>
                <w:color w:val="auto"/>
              </w:rPr>
            </w:pPr>
            <w:r>
              <w:rPr>
                <w:rFonts w:ascii="Arial" w:cs="Arial" w:eastAsia="Arial" w:hAnsi="Arial"/>
                <w:sz w:val="14"/>
                <w:szCs w:val="14"/>
                <w:b w:val="1"/>
                <w:bCs w:val="1"/>
                <w:color w:val="auto"/>
                <w:w w:val="94"/>
              </w:rPr>
              <w:t>(in thousands, except share and per share data)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42,101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47,983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1"/>
              <w:spacing w:after="0"/>
              <w:rPr>
                <w:sz w:val="20"/>
                <w:szCs w:val="20"/>
                <w:color w:val="auto"/>
              </w:rPr>
            </w:pPr>
            <w:r>
              <w:rPr>
                <w:rFonts w:ascii="Arial" w:cs="Arial" w:eastAsia="Arial" w:hAnsi="Arial"/>
                <w:sz w:val="18"/>
                <w:szCs w:val="18"/>
                <w:color w:val="auto"/>
              </w:rPr>
              <w:t>22,531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35,215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41,646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6,380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54,501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30,635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(6,204)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(20,589)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(23,039)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(12,451)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560" w:type="dxa"/>
            <w:vAlign w:val="bottom"/>
            <w:gridSpan w:val="2"/>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common shares used to compute basic and diluted net</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loss per common share</w:t>
            </w:r>
            <w:r>
              <w:rPr>
                <w:rFonts w:ascii="Arial" w:cs="Arial" w:eastAsia="Arial" w:hAnsi="Arial"/>
                <w:sz w:val="15"/>
                <w:szCs w:val="15"/>
                <w:color w:val="auto"/>
              </w:rPr>
              <w:t>(1)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3,314,198</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3,467,096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3,426,963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3,603,308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net loss per common share, basic and diluted (unaudited)</w:t>
            </w:r>
            <w:r>
              <w:rPr>
                <w:rFonts w:ascii="Arial" w:cs="Arial" w:eastAsia="Arial" w:hAnsi="Arial"/>
                <w:sz w:val="15"/>
                <w:szCs w:val="15"/>
                <w:color w:val="auto"/>
                <w:w w:val="97"/>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3"/>
              </w:rPr>
              <w:t>Pro forma weighted-average number of common shares used to compute</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basic and diluted net loss per share (unaudited)</w:t>
            </w:r>
            <w:r>
              <w:rPr>
                <w:rFonts w:ascii="Arial" w:cs="Arial" w:eastAsia="Arial" w:hAnsi="Arial"/>
                <w:sz w:val="15"/>
                <w:szCs w:val="15"/>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15,478,016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15,689,200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right="180" w:hanging="430"/>
        <w:spacing w:after="0" w:line="263"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weighted-average number of shares used in the computation of the per share amounts.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  27,900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  22,408</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16,233</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22,938</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26,091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20,040</w:t>
            </w: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39,436</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35,834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29,913</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 liability</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588</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Total long-term borrowings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29,310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38,704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38,834</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35,048</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46,664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47,068</w:t>
            </w: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Redeemable convertible preferred stock</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113,121</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118,548</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118,548</w:t>
            </w: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3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(108,733)</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(129,378)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(135,703)</w:t>
            </w:r>
          </w:p>
        </w:tc>
      </w:tr>
      <w:tr>
        <w:trPr>
          <w:trHeight w:val="364"/>
        </w:trPr>
        <w:tc>
          <w:tcPr>
            <w:tcW w:w="4920" w:type="dxa"/>
            <w:vAlign w:val="bottom"/>
          </w:tcPr>
          <w:p>
            <w:pPr>
              <w:spacing w:after="0"/>
              <w:rPr>
                <w:sz w:val="24"/>
                <w:szCs w:val="24"/>
                <w:color w:val="auto"/>
              </w:rPr>
            </w:pPr>
          </w:p>
        </w:tc>
        <w:tc>
          <w:tcPr>
            <w:tcW w:w="2400" w:type="dxa"/>
            <w:vAlign w:val="bottom"/>
          </w:tcPr>
          <w:p>
            <w:pPr>
              <w:jc w:val="right"/>
              <w:ind w:right="1650"/>
              <w:spacing w:after="0"/>
              <w:rPr>
                <w:sz w:val="20"/>
                <w:szCs w:val="20"/>
                <w:color w:val="auto"/>
              </w:rPr>
            </w:pPr>
            <w:r>
              <w:rPr>
                <w:rFonts w:ascii="Arial" w:cs="Arial" w:eastAsia="Arial" w:hAnsi="Arial"/>
                <w:sz w:val="18"/>
                <w:szCs w:val="18"/>
                <w:color w:val="auto"/>
              </w:rPr>
              <w:t>70</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0" w:lineRule="exact"/>
        <w:rPr>
          <w:sz w:val="20"/>
          <w:szCs w:val="20"/>
          <w:color w:val="auto"/>
        </w:rPr>
      </w:pPr>
    </w:p>
    <w:p>
      <w:pPr>
        <w:ind w:left="220" w:right="180" w:firstLine="440"/>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the section “Risk Factors” included elsewhere in this prospectus.</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91" w:lineRule="exact"/>
        <w:rPr>
          <w:sz w:val="20"/>
          <w:szCs w:val="20"/>
          <w:color w:val="auto"/>
        </w:rPr>
      </w:pPr>
    </w:p>
    <w:p>
      <w:pPr>
        <w:ind w:left="220" w:right="180" w:firstLine="440"/>
        <w:spacing w:after="0" w:line="275"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incurred net losses since our inception in 2008. During 2016 and 2017 and for the six months ended 2018 we had net losses of</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$20.6 million, $23.0 million, and $7.3 million, respectively. As of June 30, 2018, we had an accumulated deficit of $147.1 million. To date, we have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financed our operations primarily through private placements of equity securities, certain debt-related financing arrangements, and sales of our products.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devoted substantially all of our resources to research and development of our products, reimbursement-related initiatives, sales and marketing</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activities, and clinical, quality assurance, and regulatory matters for our products.</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ind w:left="220" w:firstLine="440"/>
        <w:spacing w:after="0" w:line="311" w:lineRule="auto"/>
        <w:rPr>
          <w:sz w:val="20"/>
          <w:szCs w:val="20"/>
          <w:color w:val="auto"/>
        </w:rPr>
      </w:pPr>
      <w:r>
        <w:rPr>
          <w:rFonts w:ascii="Arial" w:cs="Arial" w:eastAsia="Arial" w:hAnsi="Arial"/>
          <w:sz w:val="16"/>
          <w:szCs w:val="16"/>
          <w:color w:val="auto"/>
        </w:rPr>
        <w:t>As of August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48" w:lineRule="exact"/>
        <w:rPr>
          <w:sz w:val="20"/>
          <w:szCs w:val="20"/>
          <w:color w:val="auto"/>
        </w:rPr>
      </w:pPr>
    </w:p>
    <w:p>
      <w:pPr>
        <w:ind w:left="220" w:right="80" w:firstLine="440"/>
        <w:spacing w:after="0" w:line="286" w:lineRule="auto"/>
        <w:rPr>
          <w:sz w:val="20"/>
          <w:szCs w:val="20"/>
          <w:color w:val="auto"/>
        </w:rPr>
      </w:pPr>
      <w:r>
        <w:rPr>
          <w:rFonts w:ascii="Arial" w:cs="Arial" w:eastAsia="Arial" w:hAnsi="Arial"/>
          <w:sz w:val="17"/>
          <w:szCs w:val="17"/>
          <w:color w:val="auto"/>
        </w:rPr>
        <w:t>Prior to our launch of iFuse in 2009, Medicare and most private insurance companies reimbursed surgeons routinely for sacroiliac joint fusions, which were primarily invasive. However, effective July 1, 2013, the AMA’s Editorial Panel effectively restricted reimbursement for minimally invasive sacroiliac joint fusion because they considered the published clinical evidence at the time to be inadequate.</w:t>
      </w:r>
    </w:p>
    <w:p>
      <w:pPr>
        <w:spacing w:after="0" w:line="165"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spacing w:after="0" w:line="301" w:lineRule="auto"/>
        <w:rPr>
          <w:sz w:val="20"/>
          <w:szCs w:val="20"/>
          <w:color w:val="auto"/>
        </w:rPr>
      </w:pPr>
      <w:r>
        <w:rPr>
          <w:rFonts w:ascii="Arial" w:cs="Arial" w:eastAsia="Arial" w:hAnsi="Arial"/>
          <w:sz w:val="16"/>
          <w:szCs w:val="16"/>
          <w:color w:val="auto"/>
        </w:rPr>
        <w:t>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56" w:lineRule="exact"/>
        <w:rPr>
          <w:sz w:val="20"/>
          <w:szCs w:val="20"/>
          <w:color w:val="auto"/>
        </w:rPr>
      </w:pPr>
    </w:p>
    <w:p>
      <w:pPr>
        <w:ind w:left="220" w:right="120" w:firstLine="440"/>
        <w:spacing w:after="0" w:line="270" w:lineRule="auto"/>
        <w:rPr>
          <w:sz w:val="20"/>
          <w:szCs w:val="20"/>
          <w:color w:val="auto"/>
        </w:rPr>
      </w:pPr>
      <w:r>
        <w:rPr>
          <w:rFonts w:ascii="Arial" w:cs="Arial" w:eastAsia="Arial" w:hAnsi="Arial"/>
          <w:sz w:val="17"/>
          <w:szCs w:val="17"/>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2016, U.S. payors covering approximately 133 million lives regularly reimbursed for the iFuse procedure, and as of December 31, 2017, U.S. payors covering approximately 162 million lives regularly reimbursed for the iFuse procedure. However,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our fiscal year 2018.</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jc w:val="both"/>
        <w:ind w:left="220" w:right="600" w:firstLine="440"/>
        <w:spacing w:after="0" w:line="263" w:lineRule="auto"/>
        <w:rPr>
          <w:sz w:val="20"/>
          <w:szCs w:val="20"/>
          <w:color w:val="auto"/>
        </w:rPr>
      </w:pPr>
      <w:r>
        <w:rPr>
          <w:rFonts w:ascii="Arial" w:cs="Arial" w:eastAsia="Arial" w:hAnsi="Arial"/>
          <w:sz w:val="18"/>
          <w:szCs w:val="18"/>
          <w:color w:val="auto"/>
        </w:rPr>
        <w:t>We market and sell iFuse primarily through a direct sales force and a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3"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1" w:lineRule="exact"/>
        <w:rPr>
          <w:sz w:val="20"/>
          <w:szCs w:val="20"/>
          <w:color w:val="auto"/>
        </w:rPr>
      </w:pPr>
    </w:p>
    <w:p>
      <w:pPr>
        <w:ind w:left="220" w:right="300" w:firstLine="440"/>
        <w:spacing w:after="0" w:line="256"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91"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40" w:firstLine="440"/>
        <w:spacing w:after="0" w:line="307" w:lineRule="auto"/>
        <w:rPr>
          <w:sz w:val="20"/>
          <w:szCs w:val="20"/>
          <w:color w:val="auto"/>
        </w:rPr>
      </w:pPr>
      <w:r>
        <w:rPr>
          <w:rFonts w:ascii="Arial" w:cs="Arial" w:eastAsia="Arial" w:hAnsi="Arial"/>
          <w:sz w:val="17"/>
          <w:szCs w:val="17"/>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20" w:right="240" w:firstLine="440"/>
        <w:spacing w:after="0" w:line="275" w:lineRule="auto"/>
        <w:rPr>
          <w:sz w:val="20"/>
          <w:szCs w:val="20"/>
          <w:color w:val="auto"/>
        </w:rPr>
      </w:pPr>
      <w:r>
        <w:rPr>
          <w:rFonts w:ascii="Arial" w:cs="Arial" w:eastAsia="Arial" w:hAnsi="Arial"/>
          <w:sz w:val="17"/>
          <w:szCs w:val="17"/>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changes, physician activities, and seasonality. Our revenue from international sales may also be significantly impacted by fluctuations in foreign currency exchange rates between the U.S. dollar (our reporting currency) and the local currency.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left="220" w:right="40" w:firstLine="440"/>
        <w:spacing w:after="0" w:line="286" w:lineRule="auto"/>
        <w:rPr>
          <w:sz w:val="20"/>
          <w:szCs w:val="20"/>
          <w:color w:val="auto"/>
        </w:rPr>
      </w:pPr>
      <w:r>
        <w:rPr>
          <w:rFonts w:ascii="Arial" w:cs="Arial" w:eastAsia="Arial" w:hAnsi="Arial"/>
          <w:sz w:val="17"/>
          <w:szCs w:val="17"/>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in absolute dollars as case levels increase.</w:t>
      </w:r>
    </w:p>
    <w:p>
      <w:pPr>
        <w:spacing w:after="0" w:line="165"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 In July 2018, the U.S. House of Representatives voted to repeal this tax. The U.S. Senate is expected to vote on the matter in the fourth quarter of 2018. Our gross margins have been and will continue to be affected by a variety of factors, including the cost to have our products manufactured for us, pricing pressure from increasing competition, and the factors described above impacting our revenue. Our gross margins are typically higher on products we sell directly as compared to products we sell through third-party distributors. As a result, changes in the mix of direct versus distributor sales can directly influence gross margin.</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20" w:right="100" w:firstLine="440"/>
        <w:spacing w:after="0" w:line="275"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September 2017, we implemented cost-saving measures, which reduced our operational expenses though headcount reductions, reduced project spending, and more targeted marketing and surgeon training activities.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220" w:right="100" w:firstLine="440"/>
        <w:spacing w:after="0" w:line="255"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120"/>
        <w:spacing w:after="0" w:line="263" w:lineRule="auto"/>
        <w:rPr>
          <w:sz w:val="20"/>
          <w:szCs w:val="20"/>
          <w:color w:val="auto"/>
        </w:rPr>
      </w:pPr>
      <w:r>
        <w:rPr>
          <w:rFonts w:ascii="Arial" w:cs="Arial" w:eastAsia="Arial" w:hAnsi="Arial"/>
          <w:sz w:val="18"/>
          <w:szCs w:val="18"/>
          <w:color w:val="auto"/>
        </w:rPr>
        <w:t>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in absolute dollars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 While we expect the general and administrative expenses to increase in absolute dollars, we anticipate that it will decrease as a percentage of revenue over time.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20" w:right="120" w:firstLine="440"/>
        <w:spacing w:after="0" w:line="307"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initial public offering, we expect that our preferred stock warrant liability will be settled.</w:t>
      </w:r>
    </w:p>
    <w:p>
      <w:pPr>
        <w:spacing w:after="0" w:line="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240" w:top="459" w:right="5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 presented:</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Pr>
          <w:p>
            <w:pPr>
              <w:spacing w:after="0"/>
              <w:rPr>
                <w:sz w:val="14"/>
                <w:szCs w:val="1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5"/>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42,101</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$ 47,983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22,531</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$ 26,375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5,165</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35,215</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41,646</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21,130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6,380</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5,513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12,906</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13,062</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6,737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54,501</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60,221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30,635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(17,350)</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(6,204)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(20,589)</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revenue:</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25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3"/>
          </w:tcPr>
          <w:p>
            <w:pPr>
              <w:jc w:val="right"/>
              <w:ind w:right="94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96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12</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w:t>
            </w:r>
          </w:p>
        </w:tc>
        <w:tc>
          <w:tcPr>
            <w:tcW w:w="16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580" w:type="dxa"/>
            <w:vAlign w:val="bottom"/>
            <w:gridSpan w:val="3"/>
          </w:tcPr>
          <w:p>
            <w:pPr>
              <w:jc w:val="right"/>
              <w:ind w:right="1080"/>
              <w:spacing w:after="0"/>
              <w:rPr>
                <w:sz w:val="20"/>
                <w:szCs w:val="20"/>
                <w:color w:val="auto"/>
              </w:rPr>
            </w:pPr>
            <w:r>
              <w:rPr>
                <w:rFonts w:ascii="Arial" w:cs="Arial" w:eastAsia="Arial" w:hAnsi="Arial"/>
                <w:sz w:val="18"/>
                <w:szCs w:val="18"/>
                <w:color w:val="auto"/>
              </w:rPr>
              <w:t>84</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15</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5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130</w:t>
            </w: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125</w:t>
            </w:r>
          </w:p>
        </w:tc>
        <w:tc>
          <w:tcPr>
            <w:tcW w:w="16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136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6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1</w:t>
            </w:r>
          </w:p>
        </w:tc>
        <w:tc>
          <w:tcPr>
            <w:tcW w:w="1680" w:type="dxa"/>
            <w:vAlign w:val="bottom"/>
            <w:gridSpan w:val="2"/>
          </w:tcPr>
          <w:p>
            <w:pPr>
              <w:jc w:val="right"/>
              <w:ind w:right="1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(49)%</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00" w:type="dxa"/>
            <w:vAlign w:val="bottom"/>
            <w:gridSpan w:val="2"/>
          </w:tcPr>
          <w:p>
            <w:pPr>
              <w:jc w:val="right"/>
              <w:ind w:right="275"/>
              <w:spacing w:after="0"/>
              <w:rPr>
                <w:sz w:val="20"/>
                <w:szCs w:val="20"/>
                <w:color w:val="auto"/>
              </w:rPr>
            </w:pPr>
            <w:r>
              <w:rPr>
                <w:rFonts w:ascii="Arial" w:cs="Arial" w:eastAsia="Arial" w:hAnsi="Arial"/>
                <w:sz w:val="18"/>
                <w:szCs w:val="18"/>
                <w:color w:val="auto"/>
              </w:rPr>
              <w:t>75</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United States and international revenue:</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Pr>
          <w:p>
            <w:pPr>
              <w:spacing w:after="0"/>
              <w:rPr>
                <w:sz w:val="14"/>
                <w:szCs w:val="14"/>
                <w:color w:val="auto"/>
              </w:rPr>
            </w:pPr>
          </w:p>
        </w:tc>
        <w:tc>
          <w:tcPr>
            <w:tcW w:w="19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6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38,791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43,351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20,385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2,919</w:t>
            </w:r>
          </w:p>
        </w:tc>
      </w:tr>
      <w:tr>
        <w:trPr>
          <w:trHeight w:val="27"/>
        </w:trPr>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42,101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47,983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22,531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26,375</w:t>
            </w: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United States and international revenue as a percentage of our total revenue:</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140" w:type="dxa"/>
            <w:vAlign w:val="bottom"/>
            <w:gridSpan w:val="7"/>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International</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2017 and 2018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Arial" w:cs="Arial" w:eastAsia="Arial" w:hAnsi="Arial"/>
                <w:sz w:val="18"/>
                <w:szCs w:val="18"/>
                <w:b w:val="1"/>
                <w:bCs w:val="1"/>
                <w:i w:val="1"/>
                <w:iCs w:val="1"/>
                <w:color w:val="auto"/>
                <w:w w:val="96"/>
              </w:rPr>
              <w:t>Revenue, Cost of Goods Sold, Gross Profit, and Gross Margin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9"/>
          </w:tcPr>
          <w:p>
            <w:pPr>
              <w:jc w:val="right"/>
              <w:ind w:right="220"/>
              <w:spacing w:after="0" w:line="142" w:lineRule="exact"/>
              <w:rPr>
                <w:sz w:val="20"/>
                <w:szCs w:val="20"/>
                <w:color w:val="auto"/>
              </w:rPr>
            </w:pPr>
            <w:r>
              <w:rPr>
                <w:rFonts w:ascii="Arial" w:cs="Arial" w:eastAsia="Arial" w:hAnsi="Arial"/>
                <w:sz w:val="14"/>
                <w:szCs w:val="14"/>
                <w:b w:val="1"/>
                <w:bCs w:val="1"/>
                <w:color w:val="auto"/>
                <w:w w:val="97"/>
              </w:rPr>
              <w:t>(in thousands, except for percentages)</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22,531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26,375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3,844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(336)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4,180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260" w:firstLine="44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$3.8 million, or 17%, for the six months ended June 30, 2018 as compared to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the increase is due to $3.0 million of growth from domestic sales as a result of higher sales force productivity and improved U.S. reimbursement coverage. In addition, international revenue increased $0.8 million as a result of an expanded international direct sales force and improving reimbursement coverage in Europe.</w:t>
      </w:r>
    </w:p>
    <w:p>
      <w:pPr>
        <w:spacing w:after="0" w:line="186" w:lineRule="exact"/>
        <w:rPr>
          <w:sz w:val="20"/>
          <w:szCs w:val="20"/>
          <w:color w:val="auto"/>
        </w:rPr>
      </w:pPr>
    </w:p>
    <w:p>
      <w:pPr>
        <w:jc w:val="both"/>
        <w:ind w:left="220" w:right="200" w:firstLine="440"/>
        <w:spacing w:after="0" w:line="279"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decreased $0.3 million, or 13%,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the six months ended June 30, 2017. The decrease in cost of goods sold is primarily due to $0.5 million of cost control measures related to reduced headcount in operations that more than offset the increase in direct product costs from higher case volumes. Gross profit increased $4.2 million, or 21%, to $24.1 million due to higher revenue and lower cost of goods sold.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Six Months Ended June 30,</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8"/>
          </w:tcPr>
          <w:p>
            <w:pPr>
              <w:jc w:val="right"/>
              <w:ind w:right="101"/>
              <w:spacing w:after="0" w:line="142" w:lineRule="exact"/>
              <w:rPr>
                <w:sz w:val="20"/>
                <w:szCs w:val="20"/>
                <w:color w:val="auto"/>
              </w:rPr>
            </w:pPr>
            <w:r>
              <w:rPr>
                <w:rFonts w:ascii="Arial" w:cs="Arial" w:eastAsia="Arial" w:hAnsi="Arial"/>
                <w:sz w:val="14"/>
                <w:szCs w:val="14"/>
                <w:b w:val="1"/>
                <w:bCs w:val="1"/>
                <w:color w:val="auto"/>
                <w:w w:val="99"/>
              </w:rPr>
              <w:t>(in thousands, except for percentages)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21,130</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155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(266)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1"/>
              </w:rPr>
              <w:t>(1,765)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(1,876</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$0.2 million, or 1%, for the six months ended June 30,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2017. The increase was primarily due to $0.9 million in increased salaries, commissions, and related expenses due to an increase in the number of sales representatives hired late in the first quarter of 2017 to support the growth of our business. This increase was largely offset by a $0.5 million decrease in the level of spending on general marketing costs related to a shift in marketing effort from print media to less expensive digital media, as well as other cost control measures that were put in place at the end of the third quarter of 2017. The increased compensation costs were also offset by a $0.3 million decrease in surgeon training costs, including training facilities and consulting surgeon costs due to continued focus on maximizing class sizes to more fully leverage training events.</w:t>
      </w:r>
    </w:p>
    <w:p>
      <w:pPr>
        <w:spacing w:after="0" w:line="176"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$0.3 million, or 10%,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six months ended June 30, 2017. The decrease was primarily due to a $0.3 million reduction in compensation expense related to cost control measures put in place at the end of the third quarter 2017.</w:t>
      </w:r>
    </w:p>
    <w:p>
      <w:pPr>
        <w:spacing w:after="0" w:line="183" w:lineRule="exact"/>
        <w:rPr>
          <w:sz w:val="20"/>
          <w:szCs w:val="20"/>
          <w:color w:val="auto"/>
        </w:rPr>
      </w:pPr>
    </w:p>
    <w:p>
      <w:pPr>
        <w:jc w:val="both"/>
        <w:ind w:left="220" w:right="220" w:firstLine="440"/>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decreased $1.8 million, or 26%,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compared to the six months ended June 30, 2017. The decrease was primarily due to a decrease of $0.5 million in compensation expense due to the write-off of principal and interest due on a promissory note from our Chief Executive Officer in the first half of 2017, with no similar write-offs in the six months ended June 30, 2018. In addition, there were decreases of $0.4 million in legal costs for patent and general corporate matters,</w:t>
      </w:r>
    </w:p>
    <w:p>
      <w:pPr>
        <w:spacing w:after="0" w:line="1" w:lineRule="exact"/>
        <w:rPr>
          <w:sz w:val="20"/>
          <w:szCs w:val="20"/>
          <w:color w:val="auto"/>
        </w:rPr>
      </w:pPr>
    </w:p>
    <w:p>
      <w:pPr>
        <w:ind w:left="220" w:right="260"/>
        <w:spacing w:after="0" w:line="260" w:lineRule="auto"/>
        <w:rPr>
          <w:sz w:val="20"/>
          <w:szCs w:val="20"/>
          <w:color w:val="auto"/>
        </w:rPr>
      </w:pPr>
      <w:r>
        <w:rPr>
          <w:rFonts w:ascii="Arial" w:cs="Arial" w:eastAsia="Arial" w:hAnsi="Arial"/>
          <w:sz w:val="18"/>
          <w:szCs w:val="18"/>
          <w:color w:val="auto"/>
        </w:rPr>
        <w:t>$0.3 million in audit and accounting fees, $0.2 million in compensation expense as a result of a decrease in headcount, $0.1 million in travel expense, and $0.2 million of recoveries of accounts receivable previously written off during the six months ended June 30, 2017.</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6350</wp:posOffset>
            </wp:positionV>
            <wp:extent cx="14046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-3175</wp:posOffset>
            </wp:positionV>
            <wp:extent cx="30835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83560" cy="8255"/>
                    </a:xfrm>
                    <a:prstGeom prst="rect">
                      <a:avLst/>
                    </a:prstGeom>
                    <a:noFill/>
                  </pic:spPr>
                </pic:pic>
              </a:graphicData>
            </a:graphic>
          </wp:anchor>
        </w:drawing>
      </w:r>
    </w:p>
    <w:p>
      <w:pPr>
        <w:ind w:left="7440"/>
        <w:spacing w:after="0" w:line="232"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78%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(1,920)</w:t>
            </w:r>
          </w:p>
        </w:tc>
        <w:tc>
          <w:tcPr>
            <w:tcW w:w="52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(2,544)</w:t>
            </w:r>
          </w:p>
        </w:tc>
        <w:tc>
          <w:tcPr>
            <w:tcW w:w="48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(624)</w:t>
            </w:r>
          </w:p>
        </w:tc>
        <w:tc>
          <w:tcPr>
            <w:tcW w:w="1000" w:type="dxa"/>
            <w:vAlign w:val="bottom"/>
          </w:tcPr>
          <w:p>
            <w:pPr>
              <w:ind w:left="620"/>
              <w:spacing w:after="0"/>
              <w:rPr>
                <w:sz w:val="20"/>
                <w:szCs w:val="20"/>
                <w:color w:val="auto"/>
              </w:rPr>
            </w:pPr>
            <w:r>
              <w:rPr>
                <w:rFonts w:ascii="Arial" w:cs="Arial" w:eastAsia="Arial" w:hAnsi="Arial"/>
                <w:sz w:val="18"/>
                <w:szCs w:val="18"/>
                <w:color w:val="auto"/>
              </w:rPr>
              <w:t>33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(386)</w:t>
            </w:r>
          </w:p>
        </w:tc>
        <w:tc>
          <w:tcPr>
            <w:tcW w:w="1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NM</w:t>
            </w:r>
          </w:p>
        </w:tc>
      </w:tr>
    </w:tbl>
    <w:p>
      <w:pPr>
        <w:spacing w:after="0" w:line="201" w:lineRule="exact"/>
        <w:rPr>
          <w:sz w:val="20"/>
          <w:szCs w:val="20"/>
          <w:color w:val="auto"/>
        </w:rPr>
      </w:pPr>
    </w:p>
    <w:p>
      <w:pPr>
        <w:jc w:val="both"/>
        <w:ind w:left="220" w:right="200" w:firstLine="44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$0.1 million, or 78%, for the six months ended June 30, 2018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due to investment of excess cash in money market funds.</w:t>
      </w:r>
    </w:p>
    <w:p>
      <w:pPr>
        <w:spacing w:after="0" w:line="170" w:lineRule="exact"/>
        <w:rPr>
          <w:sz w:val="20"/>
          <w:szCs w:val="20"/>
          <w:color w:val="auto"/>
        </w:rPr>
      </w:pPr>
    </w:p>
    <w:p>
      <w:pPr>
        <w:jc w:val="both"/>
        <w:ind w:left="220" w:right="340" w:firstLine="440"/>
        <w:spacing w:after="0" w:line="34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$0.6 million, or 33%, for the six months ended June 30, 2018,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2017, primarily due to a $10.0 million increase in the level of borrowings associated with closing a new debt arrangement in October 2017.</w:t>
      </w:r>
    </w:p>
    <w:p>
      <w:pPr>
        <w:spacing w:after="0" w:line="125" w:lineRule="exact"/>
        <w:rPr>
          <w:sz w:val="20"/>
          <w:szCs w:val="20"/>
          <w:color w:val="auto"/>
        </w:rPr>
      </w:pPr>
    </w:p>
    <w:p>
      <w:pPr>
        <w:ind w:left="220" w:right="240" w:firstLine="440"/>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decreased $0.4 million for the six months ended June 30, 2018,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2017 primarily due to losses related to the change in the fair value of our preferred stock warrants outstanding, which are accounted for as a liability and revalued at each reporting period, and foreign currency exchange losses.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Comparison of the Years Ended December 31, 2016 and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4"/>
              </w:rPr>
              <w:t>Years Ended 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7"/>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(in thousands except for percentages)</w:t>
            </w: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42,101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47,983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5,165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36,936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42,871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5,935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$5.9 million, or 14%, from 2016 to 2017. The increase of $5.9 million was primarily due to an increase of</w:t>
      </w:r>
    </w:p>
    <w:p>
      <w:pPr>
        <w:spacing w:after="0" w:line="35" w:lineRule="exact"/>
        <w:rPr>
          <w:sz w:val="20"/>
          <w:szCs w:val="20"/>
          <w:color w:val="auto"/>
        </w:rPr>
      </w:pPr>
    </w:p>
    <w:p>
      <w:pPr>
        <w:ind w:left="220" w:right="20"/>
        <w:spacing w:after="0" w:line="255" w:lineRule="auto"/>
        <w:rPr>
          <w:sz w:val="20"/>
          <w:szCs w:val="20"/>
          <w:color w:val="auto"/>
        </w:rPr>
      </w:pPr>
      <w:r>
        <w:rPr>
          <w:rFonts w:ascii="Arial" w:cs="Arial" w:eastAsia="Arial" w:hAnsi="Arial"/>
          <w:sz w:val="18"/>
          <w:szCs w:val="18"/>
          <w:color w:val="auto"/>
        </w:rPr>
        <w:t>$4.6 million from growth of domestic revenue from additional hiring of sales personnel and improved U.S. reimbursement coverage. In addition, we had $1.3 million from growth of international revenue from our branch in the United Kingdom, increased sales force productivity in Germany, and new business in Australia and Taiwan.</w:t>
      </w:r>
    </w:p>
    <w:p>
      <w:pPr>
        <w:spacing w:after="0" w:line="189" w:lineRule="exact"/>
        <w:rPr>
          <w:sz w:val="20"/>
          <w:szCs w:val="20"/>
          <w:color w:val="auto"/>
        </w:rPr>
      </w:pPr>
    </w:p>
    <w:p>
      <w:pPr>
        <w:ind w:left="220" w:right="80" w:firstLine="440"/>
        <w:spacing w:after="0" w:line="311"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decreased $0.1 million, or 1%, from 2016 to 2017. This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reduction in inventory write-offs from improved inventory level management, offset by the increase in direct product costs from higher case volumes. Gross profit increased $5.9 million, or 16%, to $42.9 million from 2016 to 2017 due to higher revenue and relatively flat cost of goods sold.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8"/>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41,646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6,431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6,380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(867)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$6.4 million, or 18%, from 2016 to 2017 from increased efforts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revenues. The increase was primarily due to $4.7 million in increased salaries, guaranteed minimum commissions, and related expenses from higher headcount, $0.9 million in increased commissions due to higher revenues, $0.7 million in increased general marketing expenses, and $0.2 million in surgeon training programs.</w:t>
      </w:r>
    </w:p>
    <w:p>
      <w:pPr>
        <w:spacing w:after="0" w:line="186" w:lineRule="exact"/>
        <w:rPr>
          <w:sz w:val="20"/>
          <w:szCs w:val="20"/>
          <w:color w:val="auto"/>
        </w:rPr>
      </w:pPr>
    </w:p>
    <w:p>
      <w:pPr>
        <w:jc w:val="both"/>
        <w:ind w:left="220" w:right="80" w:firstLine="440"/>
        <w:spacing w:after="0" w:line="31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$0.9 million, or 14%, from 2016 to 2017.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due to a $0.4 million reduction in salaries and related expenditures, from lower headcount, a $0.3 million reduction in clinical trial expense as the INSITE and SIFI studies mature, and a decrease of $0.2 million in reduced consulting expense from lower engineering project spending.</w:t>
      </w:r>
    </w:p>
    <w:p>
      <w:pPr>
        <w:spacing w:after="0" w:line="148" w:lineRule="exact"/>
        <w:rPr>
          <w:sz w:val="20"/>
          <w:szCs w:val="20"/>
          <w:color w:val="auto"/>
        </w:rPr>
      </w:pPr>
    </w:p>
    <w:p>
      <w:pPr>
        <w:ind w:left="220" w:right="80" w:firstLine="440"/>
        <w:spacing w:after="0" w:line="31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$0.2 million, or 1%, from 2016 to 2017.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$0.9 million in salaries and employee related costs, including the forgiveness of a loan to the Chief Executive Officer for $0.5 million. This increase was offset by a decrease of $0.3 million in external professional fees related to reimbursement related activities</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spacing w:after="0" w:line="263" w:lineRule="auto"/>
        <w:rPr>
          <w:sz w:val="20"/>
          <w:szCs w:val="20"/>
          <w:color w:val="auto"/>
        </w:rPr>
      </w:pPr>
      <w:r>
        <w:rPr>
          <w:rFonts w:ascii="Arial" w:cs="Arial" w:eastAsia="Arial" w:hAnsi="Arial"/>
          <w:sz w:val="18"/>
          <w:szCs w:val="18"/>
          <w:color w:val="auto"/>
        </w:rPr>
        <w:t>and a decrease of $0.3 million in accounting fees. Included in general administrative expenses is $1.5 million and $1.3 million in public offering costs previously recorded on the consolidated balance sheet, which were written off in 2016 and 2017, respectively, as a result of delays in the public offering process.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3"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6350</wp:posOffset>
            </wp:positionV>
            <wp:extent cx="1396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-3175</wp:posOffset>
            </wp:positionV>
            <wp:extent cx="30753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ind w:left="7460"/>
        <w:spacing w:after="0" w:line="232"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   104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(3,308)</w:t>
            </w:r>
          </w:p>
        </w:tc>
        <w:tc>
          <w:tcPr>
            <w:tcW w:w="54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(6,204)</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(2,896)</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340</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increased $0.1 million, or 146%, from 2016 to 2017 due to investment of excess cash in money market funds.</w:t>
      </w:r>
    </w:p>
    <w:p>
      <w:pPr>
        <w:spacing w:after="0" w:line="248"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$2.9 million, or 88%, from 2016 to 2017 primarily due to the extinguishment of a credit facility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SVB, and Oxford Finance LLC, or Oxford, in October 2017. The extinguishment resulted in $1.5 million in early termination fees and we expensed an additional $0.7 million of unamortized debt discounts. In conjunction with the extinguishment, we entered into a new term loan with Pharmakon, or the New Term Loan, with an increased principal balance from $30.6 million to $40.0 million resulting in an increase in interest of approximately $0.2 million. In December 2016, we also had drawn an additional $4.0 million in debt, resulting in $0.4 million of higher interest expense in 2017.</w:t>
      </w:r>
    </w:p>
    <w:p>
      <w:pPr>
        <w:spacing w:after="0" w:line="191" w:lineRule="exact"/>
        <w:rPr>
          <w:sz w:val="20"/>
          <w:szCs w:val="20"/>
          <w:color w:val="auto"/>
        </w:rPr>
      </w:pPr>
    </w:p>
    <w:p>
      <w:pPr>
        <w:ind w:left="220" w:right="200" w:firstLine="440"/>
        <w:spacing w:after="0" w:line="341"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increased $0.1 million or 60%, from 2016 to 2017, as a result in losses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fair value of outstanding preferred stock warrants, which are accounted for as a liability and revalued at each reporting period.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As of June 30, 2018, we had cash and cash equivalents of $16.2 million. Since inception, we have financed our operations through private placements of preferred stock, debt financing arrangements, and the sale of our products. As of June 30, 2018, we had $38.8 million principal amount of outstanding debt, net of debt discounts.</w:t>
      </w:r>
    </w:p>
    <w:p>
      <w:pPr>
        <w:spacing w:after="0" w:line="183"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As of June 30, 2018, we had an accumulated deficit of $147.1 million. During 2017 and the six months ended June 30, 2018 we incurred net losses of $23.0 million and $7.3 million, respectively, and expect to incur additional losses in the future. We have not achieved positive cash flow from operations to date. We evaluated our current cash position, historical results, forecasted cashflows, and plans in regards to liquidity. We further considered the debt covenants associated with our current debt agreement. These covenants require us to maintain a minimum cash balance of $5.0 million and revenue targets. Beginning with the three months ended March 31, 2019, we are required to meet either revenue or earnings targets. If we do not comply with these covenants, the debt will immediately become due. Considering all of these factors, we believe, absent this offering, that there is substantial doubt about our ability to continue as a going concern for the next 12 months.</w:t>
      </w:r>
    </w:p>
    <w:p>
      <w:pPr>
        <w:spacing w:after="0" w:line="176"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and cash equivalents, will enable us to fund our operating expenses and capital expenditure requirements through at least the next 12 months from the date of this offering.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firstLine="440"/>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October 2015, we entered into a term loan facility and a revolving line of credit with SVB and Oxford, or Term Loan, for $35.2 million. The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first tranche of the Term Loan closed in October 2015 for $16.2 million, the proceeds of which were used to pay off previous loans with SVB of</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$15.5 million and final fees of $0.7 million related to the previous loans. Prepayment fees on the then existing debt facilities were waived. We drew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second tranche of $10.0 million in November 2015 and the third tranche of $4.0 million in December 2016. The maturity date of the Term Loan was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December 1, 2019, and it carried an interest rate equal to the greater of 11% or the WSJ Prime rate plus 7.75%.</w:t>
      </w:r>
    </w:p>
    <w:p>
      <w:pPr>
        <w:spacing w:after="0" w:line="210" w:lineRule="exact"/>
        <w:rPr>
          <w:sz w:val="20"/>
          <w:szCs w:val="20"/>
          <w:color w:val="auto"/>
        </w:rPr>
      </w:pPr>
    </w:p>
    <w:p>
      <w:pPr>
        <w:ind w:left="220" w:right="100" w:firstLine="440"/>
        <w:spacing w:after="0" w:line="296" w:lineRule="auto"/>
        <w:rPr>
          <w:sz w:val="20"/>
          <w:szCs w:val="20"/>
          <w:color w:val="auto"/>
        </w:rPr>
      </w:pPr>
      <w:r>
        <w:rPr>
          <w:rFonts w:ascii="Arial" w:cs="Arial" w:eastAsia="Arial" w:hAnsi="Arial"/>
          <w:sz w:val="16"/>
          <w:szCs w:val="16"/>
          <w:color w:val="auto"/>
        </w:rPr>
        <w:t>In connection with this agreement, we also issued to SVB and Oxford warrants to purchase, in the aggregate, 63,622 shares of our Series 6 preferred stock, with an exercise price of $16.47 per share. Subsequently, in August 2016, we amended the agreement to extend the draw period of the fourth tranche for an additional three months. In conjunction with the additional draw of the Term Loan, we issued an additional 9,712 warrants for the purchase of Series 7 preferred stock at an exercise price of $10.03 per share in December 2016. In February 2017, we amended the agreement to extend the interest only period by six months to October 2017 and extended the draw period of the fourth tranche through January 2018.</w:t>
      </w:r>
    </w:p>
    <w:p>
      <w:pPr>
        <w:spacing w:after="0" w:line="160"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In October 2017, we extinguished the Term Loan and revolving line of credit facility with SVB and Oxford and concurrently, entered into the New Term Loan with Pharmakon for $40.0 million. The New Term Loan includes an interest-only period for 35 months through September 2020 and is then repaid for 25 months of equal principal payments plus interest through December 2022. The New Term Loan carries a fixed interest rate of 11.5% and a closing fee of 1.5% of the funded amount, or $0.6 million. The New Term Loan includes a pre-payment fee of the remaining interest payable for the first 30 months of the agreement if it is prepaid within the first 30 months, a 2% prepayment penalty for months 31-48, and a 1% penalty for months 49-60. The New Term Loan requires us to maintain a minimum cash balance of $5.0 million and revenue targets. Beginning with the three months ended March 31, 2019, we are required to meet either revenue or earnings targets. Under the New Term Loan, we also have a second tranche of $10.0 million available through January 2019, contingent upon the achievement of certain revenue milestones. The New Term Loan is collateralized by all of our assets, including intellectual property.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and June 30, 2018, we were in compliance with all of our debt obligations and covenants.</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4-5 years</w:t>
            </w: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r>
              <w:rPr>
                <w:rFonts w:ascii="Arial" w:cs="Arial" w:eastAsia="Arial" w:hAnsi="Arial"/>
                <w:sz w:val="15"/>
                <w:szCs w:val="15"/>
                <w:color w:val="auto"/>
              </w:rPr>
              <w:t>(1)</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4,444</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obligations on the debt arrangements</w:t>
            </w:r>
            <w:r>
              <w:rPr>
                <w:rFonts w:ascii="Arial" w:cs="Arial" w:eastAsia="Arial" w:hAnsi="Arial"/>
                <w:sz w:val="15"/>
                <w:szCs w:val="15"/>
                <w:color w:val="auto"/>
              </w:rPr>
              <w:t>(1)</w:t>
            </w:r>
          </w:p>
        </w:tc>
        <w:tc>
          <w:tcPr>
            <w:tcW w:w="2100" w:type="dxa"/>
            <w:vAlign w:val="bottom"/>
            <w:gridSpan w:val="3"/>
          </w:tcPr>
          <w:p>
            <w:pPr>
              <w:jc w:val="right"/>
              <w:ind w:right="240"/>
              <w:spacing w:after="0"/>
              <w:rPr>
                <w:sz w:val="20"/>
                <w:szCs w:val="20"/>
                <w:color w:val="auto"/>
              </w:rPr>
            </w:pPr>
            <w:r>
              <w:rPr>
                <w:rFonts w:ascii="Arial" w:cs="Arial" w:eastAsia="Arial" w:hAnsi="Arial"/>
                <w:sz w:val="18"/>
                <w:szCs w:val="18"/>
                <w:color w:val="auto"/>
              </w:rPr>
              <w:t>18,658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4,664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9,341</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Purchase obligations</w:t>
            </w:r>
          </w:p>
        </w:tc>
        <w:tc>
          <w:tcPr>
            <w:tcW w:w="1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59,771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13,954</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hanging="430"/>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further discussion, see Note 6 to our consolidated financial statements.</w:t>
      </w:r>
    </w:p>
    <w:p>
      <w:pPr>
        <w:spacing w:after="0" w:line="23" w:lineRule="exact"/>
        <w:rPr>
          <w:rFonts w:ascii="Arial" w:cs="Arial" w:eastAsia="Arial" w:hAnsi="Arial"/>
          <w:sz w:val="18"/>
          <w:szCs w:val="18"/>
          <w:color w:val="auto"/>
        </w:rPr>
      </w:pPr>
    </w:p>
    <w:p>
      <w:pPr>
        <w:ind w:left="640" w:hanging="430"/>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lease obligations consist primarily of lease payments for our San Jose, California facility and Europe facilities.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In February 2018, we entered into a new seven-year lease for our Santa Clara, California facility. The total commitment is $5.1 million.</w:t>
      </w:r>
    </w:p>
    <w:p>
      <w:pPr>
        <w:spacing w:after="0" w:line="34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jc w:val="right"/>
              <w:ind w:right="66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jc w:val="right"/>
              <w:ind w:right="961"/>
              <w:spacing w:after="0"/>
              <w:rPr>
                <w:sz w:val="20"/>
                <w:szCs w:val="20"/>
                <w:color w:val="auto"/>
              </w:rPr>
            </w:pPr>
            <w:r>
              <w:rPr>
                <w:rFonts w:ascii="Arial" w:cs="Arial" w:eastAsia="Arial" w:hAnsi="Arial"/>
                <w:sz w:val="14"/>
                <w:szCs w:val="14"/>
                <w:b w:val="1"/>
                <w:bCs w:val="1"/>
                <w:color w:val="auto"/>
              </w:rPr>
              <w:t>June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361"/>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for percentages)</w:t>
            </w: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$(9,520)</w:t>
            </w:r>
          </w:p>
        </w:tc>
        <w:tc>
          <w:tcPr>
            <w:tcW w:w="1420" w:type="dxa"/>
            <w:vAlign w:val="bottom"/>
            <w:gridSpan w:val="3"/>
          </w:tcPr>
          <w:p>
            <w:pPr>
              <w:jc w:val="right"/>
              <w:ind w:right="361"/>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3,847</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1420" w:type="dxa"/>
            <w:vAlign w:val="bottom"/>
            <w:gridSpan w:val="3"/>
            <w:shd w:val="clear" w:color="auto" w:fill="CCEEFF"/>
          </w:tcPr>
          <w:p>
            <w:pPr>
              <w:jc w:val="right"/>
              <w:ind w:right="361"/>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8"/>
                <w:szCs w:val="18"/>
                <w:color w:val="auto"/>
              </w:rPr>
            </w:pPr>
          </w:p>
        </w:tc>
        <w:tc>
          <w:tcPr>
            <w:tcW w:w="1420" w:type="dxa"/>
            <w:vAlign w:val="bottom"/>
            <w:gridSpan w:val="3"/>
          </w:tcPr>
          <w:p>
            <w:pPr>
              <w:jc w:val="right"/>
              <w:ind w:right="42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920" w:type="dxa"/>
            <w:vAlign w:val="bottom"/>
            <w:gridSpan w:val="2"/>
          </w:tcPr>
          <w:p>
            <w:pPr>
              <w:jc w:val="right"/>
              <w:ind w:right="301"/>
              <w:spacing w:after="0"/>
              <w:rPr>
                <w:sz w:val="20"/>
                <w:szCs w:val="20"/>
                <w:color w:val="auto"/>
              </w:rPr>
            </w:pPr>
            <w:r>
              <w:rPr>
                <w:rFonts w:ascii="Arial" w:cs="Arial" w:eastAsia="Arial" w:hAnsi="Arial"/>
                <w:sz w:val="18"/>
                <w:szCs w:val="18"/>
                <w:color w:val="auto"/>
                <w:w w:val="91"/>
              </w:rPr>
              <w:t>(5,010)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(4,549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(6,175</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(1,626</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right"/>
              <w:ind w:right="941"/>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right"/>
              <w:ind w:right="92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5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7"/>
          </w:tcPr>
          <w:p>
            <w:pPr>
              <w:jc w:val="right"/>
              <w:ind w:right="181"/>
              <w:spacing w:after="0" w:line="142" w:lineRule="exact"/>
              <w:rPr>
                <w:sz w:val="20"/>
                <w:szCs w:val="20"/>
                <w:color w:val="auto"/>
              </w:rPr>
            </w:pPr>
            <w:r>
              <w:rPr>
                <w:rFonts w:ascii="Arial" w:cs="Arial" w:eastAsia="Arial" w:hAnsi="Arial"/>
                <w:sz w:val="14"/>
                <w:szCs w:val="14"/>
                <w:b w:val="1"/>
                <w:bCs w:val="1"/>
                <w:color w:val="auto"/>
                <w:w w:val="92"/>
              </w:rPr>
              <w:t>(in thousands, except for percentages)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(16,753)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1"/>
              <w:spacing w:after="0"/>
              <w:rPr>
                <w:sz w:val="20"/>
                <w:szCs w:val="20"/>
                <w:color w:val="auto"/>
              </w:rPr>
            </w:pPr>
            <w:r>
              <w:rPr>
                <w:rFonts w:ascii="Arial" w:cs="Arial" w:eastAsia="Arial" w:hAnsi="Arial"/>
                <w:sz w:val="18"/>
                <w:szCs w:val="18"/>
                <w:color w:val="auto"/>
                <w:w w:val="89"/>
              </w:rPr>
              <w:t>(17,530)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rPr>
              <w:t>(777)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24,755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12,862</w:t>
            </w:r>
          </w:p>
        </w:tc>
        <w:tc>
          <w:tcPr>
            <w:tcW w:w="120" w:type="dxa"/>
            <w:vAlign w:val="bottom"/>
          </w:tcPr>
          <w:p>
            <w:pPr>
              <w:spacing w:after="0"/>
              <w:rPr>
                <w:sz w:val="18"/>
                <w:szCs w:val="18"/>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w w:val="86"/>
              </w:rPr>
              <w:t>(11,893)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Effects of exchange rate changes on cash and cash equivalents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(413)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(13,120</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color w:val="auto"/>
        </w:rPr>
        <w:t>Net cash used in operating activities decreased $3.8 million, or 40%, from the six months ended June 30, 2017 to the six months ended June 30, 2018. The decrease in the net cash used in operating activities was primarily due to a decrease of $5.1 million in our net loss, offset by a decrease of $1.3 million in accounts payable related to the timing of payments made.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Net cash used in operating activities increased $0.8 million, or 5%, from 2016 to 2017. The increase in the net cash used in operating activities was primarily due to an increase of $2.5 million in our net loss, an increase of $1.2 million in accounts receivable, an increase of $2.2 million in inventory, and an increase in prepaid and other assets of $0.1 million. These uses of cash were partially offset by an increase of $2.3 million in accounts payable, and an increase of $1.8 million in accrued liabilities, as well as non-cash adjustments for the write-off of a debt discount of $0.7 million and the forgiveness of a note receivable of $0.4 million.</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increased $0.4 million, or 161%, from the six months ended June 30, 2017 to the six months ended June 30,</w:t>
      </w:r>
    </w:p>
    <w:p>
      <w:pPr>
        <w:spacing w:after="0" w:line="46" w:lineRule="exact"/>
        <w:rPr>
          <w:sz w:val="20"/>
          <w:szCs w:val="20"/>
          <w:color w:val="auto"/>
        </w:rPr>
      </w:pPr>
    </w:p>
    <w:p>
      <w:pPr>
        <w:ind w:left="220" w:right="360"/>
        <w:spacing w:after="0" w:line="302" w:lineRule="auto"/>
        <w:rPr>
          <w:sz w:val="20"/>
          <w:szCs w:val="20"/>
          <w:color w:val="auto"/>
        </w:rPr>
      </w:pPr>
      <w:r>
        <w:rPr>
          <w:rFonts w:ascii="Arial" w:cs="Arial" w:eastAsia="Arial" w:hAnsi="Arial"/>
          <w:sz w:val="16"/>
          <w:szCs w:val="16"/>
          <w:color w:val="auto"/>
        </w:rPr>
        <w:t>2018. Cash used in investing activities for the six months ended June 30, 2018 primarily consisted of leasehold improvements related to the new building lease entered into in February 2018 of $0.6 million. Cash used in investing activities for the six months ended June 30, 2017 primarily consisted of instrument set purchases of $0.3 million. The instrument sets are carried by our sales representatives and used during iFuse procedures.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relatively constant from 2016 to 2017 and consisted primarily of instrument set purchases.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220" w:right="120" w:firstLine="440"/>
        <w:spacing w:after="0" w:line="301" w:lineRule="auto"/>
        <w:rPr>
          <w:sz w:val="20"/>
          <w:szCs w:val="20"/>
          <w:color w:val="auto"/>
        </w:rPr>
      </w:pPr>
      <w:r>
        <w:rPr>
          <w:rFonts w:ascii="Arial" w:cs="Arial" w:eastAsia="Arial" w:hAnsi="Arial"/>
          <w:sz w:val="16"/>
          <w:szCs w:val="16"/>
          <w:color w:val="auto"/>
        </w:rPr>
        <w:t>Cash provided by financing activities decreased $5.0 million, or 96%, from the six months ended June 30, 2017 to the six months ended June 30, 2018. Cash provided by financing activities for the six months ended June 30, 2017 consisted primarily of net proceeds of $5.4 million from the issuance of Series 7 preferred stock from February through March 2017, offset by payments for public offering costs of $0.3 million. Cash provided by financing activities for the six months ended June 30, 2018 consisted of proceeds from exercises of common stock options of $0.2 million.</w:t>
      </w:r>
    </w:p>
    <w:p>
      <w:pPr>
        <w:spacing w:after="0" w:line="156" w:lineRule="exact"/>
        <w:rPr>
          <w:sz w:val="20"/>
          <w:szCs w:val="20"/>
          <w:color w:val="auto"/>
        </w:rPr>
      </w:pPr>
    </w:p>
    <w:p>
      <w:pPr>
        <w:ind w:left="220" w:right="100" w:firstLine="440"/>
        <w:spacing w:after="0" w:line="255" w:lineRule="auto"/>
        <w:rPr>
          <w:sz w:val="20"/>
          <w:szCs w:val="20"/>
          <w:color w:val="auto"/>
        </w:rPr>
      </w:pPr>
      <w:r>
        <w:rPr>
          <w:rFonts w:ascii="Arial" w:cs="Arial" w:eastAsia="Arial" w:hAnsi="Arial"/>
          <w:sz w:val="18"/>
          <w:szCs w:val="18"/>
          <w:color w:val="auto"/>
        </w:rPr>
        <w:t>Cash provided by financing activities decreased $11.9 million, or 48%, from 2016 to 2017. Cash provided by financing activities during 2016 consisted of net proceeds of $20.3 million from the issuance of Series 7 preferred stock from June through August 2016 and proceeds from additional debt financing of $4.0 million in December 2016. Cash provided by financing activities during 2017 consisted of net proceeds of $5.4 million from the issuance of Series 7 preferred stock from February through March 2017 and proceeds of $40 million from debt financing, offset by $29.1 million in extinguishment of debt financing, $1.1 million in repayment of debt financing, payments of debt issuance costs of $1.5 million, and payments of public offering costs of $1.3 million.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left="220" w:right="20" w:firstLine="440"/>
        <w:spacing w:after="0" w:line="270"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In accordance with ASC Topic 605, Revenue Recognition, 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we recognize revenue based on shipping or delivery, which represents the point in time when the customer has taken ownership and assumed risk of loss and the required revenue recognition criteria are met. Such customers are obligated to pay within specified terms regardless of when or if they ever sell or use the products, and we have no post-delivery obligations.</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We measure our stock-based awards made to employees based on the estimated fair value of the awards as of the grant date using the Black-Scholes option pricing model. Stock-based compensation cost is recognized over the requisite service period using the straight-line method and is based on the value of the portion of stock-based payment awards ultimately expected to vest.</w:t>
      </w:r>
    </w:p>
    <w:p>
      <w:pPr>
        <w:spacing w:after="0" w:line="183" w:lineRule="exact"/>
        <w:rPr>
          <w:sz w:val="20"/>
          <w:szCs w:val="20"/>
          <w:color w:val="auto"/>
        </w:rPr>
      </w:pPr>
    </w:p>
    <w:p>
      <w:pPr>
        <w:ind w:left="220" w:right="140" w:firstLine="440"/>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 as the underling equity instruments vest. We believe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8" w:lineRule="exact"/>
        <w:rPr>
          <w:sz w:val="20"/>
          <w:szCs w:val="20"/>
          <w:color w:val="auto"/>
        </w:rPr>
      </w:pPr>
    </w:p>
    <w:p>
      <w:pPr>
        <w:ind w:left="220" w:right="120" w:firstLine="440"/>
        <w:spacing w:after="0" w:line="301" w:lineRule="auto"/>
        <w:rPr>
          <w:sz w:val="20"/>
          <w:szCs w:val="20"/>
          <w:color w:val="auto"/>
        </w:rPr>
      </w:pPr>
      <w:r>
        <w:rPr>
          <w:rFonts w:ascii="Arial" w:cs="Arial" w:eastAsia="Arial" w:hAnsi="Arial"/>
          <w:sz w:val="16"/>
          <w:szCs w:val="16"/>
          <w:color w:val="auto"/>
        </w:rPr>
        <w:t>In July 2016, we modified the terms of 575,742 vested and unvested stock option awards by reducing their exercise price to the fair value of our common stock on the date of modification which resulted in an incremental value of $0.4 million being allocated to the options. In December 2017, we modified the terms of 394,656 unvested stock option awards by reducing their exercise price to the fair value of our common stock on the date of modification and removing the vesting performance conditions for the awards which resulted in a fair value expense of $0.8 million for the options.</w:t>
      </w:r>
    </w:p>
    <w:p>
      <w:pPr>
        <w:spacing w:after="0" w:line="156" w:lineRule="exact"/>
        <w:rPr>
          <w:sz w:val="20"/>
          <w:szCs w:val="20"/>
          <w:color w:val="auto"/>
        </w:rPr>
      </w:pPr>
    </w:p>
    <w:p>
      <w:pPr>
        <w:ind w:left="220" w:right="60" w:firstLine="440"/>
        <w:spacing w:after="0" w:line="279" w:lineRule="auto"/>
        <w:rPr>
          <w:sz w:val="20"/>
          <w:szCs w:val="20"/>
          <w:color w:val="auto"/>
        </w:rPr>
      </w:pPr>
      <w:r>
        <w:rPr>
          <w:rFonts w:ascii="Arial" w:cs="Arial" w:eastAsia="Arial" w:hAnsi="Arial"/>
          <w:sz w:val="17"/>
          <w:szCs w:val="17"/>
          <w:color w:val="auto"/>
        </w:rPr>
        <w:t>We recorded total non-cash stock-based compensation expense of $1.4 million during both 2016 and 2017. At June 30, 2018, we had $2.2 million of total unrecognized employee stock-based compensation expense, net of estimated forfeitures, related to stock option grants. This amount will be recognized as expense over a weighted-average period of 2.5 years. We expect to continue to grant stock options in the future, and, to the extent that we do, our actual stock-based compensation expense recognized in future periods will likely increase.</w:t>
      </w:r>
    </w:p>
    <w:p>
      <w:pPr>
        <w:spacing w:after="0" w:line="170" w:lineRule="exact"/>
        <w:rPr>
          <w:sz w:val="20"/>
          <w:szCs w:val="20"/>
          <w:color w:val="auto"/>
        </w:rPr>
      </w:pPr>
    </w:p>
    <w:p>
      <w:pPr>
        <w:jc w:val="both"/>
        <w:ind w:left="220" w:right="220" w:firstLine="440"/>
        <w:spacing w:after="0" w:line="263" w:lineRule="auto"/>
        <w:rPr>
          <w:sz w:val="20"/>
          <w:szCs w:val="20"/>
          <w:color w:val="auto"/>
        </w:rPr>
      </w:pPr>
      <w:r>
        <w:rPr>
          <w:rFonts w:ascii="Arial" w:cs="Arial" w:eastAsia="Arial" w:hAnsi="Arial"/>
          <w:sz w:val="18"/>
          <w:szCs w:val="18"/>
          <w:color w:val="auto"/>
        </w:rPr>
        <w:t>The intrinsic value of all outstanding options as of June 30, 2018 was $28.8 million based on the assumed initial public offering price of $14.00 per share, which is the midpoint of the price range set forth on the cover page of this prospectus, of which $24.6 million related to vested options and $4.2 million related to unvested options.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117" w:lineRule="exact"/>
        <w:rPr>
          <w:sz w:val="20"/>
          <w:szCs w:val="20"/>
          <w:color w:val="auto"/>
        </w:rPr>
      </w:pPr>
    </w:p>
    <w:p>
      <w:pPr>
        <w:ind w:left="220" w:right="420" w:firstLine="440"/>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grant date fair value of the stock-based awards is generally recognized on a straight-line basis over the requisite service period, which is generally the vesting period of the respective awards.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75" w:lineRule="exact"/>
        <w:rPr>
          <w:sz w:val="20"/>
          <w:szCs w:val="20"/>
          <w:color w:val="auto"/>
        </w:rPr>
      </w:pPr>
    </w:p>
    <w:p>
      <w:pPr>
        <w:jc w:val="both"/>
        <w:ind w:left="1080" w:right="260" w:hanging="438"/>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expected term to be the midpoint between the vesting date and the contractual life of the stock-based awards.</w:t>
      </w:r>
    </w:p>
    <w:p>
      <w:pPr>
        <w:spacing w:after="0" w:line="88" w:lineRule="exact"/>
        <w:rPr>
          <w:rFonts w:ascii="Arial" w:cs="Arial" w:eastAsia="Arial" w:hAnsi="Arial"/>
          <w:sz w:val="18"/>
          <w:szCs w:val="18"/>
          <w:color w:val="auto"/>
        </w:rPr>
      </w:pPr>
    </w:p>
    <w:p>
      <w:pPr>
        <w:ind w:left="1080" w:right="200" w:hanging="438"/>
        <w:spacing w:after="0" w:line="311"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have been privately held and do not have any trading history for our common stock,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volatility for comparable publicly traded companies over a period equal to the expected term of the stock option grants. The comparable companies were chosen based on their similar size, stage in the life cycle, or area of specialty.</w:t>
      </w:r>
    </w:p>
    <w:p>
      <w:pPr>
        <w:spacing w:after="0" w:line="53" w:lineRule="exact"/>
        <w:rPr>
          <w:rFonts w:ascii="Arial" w:cs="Arial" w:eastAsia="Arial" w:hAnsi="Arial"/>
          <w:sz w:val="16"/>
          <w:szCs w:val="16"/>
          <w:color w:val="auto"/>
        </w:rPr>
      </w:pPr>
    </w:p>
    <w:p>
      <w:pPr>
        <w:ind w:left="1080" w:hanging="438"/>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75" w:lineRule="exact"/>
        <w:rPr>
          <w:rFonts w:ascii="Arial" w:cs="Arial" w:eastAsia="Arial" w:hAnsi="Arial"/>
          <w:sz w:val="18"/>
          <w:szCs w:val="18"/>
          <w:color w:val="auto"/>
        </w:rPr>
      </w:pPr>
    </w:p>
    <w:p>
      <w:pPr>
        <w:ind w:left="1080" w:right="560" w:hanging="438"/>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0" w:lineRule="exact"/>
        <w:rPr>
          <w:sz w:val="20"/>
          <w:szCs w:val="20"/>
          <w:color w:val="auto"/>
        </w:rPr>
      </w:pPr>
    </w:p>
    <w:p>
      <w:pPr>
        <w:ind w:left="220" w:right="20" w:firstLine="440"/>
        <w:spacing w:after="0" w:line="287" w:lineRule="auto"/>
        <w:rPr>
          <w:sz w:val="20"/>
          <w:szCs w:val="20"/>
          <w:color w:val="auto"/>
        </w:rPr>
      </w:pPr>
      <w:r>
        <w:rPr>
          <w:rFonts w:ascii="Arial" w:cs="Arial" w:eastAsia="Arial" w:hAnsi="Arial"/>
          <w:sz w:val="16"/>
          <w:szCs w:val="16"/>
          <w:color w:val="auto"/>
        </w:rPr>
        <w:t xml:space="preserve">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Our board of directors, with the assistance of management, developed these valuations using significant judgment and taking</w:t>
      </w:r>
      <w:r>
        <w:rPr>
          <w:rFonts w:ascii="Arial" w:cs="Arial" w:eastAsia="Arial" w:hAnsi="Arial"/>
          <w:sz w:val="16"/>
          <w:szCs w:val="16"/>
          <w:i w:val="1"/>
          <w:iCs w:val="1"/>
          <w:color w:val="auto"/>
        </w:rPr>
        <w:t xml:space="preserve"> </w:t>
      </w:r>
      <w:r>
        <w:rPr>
          <w:rFonts w:ascii="Arial" w:cs="Arial" w:eastAsia="Arial" w:hAnsi="Arial"/>
          <w:sz w:val="16"/>
          <w:szCs w:val="16"/>
          <w:color w:val="auto"/>
        </w:rPr>
        <w:t>into account numerous factors, including developments at our company, market conditions, and contemporaneous independent third-party valuations. In valuing our common stock, the fair value of our business, or enterprise value, was determined using both the income approach and market approach. The income approach estimates value based on the expectation of future cash flows that a company will generate. These future cash flows are discounted to their present values using a discount rate based on the capital rates of return for venture-backed early stage companies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70" w:lineRule="exact"/>
        <w:rPr>
          <w:sz w:val="20"/>
          <w:szCs w:val="20"/>
          <w:color w:val="auto"/>
        </w:rPr>
      </w:pPr>
    </w:p>
    <w:p>
      <w:pPr>
        <w:ind w:left="220" w:right="100" w:firstLine="440"/>
        <w:spacing w:after="0" w:line="287" w:lineRule="auto"/>
        <w:rPr>
          <w:sz w:val="20"/>
          <w:szCs w:val="20"/>
          <w:color w:val="auto"/>
        </w:rPr>
      </w:pPr>
      <w:r>
        <w:rPr>
          <w:rFonts w:ascii="Arial" w:cs="Arial" w:eastAsia="Arial" w:hAnsi="Arial"/>
          <w:sz w:val="16"/>
          <w:szCs w:val="16"/>
          <w:color w:val="auto"/>
        </w:rPr>
        <w:t>The enterprise values derived from the approaches discussed above were then allocated to each of our classes of stock using a hybrid methodology, which included both the Option Pricing Method, or OPM, and the Probability Weighted Expected Return Method, or PWERM. The allocation of these enterprise values to each part of our capital structure, including our common stock, was done based on the OPM. OPM treats the rights of the holders of preferred and common shares as equivalent to call options on any value of the enterprise above certain breakpoints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is appropriate to use when the range of possible future outcomes is difficult to predict and thus creates highly speculative forecasts. The OPM backsolve method derives the implied enterprise value of a company from a recent transaction involving our own securities issued on an arms-length basis. Under the PWERM the value is estimated based upon analysis of future values for the enterprise under varying scenarios, probabilities are ascribed to these scenarios based on expected future outcomes.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scenarios.</w:t>
      </w:r>
    </w:p>
    <w:p>
      <w:pPr>
        <w:spacing w:after="0" w:line="166"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After the equity value is determined and allocated to the various classes of shares, a discount for lack of marketability, or DLOM, is applied to arrive at the fair value of common stock. A DLOM is applied based on the</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720"/>
        <w:spacing w:after="0" w:line="277" w:lineRule="auto"/>
        <w:rPr>
          <w:sz w:val="20"/>
          <w:szCs w:val="20"/>
          <w:color w:val="auto"/>
        </w:rPr>
      </w:pPr>
      <w:r>
        <w:rPr>
          <w:rFonts w:ascii="Arial" w:cs="Arial" w:eastAsia="Arial" w:hAnsi="Arial"/>
          <w:sz w:val="18"/>
          <w:szCs w:val="18"/>
          <w:color w:val="auto"/>
        </w:rPr>
        <w:t>theory that as an owner of a private company stock, the stockholder has limited opportunities to sell this stock and any such sale would involve significant transaction costs, thereby reducing overall fair market value.</w:t>
      </w:r>
    </w:p>
    <w:p>
      <w:pPr>
        <w:spacing w:after="0" w:line="170"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Following the closing of this offering, the fair value of our common stock will be determined based on the closing price of our common stock on the Nasdaq Global Market.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our prior debt facilities. We account for these warrants as a liability in our consolidated financial statements because the underlying instrument into which the warrants are exercisable contains deemed liquidation provisions that are outside our control.</w:t>
      </w:r>
    </w:p>
    <w:p>
      <w:pPr>
        <w:spacing w:after="0" w:line="183" w:lineRule="exact"/>
        <w:rPr>
          <w:sz w:val="20"/>
          <w:szCs w:val="20"/>
          <w:color w:val="auto"/>
        </w:rPr>
      </w:pPr>
    </w:p>
    <w:p>
      <w:pPr>
        <w:ind w:left="220" w:right="140" w:firstLine="440"/>
        <w:spacing w:after="0" w:line="275" w:lineRule="auto"/>
        <w:rPr>
          <w:sz w:val="20"/>
          <w:szCs w:val="20"/>
          <w:color w:val="auto"/>
        </w:rPr>
      </w:pPr>
      <w:r>
        <w:rPr>
          <w:rFonts w:ascii="Arial" w:cs="Arial" w:eastAsia="Arial" w:hAnsi="Arial"/>
          <w:sz w:val="17"/>
          <w:szCs w:val="17"/>
          <w:color w:val="auto"/>
        </w:rPr>
        <w:t>The warrants were recorded at fair value using the Black-Scholes option pricing model. The warrants are re-measured at each financial reporting period with any changes in fair value being recognized as a component of other income (expense), net in the consolidated statements of operations. We will continue to adjust the liability for changes in fair value until the earlier of (i) exercise or expiration of the warrants, or (ii) the closing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left="220" w:right="160" w:firstLine="440"/>
        <w:spacing w:after="0" w:line="293" w:lineRule="auto"/>
        <w:rPr>
          <w:sz w:val="20"/>
          <w:szCs w:val="20"/>
          <w:color w:val="auto"/>
        </w:rPr>
      </w:pPr>
      <w:r>
        <w:rPr>
          <w:rFonts w:ascii="Arial" w:cs="Arial" w:eastAsia="Arial" w:hAnsi="Arial"/>
          <w:sz w:val="16"/>
          <w:szCs w:val="16"/>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We determined that the warrants for shares of common stock issued in connection with our prior debt facilities. We estimate the fair value of our warrants for shares of common stock by using the Black-Scholes option pricing model. Warrants classified as equity are recorded as additional paid-in capital on the consolidated balance sheet and no further adjustments to their valuation are made after the issuance of the warrants.</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6"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As of December 31, 2017, we had net operating loss carryforwards of $124.9 million and $101.7 million available to reduce future taxable income, if any, for federal and state income tax purposes, respectively. If not utilized, our federal and state net operating loss carryforwards begin to expire in 2029 and 2019, respectively, and valuation allowances have been established, where necessary. We also have research credit carryforwards of approximately $1.6 million and $1.7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93" w:lineRule="exact"/>
        <w:rPr>
          <w:sz w:val="20"/>
          <w:szCs w:val="20"/>
          <w:color w:val="auto"/>
        </w:rPr>
      </w:pPr>
    </w:p>
    <w:p>
      <w:pPr>
        <w:ind w:left="220" w:right="460" w:firstLine="440"/>
        <w:spacing w:after="0" w:line="277" w:lineRule="auto"/>
        <w:rPr>
          <w:sz w:val="20"/>
          <w:szCs w:val="20"/>
          <w:color w:val="auto"/>
        </w:rPr>
      </w:pPr>
      <w:r>
        <w:rPr>
          <w:rFonts w:ascii="Arial" w:cs="Arial" w:eastAsia="Arial" w:hAnsi="Arial"/>
          <w:sz w:val="18"/>
          <w:szCs w:val="18"/>
          <w:color w:val="auto"/>
        </w:rPr>
        <w:t>We did not record a provision or benefit for income taxes during the six months ended June 30, 2017 or 2018. We continue to maintain a full valuation allowance against our net deferred tax assets.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93"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experienced Section 382 ownership changes in 2010 and $1.4 million of our NOL carryforwards are subject to limitation.</w:t>
      </w:r>
    </w:p>
    <w:p>
      <w:pPr>
        <w:spacing w:after="0" w:line="183" w:lineRule="exact"/>
        <w:rPr>
          <w:sz w:val="20"/>
          <w:szCs w:val="20"/>
          <w:color w:val="auto"/>
        </w:rPr>
      </w:pPr>
    </w:p>
    <w:p>
      <w:pPr>
        <w:ind w:left="220" w:right="260" w:firstLine="440"/>
        <w:spacing w:after="0" w:line="286" w:lineRule="auto"/>
        <w:rPr>
          <w:sz w:val="20"/>
          <w:szCs w:val="20"/>
          <w:color w:val="auto"/>
        </w:rPr>
      </w:pPr>
      <w:r>
        <w:rPr>
          <w:rFonts w:ascii="Arial" w:cs="Arial" w:eastAsia="Arial" w:hAnsi="Arial"/>
          <w:sz w:val="16"/>
          <w:szCs w:val="16"/>
          <w:color w:val="auto"/>
        </w:rPr>
        <w:t>On December 22, 2017, the 2017 Tax Cuts and Jobs Act, or the Tax Act, was enacted into law and the new legislation contains several key tax provisions that affected us, including a reduction of the corporate income tax rate to 21% effective January 1, 2018, among others. We are required to recognize the effect of the tax law changes in the period of enactment, such as remeasuring our U.S. deferred tax assets and liabilities as well as reassessing the net realizability of our deferred tax assets and liabilities. In December 2017, the SEC staff issued Staff Accounting Bulletin</w:t>
      </w:r>
    </w:p>
    <w:p>
      <w:pPr>
        <w:spacing w:after="0" w:line="1"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color w:val="auto"/>
        </w:rPr>
        <w:t xml:space="preserve">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(SAB 118), which allows us to record provisional amounts during a measurement period not to extend beyond one year of the enactment date. We consider the accounting of the deferred tax re-measurements to be complete. However, ongoing guidance and accounting interpretation are expected in the near term and we expect to complete our analysis relating to this guidance and interpretation within the measurement period in accordance with SAB 118.</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During 2016 and 2017 and for the six months ended June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20" w:right="100" w:firstLine="440"/>
        <w:spacing w:after="0" w:line="307"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We are exposed to interest rate risks related to our cash and cash equivalents. We had cash and cash equivalents of $22.4 million and $16.2 million as of December 31, 2017 and June 30, 2018, respectively, which</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20"/>
        <w:spacing w:after="0" w:line="307" w:lineRule="auto"/>
        <w:rPr>
          <w:sz w:val="20"/>
          <w:szCs w:val="20"/>
          <w:color w:val="auto"/>
        </w:rPr>
      </w:pPr>
      <w:r>
        <w:rPr>
          <w:rFonts w:ascii="Arial" w:cs="Arial" w:eastAsia="Arial" w:hAnsi="Arial"/>
          <w:sz w:val="17"/>
          <w:szCs w:val="17"/>
          <w:color w:val="auto"/>
        </w:rPr>
        <w:t>consist of bank deposits and money market funds. Our cash balance consisted of bank deposits and money market funds in 2017. Such interest-earning instruments carry a degree of interest rate risk; however, historical fluctuations in interest income have not been significant.</w:t>
      </w:r>
    </w:p>
    <w:p>
      <w:pPr>
        <w:spacing w:after="0" w:line="147" w:lineRule="exact"/>
        <w:rPr>
          <w:sz w:val="20"/>
          <w:szCs w:val="20"/>
          <w:color w:val="auto"/>
        </w:rPr>
      </w:pPr>
    </w:p>
    <w:p>
      <w:pPr>
        <w:ind w:left="220" w:right="120" w:firstLine="440"/>
        <w:spacing w:after="0" w:line="286" w:lineRule="auto"/>
        <w:rPr>
          <w:sz w:val="20"/>
          <w:szCs w:val="20"/>
          <w:color w:val="auto"/>
        </w:rPr>
      </w:pPr>
      <w:r>
        <w:rPr>
          <w:rFonts w:ascii="Arial" w:cs="Arial" w:eastAsia="Arial" w:hAnsi="Arial"/>
          <w:sz w:val="17"/>
          <w:szCs w:val="17"/>
          <w:color w:val="auto"/>
        </w:rPr>
        <w:t>We had outstanding debt of $38.7 million and $38.8 million as of December 31, 2017 and June 30, 2018, which accrues interest at a fixed rate of 11.5%.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20" w:right="80" w:firstLine="440"/>
        <w:spacing w:after="0" w:line="275" w:lineRule="auto"/>
        <w:rPr>
          <w:sz w:val="20"/>
          <w:szCs w:val="20"/>
          <w:color w:val="auto"/>
        </w:rPr>
      </w:pPr>
      <w:r>
        <w:rPr>
          <w:rFonts w:ascii="Arial" w:cs="Arial" w:eastAsia="Arial" w:hAnsi="Arial"/>
          <w:sz w:val="17"/>
          <w:szCs w:val="17"/>
          <w:color w:val="auto"/>
        </w:rPr>
        <w:t>We operate in countries other than the United States, and, therefore, we are exposed to foreign currency risks.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required an entity to recognize the amount of revenue to which it expects to be entitled for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Principal versus Agent Considerations (Reporting Revenue Gross versus Net)</w:t>
      </w:r>
      <w:r>
        <w:rPr>
          <w:rFonts w:ascii="Arial" w:cs="Arial" w:eastAsia="Arial" w:hAnsi="Arial"/>
          <w:sz w:val="16"/>
          <w:szCs w:val="16"/>
          <w:color w:val="auto"/>
        </w:rPr>
        <w:t>, which clarifies the implementation guidance on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versus agent considerations in ASU 2014-09. In April 2016, the FASB issued ASU 2016-10,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which clarifies certain aspects of identifying performance obligations and licensing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May 2016, the FASB issued ASU 2016-12, </w:t>
      </w:r>
      <w:r>
        <w:rPr>
          <w:rFonts w:ascii="Arial" w:cs="Arial" w:eastAsia="Arial" w:hAnsi="Arial"/>
          <w:sz w:val="16"/>
          <w:szCs w:val="16"/>
          <w:i w:val="1"/>
          <w:iCs w:val="1"/>
          <w:color w:val="auto"/>
        </w:rPr>
        <w:t>Revenue from Contracts with Customers (Topic 606): Narrow-Scope Improvements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Practical Expedients</w:t>
      </w:r>
      <w:r>
        <w:rPr>
          <w:rFonts w:ascii="Arial" w:cs="Arial" w:eastAsia="Arial" w:hAnsi="Arial"/>
          <w:sz w:val="16"/>
          <w:szCs w:val="16"/>
          <w:color w:val="auto"/>
        </w:rPr>
        <w:t>, which relates to disclosures of remaining performance obligations, as well as other amendments to guidance on collectability,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consideration, and the presentation of sales and other similar taxes collected from customers. These standards have the same effective date and transition date as ASU 2014-09. Our management is undergoing its assessment of the new standard, which includes the review of contracts and revenue channels, and will adopt the standard for the fiscal year ending December 31, 2019.</w:t>
      </w:r>
    </w:p>
    <w:p>
      <w:pPr>
        <w:spacing w:after="0" w:line="168" w:lineRule="exact"/>
        <w:rPr>
          <w:sz w:val="20"/>
          <w:szCs w:val="20"/>
          <w:color w:val="auto"/>
        </w:rPr>
      </w:pPr>
    </w:p>
    <w:p>
      <w:pPr>
        <w:ind w:left="220" w:right="60" w:firstLine="440"/>
        <w:spacing w:after="0" w:line="254"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We have adopted this standard for the fiscal year ended December 31, 2017, which did not have a material impact on our consolidated financial statements.</w:t>
      </w:r>
    </w:p>
    <w:p>
      <w:pPr>
        <w:spacing w:after="0" w:line="193"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specifies that deferred tax assets and liabilities shall be classified as noncurrent, or long-term, in a</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56" w:lineRule="auto"/>
        <w:rPr>
          <w:sz w:val="20"/>
          <w:szCs w:val="20"/>
          <w:color w:val="auto"/>
        </w:rPr>
      </w:pPr>
      <w:r>
        <w:rPr>
          <w:rFonts w:ascii="Arial" w:cs="Arial" w:eastAsia="Arial" w:hAnsi="Arial"/>
          <w:sz w:val="18"/>
          <w:szCs w:val="18"/>
          <w:color w:val="auto"/>
        </w:rPr>
        <w:t>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We have early adopted this standard for the fiscal year ended December 31, 2017, which did not have a material impact on our consolidated financial statements.</w:t>
      </w:r>
    </w:p>
    <w:p>
      <w:pPr>
        <w:spacing w:after="0" w:line="191"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our consolidated financial statements, and anticipate adopting the standard for the fiscal year ending December 31, 2020.</w:t>
      </w:r>
    </w:p>
    <w:p>
      <w:pPr>
        <w:spacing w:after="0" w:line="180" w:lineRule="exact"/>
        <w:rPr>
          <w:sz w:val="20"/>
          <w:szCs w:val="20"/>
          <w:color w:val="auto"/>
        </w:rPr>
      </w:pPr>
    </w:p>
    <w:p>
      <w:pPr>
        <w:ind w:left="220" w:right="100" w:firstLine="440"/>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We early adopted this standard in the first quarter of 2017 by recording the cumulative impact of applying this guidance to retained earnings, which was not material. We elected to continue to estimate the number of awards that are expected to vest.</w:t>
      </w:r>
    </w:p>
    <w:p>
      <w:pPr>
        <w:spacing w:after="0" w:line="176"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ASU 2016-15 provides guidance on the following eight specific cash flow classification issues: (1) debt prepayment or debt extinguishment</w:t>
      </w:r>
      <w:r>
        <w:rPr>
          <w:rFonts w:ascii="Arial" w:cs="Arial" w:eastAsia="Arial" w:hAnsi="Arial"/>
          <w:sz w:val="17"/>
          <w:szCs w:val="17"/>
          <w:i w:val="1"/>
          <w:iCs w:val="1"/>
          <w:color w:val="auto"/>
        </w:rPr>
        <w:t xml:space="preserve"> </w:t>
      </w:r>
      <w:r>
        <w:rPr>
          <w:rFonts w:ascii="Arial" w:cs="Arial" w:eastAsia="Arial" w:hAnsi="Arial"/>
          <w:sz w:val="17"/>
          <w:szCs w:val="17"/>
          <w:color w:val="auto"/>
        </w:rPr>
        <w:t>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reporting periods beginning after December 15, 2018 and interim periods with fiscal years beginning after December 15, 2019 for private companies, with early adoption permitted. We are currently evaluating the impact of adopting ASU 2016-15 on our consolidated financial statements, and anticipate adopting the standard for the fiscal year ending December 31, 2019.</w:t>
      </w:r>
    </w:p>
    <w:p>
      <w:pPr>
        <w:spacing w:after="0" w:line="180" w:lineRule="exact"/>
        <w:rPr>
          <w:sz w:val="20"/>
          <w:szCs w:val="20"/>
          <w:color w:val="auto"/>
        </w:rPr>
      </w:pPr>
    </w:p>
    <w:p>
      <w:pPr>
        <w:ind w:left="220" w:right="280" w:firstLine="440"/>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80"/>
        <w:spacing w:after="0" w:line="263" w:lineRule="auto"/>
        <w:rPr>
          <w:sz w:val="20"/>
          <w:szCs w:val="20"/>
          <w:color w:val="auto"/>
        </w:rPr>
      </w:pPr>
      <w:r>
        <w:rPr>
          <w:rFonts w:ascii="Arial" w:cs="Arial" w:eastAsia="Arial" w:hAnsi="Arial"/>
          <w:sz w:val="18"/>
          <w:szCs w:val="18"/>
          <w:color w:val="auto"/>
        </w:rPr>
        <w:t>the change in terms or conditions. The standard is effective for all entities for fiscal years, including interim periods within those fiscal years, beginning after December 15, 2017. Early adoption is permitted. We have adopted this standard for the fiscal year ending December 31, 2018, which did not have a material impact on our consolidated financial statements.</w:t>
      </w:r>
    </w:p>
    <w:p>
      <w:pPr>
        <w:spacing w:after="0" w:line="183" w:lineRule="exact"/>
        <w:rPr>
          <w:sz w:val="20"/>
          <w:szCs w:val="20"/>
          <w:color w:val="auto"/>
        </w:rPr>
      </w:pPr>
    </w:p>
    <w:p>
      <w:pPr>
        <w:ind w:left="220" w:right="20" w:firstLine="440"/>
        <w:spacing w:after="0" w:line="287"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w:t>
      </w:r>
      <w:r>
        <w:rPr>
          <w:rFonts w:ascii="Arial" w:cs="Arial" w:eastAsia="Arial" w:hAnsi="Arial"/>
          <w:sz w:val="16"/>
          <w:szCs w:val="16"/>
          <w:color w:val="auto"/>
        </w:rPr>
        <w:t>Replacement of the Indefinite Deferral for</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We are currently evaluating the impact that the adoption of this standard will have on our consolidated financial statements, and anticipate adopting the standard for the fiscal year ending December 31, 2020.</w:t>
      </w:r>
    </w:p>
    <w:p>
      <w:pPr>
        <w:spacing w:after="0" w:line="170" w:lineRule="exact"/>
        <w:rPr>
          <w:sz w:val="20"/>
          <w:szCs w:val="20"/>
          <w:color w:val="auto"/>
        </w:rPr>
      </w:pPr>
    </w:p>
    <w:p>
      <w:pPr>
        <w:ind w:left="220" w:right="180" w:firstLine="440"/>
        <w:spacing w:after="0" w:line="296"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This update provides companies with the option to reclassify stranded tax effects caused by the 2017 Tax Cuts and Jobs Act, or the 2017 Tax Act, from accumulated other comprehensive income to retained earnings. This standard is effective for all entities for fiscal years, and interim periods within those fiscal years, beginning after December 15, 2018. Early adoption is permitted. We are currently evaluating the impact that the adoption of this standard will have on our consolidated financial statements, and anticipate adopting the standard for the fiscal year ending December 31, 2019.</w:t>
      </w:r>
    </w:p>
    <w:p>
      <w:pPr>
        <w:spacing w:after="0" w:line="160"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expands the scope of </w:t>
      </w:r>
      <w:r>
        <w:rPr>
          <w:rFonts w:ascii="Arial" w:cs="Arial" w:eastAsia="Arial" w:hAnsi="Arial"/>
          <w:sz w:val="17"/>
          <w:szCs w:val="17"/>
          <w:i w:val="1"/>
          <w:iCs w:val="1"/>
          <w:color w:val="auto"/>
        </w:rPr>
        <w:t>Topic 718, Compensation—Stock Compensation</w:t>
      </w:r>
      <w:r>
        <w:rPr>
          <w:rFonts w:ascii="Arial" w:cs="Arial" w:eastAsia="Arial" w:hAnsi="Arial"/>
          <w:sz w:val="17"/>
          <w:szCs w:val="17"/>
          <w:color w:val="auto"/>
        </w:rPr>
        <w:t xml:space="preserve">, to include share-based payments issued to nonemployees for goods or services. Consequently, the accounting for share-based payments to nonemployees and employees will be substantially aligned. ASU 2018-07 supersedes </w:t>
      </w:r>
      <w:r>
        <w:rPr>
          <w:rFonts w:ascii="Arial" w:cs="Arial" w:eastAsia="Arial" w:hAnsi="Arial"/>
          <w:sz w:val="17"/>
          <w:szCs w:val="17"/>
          <w:i w:val="1"/>
          <w:iCs w:val="1"/>
          <w:color w:val="auto"/>
        </w:rPr>
        <w:t>Subtopic 505-50,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Equity-Based Payments to Non-Employees. </w:t>
      </w:r>
      <w:r>
        <w:rPr>
          <w:rFonts w:ascii="Arial" w:cs="Arial" w:eastAsia="Arial" w:hAnsi="Arial"/>
          <w:sz w:val="17"/>
          <w:szCs w:val="17"/>
          <w:color w:val="auto"/>
        </w:rPr>
        <w:t>For public business entities, the amendments are effective for fiscal years beginning after December 15,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We are evaluating the impact that the adoption of this standard will have on our consolidated financial statements, and anticipate adopting the standard for the fiscal year ending December 31, 2020.</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91" w:lineRule="exact"/>
        <w:rPr>
          <w:sz w:val="20"/>
          <w:szCs w:val="20"/>
          <w:color w:val="auto"/>
        </w:rPr>
      </w:pPr>
    </w:p>
    <w:p>
      <w:pPr>
        <w:ind w:left="220" w:right="200" w:firstLine="440"/>
        <w:spacing w:after="0" w:line="275"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75"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18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2016 and 2017, we generated revenue of $42.1 million and $48.0 million, respectively, a growth rate of 14%, and incurred net losses of</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 June 30,</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2017 and 2018, we generated revenue of $22.5 million and $26.4 million, respectively, a growth rate of 17%, and incurred net losses of $12.5 million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and $7.3 million, respectively. Our gross margins were 89% and 92% for the six months ended June 30, 2017 and 2018, respectively. The number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iFuse procedures performed in the six months ended June 30, 2017 and 2018 was 2,739 and 3,200, respectively.</w:t>
      </w:r>
    </w:p>
    <w:p>
      <w:pPr>
        <w:spacing w:after="0" w:line="210" w:lineRule="exact"/>
        <w:rPr>
          <w:sz w:val="20"/>
          <w:szCs w:val="20"/>
          <w:color w:val="auto"/>
        </w:rPr>
      </w:pPr>
    </w:p>
    <w:p>
      <w:pPr>
        <w:ind w:left="220" w:right="120" w:firstLine="440"/>
        <w:spacing w:after="0" w:line="254"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 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190" w:lineRule="exact"/>
        <w:rPr>
          <w:sz w:val="20"/>
          <w:szCs w:val="20"/>
          <w:color w:val="auto"/>
        </w:rPr>
      </w:pPr>
    </w:p>
    <w:p>
      <w:pPr>
        <w:ind w:left="220" w:right="140" w:firstLine="440"/>
        <w:spacing w:after="0" w:line="259" w:lineRule="auto"/>
        <w:rPr>
          <w:sz w:val="20"/>
          <w:szCs w:val="20"/>
          <w:color w:val="auto"/>
        </w:rPr>
      </w:pPr>
      <w:r>
        <w:rPr>
          <w:rFonts w:ascii="Arial" w:cs="Arial" w:eastAsia="Arial" w:hAnsi="Arial"/>
          <w:sz w:val="18"/>
          <w:szCs w:val="18"/>
          <w:color w:val="auto"/>
        </w:rPr>
        <w:t>The safety, clinical effectiveness, durability of pain relief and reduction in disability, cost effectiveness, and reduction in opioid use that result from iFuse are supported by a large number of studies that have resulted in more than 60 published papers. Several of these papers publish results from three prospective multicenter studies (INSITE, SIFI, and iMIA), two of which were randomized controlled clinical trials. Additionally, there have been several studies showing longer-term follow-up of up to six years.</w:t>
      </w:r>
    </w:p>
    <w:p>
      <w:pPr>
        <w:spacing w:after="0" w:line="91" w:lineRule="exact"/>
        <w:rPr>
          <w:sz w:val="20"/>
          <w:szCs w:val="20"/>
          <w:color w:val="auto"/>
        </w:rPr>
      </w:pPr>
    </w:p>
    <w:p>
      <w:pPr>
        <w:ind w:left="1080" w:right="380" w:hanging="438"/>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INSITE is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120"/>
        <w:spacing w:after="0" w:line="286" w:lineRule="auto"/>
        <w:rPr>
          <w:sz w:val="20"/>
          <w:szCs w:val="20"/>
          <w:color w:val="auto"/>
        </w:rPr>
      </w:pPr>
      <w:r>
        <w:rPr>
          <w:rFonts w:ascii="Arial" w:cs="Arial" w:eastAsia="Arial" w:hAnsi="Arial"/>
          <w:sz w:val="17"/>
          <w:szCs w:val="17"/>
          <w:color w:val="auto"/>
        </w:rPr>
        <w:t>statistically significant and clinically important reduction in pain and disability after sacroiliac joint fusion but very little response to maximal non-surgical treatment. In April 2015, INSITE was awarded the “Best Overall Paper” out of approximately 450 submitted clinical study papers at the International Society for Advancement of Spine Surgery, or ISASS, conference.</w:t>
      </w:r>
    </w:p>
    <w:p>
      <w:pPr>
        <w:spacing w:after="0" w:line="70" w:lineRule="exact"/>
        <w:rPr>
          <w:sz w:val="20"/>
          <w:szCs w:val="20"/>
          <w:color w:val="auto"/>
        </w:rPr>
      </w:pPr>
    </w:p>
    <w:p>
      <w:pPr>
        <w:ind w:left="1080" w:right="80" w:hanging="438"/>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iMIA is a randomized controlled study conducted in Europe. Positive six-month follow-up results were published in </w:t>
      </w:r>
      <w:r>
        <w:rPr>
          <w:rFonts w:ascii="Arial" w:cs="Arial" w:eastAsia="Arial" w:hAnsi="Arial"/>
          <w:sz w:val="18"/>
          <w:szCs w:val="18"/>
          <w:i w:val="1"/>
          <w:iCs w:val="1"/>
          <w:color w:val="auto"/>
        </w:rPr>
        <w:t>European Spine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in May 2016, and the 12 follow-up results were published in August 2017 in</w:t>
      </w:r>
      <w:r>
        <w:rPr>
          <w:rFonts w:ascii="Arial" w:cs="Arial" w:eastAsia="Arial" w:hAnsi="Arial"/>
          <w:sz w:val="18"/>
          <w:szCs w:val="18"/>
          <w:i w:val="1"/>
          <w:iCs w:val="1"/>
          <w:color w:val="auto"/>
        </w:rPr>
        <w:t xml:space="preserve"> Pain Physician</w:t>
      </w:r>
      <w:r>
        <w:rPr>
          <w:rFonts w:ascii="Arial" w:cs="Arial" w:eastAsia="Arial" w:hAnsi="Arial"/>
          <w:sz w:val="18"/>
          <w:szCs w:val="18"/>
          <w:color w:val="auto"/>
        </w:rPr>
        <w:t>. 24-month results are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at an orthopedic journal. Like INSITE, results from iMIA show statistically significant and clinically profound reduction in pain and disability after SI joint fusion but little improvement after non-surgical treatment.</w:t>
      </w:r>
    </w:p>
    <w:p>
      <w:pPr>
        <w:spacing w:after="0" w:line="91" w:lineRule="exact"/>
        <w:rPr>
          <w:rFonts w:ascii="Arial" w:cs="Arial" w:eastAsia="Arial" w:hAnsi="Arial"/>
          <w:sz w:val="18"/>
          <w:szCs w:val="18"/>
          <w:color w:val="auto"/>
        </w:rPr>
      </w:pPr>
    </w:p>
    <w:p>
      <w:pPr>
        <w:ind w:left="1080" w:right="180" w:hanging="438"/>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SIFI is a single-arm study conducted in the United States. Positive 24-month follow-up results were published in the </w:t>
      </w:r>
      <w:r>
        <w:rPr>
          <w:rFonts w:ascii="Arial" w:cs="Arial" w:eastAsia="Arial" w:hAnsi="Arial"/>
          <w:sz w:val="18"/>
          <w:szCs w:val="18"/>
          <w:i w:val="1"/>
          <w:iCs w:val="1"/>
          <w:color w:val="auto"/>
        </w:rPr>
        <w:t>International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Spine Surgery </w:t>
      </w:r>
      <w:r>
        <w:rPr>
          <w:rFonts w:ascii="Arial" w:cs="Arial" w:eastAsia="Arial" w:hAnsi="Arial"/>
          <w:sz w:val="18"/>
          <w:szCs w:val="18"/>
          <w:color w:val="auto"/>
        </w:rPr>
        <w:t>in April 2016, showing substantial and sustained reduction in pain and disability.</w:t>
      </w:r>
    </w:p>
    <w:p>
      <w:pPr>
        <w:spacing w:after="0" w:line="75" w:lineRule="exact"/>
        <w:rPr>
          <w:rFonts w:ascii="Arial" w:cs="Arial" w:eastAsia="Arial" w:hAnsi="Arial"/>
          <w:sz w:val="18"/>
          <w:szCs w:val="18"/>
          <w:color w:val="auto"/>
        </w:rPr>
      </w:pPr>
    </w:p>
    <w:p>
      <w:pPr>
        <w:ind w:left="1080" w:hanging="438"/>
        <w:spacing w:after="0" w:line="279"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5" w:lineRule="exact"/>
        <w:rPr>
          <w:rFonts w:ascii="Arial" w:cs="Arial" w:eastAsia="Arial" w:hAnsi="Arial"/>
          <w:sz w:val="17"/>
          <w:szCs w:val="17"/>
          <w:color w:val="auto"/>
        </w:rPr>
      </w:pPr>
    </w:p>
    <w:p>
      <w:pPr>
        <w:ind w:left="1080" w:right="280" w:hanging="438"/>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186" w:lineRule="exact"/>
        <w:rPr>
          <w:sz w:val="20"/>
          <w:szCs w:val="20"/>
          <w:color w:val="auto"/>
        </w:rPr>
      </w:pPr>
    </w:p>
    <w:p>
      <w:pPr>
        <w:ind w:left="220" w:right="140" w:firstLine="440"/>
        <w:spacing w:after="0" w:line="256"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93" w:lineRule="exact"/>
        <w:rPr>
          <w:sz w:val="20"/>
          <w:szCs w:val="20"/>
          <w:color w:val="auto"/>
        </w:rPr>
      </w:pPr>
    </w:p>
    <w:p>
      <w:pPr>
        <w:ind w:left="1080" w:right="20" w:hanging="438"/>
        <w:spacing w:after="0" w:line="271"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very small responses in those treated with non-surgical management. Subjects surgically treated with iFuse had mean 52- 54- and 55-point reductions in sacroiliac joint pain at 6, 12 and 24 months, respectively, as measured by the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82" w:lineRule="exact"/>
        <w:rPr>
          <w:rFonts w:ascii="Arial" w:cs="Arial" w:eastAsia="Arial" w:hAnsi="Arial"/>
          <w:sz w:val="17"/>
          <w:szCs w:val="17"/>
          <w:color w:val="auto"/>
        </w:rPr>
      </w:pPr>
    </w:p>
    <w:p>
      <w:pPr>
        <w:ind w:left="1080" w:right="20" w:hanging="438"/>
        <w:spacing w:after="0" w:line="297"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statistically significant and clinically important reduction in disability in subjects treated with iFuse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very little response in those treated with non-surgical management. Subjects surgically treated with iFuse had a mean 27-point reduction in disability at six months, on the 0–100 Oswestry Disability Index, or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spacing w:after="0" w:line="296" w:lineRule="auto"/>
        <w:rPr>
          <w:sz w:val="20"/>
          <w:szCs w:val="20"/>
          <w:color w:val="auto"/>
        </w:rPr>
      </w:pPr>
      <w:r>
        <w:rPr>
          <w:rFonts w:ascii="Arial" w:cs="Arial" w:eastAsia="Arial" w:hAnsi="Arial"/>
          <w:sz w:val="16"/>
          <w:szCs w:val="16"/>
          <w:color w:val="auto"/>
        </w:rPr>
        <w:t>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 These are very large differences.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Patients from certain sites participating in the INSITE study will be followed for up to five years as part of LOIS, a separate long-term study.</w:t>
      </w:r>
    </w:p>
    <w:p>
      <w:pPr>
        <w:spacing w:after="0" w:line="236"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xml:space="preserve"> in November 2015 showed that the cumulative four-year revision rate with iFuse was 3.5%. A single surgeon retrospective study published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in January 2017 showed that the cumulative four-year revision rate for screw-based treatment of the sacroiliac</w:t>
      </w:r>
      <w:r>
        <w:rPr>
          <w:rFonts w:ascii="Arial" w:cs="Arial" w:eastAsia="Arial" w:hAnsi="Arial"/>
          <w:sz w:val="18"/>
          <w:szCs w:val="18"/>
          <w:i w:val="1"/>
          <w:iCs w:val="1"/>
          <w:color w:val="auto"/>
        </w:rPr>
        <w:t xml:space="preserve"> </w:t>
      </w:r>
      <w:r>
        <w:rPr>
          <w:rFonts w:ascii="Arial" w:cs="Arial" w:eastAsia="Arial" w:hAnsi="Arial"/>
          <w:sz w:val="18"/>
          <w:szCs w:val="18"/>
          <w:color w:val="auto"/>
        </w:rPr>
        <w:t>joint was five times higher than the cumulative four-year revision rate for iFuse.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20" w:right="20" w:firstLine="440"/>
        <w:spacing w:after="0" w:line="291" w:lineRule="auto"/>
        <w:rPr>
          <w:sz w:val="20"/>
          <w:szCs w:val="20"/>
          <w:color w:val="auto"/>
        </w:rPr>
      </w:pPr>
      <w:r>
        <w:rPr>
          <w:rFonts w:ascii="Arial" w:cs="Arial" w:eastAsia="Arial" w:hAnsi="Arial"/>
          <w:sz w:val="16"/>
          <w:szCs w:val="16"/>
          <w:color w:val="auto"/>
        </w:rPr>
        <w:t>We estimate that over 30 million American adults have chronic lower back pain</w:t>
      </w:r>
      <w:r>
        <w:rPr>
          <w:rFonts w:ascii="Arial" w:cs="Arial" w:eastAsia="Arial" w:hAnsi="Arial"/>
          <w:sz w:val="16"/>
          <w:szCs w:val="16"/>
          <w:i w:val="1"/>
          <w:iCs w:val="1"/>
          <w:color w:val="auto"/>
        </w:rPr>
        <w:t>.</w:t>
      </w:r>
      <w:r>
        <w:rPr>
          <w:rFonts w:ascii="Arial" w:cs="Arial" w:eastAsia="Arial" w:hAnsi="Arial"/>
          <w:sz w:val="16"/>
          <w:szCs w:val="16"/>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patients received only 4,319 iFuse procedures in 2017.</w:t>
      </w:r>
    </w:p>
    <w:p>
      <w:pPr>
        <w:spacing w:after="0" w:line="165"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86"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Frequently, sacroiliac joint patients are aging and/or may have experienced one or more of the following events that have contributed to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It is often difficult to identify the source of lower back pain. As a result, some surgical procedures performed on the spine have a sub-optimal success rate. For example, published studies of lumbar fusion have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79" w:lineRule="auto"/>
        <w:rPr>
          <w:sz w:val="20"/>
          <w:szCs w:val="20"/>
          <w:color w:val="auto"/>
        </w:rPr>
      </w:pPr>
      <w:r>
        <w:rPr>
          <w:rFonts w:ascii="Arial" w:cs="Arial" w:eastAsia="Arial" w:hAnsi="Arial"/>
          <w:sz w:val="17"/>
          <w:szCs w:val="17"/>
          <w:color w:val="auto"/>
        </w:rPr>
        <w:t>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170"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left="220" w:right="60" w:firstLine="440"/>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7"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6" w:lineRule="exact"/>
        <w:rPr>
          <w:sz w:val="20"/>
          <w:szCs w:val="20"/>
          <w:color w:val="auto"/>
        </w:rPr>
      </w:pPr>
    </w:p>
    <w:p>
      <w:pPr>
        <w:ind w:left="220" w:right="140" w:firstLine="440"/>
        <w:spacing w:after="0" w:line="301"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 Non-surgical treatments include:</w:t>
      </w:r>
    </w:p>
    <w:p>
      <w:pPr>
        <w:spacing w:after="0" w:line="71" w:lineRule="exact"/>
        <w:rPr>
          <w:sz w:val="20"/>
          <w:szCs w:val="20"/>
          <w:color w:val="auto"/>
        </w:rPr>
      </w:pPr>
    </w:p>
    <w:p>
      <w:pPr>
        <w:ind w:left="1080" w:hanging="438"/>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1080" w:right="620" w:hanging="438"/>
        <w:spacing w:after="0" w:line="28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Intra-articular injections of steroid medications</w:t>
      </w:r>
      <w:r>
        <w:rPr>
          <w:rFonts w:ascii="Arial" w:cs="Arial" w:eastAsia="Arial" w:hAnsi="Arial"/>
          <w:sz w:val="18"/>
          <w:szCs w:val="18"/>
          <w:color w:val="auto"/>
        </w:rPr>
        <w:t>, which are typically performed by physicians who specialize in pain treatment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anesthesia.</w:t>
      </w:r>
    </w:p>
    <w:p>
      <w:pPr>
        <w:spacing w:after="0" w:line="68" w:lineRule="exact"/>
        <w:rPr>
          <w:rFonts w:ascii="Arial" w:cs="Arial" w:eastAsia="Arial" w:hAnsi="Arial"/>
          <w:sz w:val="18"/>
          <w:szCs w:val="18"/>
          <w:color w:val="auto"/>
        </w:rPr>
      </w:pPr>
    </w:p>
    <w:p>
      <w:pPr>
        <w:ind w:left="1080" w:hanging="438"/>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Solution—The iFuse Implant System</w:t>
      </w:r>
    </w:p>
    <w:p>
      <w:pPr>
        <w:spacing w:after="0" w:line="121" w:lineRule="exact"/>
        <w:rPr>
          <w:sz w:val="20"/>
          <w:szCs w:val="20"/>
          <w:color w:val="auto"/>
        </w:rPr>
      </w:pPr>
    </w:p>
    <w:p>
      <w:pPr>
        <w:ind w:left="220" w:right="80" w:firstLine="440"/>
        <w:spacing w:after="0" w:line="275" w:lineRule="auto"/>
        <w:rPr>
          <w:sz w:val="20"/>
          <w:szCs w:val="20"/>
          <w:color w:val="auto"/>
        </w:rPr>
      </w:pPr>
      <w:r>
        <w:rPr>
          <w:rFonts w:ascii="Arial" w:cs="Arial" w:eastAsia="Arial" w:hAnsi="Arial"/>
          <w:sz w:val="17"/>
          <w:szCs w:val="17"/>
          <w:color w:val="auto"/>
        </w:rPr>
        <w:t>Our iFuse system, which includes our implants and instruments, is designed to address the shortcomings of alternative treatments, including open surgery, non-surgical management, and screw-based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fixation of the bone to the implants. We introduced the original iFuse implants in 2009, and our second 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137160</wp:posOffset>
            </wp:positionV>
            <wp:extent cx="4069080" cy="1379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69080"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191"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By contrast, open fusion of the sacroiliac joint, as well as the minimally invasive solutions offered by other companies, typically use screws and/or plates for fixation. When placed across the sacroiliac joint, standard orthopedic screws, which lack features to encourage biologic fixation, have an exhibited propensity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183" w:lineRule="exact"/>
        <w:rPr>
          <w:sz w:val="20"/>
          <w:szCs w:val="20"/>
          <w:color w:val="auto"/>
        </w:rPr>
      </w:pPr>
    </w:p>
    <w:p>
      <w:pPr>
        <w:ind w:left="220" w:right="200" w:firstLine="440"/>
        <w:spacing w:after="0" w:line="259" w:lineRule="auto"/>
        <w:rPr>
          <w:sz w:val="20"/>
          <w:szCs w:val="20"/>
          <w:color w:val="auto"/>
        </w:rPr>
      </w:pPr>
      <w:r>
        <w:rPr>
          <w:rFonts w:ascii="Arial" w:cs="Arial" w:eastAsia="Arial" w:hAnsi="Arial"/>
          <w:sz w:val="18"/>
          <w:szCs w:val="18"/>
          <w:color w:val="auto"/>
        </w:rPr>
        <w:t>Our implants cross the sacroiliac joint and provide immediate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186"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1" w:lineRule="exact"/>
        <w:rPr>
          <w:sz w:val="20"/>
          <w:szCs w:val="20"/>
          <w:color w:val="auto"/>
        </w:rPr>
      </w:pPr>
    </w:p>
    <w:p>
      <w:pPr>
        <w:ind w:left="5620" w:right="2500" w:hanging="4978"/>
        <w:spacing w:after="0" w:line="453" w:lineRule="auto"/>
        <w:tabs>
          <w:tab w:leader="none" w:pos="107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r>
        <w:rPr>
          <w:rFonts w:ascii="Arial" w:cs="Arial" w:eastAsia="Arial" w:hAnsi="Arial"/>
          <w:sz w:val="18"/>
          <w:szCs w:val="18"/>
          <w:b w:val="1"/>
          <w:bCs w:val="1"/>
          <w:color w:val="auto"/>
        </w:rPr>
        <w:t xml:space="preserve"> </w:t>
      </w: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080" w:right="240" w:hanging="438"/>
        <w:spacing w:after="0" w:line="28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sharp-tip broach.</w:t>
      </w:r>
    </w:p>
    <w:p>
      <w:pPr>
        <w:spacing w:after="0" w:line="68" w:lineRule="exact"/>
        <w:rPr>
          <w:rFonts w:ascii="Arial" w:cs="Arial" w:eastAsia="Arial" w:hAnsi="Arial"/>
          <w:sz w:val="18"/>
          <w:szCs w:val="18"/>
          <w:color w:val="auto"/>
        </w:rPr>
      </w:pPr>
    </w:p>
    <w:p>
      <w:pPr>
        <w:ind w:left="1080" w:right="340" w:hanging="438"/>
        <w:spacing w:after="0" w:line="28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8" w:lineRule="exact"/>
        <w:rPr>
          <w:rFonts w:ascii="Arial" w:cs="Arial" w:eastAsia="Arial" w:hAnsi="Arial"/>
          <w:sz w:val="18"/>
          <w:szCs w:val="18"/>
          <w:color w:val="auto"/>
        </w:rPr>
      </w:pPr>
    </w:p>
    <w:p>
      <w:pPr>
        <w:ind w:left="1080" w:right="200" w:hanging="438"/>
        <w:spacing w:after="0" w:line="28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the implant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sacrum. The channel is slightly smaller than the implant, which produces an interference fit.</w:t>
      </w:r>
    </w:p>
    <w:p>
      <w:pPr>
        <w:spacing w:after="0" w:line="167"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3" w:lineRule="exact"/>
        <w:rPr>
          <w:sz w:val="20"/>
          <w:szCs w:val="20"/>
          <w:color w:val="auto"/>
        </w:rPr>
      </w:pPr>
    </w:p>
    <w:p>
      <w:pPr>
        <w:jc w:val="both"/>
        <w:ind w:left="220" w:right="320" w:firstLine="440"/>
        <w:spacing w:after="0" w:line="256" w:lineRule="auto"/>
        <w:rPr>
          <w:sz w:val="20"/>
          <w:szCs w:val="20"/>
          <w:color w:val="auto"/>
        </w:rPr>
      </w:pPr>
      <w:r>
        <w:rPr>
          <w:rFonts w:ascii="Arial" w:cs="Arial" w:eastAsia="Arial" w:hAnsi="Arial"/>
          <w:sz w:val="18"/>
          <w:szCs w:val="18"/>
          <w:color w:val="auto"/>
        </w:rPr>
        <w:t>We currently offer three custom instrument sets for surgical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 We also have instrument sets which have been cleared for use with Medtronic’s surgical navigation system and with the Mazor surgical robot.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20" w:right="400" w:firstLine="440"/>
        <w:spacing w:after="0" w:line="341"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pain and disability relief in affected patients. To accomplish this objective, we intend to:</w:t>
      </w:r>
    </w:p>
    <w:p>
      <w:pPr>
        <w:spacing w:after="0" w:line="30" w:lineRule="exact"/>
        <w:rPr>
          <w:sz w:val="20"/>
          <w:szCs w:val="20"/>
          <w:color w:val="auto"/>
        </w:rPr>
      </w:pPr>
    </w:p>
    <w:p>
      <w:pPr>
        <w:ind w:left="1080" w:right="300" w:hanging="438"/>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evidence supporting the safety, durable clinical effectiveness, economic benefit, and reduction in opioid use associated with the iFuse procedure;</w:t>
      </w:r>
    </w:p>
    <w:p>
      <w:pPr>
        <w:spacing w:after="0" w:line="75" w:lineRule="exact"/>
        <w:rPr>
          <w:rFonts w:ascii="Arial" w:cs="Arial" w:eastAsia="Arial" w:hAnsi="Arial"/>
          <w:sz w:val="18"/>
          <w:szCs w:val="18"/>
          <w:color w:val="auto"/>
        </w:rPr>
      </w:pPr>
    </w:p>
    <w:p>
      <w:pPr>
        <w:ind w:left="1080" w:hanging="438"/>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Educate and train the healthcare community on the prevalence, anatomy, diagnosis, and treatment options for the sacroiliac joint, including minimally invasive surgical fusion, and work with and support medical societies including NASS, CNS, AANS, ISASS, SRS, and AAOS to increase their education programs teaching the diagnosis of the sacroiliac joint as part of the differential diagnosis of lower back pain;</w:t>
      </w:r>
    </w:p>
    <w:p>
      <w:pPr>
        <w:spacing w:after="0" w:line="53" w:lineRule="exact"/>
        <w:rPr>
          <w:rFonts w:ascii="Arial" w:cs="Arial" w:eastAsia="Arial" w:hAnsi="Arial"/>
          <w:sz w:val="16"/>
          <w:szCs w:val="16"/>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41" w:lineRule="exact"/>
        <w:rPr>
          <w:rFonts w:ascii="Arial" w:cs="Arial" w:eastAsia="Arial" w:hAnsi="Arial"/>
          <w:sz w:val="17"/>
          <w:szCs w:val="17"/>
          <w:color w:val="auto"/>
        </w:rPr>
      </w:pPr>
    </w:p>
    <w:p>
      <w:pPr>
        <w:ind w:left="1080" w:right="440" w:hanging="438"/>
        <w:spacing w:after="0" w:line="34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30" w:lineRule="exact"/>
        <w:rPr>
          <w:rFonts w:ascii="Arial" w:cs="Arial" w:eastAsia="Arial" w:hAnsi="Arial"/>
          <w:sz w:val="16"/>
          <w:szCs w:val="16"/>
          <w:color w:val="auto"/>
        </w:rPr>
      </w:pPr>
    </w:p>
    <w:p>
      <w:pPr>
        <w:ind w:left="1080" w:hanging="438"/>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left="220" w:right="380" w:firstLine="440"/>
        <w:spacing w:after="0" w:line="307" w:lineRule="auto"/>
        <w:rPr>
          <w:sz w:val="20"/>
          <w:szCs w:val="20"/>
          <w:color w:val="auto"/>
        </w:rPr>
      </w:pPr>
      <w:r>
        <w:rPr>
          <w:rFonts w:ascii="Arial" w:cs="Arial" w:eastAsia="Arial" w:hAnsi="Arial"/>
          <w:sz w:val="17"/>
          <w:szCs w:val="17"/>
          <w:color w:val="auto"/>
        </w:rPr>
        <w:t>iFuse is the only minimally invasive product for sacroiliac joint fusion commercially available in the United States that, to our knowledge, is supported by substantial high-quality published evidence of safety, clinical effectiveness, durability, and economic utility.</w:t>
      </w:r>
    </w:p>
    <w:p>
      <w:pPr>
        <w:spacing w:after="0" w:line="147"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These benefits are supported by more than 60 published papers (46 of which we financially supported), including a prospective, randomized controlled multi-center clinical trial referred to as “INSITE” and a</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79" w:lineRule="auto"/>
        <w:rPr>
          <w:sz w:val="20"/>
          <w:szCs w:val="20"/>
          <w:color w:val="auto"/>
        </w:rPr>
      </w:pPr>
      <w:r>
        <w:rPr>
          <w:rFonts w:ascii="Arial" w:cs="Arial" w:eastAsia="Arial" w:hAnsi="Arial"/>
          <w:sz w:val="17"/>
          <w:szCs w:val="17"/>
          <w:color w:val="auto"/>
        </w:rPr>
        <w:t xml:space="preserve">prospective multi-center clinical study referred to as “SIFI.” INSITE 24-month follow-up results were published in August 2016 in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6-month and 1-year summaries were also published in reputable journals. Published results demonstrate clinically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and statistically significant improvement for sacroiliac joint pain, disability due to lower back pain, quality of life, and patient satisfaction. Moreover, the level of published evidence supporting the safety and effectiveness of sacroiliac joint fusion using iFuse is high.</w:t>
      </w:r>
    </w:p>
    <w:p>
      <w:pPr>
        <w:spacing w:after="0" w:line="170"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In the United States, the iFuse Implant System is FDA-cleared with the following indication statement: The iFuse Implant System</w:t>
      </w:r>
      <w:r>
        <w:rPr>
          <w:rFonts w:ascii="Arial" w:cs="Arial" w:eastAsia="Arial" w:hAnsi="Arial"/>
          <w:sz w:val="13"/>
          <w:szCs w:val="13"/>
          <w:color w:val="auto"/>
        </w:rPr>
        <w:t>®</w:t>
      </w:r>
      <w:r>
        <w:rPr>
          <w:rFonts w:ascii="Arial" w:cs="Arial" w:eastAsia="Arial" w:hAnsi="Arial"/>
          <w:sz w:val="16"/>
          <w:szCs w:val="16"/>
          <w:color w:val="auto"/>
        </w:rPr>
        <w:t xml:space="preserve">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w:t>
      </w:r>
    </w:p>
    <w:p>
      <w:pPr>
        <w:spacing w:after="0" w:line="156" w:lineRule="exact"/>
        <w:rPr>
          <w:sz w:val="20"/>
          <w:szCs w:val="20"/>
          <w:color w:val="auto"/>
        </w:rPr>
      </w:pPr>
    </w:p>
    <w:p>
      <w:pPr>
        <w:ind w:left="220" w:right="300" w:firstLine="440"/>
        <w:spacing w:after="0" w:line="311" w:lineRule="auto"/>
        <w:rPr>
          <w:sz w:val="20"/>
          <w:szCs w:val="20"/>
          <w:color w:val="auto"/>
        </w:rPr>
      </w:pPr>
      <w:r>
        <w:rPr>
          <w:rFonts w:ascii="Arial" w:cs="Arial" w:eastAsia="Arial" w:hAnsi="Arial"/>
          <w:sz w:val="16"/>
          <w:szCs w:val="16"/>
          <w:color w:val="auto"/>
        </w:rPr>
        <w:t>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INSITE is a prospective multicenter randomized controlled trial conducted in the US. This section describes INSITE in more detail.</w:t>
      </w:r>
    </w:p>
    <w:p>
      <w:pPr>
        <w:spacing w:after="0" w:line="225" w:lineRule="exact"/>
        <w:rPr>
          <w:sz w:val="20"/>
          <w:szCs w:val="20"/>
          <w:color w:val="auto"/>
        </w:rPr>
      </w:pPr>
    </w:p>
    <w:p>
      <w:pPr>
        <w:ind w:left="220" w:right="140" w:firstLine="440"/>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177" w:lineRule="exact"/>
        <w:rPr>
          <w:sz w:val="20"/>
          <w:szCs w:val="20"/>
          <w:color w:val="auto"/>
        </w:rPr>
      </w:pPr>
    </w:p>
    <w:p>
      <w:pPr>
        <w:ind w:left="220" w:right="200" w:firstLine="440"/>
        <w:spacing w:after="0" w:line="272" w:lineRule="auto"/>
        <w:rPr>
          <w:sz w:val="20"/>
          <w:szCs w:val="20"/>
          <w:color w:val="auto"/>
        </w:rPr>
      </w:pPr>
      <w:r>
        <w:rPr>
          <w:rFonts w:ascii="Arial" w:cs="Arial" w:eastAsia="Arial" w:hAnsi="Arial"/>
          <w:sz w:val="17"/>
          <w:szCs w:val="17"/>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follow-up before electing to cross over to surgery. There was no early crossover.</w:t>
      </w:r>
    </w:p>
    <w:p>
      <w:pPr>
        <w:spacing w:after="0" w:line="176"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Subjects assigned to non-surgical management began immediately with treatment consisting of one or more of the following: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91" w:lineRule="exact"/>
        <w:rPr>
          <w:sz w:val="20"/>
          <w:szCs w:val="20"/>
          <w:color w:val="auto"/>
        </w:rPr>
      </w:pPr>
    </w:p>
    <w:p>
      <w:pPr>
        <w:ind w:left="220" w:right="100" w:firstLine="440"/>
        <w:spacing w:after="0" w:line="341" w:lineRule="auto"/>
        <w:rPr>
          <w:sz w:val="20"/>
          <w:szCs w:val="20"/>
          <w:color w:val="auto"/>
        </w:rPr>
      </w:pPr>
      <w:r>
        <w:rPr>
          <w:rFonts w:ascii="Arial" w:cs="Arial" w:eastAsia="Arial" w:hAnsi="Arial"/>
          <w:sz w:val="16"/>
          <w:szCs w:val="16"/>
          <w:color w:val="auto"/>
        </w:rPr>
        <w:t>Baseline assessments included medical history and physical examination. Subjects were scheduled for follow-up at 1, 3, 6, 12, 18, and 24 months after enrollment. At each follow-up, the subjects evaluated their pain and disability by completing questionnaires to assess pain and disability.</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A high-resolution pelvic CT scan was performed at the 24-month follow-up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183"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The study required that subjects receive only the assigned treatment to month six. After six months, the study allowed subjects assigned to non-surgical treatment to cross over to surgery. Crossover was allowed because the anticipated success rate for non- surgical management was low, and many subjects would not have participated without the ability to cross over to surgical care within the study. One-hundred percent of subjects who crossed over to surgical treatment in the study did so shortly after their six-month visit was complete in compliance with the design of the study. Nearly 90% of non-surgical management subjects still participating at month six crossed over to surgical care. All subjects who crossed over had sacroiliac joint fusion using iFuse and were subsequently evaluated with follow-up visits. No early crossover occurred.</w:t>
      </w:r>
    </w:p>
    <w:p>
      <w:pPr>
        <w:spacing w:after="0" w:line="177" w:lineRule="exact"/>
        <w:rPr>
          <w:sz w:val="20"/>
          <w:szCs w:val="20"/>
          <w:color w:val="auto"/>
        </w:rPr>
      </w:pPr>
    </w:p>
    <w:p>
      <w:pPr>
        <w:ind w:left="220" w:right="40" w:firstLine="440"/>
        <w:spacing w:after="0" w:line="301"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6" w:lineRule="exact"/>
        <w:rPr>
          <w:sz w:val="20"/>
          <w:szCs w:val="20"/>
          <w:color w:val="auto"/>
        </w:rPr>
      </w:pPr>
    </w:p>
    <w:p>
      <w:pPr>
        <w:ind w:left="220" w:right="300" w:firstLine="440"/>
        <w:spacing w:after="0" w:line="307"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Enrolled subjects were highly debilitated by sacroiliac joint pain as indicated by high baseline VAS scores (mean 82.3) and ODI scores (mean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56.8). Nineteen percent were not working due to chronic pain. The duration of pain prior to enrollment averaged 6.4 years (range 0.5 to 40.7 years), and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87.2% had had pain for more than one year and 73.6% had pain for more than two years.</w:t>
      </w:r>
    </w:p>
    <w:p>
      <w:pPr>
        <w:spacing w:after="0" w:line="210"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83" w:lineRule="exact"/>
        <w:rPr>
          <w:sz w:val="20"/>
          <w:szCs w:val="20"/>
          <w:color w:val="auto"/>
        </w:rPr>
      </w:pPr>
    </w:p>
    <w:p>
      <w:pPr>
        <w:ind w:left="220" w:right="740" w:firstLine="440"/>
        <w:spacing w:after="0" w:line="277" w:lineRule="auto"/>
        <w:rPr>
          <w:sz w:val="20"/>
          <w:szCs w:val="20"/>
          <w:color w:val="auto"/>
        </w:rPr>
      </w:pPr>
      <w:r>
        <w:rPr>
          <w:rFonts w:ascii="Arial" w:cs="Arial" w:eastAsia="Arial" w:hAnsi="Arial"/>
          <w:sz w:val="18"/>
          <w:szCs w:val="18"/>
          <w:color w:val="auto"/>
        </w:rPr>
        <w:t>Follow-up was excellent with 96% of non-surgical subjects having 6-month follow-up and 87% of sacroiliac joint fusion patients having 24-month follow-up.</w:t>
      </w:r>
    </w:p>
    <w:p>
      <w:pPr>
        <w:spacing w:after="0" w:line="170" w:lineRule="exact"/>
        <w:rPr>
          <w:sz w:val="20"/>
          <w:szCs w:val="20"/>
          <w:color w:val="auto"/>
        </w:rPr>
      </w:pPr>
    </w:p>
    <w:p>
      <w:pPr>
        <w:ind w:left="220" w:right="280" w:firstLine="440"/>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46 subjects assigned to non-surgical management:</w:t>
      </w:r>
    </w:p>
    <w:p>
      <w:pPr>
        <w:spacing w:after="0" w:line="130" w:lineRule="exact"/>
        <w:rPr>
          <w:sz w:val="20"/>
          <w:szCs w:val="20"/>
          <w:color w:val="auto"/>
        </w:rPr>
      </w:pPr>
    </w:p>
    <w:p>
      <w:pPr>
        <w:ind w:left="1080" w:hanging="438"/>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5620" w:right="2380" w:hanging="4978"/>
        <w:spacing w:after="0" w:line="449" w:lineRule="auto"/>
        <w:tabs>
          <w:tab w:leader="none" w:pos="10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 97</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INSITE clinical outcomes can be summarized as follows.</w:t>
      </w:r>
    </w:p>
    <w:p>
      <w:pPr>
        <w:spacing w:after="0" w:line="126" w:lineRule="exact"/>
        <w:rPr>
          <w:sz w:val="20"/>
          <w:szCs w:val="20"/>
          <w:color w:val="auto"/>
        </w:rPr>
      </w:pPr>
    </w:p>
    <w:p>
      <w:pPr>
        <w:ind w:left="1080" w:right="20" w:hanging="438"/>
        <w:spacing w:after="0" w:line="254"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Reduction in Pain</w:t>
      </w:r>
      <w:r>
        <w:rPr>
          <w:rFonts w:ascii="Arial" w:cs="Arial" w:eastAsia="Arial" w:hAnsi="Arial"/>
          <w:sz w:val="18"/>
          <w:szCs w:val="18"/>
          <w:color w:val="auto"/>
        </w:rPr>
        <w:t>. There was a statistically significant and clinically important reduction in pain among subjects treated with iFuse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non-surgical management. As shown in the graph below, subjects surgically treated with iFuse had a mean 52-point VAS reduction in sacroiliac joint pain at six months. The reduction in pain was sustained with a mean 54- and 55-point reduction in sacroiliac joint pain observed at 12 and 24 months, respectively.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149225</wp:posOffset>
            </wp:positionV>
            <wp:extent cx="4976495" cy="36404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76495" cy="364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right="320" w:firstLine="440"/>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7" w:lineRule="exact"/>
        <w:rPr>
          <w:sz w:val="20"/>
          <w:szCs w:val="20"/>
          <w:color w:val="auto"/>
        </w:rPr>
      </w:pPr>
    </w:p>
    <w:p>
      <w:pPr>
        <w:ind w:left="1080" w:hanging="438"/>
        <w:spacing w:after="0" w:line="281"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graph below, subjects surgically treated with</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40"/>
        <w:spacing w:after="0" w:line="296" w:lineRule="auto"/>
        <w:rPr>
          <w:sz w:val="20"/>
          <w:szCs w:val="20"/>
          <w:color w:val="auto"/>
        </w:rPr>
      </w:pPr>
      <w:r>
        <w:rPr>
          <w:rFonts w:ascii="Arial" w:cs="Arial" w:eastAsia="Arial" w:hAnsi="Arial"/>
          <w:sz w:val="16"/>
          <w:szCs w:val="16"/>
          <w:color w:val="auto"/>
        </w:rPr>
        <w:t>iFuse had a mean 27-point ODI reduction in disability at six months, while subjects in the non-surgical management group had only a mean 4.6-point decrease (p&lt;0.0001). At 12 and 24 months, the iFuse group had a mean 29- and 28-point reduction in disability, respectively. At six months, the proportion of subjects with ODI improvements of at least 15 points was 72.5% and 13.0% in the iFuse and non-surgical management groups, respectively. At 24 months, the proportion of subjects with an improvement of at least 15 points due to the assigned treatment was 68.2% and 7.5% in the iFuse and non-surgical management groups, respectively (p&lt;0.0001).</w:t>
      </w:r>
    </w:p>
    <w:p>
      <w:pPr>
        <w:spacing w:after="0" w:line="160" w:lineRule="exact"/>
        <w:rPr>
          <w:sz w:val="20"/>
          <w:szCs w:val="20"/>
          <w:color w:val="auto"/>
        </w:rPr>
      </w:pPr>
    </w:p>
    <w:p>
      <w:pPr>
        <w:jc w:val="both"/>
        <w:ind w:left="220" w:right="540" w:firstLine="440"/>
        <w:spacing w:after="0" w:line="263"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142240</wp:posOffset>
            </wp:positionV>
            <wp:extent cx="4976495" cy="3563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76495" cy="356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jc w:val="center"/>
        <w:ind w:right="120"/>
        <w:spacing w:after="0" w:line="290" w:lineRule="auto"/>
        <w:rPr>
          <w:sz w:val="20"/>
          <w:szCs w:val="20"/>
          <w:color w:val="auto"/>
        </w:rPr>
      </w:pPr>
      <w:r>
        <w:rPr>
          <w:rFonts w:ascii="Arial" w:cs="Arial" w:eastAsia="Arial" w:hAnsi="Arial"/>
          <w:sz w:val="16"/>
          <w:szCs w:val="16"/>
          <w:color w:val="auto"/>
        </w:rPr>
        <w:t>Patient satisfaction was assessed by asking subjects whether they were very satisfied, somewhat satisfied, somewhat dissatisfied or very dissatisfied with the treatment received. At six months, 79.0% of subjects who had received the iFuse procedure were very satisfied, compared with</w:t>
      </w:r>
    </w:p>
    <w:p>
      <w:pPr>
        <w:spacing w:after="0" w:line="1" w:lineRule="exact"/>
        <w:rPr>
          <w:sz w:val="20"/>
          <w:szCs w:val="20"/>
          <w:color w:val="auto"/>
        </w:rPr>
      </w:pPr>
    </w:p>
    <w:p>
      <w:pPr>
        <w:jc w:val="both"/>
        <w:ind w:left="220"/>
        <w:spacing w:after="0" w:line="302" w:lineRule="auto"/>
        <w:rPr>
          <w:sz w:val="20"/>
          <w:szCs w:val="20"/>
          <w:color w:val="auto"/>
        </w:rPr>
      </w:pPr>
      <w:r>
        <w:rPr>
          <w:rFonts w:ascii="Arial" w:cs="Arial" w:eastAsia="Arial" w:hAnsi="Arial"/>
          <w:sz w:val="16"/>
          <w:szCs w:val="16"/>
          <w:color w:val="auto"/>
        </w:rPr>
        <w:t>27.3% of subjects in the non-surgical management group. At six months, 81.0% of surgery subjects said they would definitely have the procedure again. At 24 months, satisfaction rates were high, with 73.3% reporting being very satisfied with surgical treatment of the sacroiliac joint, and 71.1% indicated they would have the procedure again. These results are consistent with the satisfaction results from other studies, covering approximately 500 subjects.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During the first six months, the mean number of adverse events per subject was slightly but not statistically significantly higher in the surgery group (1.3 events) as compared to the non-surgical management group (1.1</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spacing w:after="0" w:line="259" w:lineRule="auto"/>
        <w:rPr>
          <w:sz w:val="20"/>
          <w:szCs w:val="20"/>
          <w:color w:val="auto"/>
        </w:rPr>
      </w:pPr>
      <w:r>
        <w:rPr>
          <w:rFonts w:ascii="Arial" w:cs="Arial" w:eastAsia="Arial" w:hAnsi="Arial"/>
          <w:sz w:val="18"/>
          <w:szCs w:val="18"/>
          <w:color w:val="auto"/>
        </w:rPr>
        <w:t>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Non-Surgical</w:t>
            </w: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Sacroiliac</w:t>
            </w:r>
          </w:p>
        </w:tc>
      </w:tr>
      <w:tr>
        <w:trPr>
          <w:trHeight w:val="148"/>
        </w:trPr>
        <w:tc>
          <w:tcPr>
            <w:tcW w:w="88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Management</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71"/>
        </w:trPr>
        <w:tc>
          <w:tcPr>
            <w:tcW w:w="88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(n=46)</w:t>
            </w: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(n=102)</w:t>
            </w:r>
          </w:p>
        </w:tc>
      </w:tr>
      <w:tr>
        <w:trPr>
          <w:trHeight w:val="142"/>
        </w:trPr>
        <w:tc>
          <w:tcPr>
            <w:tcW w:w="88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6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Definitely related</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 (6.5%)</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Definitely related</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(2.2%)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(9.8%)</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 (8.7%)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16 (15.7%)</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1" w:lineRule="exact"/>
        <w:rPr>
          <w:sz w:val="20"/>
          <w:szCs w:val="20"/>
          <w:color w:val="auto"/>
        </w:rPr>
      </w:pPr>
    </w:p>
    <w:p>
      <w:pPr>
        <w:ind w:left="220" w:right="4880" w:hanging="10"/>
        <w:spacing w:after="0" w:line="277" w:lineRule="auto"/>
        <w:tabs>
          <w:tab w:leader="none" w:pos="6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left="220" w:right="360" w:firstLine="440"/>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provides substantial evidence of clinically important and statistically significant efficacy supporting the superiority of sacroiliac joint fusion using iFuse as compared to non-surgical management. Further, the fact that subjects who crossed over responded, as well as those who were originally assigned to the iFuse group, adds significantly to the trial’s validity and importance.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left="220" w:right="100" w:firstLine="440"/>
        <w:spacing w:after="0" w:line="286" w:lineRule="auto"/>
        <w:rPr>
          <w:sz w:val="20"/>
          <w:szCs w:val="20"/>
          <w:color w:val="auto"/>
        </w:rPr>
      </w:pPr>
      <w:r>
        <w:rPr>
          <w:rFonts w:ascii="Arial" w:cs="Arial" w:eastAsia="Arial" w:hAnsi="Arial"/>
          <w:sz w:val="17"/>
          <w:szCs w:val="17"/>
          <w:color w:val="auto"/>
        </w:rPr>
        <w:t xml:space="preserve">iMIA is a second prospective, randomized clinical trial of sacroiliac joint fusion using iFuse compared to non-surgical management with a design very similar to that of INSITE. iMIA enrolled and treated 103 subjects at nine sites in four European countries. The trial’s six-month results were published in European Spine Journal in May 2016 and 12-month results were published in August 2017 in </w:t>
      </w:r>
      <w:r>
        <w:rPr>
          <w:rFonts w:ascii="Arial" w:cs="Arial" w:eastAsia="Arial" w:hAnsi="Arial"/>
          <w:sz w:val="17"/>
          <w:szCs w:val="17"/>
          <w:i w:val="1"/>
          <w:iCs w:val="1"/>
          <w:color w:val="auto"/>
        </w:rPr>
        <w:t>Pain Physician</w:t>
      </w:r>
      <w:r>
        <w:rPr>
          <w:rFonts w:ascii="Arial" w:cs="Arial" w:eastAsia="Arial" w:hAnsi="Arial"/>
          <w:sz w:val="17"/>
          <w:szCs w:val="17"/>
          <w:color w:val="auto"/>
        </w:rPr>
        <w:t>.</w:t>
      </w:r>
    </w:p>
    <w:p>
      <w:pPr>
        <w:spacing w:after="0" w:line="165"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in a one-to-one ratio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186"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At 12 months, low back pain in the surgically treated group improved by 42 points and ODI improved by 25 points (p&lt;.0001 from baseline). Adverse events occurred at a low rate and the frequency of adverse events did not differ between groups. One case of postoperative nerve impingement occurred in the surgical group, which was resolved by repositioning the implant.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profound, rapid and sustained reduction in pain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288290</wp:posOffset>
            </wp:positionV>
            <wp:extent cx="4231640" cy="3161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31640" cy="316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240" w:top="459" w:right="6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20" w:firstLine="440"/>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 clinically profound, rapid and sustained reduction in disability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133985</wp:posOffset>
            </wp:positionV>
            <wp:extent cx="4231640" cy="3083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31640" cy="308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A manuscript describing 24-month results is currently under review at a medical journal. Study data show that improvements in pain, disability and quality of life were sustained at 24 months and satisfaction rates remained high.</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left="220" w:right="60" w:firstLine="440"/>
        <w:spacing w:after="0" w:line="341" w:lineRule="auto"/>
        <w:rPr>
          <w:sz w:val="20"/>
          <w:szCs w:val="20"/>
          <w:color w:val="auto"/>
        </w:rPr>
      </w:pPr>
      <w:r>
        <w:rPr>
          <w:rFonts w:ascii="Arial" w:cs="Arial" w:eastAsia="Arial" w:hAnsi="Arial"/>
          <w:sz w:val="16"/>
          <w:szCs w:val="16"/>
          <w:color w:val="auto"/>
        </w:rPr>
        <w:t xml:space="preserve">Sacroiliac Joint Fusion with iFuse Implant System, or SIFI, is a prospective, multicenter single-arm clinical trial. Eligibility criteria and endpoints were identical to INSITE. A manuscript summarizing 24-month results was published in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xml:space="preserve"> in April 2016.</w:t>
      </w:r>
    </w:p>
    <w:p>
      <w:pPr>
        <w:spacing w:after="0" w:line="125" w:lineRule="exact"/>
        <w:rPr>
          <w:sz w:val="20"/>
          <w:szCs w:val="20"/>
          <w:color w:val="auto"/>
        </w:rPr>
      </w:pPr>
    </w:p>
    <w:p>
      <w:pPr>
        <w:jc w:val="both"/>
        <w:ind w:left="220" w:right="220" w:firstLine="440"/>
        <w:spacing w:after="0" w:line="263" w:lineRule="auto"/>
        <w:rPr>
          <w:sz w:val="20"/>
          <w:szCs w:val="20"/>
          <w:color w:val="auto"/>
        </w:rPr>
      </w:pPr>
      <w:r>
        <w:rPr>
          <w:rFonts w:ascii="Arial" w:cs="Arial" w:eastAsia="Arial" w:hAnsi="Arial"/>
          <w:sz w:val="18"/>
          <w:szCs w:val="18"/>
          <w:color w:val="auto"/>
        </w:rPr>
        <w:t>Each of the 172 enrolled subjects received the iFuse procedure at one of 26 participating sites between August 2012 and December 2013. Mean subject age was 51 years and 96.5% subjects were Caucasian and approximately 70% were female. Follow-up rates at month 6, 12, and 24 were 97%, 91%, and 87%, respectively.</w:t>
      </w:r>
    </w:p>
    <w:p>
      <w:pPr>
        <w:spacing w:after="0" w:line="183"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3"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86"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color w:val="auto"/>
        </w:rPr>
        <w:t>The figure on the left below shows mean VAS pain scores at baseline and throughout follow-up. The figure on the right shows mean ODI scores at baseline and throughout follow-up. The results for both VAS pain and ODI scores each show clinically important and sustained reduction in disability across the subject population and follow-up period, consistent with the results observed in the surgical group in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130810</wp:posOffset>
            </wp:positionV>
            <wp:extent cx="5910580" cy="2800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10580" cy="280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220" w:right="520" w:firstLine="440"/>
        <w:spacing w:after="0" w:line="263" w:lineRule="auto"/>
        <w:rPr>
          <w:sz w:val="20"/>
          <w:szCs w:val="20"/>
          <w:color w:val="auto"/>
        </w:rPr>
      </w:pPr>
      <w:r>
        <w:rPr>
          <w:rFonts w:ascii="Arial" w:cs="Arial" w:eastAsia="Arial" w:hAnsi="Arial"/>
          <w:sz w:val="18"/>
          <w:szCs w:val="18"/>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183" w:lineRule="exact"/>
        <w:rPr>
          <w:sz w:val="20"/>
          <w:szCs w:val="20"/>
          <w:color w:val="auto"/>
        </w:rPr>
      </w:pPr>
    </w:p>
    <w:p>
      <w:pPr>
        <w:ind w:left="220" w:right="40" w:firstLine="440"/>
        <w:spacing w:after="0" w:line="273" w:lineRule="auto"/>
        <w:rPr>
          <w:sz w:val="20"/>
          <w:szCs w:val="20"/>
          <w:color w:val="auto"/>
        </w:rPr>
      </w:pPr>
      <w:r>
        <w:rPr>
          <w:rFonts w:ascii="Arial" w:cs="Arial" w:eastAsia="Arial" w:hAnsi="Arial"/>
          <w:sz w:val="17"/>
          <w:szCs w:val="17"/>
          <w:color w:val="auto"/>
        </w:rPr>
        <w:t>Four adverse events (2.4% of all subjects) were rated by the investigator to be definitely device-related and three (1.8%) were probably device-related. Pain related to implant impingement on sacral nerve roots occurred in three cases (including one non-study-related side), all of which resolved with immediate repositioning of implants. In four cases, sacroiliac joint or hip pain was attributed to the presence of an implant or bone growth around the implant. Twenty-six events were rated as probably or definitely related to the placement procedure. The most common events were wound infection, irritation or drainage, sacroiliac joint pain related to implant malposition (described above), and recurrent sacroiliac joint pain related to inadequate device placement. One subject had a deep wound infection that required surgical debridement.</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117"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 xml:space="preserve">LOIS is a prospective follow-on study, enrolling subjects at a subset of INSITE and SIFI sites who underwent sacroiliac joint fusion. Enrolled subjects will be followed out to five years following surgery. Study outcomes at three years were published in April 2018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and Research</w:t>
      </w:r>
      <w:r>
        <w:rPr>
          <w:rFonts w:ascii="Arial" w:cs="Arial" w:eastAsia="Arial" w:hAnsi="Arial"/>
          <w:sz w:val="17"/>
          <w:szCs w:val="17"/>
          <w:color w:val="auto"/>
        </w:rPr>
        <w:t>. Among 103 enrolled subjects, mean sacroiliac joint pain at three years decreased from 81.5 preoperatively to 26.2 (a 56-point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from baseline, p&lt;.0001), as shown in the graph below on the left. A manuscript with results at four years of follow-up was recently accepted for publication. Study data show continued improvements in pain, disability and quality of life sustained at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214630</wp:posOffset>
            </wp:positionV>
            <wp:extent cx="5987415" cy="28784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87415" cy="287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20" w:right="40" w:firstLine="440"/>
        <w:spacing w:after="0" w:line="311" w:lineRule="auto"/>
        <w:rPr>
          <w:sz w:val="20"/>
          <w:szCs w:val="20"/>
          <w:color w:val="auto"/>
        </w:rPr>
      </w:pPr>
      <w:r>
        <w:rPr>
          <w:rFonts w:ascii="Arial" w:cs="Arial" w:eastAsia="Arial" w:hAnsi="Arial"/>
          <w:sz w:val="16"/>
          <w:szCs w:val="16"/>
          <w:color w:val="auto"/>
        </w:rPr>
        <w:t>Subjects in the LOIS study experienced similar improvements in disability and quality of life. As shown in the graph above on the right, average disability prior to treatment as measured on the ODI scale was 56.3 and fell to an average of 28.2 by 36 months following treatment. Average quality of life as measured by the EuroQol-5D prior to treatment was 0.45 and had improved to 0.75 by 36 months following treatment with iFuse.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left="220" w:right="100" w:firstLine="440"/>
        <w:spacing w:after="0" w:line="279"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A retrospective multicenter analysis of three-year outcomes after sacroiliac joint fusion with iFuse showed similar responses.</w:t>
      </w:r>
    </w:p>
    <w:p>
      <w:pPr>
        <w:spacing w:after="0" w:line="170"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Of more than 500 patients treated with iFuse in 10 studies we have sponsored or followed in which satisfaction was measured, 91% were satisfied or very satisfied with the result. All of the iFuse studies published as of June 2018 report sacroiliac joint pain using the VAS pain scale are in the graph below. We financially supported nine of these thirteen clinical studies.</w:t>
      </w:r>
    </w:p>
    <w:p>
      <w:pPr>
        <w:spacing w:after="0" w:line="183"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To date, several studies, some of which we did not sponsor, have been published on the safety and effectiveness of sacroiliac joint fusion using iFuse. These are prospective or retrospective, single site or multi-</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86" w:lineRule="auto"/>
        <w:rPr>
          <w:sz w:val="20"/>
          <w:szCs w:val="20"/>
          <w:color w:val="auto"/>
        </w:rPr>
      </w:pPr>
      <w:r>
        <w:rPr>
          <w:rFonts w:ascii="Arial" w:cs="Arial" w:eastAsia="Arial" w:hAnsi="Arial"/>
          <w:sz w:val="17"/>
          <w:szCs w:val="17"/>
          <w:color w:val="auto"/>
        </w:rPr>
        <w:t>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iMIA, and SIFI. These additional studies are consistent with the results of INSITE, iMIA, and SIFI.</w:t>
      </w:r>
    </w:p>
    <w:p>
      <w:pPr>
        <w:spacing w:after="0" w:line="165" w:lineRule="exact"/>
        <w:rPr>
          <w:sz w:val="20"/>
          <w:szCs w:val="20"/>
          <w:color w:val="auto"/>
        </w:rPr>
      </w:pPr>
    </w:p>
    <w:p>
      <w:pPr>
        <w:ind w:left="220" w:right="100" w:firstLine="440"/>
        <w:spacing w:after="0" w:line="296" w:lineRule="auto"/>
        <w:rPr>
          <w:sz w:val="20"/>
          <w:szCs w:val="20"/>
          <w:color w:val="auto"/>
        </w:rPr>
      </w:pPr>
      <w:r>
        <w:rPr>
          <w:rFonts w:ascii="Arial" w:cs="Arial" w:eastAsia="Arial" w:hAnsi="Arial"/>
          <w:sz w:val="16"/>
          <w:szCs w:val="16"/>
          <w:color w:val="auto"/>
        </w:rPr>
        <w:t xml:space="preserve">A study published in April 2017 in </w:t>
      </w:r>
      <w:r>
        <w:rPr>
          <w:rFonts w:ascii="Arial" w:cs="Arial" w:eastAsia="Arial" w:hAnsi="Arial"/>
          <w:sz w:val="16"/>
          <w:szCs w:val="16"/>
          <w:i w:val="1"/>
          <w:iCs w:val="1"/>
          <w:color w:val="auto"/>
        </w:rPr>
        <w:t>Neurosurgery</w:t>
      </w:r>
      <w:r>
        <w:rPr>
          <w:rFonts w:ascii="Arial" w:cs="Arial" w:eastAsia="Arial" w:hAnsi="Arial"/>
          <w:sz w:val="16"/>
          <w:szCs w:val="16"/>
          <w:color w:val="auto"/>
        </w:rPr>
        <w:t xml:space="preserve"> shows the impact of non-coverage of sacroiliac joint fusion by the healthcare system. In this study, a Spanish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only able to pursue continued non-surgical treatment. Of the remaining 78 patients, 51 underwent radiofrequency ablation of lateral branches of sacral nerve roots and 27 underwent sacroiliac joint fusion with iFuse.</w:t>
      </w:r>
    </w:p>
    <w:p>
      <w:pPr>
        <w:spacing w:after="0" w:line="160" w:lineRule="exact"/>
        <w:rPr>
          <w:sz w:val="20"/>
          <w:szCs w:val="20"/>
          <w:color w:val="auto"/>
        </w:rPr>
      </w:pPr>
    </w:p>
    <w:p>
      <w:pPr>
        <w:ind w:left="220" w:right="80" w:firstLine="440"/>
        <w:spacing w:after="0" w:line="279" w:lineRule="auto"/>
        <w:rPr>
          <w:sz w:val="20"/>
          <w:szCs w:val="20"/>
          <w:color w:val="auto"/>
        </w:rPr>
      </w:pPr>
      <w:r>
        <w:rPr>
          <w:rFonts w:ascii="Arial" w:cs="Arial" w:eastAsia="Arial" w:hAnsi="Arial"/>
          <w:sz w:val="17"/>
          <w:szCs w:val="17"/>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a decreased incidence of opioid use. The differences in all outcomes (pain, disability, work status, and opioid use) were both statistically significant and clinically profound. The graph below shows the pain scores of the three treatment cohorts followed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133985</wp:posOffset>
            </wp:positionV>
            <wp:extent cx="5199380" cy="3751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99380" cy="375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240" w:top="459" w:right="5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firstLine="440"/>
        <w:spacing w:after="0" w:line="259" w:lineRule="auto"/>
        <w:rPr>
          <w:sz w:val="20"/>
          <w:szCs w:val="20"/>
          <w:color w:val="auto"/>
        </w:rPr>
      </w:pPr>
      <w:r>
        <w:rPr>
          <w:rFonts w:ascii="Arial" w:cs="Arial" w:eastAsia="Arial" w:hAnsi="Arial"/>
          <w:sz w:val="18"/>
          <w:szCs w:val="18"/>
          <w:color w:val="auto"/>
        </w:rPr>
        <w:t>The graph below shows the changes in the percentage of subjects using opioids among the iFuse and conservative care groups in the study. Forty-nine percent of subjects who were not able to access treatment with iFuse were using opioids at the beginning of the study, whereas 80% of them were using opioids at the time of their final follow-up. In contrast, 63% of the subjects who were able to obtain treatment with iFuse were using opioids prior to treatment, whereas only 7% were using opioids at their final follow-up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144145</wp:posOffset>
            </wp:positionV>
            <wp:extent cx="3520440" cy="26041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20440" cy="260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several important aspects to this study:</w:t>
      </w:r>
    </w:p>
    <w:p>
      <w:pPr>
        <w:spacing w:after="0" w:line="130" w:lineRule="exact"/>
        <w:rPr>
          <w:sz w:val="20"/>
          <w:szCs w:val="20"/>
          <w:color w:val="auto"/>
        </w:rPr>
      </w:pPr>
    </w:p>
    <w:p>
      <w:pPr>
        <w:ind w:left="1080" w:right="60" w:hanging="438"/>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130" w:lineRule="exact"/>
        <w:rPr>
          <w:rFonts w:ascii="Arial" w:cs="Arial" w:eastAsia="Arial" w:hAnsi="Arial"/>
          <w:sz w:val="18"/>
          <w:szCs w:val="18"/>
          <w:color w:val="auto"/>
        </w:rPr>
      </w:pPr>
    </w:p>
    <w:p>
      <w:pPr>
        <w:ind w:left="1080" w:right="480" w:hanging="438"/>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170"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w:t>
      </w:r>
      <w:r>
        <w:rPr>
          <w:rFonts w:ascii="Arial" w:cs="Arial" w:eastAsia="Arial" w:hAnsi="Arial"/>
          <w:sz w:val="16"/>
          <w:szCs w:val="16"/>
          <w:i w:val="1"/>
          <w:iCs w:val="1"/>
          <w:color w:val="auto"/>
        </w:rPr>
        <w:t xml:space="preserve"> </w:t>
      </w:r>
      <w:r>
        <w:rPr>
          <w:rFonts w:ascii="Arial" w:cs="Arial" w:eastAsia="Arial" w:hAnsi="Arial"/>
          <w:sz w:val="16"/>
          <w:szCs w:val="16"/>
          <w:color w:val="auto"/>
        </w:rPr>
        <w:t>One of these studies used data from INSITE to calculate the incremental cost-effectiveness of the iFuse procedure and found it to be similar to that of hip and knee arthroplasty, commonly known as total joint replacement. The two latter procedures are generally accepted as being safe, effective, and highly cost-effective. The incremental cost effectiveness ratio, or ICER, of a procedure or therapy is a common way of quantifying its cost-effectiveness and represents the incremental cost to the healthcare system of providing one additional quality adjusted life-year, obtained by dividing the average cost of the therapy by the average increase in quality-adjusted life years that it achieves. Therapies with ICERs below $50,000 are considered cost-effective and generally gain acceptance. For example, studies have shown that the ICER of total joint replacement surgery for knees is approximately $12,000 and that for hip replacements is approximately $10,000. One study showed the ICER of the iFuse procedure to be $13,000, nearly as cost-effective as knee and hip surgeries, which are both common and well-accepted procedures. The ICER of iFuse derived from data from the INSITE trial is significantly better than the published ICERs of other common spine surgeries derived from one of the few other randomized controlled clinical trials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spacing w:after="0" w:line="263" w:lineRule="auto"/>
        <w:rPr>
          <w:sz w:val="20"/>
          <w:szCs w:val="20"/>
          <w:color w:val="auto"/>
        </w:rPr>
      </w:pPr>
      <w:r>
        <w:rPr>
          <w:rFonts w:ascii="Arial" w:cs="Arial" w:eastAsia="Arial" w:hAnsi="Arial"/>
          <w:sz w:val="18"/>
          <w:szCs w:val="18"/>
          <w:color w:val="auto"/>
        </w:rPr>
        <w:t>of spine surgeries. Published analyses of the data from this trial showed the ICER of discectomy to be approximately $21,000, the ICER of standard decompressive laminectomy to be approximately $64,000, and the ICER of posterior decompressive laminectomy to be approximately $59,000. Each of these is a commonly performed spine surgery.</w:t>
      </w:r>
    </w:p>
    <w:p>
      <w:pPr>
        <w:spacing w:after="0" w:line="183"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 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w:t>
      </w:r>
    </w:p>
    <w:p>
      <w:pPr>
        <w:spacing w:after="0" w:line="191"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183"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A fourth health economic study currently under review for publication examined healthcare costs for low back pain before and after sacroiliac joint fusion in patients in a commercial insurance database. Analysis showed reductions in median low back pain-related healthcare costs after sacroiliac joint fusion compared to before. A break-even analysis for health plan reimbursements for patients undergoing minimally invasive sacroiliac joint fusion on an outpatient basis showed similar cumulative claims for patients not undergoing the procedure within approximately 2.5 years. Following the procedure, per patient costs related to sacroiliac joint pain decrease to approximately $250 per quarter among the group who underwent sacroiliac joint fusion.</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Spine Surgery</w:t>
      </w:r>
      <w:r>
        <w:rPr>
          <w:rFonts w:ascii="Arial" w:cs="Arial" w:eastAsia="Arial" w:hAnsi="Arial"/>
          <w:sz w:val="18"/>
          <w:szCs w:val="18"/>
          <w:color w:val="auto"/>
        </w:rPr>
        <w:t>. The image on the right below shows the cross section cut from an iFuse-3D implant removed from an animal as part of the study,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reveals robust growth of bone into the 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149225</wp:posOffset>
            </wp:positionV>
            <wp:extent cx="6141720" cy="20046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41720" cy="200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20" w:right="120" w:firstLine="440"/>
        <w:spacing w:after="0" w:line="296" w:lineRule="auto"/>
        <w:rPr>
          <w:sz w:val="20"/>
          <w:szCs w:val="20"/>
          <w:color w:val="auto"/>
        </w:rPr>
      </w:pPr>
      <w:r>
        <w:rPr>
          <w:rFonts w:ascii="Arial" w:cs="Arial" w:eastAsia="Arial" w:hAnsi="Arial"/>
          <w:sz w:val="16"/>
          <w:szCs w:val="16"/>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60"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seven regional Medicare Administrative Contractors is permitted to make its own determination of whether that item or service is covered by Medicare.</w:t>
      </w:r>
    </w:p>
    <w:p>
      <w:pPr>
        <w:spacing w:after="0" w:line="186"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70" w:lineRule="exact"/>
        <w:rPr>
          <w:sz w:val="20"/>
          <w:szCs w:val="20"/>
          <w:color w:val="auto"/>
        </w:rPr>
      </w:pPr>
    </w:p>
    <w:p>
      <w:pPr>
        <w:ind w:left="220" w:right="40" w:firstLine="440"/>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5"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In the United States, the American Medical Association, or AMA, generally creates specific billing codes for surgical procedures under a coding system known as Current Procedure Terminology, or CPT, which surgeons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6" w:lineRule="exact"/>
        <w:rPr>
          <w:sz w:val="20"/>
          <w:szCs w:val="20"/>
          <w:color w:val="auto"/>
        </w:rPr>
      </w:pPr>
    </w:p>
    <w:p>
      <w:pPr>
        <w:ind w:left="220" w:right="160" w:firstLine="440"/>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5"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91" w:lineRule="exact"/>
        <w:rPr>
          <w:sz w:val="20"/>
          <w:szCs w:val="20"/>
          <w:color w:val="auto"/>
        </w:rPr>
      </w:pPr>
    </w:p>
    <w:p>
      <w:pPr>
        <w:ind w:left="220" w:right="320" w:firstLine="440"/>
        <w:spacing w:after="0" w:line="272" w:lineRule="auto"/>
        <w:rPr>
          <w:sz w:val="20"/>
          <w:szCs w:val="20"/>
          <w:color w:val="auto"/>
        </w:rPr>
      </w:pPr>
      <w:r>
        <w:rPr>
          <w:rFonts w:ascii="Arial" w:cs="Arial" w:eastAsia="Arial" w:hAnsi="Arial"/>
          <w:sz w:val="17"/>
          <w:szCs w:val="17"/>
          <w:color w:val="auto"/>
        </w:rPr>
        <w:t>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that sacroiliac joint fusion using a minimally invasive surgical approach should be routinely reimbursed. In March 2015, the International Society for Advancement of Spine Surgery, or ISASS, also published a similar, updated positive advocacy document intended to encourage insurance companies in the United States to reimburse for the procedure.</w:t>
      </w:r>
    </w:p>
    <w:p>
      <w:pPr>
        <w:spacing w:after="0" w:line="175" w:lineRule="exact"/>
        <w:rPr>
          <w:sz w:val="20"/>
          <w:szCs w:val="20"/>
          <w:color w:val="auto"/>
        </w:rPr>
      </w:pPr>
    </w:p>
    <w:p>
      <w:pPr>
        <w:ind w:left="220" w:right="20" w:firstLine="440"/>
        <w:spacing w:after="0" w:line="254" w:lineRule="auto"/>
        <w:rPr>
          <w:sz w:val="20"/>
          <w:szCs w:val="20"/>
          <w:color w:val="auto"/>
        </w:rPr>
      </w:pPr>
      <w:r>
        <w:rPr>
          <w:rFonts w:ascii="Arial" w:cs="Arial" w:eastAsia="Arial" w:hAnsi="Arial"/>
          <w:sz w:val="18"/>
          <w:szCs w:val="18"/>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2016, U.S. payors covering approximately 133 million lives regularly reimbursed for the iFuse procedure, and as of December 31, 2017, U.S. payors covering approximately 162 million lives regularly reimbursed for the iFuse procedure. However, by August 31, 2018, 39 of the largest 65 private payors that we track had positive coverage policies for the procedure, were consistently covering the procedure, or had announced coming future coverage.</w:t>
      </w:r>
    </w:p>
    <w:p>
      <w:pPr>
        <w:spacing w:after="0" w:line="193"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color w:val="auto"/>
        </w:rPr>
        <w:t>Third-party payors, whether governmental or commercial, are also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3"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6"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franchisor to all 36 Blue Cross and Blue Shield insurers across the United States, wrote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July 2018, eviCore published its draft guidelines to be published in final form in October 2018, recommending our iFuse system exclusively for sacroiliac joint fusion or stabilization.</w:t>
      </w:r>
    </w:p>
    <w:p>
      <w:pPr>
        <w:spacing w:after="0" w:line="172" w:lineRule="exact"/>
        <w:rPr>
          <w:sz w:val="20"/>
          <w:szCs w:val="20"/>
          <w:color w:val="auto"/>
        </w:rPr>
      </w:pPr>
    </w:p>
    <w:p>
      <w:pPr>
        <w:ind w:left="220" w:firstLine="440"/>
        <w:spacing w:after="0" w:line="258" w:lineRule="auto"/>
        <w:rPr>
          <w:sz w:val="20"/>
          <w:szCs w:val="20"/>
          <w:color w:val="auto"/>
        </w:rPr>
      </w:pPr>
      <w:r>
        <w:rPr>
          <w:rFonts w:ascii="Arial" w:cs="Arial" w:eastAsia="Arial" w:hAnsi="Arial"/>
          <w:sz w:val="18"/>
          <w:szCs w:val="18"/>
          <w:b w:val="1"/>
          <w:bCs w:val="1"/>
          <w:color w:val="auto"/>
        </w:rPr>
        <w:t>Private Payors</w:t>
      </w:r>
      <w:r>
        <w:rPr>
          <w:rFonts w:ascii="Arial" w:cs="Arial" w:eastAsia="Arial" w:hAnsi="Arial"/>
          <w:sz w:val="18"/>
          <w:szCs w:val="18"/>
          <w:color w:val="auto"/>
        </w:rPr>
        <w:t>. Private payors also decide whether to cover and how much to pay on an individual basis. We target and track 65 of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payors that cover over 200 million lives in the United States as of December 31, 2017.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published since January 1, 2018, which we believe has contributed to our accelerating sales growth in fiscal year 2018. The private payors covering iFuse exclusively are: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 Florida</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BCBS-Minnesota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BCBS-Illinois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BCBS-Mississippi</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BCBS-New Mexico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BCBS-New Jersey (Horizon)</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BCBS-Oklahoma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BCBS-NY (HealthNow)</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BCBS-Texas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w w:val="91"/>
              </w:rPr>
              <w:t>BCBS-Capital Blue (Pennsylvania)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 Montana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BCBS-Independence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BCBS-Idaho</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BCBS-Regence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BCBS-Kansas City</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BCBS-South Carolina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BCBS-Kansas</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BCBS-Tennessee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BCBS-Louisiana</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BCBS-Wyoming</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BCBS-Massachusetts</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BCBS-Capital Health (Florida)</w:t>
            </w:r>
          </w:p>
        </w:tc>
      </w:tr>
      <w:tr>
        <w:trPr>
          <w:trHeight w:val="230"/>
        </w:trPr>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Select Health</w:t>
            </w:r>
          </w:p>
        </w:tc>
      </w:tr>
    </w:tbl>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private payors covering iFuse and other sacroiliac joint fusion products are: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BCBS-Highmark</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Health New England</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BCBS-Michigan</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Kaiser California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BCBS-Nebraska</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Kaiser Northwest</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BCBS-North Dakota</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Kern Health Systems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BCBS-Vermont</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Network Health</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Emblem Health</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Priority Health</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Geisinger Health Plan</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United Healthcare</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Harvard Pilgrim</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w w:val="90"/>
              </w:rPr>
              <w:t>Utah Public Employee Health Plan</w:t>
            </w:r>
          </w:p>
        </w:tc>
      </w:tr>
      <w:tr>
        <w:trPr>
          <w:trHeight w:val="513"/>
        </w:trPr>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40" w:type="dxa"/>
            <w:vAlign w:val="bottom"/>
          </w:tcPr>
          <w:p>
            <w:pPr>
              <w:ind w:left="1500"/>
              <w:spacing w:after="0"/>
              <w:rPr>
                <w:sz w:val="20"/>
                <w:szCs w:val="20"/>
                <w:color w:val="auto"/>
              </w:rPr>
            </w:pPr>
            <w:r>
              <w:rPr>
                <w:rFonts w:ascii="Arial" w:cs="Arial" w:eastAsia="Arial" w:hAnsi="Arial"/>
                <w:sz w:val="18"/>
                <w:szCs w:val="18"/>
                <w:color w:val="auto"/>
              </w:rPr>
              <w:t>110</w:t>
            </w:r>
          </w:p>
        </w:tc>
        <w:tc>
          <w:tcPr>
            <w:tcW w:w="268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As of August 31, 2018, U.S. payors covering 250 million lives reimburse for iFuse, 115 million of which are covered by private payors. The chart below shows the overall coverage as of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185420</wp:posOffset>
            </wp:positionV>
            <wp:extent cx="5113655" cy="3340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13655" cy="334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83" w:lineRule="exact"/>
        <w:rPr>
          <w:sz w:val="20"/>
          <w:szCs w:val="20"/>
          <w:color w:val="auto"/>
        </w:rPr>
      </w:pPr>
    </w:p>
    <w:p>
      <w:pPr>
        <w:ind w:left="220" w:right="120" w:firstLine="440"/>
        <w:spacing w:after="0" w:line="279" w:lineRule="auto"/>
        <w:rPr>
          <w:sz w:val="20"/>
          <w:szCs w:val="20"/>
          <w:color w:val="auto"/>
        </w:rPr>
      </w:pPr>
      <w:r>
        <w:rPr>
          <w:rFonts w:ascii="Arial" w:cs="Arial" w:eastAsia="Arial" w:hAnsi="Arial"/>
          <w:sz w:val="17"/>
          <w:szCs w:val="17"/>
          <w:color w:val="auto"/>
        </w:rPr>
        <w:t>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 In most cases, the payors who are not covering are reevaluating coverage. Many payors will only review their coverage policies for a procedure on a scheduled basis, which can be every few months or as infrequently as once per year.</w:t>
      </w:r>
    </w:p>
    <w:p>
      <w:pPr>
        <w:spacing w:after="0" w:line="170" w:lineRule="exact"/>
        <w:rPr>
          <w:sz w:val="20"/>
          <w:szCs w:val="20"/>
          <w:color w:val="auto"/>
        </w:rPr>
      </w:pPr>
    </w:p>
    <w:p>
      <w:pPr>
        <w:ind w:left="220" w:right="160" w:firstLine="440"/>
        <w:spacing w:after="0" w:line="289" w:lineRule="auto"/>
        <w:rPr>
          <w:sz w:val="20"/>
          <w:szCs w:val="20"/>
          <w:color w:val="auto"/>
        </w:rPr>
      </w:pPr>
      <w:r>
        <w:rPr>
          <w:rFonts w:ascii="Arial" w:cs="Arial" w:eastAsia="Arial" w:hAnsi="Arial"/>
          <w:sz w:val="16"/>
          <w:szCs w:val="16"/>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 We believe it takes between 6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Coverage Outside the United States</w:t>
      </w:r>
    </w:p>
    <w:p>
      <w:pPr>
        <w:spacing w:after="0" w:line="121" w:lineRule="exact"/>
        <w:rPr>
          <w:sz w:val="20"/>
          <w:szCs w:val="20"/>
          <w:color w:val="auto"/>
        </w:rPr>
      </w:pPr>
    </w:p>
    <w:p>
      <w:pPr>
        <w:ind w:left="220" w:right="60" w:firstLine="440"/>
        <w:spacing w:after="0" w:line="286" w:lineRule="auto"/>
        <w:rPr>
          <w:sz w:val="20"/>
          <w:szCs w:val="20"/>
          <w:color w:val="auto"/>
        </w:rPr>
      </w:pPr>
      <w:r>
        <w:rPr>
          <w:rFonts w:ascii="Arial" w:cs="Arial" w:eastAsia="Arial" w:hAnsi="Arial"/>
          <w:sz w:val="17"/>
          <w:szCs w:val="17"/>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65"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In April 2017, the UK’s National Institute for Health and Care Excellence, or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MIS SI joint fusion.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Additionally, in August 2018, the public hospital system in France announced it would initiate coverage for iFuse exclusively beginning September 6,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board-certified fellowship trained orthopedic spine surgeon. As of June 30, 2018, our U.S. faculty consisted of 80 surgeons, 19 pain management physicians, 11 nurse practitioners/physician’s assistants, and 83 physical therapists. These third-party consultants educate surgeons, physician’s assistants, nurses, physical therapists, and other healthcare professionals regarding sacroiliac joint diagnosis and the iFuse procedure.</w:t>
      </w:r>
    </w:p>
    <w:p>
      <w:pPr>
        <w:spacing w:after="0" w:line="190" w:lineRule="exact"/>
        <w:rPr>
          <w:sz w:val="20"/>
          <w:szCs w:val="20"/>
          <w:color w:val="auto"/>
        </w:rPr>
      </w:pPr>
    </w:p>
    <w:p>
      <w:pPr>
        <w:ind w:left="220" w:firstLine="440"/>
        <w:spacing w:after="0" w:line="286"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approximately 1,700 surgeons have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As of June 30, 2018, our medical affairs team and physical therapist consultants have educated over 3,600 physical therapists on sacroiliac joint dysfunction, its diagnosis and iFuse as a potential treatment. We also work to educate case managers, facilities where the iFuse procedure is performed such as hospitals, as well as payors and health plans. For example, as of June 30, 2018, we have trained over 1,200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June 30, 2018, our physical therapy continuing education programs were approved in 43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20" w:right="160" w:firstLine="440"/>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3"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1" w:lineRule="exact"/>
        <w:rPr>
          <w:sz w:val="20"/>
          <w:szCs w:val="20"/>
          <w:color w:val="auto"/>
        </w:rPr>
      </w:pPr>
    </w:p>
    <w:p>
      <w:pPr>
        <w:ind w:left="220" w:right="300" w:firstLine="440"/>
        <w:spacing w:after="0" w:line="256"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91"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Since our initial launch of the iFuse system, we have introduced a number of new instrument enhancements, product enhancements and procedure enhancements. An example is the iFuse-3D implant, which we developed over several years and launched in 2017. The most notable instrument enhancement was the release of the revamped instruments set which included a number of radiolucent instruments. We also design and manufacture, Class I instruments for our surgeon customers based on special request under our “Non-Standard Product” program.</w:t>
      </w:r>
    </w:p>
    <w:p>
      <w:pPr>
        <w:spacing w:after="0" w:line="170" w:lineRule="exact"/>
        <w:rPr>
          <w:sz w:val="20"/>
          <w:szCs w:val="20"/>
          <w:color w:val="auto"/>
        </w:rPr>
      </w:pPr>
    </w:p>
    <w:p>
      <w:pPr>
        <w:ind w:left="220" w:right="160" w:firstLine="440"/>
        <w:spacing w:after="0" w:line="271" w:lineRule="auto"/>
        <w:rPr>
          <w:sz w:val="20"/>
          <w:szCs w:val="20"/>
          <w:color w:val="auto"/>
        </w:rPr>
      </w:pPr>
      <w:r>
        <w:rPr>
          <w:rFonts w:ascii="Arial" w:cs="Arial" w:eastAsia="Arial" w:hAnsi="Arial"/>
          <w:sz w:val="17"/>
          <w:szCs w:val="17"/>
          <w:color w:val="auto"/>
        </w:rPr>
        <w:t>In 2017, we introduced an instrument set which is cleared for use with Medtronic’s surgical navigation system, allowing the surgeon to visualize the positioning of certain instruments intra-operatively. In March 2018, we introduced surgical pins cleared for use with the Mazor surgical robot, allowing the surgeon to robotically place the guide pin according to a computer-generated surgical plan. We expect to continue developing enhancements to iFuse to meet our customers’ changing needs and improve the surgery’s effectiveness. For example, we know that some surgeons use iFuse to treat SI joint dysfunction in patients in whom the surgeon is also implanting other devices to treat other spine conditions. We are developing products and techniques to help surgeons improve the treatment of these patients, and we will seek any additional regulatory clearances which may be required. Our research and development expense for 2016 and 2017 and for the six months ended June 30, 2017 and June 30, 2018 was $6.4 million, $5.5 million, $2.8 million, and $2.5 million, respectively.</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20" w:right="540" w:firstLine="440"/>
        <w:spacing w:after="0" w:line="277" w:lineRule="auto"/>
        <w:rPr>
          <w:sz w:val="20"/>
          <w:szCs w:val="20"/>
          <w:color w:val="auto"/>
        </w:rPr>
      </w:pPr>
      <w:r>
        <w:rPr>
          <w:rFonts w:ascii="Arial" w:cs="Arial" w:eastAsia="Arial" w:hAnsi="Arial"/>
          <w:sz w:val="18"/>
          <w:szCs w:val="18"/>
          <w:color w:val="auto"/>
        </w:rPr>
        <w:t>We believe we were the first company to develop, manufacture, and market a minimally invasive implant cleared by the FDA expressly for sacroiliac joint fusion other than a modified screw. Over the past several years,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90" w:lineRule="auto"/>
        <w:rPr>
          <w:sz w:val="20"/>
          <w:szCs w:val="20"/>
          <w:color w:val="auto"/>
        </w:rPr>
      </w:pPr>
      <w:r>
        <w:rPr>
          <w:rFonts w:ascii="Arial" w:cs="Arial" w:eastAsia="Arial" w:hAnsi="Arial"/>
          <w:sz w:val="16"/>
          <w:szCs w:val="16"/>
          <w:color w:val="auto"/>
        </w:rPr>
        <w:t>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64" w:lineRule="exact"/>
        <w:rPr>
          <w:sz w:val="20"/>
          <w:szCs w:val="20"/>
          <w:color w:val="auto"/>
        </w:rPr>
      </w:pPr>
    </w:p>
    <w:p>
      <w:pPr>
        <w:ind w:left="220" w:right="160" w:firstLine="440"/>
        <w:spacing w:after="0" w:line="296"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implantable medical devices made of metallic or other non-tissue based materials.</w:t>
      </w:r>
    </w:p>
    <w:p>
      <w:pPr>
        <w:spacing w:after="0" w:line="160"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Based on our commercial experience and market research, we believe iFuse is currently used in the majority of minimally invasive surgical fusions of the sacroiliac joint in the United States.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60 published papers.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0" w:lineRule="exact"/>
        <w:rPr>
          <w:sz w:val="20"/>
          <w:szCs w:val="20"/>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June 30, 2018, we had been issued 34 patents in the United States, five patents in Japan and one in China. Also, as of June 30, 2018, we have 11 pending patent applications in the United States and seven pending patent applications outside of United States. We have focused the majority of our foreign patent efforts in China, Europe, and Japan.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24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380" w:firstLine="440"/>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September 2035, and our Japanese patents are expected to expire between August 2025 and October 2031.</w:t>
      </w:r>
    </w:p>
    <w:p>
      <w:pPr>
        <w:spacing w:after="0" w:line="170" w:lineRule="exact"/>
        <w:rPr>
          <w:sz w:val="20"/>
          <w:szCs w:val="20"/>
          <w:color w:val="auto"/>
        </w:rPr>
      </w:pPr>
    </w:p>
    <w:p>
      <w:pPr>
        <w:ind w:left="220" w:right="220" w:firstLine="440"/>
        <w:spacing w:after="0" w:line="286" w:lineRule="auto"/>
        <w:rPr>
          <w:sz w:val="20"/>
          <w:szCs w:val="20"/>
          <w:color w:val="auto"/>
        </w:rPr>
      </w:pPr>
      <w:r>
        <w:rPr>
          <w:rFonts w:ascii="Arial" w:cs="Arial" w:eastAsia="Arial" w:hAnsi="Arial"/>
          <w:sz w:val="17"/>
          <w:szCs w:val="17"/>
          <w:color w:val="auto"/>
        </w:rPr>
        <w:t>We have 12 registered trademarks in the United States and have filed for one more. In other countries, we have focused on registering three primary trademarks: “iFuse Implant System,” “SI-BONE,” and the SI-BONE logo. As of June 30, 2018, we have sought protection for at least two of these trademarks in 60 countries including the 28 European member countries of the Madrid Protocol.</w:t>
      </w:r>
    </w:p>
    <w:p>
      <w:pPr>
        <w:spacing w:after="0" w:line="165" w:lineRule="exact"/>
        <w:rPr>
          <w:sz w:val="20"/>
          <w:szCs w:val="20"/>
          <w:color w:val="auto"/>
        </w:rPr>
      </w:pPr>
    </w:p>
    <w:p>
      <w:pPr>
        <w:ind w:left="220" w:right="80" w:firstLine="440"/>
        <w:spacing w:after="0" w:line="279" w:lineRule="auto"/>
        <w:rPr>
          <w:sz w:val="20"/>
          <w:szCs w:val="20"/>
          <w:color w:val="auto"/>
        </w:rPr>
      </w:pPr>
      <w:r>
        <w:rPr>
          <w:rFonts w:ascii="Arial" w:cs="Arial" w:eastAsia="Arial" w:hAnsi="Arial"/>
          <w:sz w:val="17"/>
          <w:szCs w:val="17"/>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70" w:lineRule="exact"/>
        <w:rPr>
          <w:sz w:val="20"/>
          <w:szCs w:val="20"/>
          <w:color w:val="auto"/>
        </w:rPr>
      </w:pPr>
    </w:p>
    <w:p>
      <w:pPr>
        <w:ind w:left="220" w:firstLine="440"/>
        <w:spacing w:after="0" w:line="290" w:lineRule="auto"/>
        <w:rPr>
          <w:sz w:val="20"/>
          <w:szCs w:val="20"/>
          <w:color w:val="auto"/>
        </w:rPr>
      </w:pPr>
      <w:r>
        <w:rPr>
          <w:rFonts w:ascii="Arial" w:cs="Arial" w:eastAsia="Arial" w:hAnsi="Arial"/>
          <w:sz w:val="16"/>
          <w:szCs w:val="16"/>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64" w:lineRule="exact"/>
        <w:rPr>
          <w:sz w:val="20"/>
          <w:szCs w:val="20"/>
          <w:color w:val="auto"/>
        </w:rPr>
      </w:pPr>
    </w:p>
    <w:p>
      <w:pPr>
        <w:ind w:left="220" w:right="20" w:firstLine="440"/>
        <w:spacing w:after="0" w:line="273" w:lineRule="auto"/>
        <w:rPr>
          <w:sz w:val="20"/>
          <w:szCs w:val="20"/>
          <w:color w:val="auto"/>
        </w:rPr>
      </w:pPr>
      <w:r>
        <w:rPr>
          <w:rFonts w:ascii="Arial" w:cs="Arial" w:eastAsia="Arial" w:hAnsi="Arial"/>
          <w:sz w:val="17"/>
          <w:szCs w:val="17"/>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ind w:left="220" w:right="120" w:firstLine="440"/>
        <w:spacing w:after="0" w:line="259"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91" w:lineRule="exact"/>
        <w:rPr>
          <w:sz w:val="20"/>
          <w:szCs w:val="20"/>
          <w:color w:val="auto"/>
        </w:rPr>
      </w:pPr>
    </w:p>
    <w:p>
      <w:pPr>
        <w:ind w:left="1080" w:hanging="438"/>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1080" w:right="80" w:hanging="438"/>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are numerous FDA regulatory requirements governing the clearance or approval and marketing of our products. These include:</w:t>
      </w:r>
    </w:p>
    <w:p>
      <w:pPr>
        <w:spacing w:after="0" w:line="142" w:lineRule="exact"/>
        <w:rPr>
          <w:sz w:val="20"/>
          <w:szCs w:val="20"/>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80" w:right="24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1080" w:right="30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1" w:lineRule="exact"/>
        <w:rPr>
          <w:rFonts w:ascii="Arial" w:cs="Arial" w:eastAsia="Arial" w:hAnsi="Arial"/>
          <w:sz w:val="17"/>
          <w:szCs w:val="17"/>
          <w:color w:val="auto"/>
        </w:rPr>
      </w:pPr>
    </w:p>
    <w:p>
      <w:pPr>
        <w:ind w:left="1080" w:right="4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80" w:right="160" w:hanging="438"/>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8" w:lineRule="exact"/>
        <w:rPr>
          <w:rFonts w:ascii="Arial" w:cs="Arial" w:eastAsia="Arial" w:hAnsi="Arial"/>
          <w:sz w:val="18"/>
          <w:szCs w:val="18"/>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80" w:right="82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80" w:right="180" w:hanging="438"/>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20" w:right="20" w:firstLine="440"/>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 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left="220" w:firstLine="440"/>
        <w:spacing w:after="0" w:line="289" w:lineRule="auto"/>
        <w:rPr>
          <w:sz w:val="20"/>
          <w:szCs w:val="20"/>
          <w:color w:val="auto"/>
        </w:rPr>
      </w:pPr>
      <w:r>
        <w:rPr>
          <w:rFonts w:ascii="Arial" w:cs="Arial" w:eastAsia="Arial" w:hAnsi="Arial"/>
          <w:sz w:val="16"/>
          <w:szCs w:val="16"/>
          <w:color w:val="auto"/>
        </w:rPr>
        <w:t>Unless an exemption applies, each medical device we wish to commercially distribute in the United States will require either premarket notification, or 510(k), clearance or approval of a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60"/>
          </w:cols>
          <w:pgMar w:left="24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700"/>
        <w:spacing w:after="0" w:line="341" w:lineRule="auto"/>
        <w:rPr>
          <w:sz w:val="20"/>
          <w:szCs w:val="20"/>
          <w:color w:val="auto"/>
        </w:rPr>
      </w:pPr>
      <w:r>
        <w:rPr>
          <w:rFonts w:ascii="Arial" w:cs="Arial" w:eastAsia="Arial" w:hAnsi="Arial"/>
          <w:sz w:val="16"/>
          <w:szCs w:val="16"/>
          <w:color w:val="auto"/>
        </w:rPr>
        <w:t>device in accordance with the “de novo” process, which is a route to market for novel medical devices that are low to moderate risk and are not substantially equivalent to a predicate device. All of our currently marketed products are Class II devices, subject to 510(k) clearance.</w:t>
      </w:r>
    </w:p>
    <w:p>
      <w:pPr>
        <w:spacing w:after="0" w:line="125" w:lineRule="exact"/>
        <w:rPr>
          <w:sz w:val="20"/>
          <w:szCs w:val="20"/>
          <w:color w:val="auto"/>
        </w:rPr>
      </w:pPr>
    </w:p>
    <w:p>
      <w:pPr>
        <w:ind w:left="220" w:right="240" w:firstLine="440"/>
        <w:spacing w:after="0" w:line="291" w:lineRule="auto"/>
        <w:rPr>
          <w:sz w:val="20"/>
          <w:szCs w:val="20"/>
          <w:color w:val="auto"/>
        </w:rPr>
      </w:pPr>
      <w:r>
        <w:rPr>
          <w:rFonts w:ascii="Arial" w:cs="Arial" w:eastAsia="Arial" w:hAnsi="Arial"/>
          <w:sz w:val="16"/>
          <w:szCs w:val="16"/>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0" w:lineRule="exact"/>
        <w:rPr>
          <w:sz w:val="20"/>
          <w:szCs w:val="20"/>
          <w:color w:val="auto"/>
        </w:rPr>
      </w:pPr>
    </w:p>
    <w:p>
      <w:pPr>
        <w:ind w:left="1080" w:hanging="438"/>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80" w:right="300" w:hanging="438"/>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1" w:lineRule="exact"/>
        <w:rPr>
          <w:rFonts w:ascii="Arial" w:cs="Arial" w:eastAsia="Arial" w:hAnsi="Arial"/>
          <w:sz w:val="17"/>
          <w:szCs w:val="17"/>
          <w:color w:val="auto"/>
        </w:rPr>
      </w:pPr>
    </w:p>
    <w:p>
      <w:pPr>
        <w:ind w:left="1080" w:right="100" w:hanging="438"/>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80" w:right="220" w:hanging="438"/>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80" w:right="860" w:hanging="438"/>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80" w:right="220" w:hanging="438"/>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91" w:lineRule="exact"/>
        <w:rPr>
          <w:sz w:val="20"/>
          <w:szCs w:val="20"/>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left="220" w:right="120" w:firstLine="440"/>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6" w:lineRule="exact"/>
        <w:rPr>
          <w:sz w:val="20"/>
          <w:szCs w:val="20"/>
          <w:color w:val="auto"/>
        </w:rPr>
      </w:pPr>
    </w:p>
    <w:p>
      <w:pPr>
        <w:jc w:val="center"/>
        <w:ind w:left="460" w:right="440"/>
        <w:spacing w:after="0" w:line="449" w:lineRule="auto"/>
        <w:rPr>
          <w:sz w:val="20"/>
          <w:szCs w:val="20"/>
          <w:color w:val="auto"/>
        </w:rPr>
      </w:pPr>
      <w:r>
        <w:rPr>
          <w:rFonts w:ascii="Arial" w:cs="Arial" w:eastAsia="Arial" w:hAnsi="Arial"/>
          <w:sz w:val="18"/>
          <w:szCs w:val="18"/>
          <w:color w:val="auto"/>
        </w:rPr>
        <w:t>In addition, under the federal Lanham Act and similar state laws, competitors, and others can initiate litigation relating to advertising claims. 118</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left="220" w:right="140" w:firstLine="440"/>
        <w:spacing w:after="0" w:line="311"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other countries. For example, in the EEA our devices are required to comply with the Essential Requirements concerning medical devices. Compliance with these requirements entitles us to affix the CE mark to our medical devices, without which they cannot be commercialized in the EEA.</w:t>
      </w:r>
    </w:p>
    <w:p>
      <w:pPr>
        <w:spacing w:after="0" w:line="148" w:lineRule="exact"/>
        <w:rPr>
          <w:sz w:val="20"/>
          <w:szCs w:val="20"/>
          <w:color w:val="auto"/>
        </w:rPr>
      </w:pPr>
    </w:p>
    <w:p>
      <w:pPr>
        <w:ind w:left="220" w:firstLine="440"/>
        <w:spacing w:after="0" w:line="252" w:lineRule="auto"/>
        <w:rPr>
          <w:sz w:val="20"/>
          <w:szCs w:val="20"/>
          <w:color w:val="auto"/>
        </w:rPr>
      </w:pPr>
      <w:r>
        <w:rPr>
          <w:rFonts w:ascii="Arial" w:cs="Arial" w:eastAsia="Arial" w:hAnsi="Arial"/>
          <w:sz w:val="18"/>
          <w:szCs w:val="18"/>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80" w:hanging="438"/>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left="220" w:right="280" w:firstLine="440"/>
        <w:spacing w:after="0" w:line="311"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8" w:lineRule="exact"/>
        <w:rPr>
          <w:sz w:val="20"/>
          <w:szCs w:val="20"/>
          <w:color w:val="auto"/>
        </w:rPr>
      </w:pPr>
    </w:p>
    <w:p>
      <w:pPr>
        <w:ind w:left="220" w:right="220" w:firstLine="440"/>
        <w:spacing w:after="0" w:line="301"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left="220" w:right="140" w:firstLine="440"/>
        <w:spacing w:after="0" w:line="286" w:lineRule="auto"/>
        <w:rPr>
          <w:sz w:val="20"/>
          <w:szCs w:val="20"/>
          <w:color w:val="auto"/>
        </w:rPr>
      </w:pPr>
      <w:r>
        <w:rPr>
          <w:rFonts w:ascii="Arial" w:cs="Arial" w:eastAsia="Arial" w:hAnsi="Arial"/>
          <w:sz w:val="17"/>
          <w:szCs w:val="17"/>
          <w:color w:val="auto"/>
        </w:rPr>
        <w:t>In November 2008, we received 510(k) clearance to market our first generation iFuse implant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spacing w:after="0" w:line="311" w:lineRule="auto"/>
        <w:rPr>
          <w:sz w:val="20"/>
          <w:szCs w:val="20"/>
          <w:color w:val="auto"/>
        </w:rPr>
      </w:pPr>
      <w:r>
        <w:rPr>
          <w:rFonts w:ascii="Arial" w:cs="Arial" w:eastAsia="Arial" w:hAnsi="Arial"/>
          <w:sz w:val="16"/>
          <w:szCs w:val="16"/>
          <w:color w:val="auto"/>
        </w:rPr>
        <w:t>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48" w:lineRule="exact"/>
        <w:rPr>
          <w:sz w:val="20"/>
          <w:szCs w:val="20"/>
          <w:color w:val="auto"/>
        </w:rPr>
      </w:pPr>
    </w:p>
    <w:p>
      <w:pPr>
        <w:ind w:left="220" w:firstLine="440"/>
        <w:spacing w:after="0" w:line="301" w:lineRule="auto"/>
        <w:rPr>
          <w:sz w:val="20"/>
          <w:szCs w:val="20"/>
          <w:color w:val="auto"/>
        </w:rPr>
      </w:pPr>
      <w:r>
        <w:rPr>
          <w:rFonts w:ascii="Arial" w:cs="Arial" w:eastAsia="Arial" w:hAnsi="Arial"/>
          <w:sz w:val="16"/>
          <w:szCs w:val="16"/>
          <w:color w:val="auto"/>
        </w:rPr>
        <w:t>In November 2010, we obtained a CE Certificate of Conformity and affixed a CE mark to our iFuse Implant System to allow commercialization of iFuse in the EEA. In the EEA and Switzerland, iFuse is intended for sacroiliac joint fusion.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European.</w:t>
      </w:r>
    </w:p>
    <w:p>
      <w:pPr>
        <w:spacing w:after="0" w:line="156"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Singapore, and Saudi Arabia. Additional product applications are under review in Mexico, India, South Korea, and Taiwan. We are currently collecting information to determine our regulatory strategy in China and Japan.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 funded healthcare programs. Descriptions of some of the laws and regulations that may affect our ability to operate follows.</w:t>
      </w:r>
    </w:p>
    <w:p>
      <w:pPr>
        <w:spacing w:after="0" w:line="191"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by any third-party payors, including commercial payors.</w:t>
      </w:r>
    </w:p>
    <w:p>
      <w:pPr>
        <w:spacing w:after="0" w:line="186" w:lineRule="exact"/>
        <w:rPr>
          <w:sz w:val="20"/>
          <w:szCs w:val="20"/>
          <w:color w:val="auto"/>
        </w:rPr>
      </w:pPr>
    </w:p>
    <w:p>
      <w:pPr>
        <w:ind w:left="220" w:right="40" w:firstLine="440"/>
        <w:spacing w:after="0" w:line="293" w:lineRule="auto"/>
        <w:rPr>
          <w:sz w:val="20"/>
          <w:szCs w:val="20"/>
          <w:color w:val="auto"/>
        </w:rPr>
      </w:pPr>
      <w:r>
        <w:rPr>
          <w:rFonts w:ascii="Arial" w:cs="Arial" w:eastAsia="Arial" w:hAnsi="Arial"/>
          <w:sz w:val="16"/>
          <w:szCs w:val="16"/>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are filed under seal and impose a mandatory duty on the U.S. Department of Justice to investigate such allegations. Most private citizen actions are declined by the Department of Justice or</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300"/>
        <w:spacing w:after="0" w:line="263" w:lineRule="auto"/>
        <w:rPr>
          <w:sz w:val="20"/>
          <w:szCs w:val="20"/>
          <w:color w:val="auto"/>
        </w:rPr>
      </w:pPr>
      <w:r>
        <w:rPr>
          <w:rFonts w:ascii="Arial" w:cs="Arial" w:eastAsia="Arial" w:hAnsi="Arial"/>
          <w:sz w:val="18"/>
          <w:szCs w:val="18"/>
          <w:color w:val="auto"/>
        </w:rPr>
        <w:t>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83" w:lineRule="exact"/>
        <w:rPr>
          <w:sz w:val="20"/>
          <w:szCs w:val="20"/>
          <w:color w:val="auto"/>
        </w:rPr>
      </w:pPr>
    </w:p>
    <w:p>
      <w:pPr>
        <w:ind w:left="220" w:right="20" w:firstLine="440"/>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$11,181 to $22,363 per claim (adjusted annually for inflation).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Moreover, to avoid the risk of exclusion from federal healthcare programs as a result of a False Claims Act settlement, companies may enter into corporate integrity agreements with the government, which may impose substantial costs on companies to ensure compliance.</w:t>
      </w:r>
    </w:p>
    <w:p>
      <w:pPr>
        <w:spacing w:after="0" w:line="19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In addition,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91"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The federal Physician Payment Sunshine Act, implemented by CMS as the Open Payments program, requires manufacturers of drugs, devices, biologics and medical supplies for which payment is available under Medicare, Medicaid, or the Children’s Health Insurance Program to report annually to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191" w:lineRule="exact"/>
        <w:rPr>
          <w:sz w:val="20"/>
          <w:szCs w:val="20"/>
          <w:color w:val="auto"/>
        </w:rPr>
      </w:pPr>
    </w:p>
    <w:p>
      <w:pPr>
        <w:ind w:left="220" w:right="200" w:firstLine="440"/>
        <w:spacing w:after="0" w:line="307" w:lineRule="auto"/>
        <w:rPr>
          <w:sz w:val="20"/>
          <w:szCs w:val="20"/>
          <w:color w:val="auto"/>
        </w:rPr>
      </w:pPr>
      <w:r>
        <w:rPr>
          <w:rFonts w:ascii="Arial" w:cs="Arial" w:eastAsia="Arial" w:hAnsi="Arial"/>
          <w:sz w:val="17"/>
          <w:szCs w:val="17"/>
          <w:color w:val="auto"/>
        </w:rPr>
        <w:t>Certain states also mandate implementation of corporate compliance programs, impose restrictions on device manufacturer marketing practices, and/or require tracking and reporting of gifts, compensation, and other remuneration to healthcare professionals and entities.</w:t>
      </w:r>
    </w:p>
    <w:p>
      <w:pPr>
        <w:spacing w:after="0" w:line="147"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The FCPA and similar anti-bribery laws in other countries, such as the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3" w:lineRule="exact"/>
        <w:rPr>
          <w:sz w:val="20"/>
          <w:szCs w:val="20"/>
          <w:color w:val="auto"/>
        </w:rPr>
      </w:pPr>
    </w:p>
    <w:p>
      <w:pPr>
        <w:ind w:left="220" w:right="460" w:firstLine="440"/>
        <w:spacing w:after="0" w:line="341" w:lineRule="auto"/>
        <w:rPr>
          <w:sz w:val="20"/>
          <w:szCs w:val="20"/>
          <w:color w:val="auto"/>
        </w:rPr>
      </w:pPr>
      <w:r>
        <w:rPr>
          <w:rFonts w:ascii="Arial" w:cs="Arial" w:eastAsia="Arial" w:hAnsi="Arial"/>
          <w:sz w:val="16"/>
          <w:szCs w:val="16"/>
          <w:color w:val="auto"/>
        </w:rPr>
        <w:t>Violations of these federal and state fraud abuse laws can subject us to administrative, civil, and criminal penalties, including imprisonment, substantial fines, penalties, damages, and exclusion from participation in federal healthcare programs, including Medicare and Medicaid.</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Data Privacy and Security Laws</w:t>
      </w:r>
    </w:p>
    <w:p>
      <w:pPr>
        <w:spacing w:after="0" w:line="121"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HITECH, in the United States.</w:t>
      </w:r>
    </w:p>
    <w:p>
      <w:pPr>
        <w:spacing w:after="0" w:line="183"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could be required to report the improper use or disclosure to the U.S. Department of Health and Human Services, or HHS, which would post the violation on its website, and to the media.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1" w:lineRule="exact"/>
        <w:rPr>
          <w:sz w:val="20"/>
          <w:szCs w:val="20"/>
          <w:color w:val="auto"/>
        </w:rPr>
      </w:pPr>
    </w:p>
    <w:p>
      <w:pPr>
        <w:ind w:left="220" w:right="20" w:firstLine="440"/>
        <w:spacing w:after="0" w:line="286" w:lineRule="auto"/>
        <w:rPr>
          <w:sz w:val="20"/>
          <w:szCs w:val="20"/>
          <w:color w:val="auto"/>
        </w:rPr>
      </w:pPr>
      <w:r>
        <w:rPr>
          <w:rFonts w:ascii="Arial" w:cs="Arial" w:eastAsia="Arial" w:hAnsi="Arial"/>
          <w:sz w:val="16"/>
          <w:szCs w:val="16"/>
          <w:color w:val="auto"/>
        </w:rPr>
        <w:t>In the European Union, we may be subject to laws relating to our collection, control, processing and other use of personal data (i.e. data relating to an identifiable living individual). We process personal data in relation to our operations. We process data of our employees, consultants and certain individuals who may be affiliated with our customers, including physician users of our products. The personal data may include sensitive personal data including health information. The data privacy regime in the EU includes the EU General Data Protection Regulation, or the GDPR, effective on</w:t>
      </w:r>
    </w:p>
    <w:p>
      <w:pPr>
        <w:spacing w:after="0" w:line="1" w:lineRule="exact"/>
        <w:rPr>
          <w:sz w:val="20"/>
          <w:szCs w:val="20"/>
          <w:color w:val="auto"/>
        </w:rPr>
      </w:pPr>
    </w:p>
    <w:p>
      <w:pPr>
        <w:ind w:left="220" w:right="200"/>
        <w:spacing w:after="0" w:line="302" w:lineRule="auto"/>
        <w:rPr>
          <w:sz w:val="20"/>
          <w:szCs w:val="20"/>
          <w:color w:val="auto"/>
        </w:rPr>
      </w:pPr>
      <w:r>
        <w:rPr>
          <w:rFonts w:ascii="Arial" w:cs="Arial" w:eastAsia="Arial" w:hAnsi="Arial"/>
          <w:sz w:val="16"/>
          <w:szCs w:val="16"/>
          <w:color w:val="auto"/>
        </w:rPr>
        <w:t>May 25, 2018 and the E-Privacy Directive 2002/58/EC and national laws implementing each of them.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54" w:lineRule="exact"/>
        <w:rPr>
          <w:sz w:val="20"/>
          <w:szCs w:val="20"/>
          <w:color w:val="auto"/>
        </w:rPr>
      </w:pPr>
    </w:p>
    <w:p>
      <w:pPr>
        <w:ind w:left="220" w:firstLine="440"/>
        <w:spacing w:after="0" w:line="288" w:lineRule="auto"/>
        <w:rPr>
          <w:sz w:val="20"/>
          <w:szCs w:val="20"/>
          <w:color w:val="auto"/>
        </w:rPr>
      </w:pPr>
      <w:r>
        <w:rPr>
          <w:rFonts w:ascii="Arial" w:cs="Arial" w:eastAsia="Arial" w:hAnsi="Arial"/>
          <w:sz w:val="16"/>
          <w:szCs w:val="16"/>
          <w:color w:val="auto"/>
        </w:rPr>
        <w:t>The new EU-wide GDPR became applicable on May 25, 2018, replacing the data protection laws previously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w:t>
      </w:r>
    </w:p>
    <w:p>
      <w:pPr>
        <w:spacing w:after="0" w:line="166" w:lineRule="exact"/>
        <w:rPr>
          <w:sz w:val="20"/>
          <w:szCs w:val="20"/>
          <w:color w:val="auto"/>
        </w:rPr>
      </w:pPr>
    </w:p>
    <w:p>
      <w:pPr>
        <w:ind w:left="220" w:right="100" w:firstLine="440"/>
        <w:spacing w:after="0" w:line="273"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In April 2016, we entered into a Quality and Manufacturing Agreement with Orchid MPS Holdings, LLC, or Orchid, which agreement was amended in March 2017, pursuant to which Orchid manufactures certain of our implants in accordance with our specifications. We purchase product under the agreement pursuant to purchase orders we are required to deliver against a blanket purchase order we provide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spacing w:after="0" w:line="268" w:lineRule="auto"/>
        <w:rPr>
          <w:sz w:val="20"/>
          <w:szCs w:val="20"/>
          <w:color w:val="auto"/>
        </w:rPr>
      </w:pPr>
      <w:r>
        <w:rPr>
          <w:rFonts w:ascii="Arial" w:cs="Arial" w:eastAsia="Arial" w:hAnsi="Arial"/>
          <w:sz w:val="17"/>
          <w:szCs w:val="17"/>
          <w:color w:val="auto"/>
        </w:rPr>
        <w:t>based on our product forecast. However, while we are required to purchase the amounts forecast in the blanket purchase order, we are not required to purchase product in excess of a specified amount of inventory based on our original forecast. During the first year of the agreement, the prices we pay for products are fixed under the agreement; provided that on an annual basis thereafter we will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timelines shorter than agreed upon order timelines. The initial term of the agreement is three years; provided, however, the agreement may be terminated immediately by (a)(i) either party as the result of the other party’s bankruptcy or insolvency, (ii) in the case of Orchid, our failure to make payments for products purchased under the agreement if such failure continues for a specified period after notice from Orchid, or (iii) either party as the result of a material breach of the agreement and such breaching party fails to cure such breach within a specified period after notice from the non-breaching party, (b) us in the event Orchid fails to remedy any deficiencies we may identify pursuant to our right to inspect Orchid’s facilities under the agreement, and (c) either party with prior written notice as provided under the agreement. To mitigate supply risk, we carry a minimum of two months of reserve stock based on current sales estimates and typically place implant orders with Orchid prior to estimated demand.</w:t>
      </w:r>
    </w:p>
    <w:p>
      <w:pPr>
        <w:spacing w:after="0" w:line="186" w:lineRule="exact"/>
        <w:rPr>
          <w:sz w:val="20"/>
          <w:szCs w:val="20"/>
          <w:color w:val="auto"/>
        </w:rPr>
      </w:pPr>
    </w:p>
    <w:p>
      <w:pPr>
        <w:ind w:left="220" w:firstLine="440"/>
        <w:spacing w:after="0" w:line="283" w:lineRule="auto"/>
        <w:rPr>
          <w:sz w:val="20"/>
          <w:szCs w:val="20"/>
          <w:color w:val="auto"/>
        </w:rPr>
      </w:pPr>
      <w:r>
        <w:rPr>
          <w:rFonts w:ascii="Arial" w:cs="Arial" w:eastAsia="Arial" w:hAnsi="Arial"/>
          <w:sz w:val="16"/>
          <w:szCs w:val="16"/>
          <w:color w:val="auto"/>
        </w:rPr>
        <w:t>We have also added a second source supplier for machine parts. On February 1, 2017, we entered into a non-exclusive Manufacturing, Quality and Supply Agreement with rms Company, or RMS, pursuant to which RMS manufactures certain of our implants in accordance with our specifications, including both purchased and sterilized iFuse-3D implants, as well as uncoated machined implants which are subsequently coated to become our finished first generation iFuse implants. We amended this agreement on July 7, 2017 to provide for our purchase of product pursuant to purchase orders we must deliver against a blanket purchase order we provide based on our product forecast. While we are required to purchase the amounts forecast in the blanket purchase order, we are not required to purchase product in excess of a specified amount of inventory based on our original forecast. During the initial three-year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one-year periods; provided, however, the agreement may be terminated early by either party in the event of a material breach of the agreement by the other party or by the insolvency of the other party. We may terminate the agreement at any time in the event</w:t>
      </w:r>
    </w:p>
    <w:p>
      <w:pPr>
        <w:spacing w:after="0" w:line="3" w:lineRule="exact"/>
        <w:rPr>
          <w:sz w:val="20"/>
          <w:szCs w:val="20"/>
          <w:color w:val="auto"/>
        </w:rPr>
      </w:pPr>
    </w:p>
    <w:p>
      <w:pPr>
        <w:ind w:left="220" w:right="80" w:hanging="10"/>
        <w:spacing w:after="0" w:line="253" w:lineRule="auto"/>
        <w:tabs>
          <w:tab w:leader="none" w:pos="4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RMS fails to ship conforming product and such failure results in delays as specified in the agreement, (ii) RMS changes its manufacturing site without our prior approval, (iii) of a change of control of RMS, or (iv) RMS breaches a non-solicit covenant with respect to our employees or consultants. With respect to our first generation iFuse implant, the parts manufactured by RMS need to be coated by Orchid to finish the goods. RMS is currently our only supplier of iFuse-3D implants.</w:t>
      </w:r>
    </w:p>
    <w:p>
      <w:pPr>
        <w:spacing w:after="0" w:line="192"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Aside from quality agreements, we do not currently have manufacturing agreements with any of our other manufacturers and orders are controlled through purchase orders.</w:t>
      </w:r>
    </w:p>
    <w:p>
      <w:pPr>
        <w:spacing w:after="0" w:line="170" w:lineRule="exact"/>
        <w:rPr>
          <w:sz w:val="20"/>
          <w:szCs w:val="20"/>
          <w:color w:val="auto"/>
        </w:rPr>
      </w:pPr>
    </w:p>
    <w:p>
      <w:pPr>
        <w:ind w:left="220" w:right="160" w:firstLine="440"/>
        <w:spacing w:after="0" w:line="311"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8"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 w:firstLine="440"/>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left="220" w:right="100" w:firstLine="440"/>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As of June 30, 2018, we had 168 employees, including sales and marketing, product development, general administrative and accounting, both domestically and internationally. As of June 30, 2018, we had a direct field sales organization of 72 in the United States and 28 in Europe. In the United States, we sell primarily through our direct field organization, and we have a small number of third-party distributors. None of our employees is subject to a collective bargaining agreement, and we consider our relationship with our employees to be good.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Our leased headquarters in Santa Clara, California, is comprised of approximately 21,848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00"/>
          </w:cols>
          <w:pgMar w:left="240" w:top="459" w:right="7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September 30, 2018:</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Name</w:t>
            </w:r>
          </w:p>
        </w:tc>
        <w:tc>
          <w:tcPr>
            <w:tcW w:w="37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Pisetsky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 and Chief Compliance Officer</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W. Carlton Reckling, M.D.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Chief Medical Officer and Vice President, Medical Affairs</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260" w:type="dxa"/>
            <w:vAlign w:val="bottom"/>
            <w:shd w:val="clear" w:color="auto" w:fill="CCEEFF"/>
          </w:tcPr>
          <w:p>
            <w:pPr>
              <w:spacing w:after="0"/>
              <w:rPr>
                <w:sz w:val="20"/>
                <w:szCs w:val="20"/>
                <w:color w:val="auto"/>
              </w:rPr>
            </w:pPr>
          </w:p>
        </w:tc>
        <w:tc>
          <w:tcPr>
            <w:tcW w:w="6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Scott A. Yerby, Ph.D.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Employees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Daniel J. Cher, M.D.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Vice President, Clinical Affairs</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Roxanne J. Dubois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Regulatory</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Nikolas F. Kerr</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Vice President, Product Marketing</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Mercanti</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EMEA Operations</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Joseph W. Powers</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Vice President, Marketing</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4140" w:type="dxa"/>
            <w:vAlign w:val="bottom"/>
            <w:gridSpan w:val="3"/>
          </w:tcPr>
          <w:p>
            <w:pPr>
              <w:spacing w:after="0"/>
              <w:rPr>
                <w:sz w:val="20"/>
                <w:szCs w:val="20"/>
                <w:color w:val="auto"/>
              </w:rPr>
            </w:pPr>
            <w:r>
              <w:rPr>
                <w:rFonts w:ascii="Arial" w:cs="Arial" w:eastAsia="Arial" w:hAnsi="Arial"/>
                <w:sz w:val="18"/>
                <w:szCs w:val="18"/>
                <w:color w:val="auto"/>
              </w:rPr>
              <w:t>Mark A. Reiley, M.D.</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2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26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1" w:lineRule="exact"/>
        <w:rPr>
          <w:sz w:val="20"/>
          <w:szCs w:val="20"/>
          <w:color w:val="auto"/>
        </w:rPr>
      </w:pPr>
    </w:p>
    <w:p>
      <w:pPr>
        <w:ind w:left="640" w:hanging="43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the Chairman of our board of directors since our inception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2008.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100"/>
        <w:spacing w:after="0" w:line="296" w:lineRule="auto"/>
        <w:rPr>
          <w:sz w:val="20"/>
          <w:szCs w:val="20"/>
          <w:color w:val="auto"/>
        </w:rPr>
      </w:pPr>
      <w:r>
        <w:rPr>
          <w:rFonts w:ascii="Arial" w:cs="Arial" w:eastAsia="Arial" w:hAnsi="Arial"/>
          <w:sz w:val="16"/>
          <w:szCs w:val="16"/>
          <w:color w:val="auto"/>
        </w:rPr>
        <w:t>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60" w:lineRule="exact"/>
        <w:rPr>
          <w:sz w:val="20"/>
          <w:szCs w:val="20"/>
          <w:color w:val="auto"/>
        </w:rPr>
      </w:pPr>
    </w:p>
    <w:p>
      <w:pPr>
        <w:ind w:left="220" w:right="160" w:firstLine="440"/>
        <w:spacing w:after="0" w:line="270" w:lineRule="auto"/>
        <w:rPr>
          <w:sz w:val="20"/>
          <w:szCs w:val="20"/>
          <w:color w:val="auto"/>
        </w:rPr>
      </w:pPr>
      <w:r>
        <w:rPr>
          <w:rFonts w:ascii="Arial" w:cs="Arial" w:eastAsia="Arial" w:hAnsi="Arial"/>
          <w:sz w:val="17"/>
          <w:szCs w:val="17"/>
          <w:b w:val="1"/>
          <w:bCs w:val="1"/>
          <w:i w:val="1"/>
          <w:iCs w:val="1"/>
          <w:color w:val="auto"/>
        </w:rPr>
        <w:t xml:space="preserve">Laura A. Francis </w:t>
      </w:r>
      <w:r>
        <w:rPr>
          <w:rFonts w:ascii="Arial" w:cs="Arial" w:eastAsia="Arial" w:hAnsi="Arial"/>
          <w:sz w:val="17"/>
          <w:szCs w:val="17"/>
          <w:color w:val="auto"/>
        </w:rPr>
        <w:t>has served as our Chief Financial Officer since May 2015. Prior to joining us, Ms. Francis was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p>
      <w:pPr>
        <w:spacing w:after="0" w:line="179" w:lineRule="exact"/>
        <w:rPr>
          <w:sz w:val="20"/>
          <w:szCs w:val="20"/>
          <w:color w:val="auto"/>
        </w:rPr>
      </w:pPr>
    </w:p>
    <w:p>
      <w:pPr>
        <w:ind w:left="220" w:right="1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Michael A. Pisetsky </w:t>
      </w:r>
      <w:r>
        <w:rPr>
          <w:rFonts w:ascii="Arial" w:cs="Arial" w:eastAsia="Arial" w:hAnsi="Arial"/>
          <w:sz w:val="17"/>
          <w:szCs w:val="17"/>
          <w:color w:val="auto"/>
        </w:rPr>
        <w:t>has served as our General Counsel and Chief Compliance Officer since August 2016. Mr. Pisetsky joined us in March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Director of Legal. From August 2011 to March 2015, Mr. Pisetsky practiced law privately, serving as General Counsel to New Wave Surgical Corp. and Mark Properties, Inc. a large operator of shopping centers in the Southeast, among a number of other companies in the medical technology and healthcare services space. From August 2008 to July 2011, Mr. Pisetsky was an Associate in the Business Department at Cooley LLP in Palo Alto, representing a portfolio of medical technology, biotech, healthcare services and general technology clients, from inception to public offering and eventual sale. Mr. Pisetsky received his B.A. with Honors from Harvard College. Mr. Pisetsky received his J.D. (magna cum laude) and M.B.A., including a certificate in Health Sector Management, concurrently from Duke University.</w:t>
      </w:r>
    </w:p>
    <w:p>
      <w:pPr>
        <w:spacing w:after="0" w:line="176" w:lineRule="exact"/>
        <w:rPr>
          <w:sz w:val="20"/>
          <w:szCs w:val="20"/>
          <w:color w:val="auto"/>
        </w:rPr>
      </w:pPr>
    </w:p>
    <w:p>
      <w:pPr>
        <w:ind w:left="220" w:right="40" w:firstLine="440"/>
        <w:spacing w:after="0" w:line="290" w:lineRule="auto"/>
        <w:rPr>
          <w:sz w:val="20"/>
          <w:szCs w:val="20"/>
          <w:color w:val="auto"/>
        </w:rPr>
      </w:pPr>
      <w:r>
        <w:rPr>
          <w:rFonts w:ascii="Arial" w:cs="Arial" w:eastAsia="Arial" w:hAnsi="Arial"/>
          <w:sz w:val="16"/>
          <w:szCs w:val="16"/>
          <w:b w:val="1"/>
          <w:bCs w:val="1"/>
          <w:i w:val="1"/>
          <w:iCs w:val="1"/>
          <w:color w:val="auto"/>
        </w:rPr>
        <w:t xml:space="preserve">W. Carlton Reckling, M.D. </w:t>
      </w:r>
      <w:r>
        <w:rPr>
          <w:rFonts w:ascii="Arial" w:cs="Arial" w:eastAsia="Arial" w:hAnsi="Arial"/>
          <w:sz w:val="16"/>
          <w:szCs w:val="16"/>
          <w:color w:val="auto"/>
        </w:rPr>
        <w:t>has served as our Vice President, Medical Affairs since April 2012 and our Chief Medical Officer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From July 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64"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Chief Commercial Officer since July 2016. Prior to joining us, Mr. Recupero was the President of Catalyst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40"/>
        <w:spacing w:after="0" w:line="277" w:lineRule="auto"/>
        <w:rPr>
          <w:sz w:val="20"/>
          <w:szCs w:val="20"/>
          <w:color w:val="auto"/>
        </w:rPr>
      </w:pPr>
      <w:r>
        <w:rPr>
          <w:rFonts w:ascii="Arial" w:cs="Arial" w:eastAsia="Arial" w:hAnsi="Arial"/>
          <w:sz w:val="18"/>
          <w:szCs w:val="18"/>
          <w:color w:val="auto"/>
        </w:rPr>
        <w:t>management roles at United States Surgical Corporation and Sulzer Spine-Tech, Inc. Mr. Recupero received a B.A. in Communications from State University of New York at Albany.</w:t>
      </w:r>
    </w:p>
    <w:p>
      <w:pPr>
        <w:spacing w:after="0" w:line="170" w:lineRule="exact"/>
        <w:rPr>
          <w:sz w:val="20"/>
          <w:szCs w:val="20"/>
          <w:color w:val="auto"/>
        </w:rPr>
      </w:pPr>
    </w:p>
    <w:p>
      <w:pPr>
        <w:ind w:left="2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Scott A. Yerby, Ph.D. </w:t>
      </w:r>
      <w:r>
        <w:rPr>
          <w:rFonts w:ascii="Arial" w:cs="Arial" w:eastAsia="Arial" w:hAnsi="Arial"/>
          <w:sz w:val="17"/>
          <w:szCs w:val="17"/>
          <w:color w:val="auto"/>
        </w:rPr>
        <w:t>has served as our Chief Technology Officer since January 2011. Prior to joining us, Dr. Yerby served 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 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Daniel J. Cher, M.D. </w:t>
      </w:r>
      <w:r>
        <w:rPr>
          <w:rFonts w:ascii="Arial" w:cs="Arial" w:eastAsia="Arial" w:hAnsi="Arial"/>
          <w:sz w:val="17"/>
          <w:szCs w:val="17"/>
          <w:color w:val="auto"/>
        </w:rPr>
        <w:t>has served as our Vice President, Clinical Affairs since January 2012. From May 2008 to December 2011, Dr. Cher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Clinical and Regulatory Affairs at Chestnut Medical Technologies, Inc., a company developing new minimally invasive therapies for interventional neuroradiology.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w:t>
      </w:r>
    </w:p>
    <w:p>
      <w:pPr>
        <w:spacing w:after="0" w:line="180" w:lineRule="exact"/>
        <w:rPr>
          <w:sz w:val="20"/>
          <w:szCs w:val="20"/>
          <w:color w:val="auto"/>
        </w:rPr>
      </w:pPr>
    </w:p>
    <w:p>
      <w:pPr>
        <w:ind w:left="220" w:righ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Roxanne J. Dubois </w:t>
      </w:r>
      <w:r>
        <w:rPr>
          <w:rFonts w:ascii="Arial" w:cs="Arial" w:eastAsia="Arial" w:hAnsi="Arial"/>
          <w:sz w:val="17"/>
          <w:szCs w:val="17"/>
          <w:color w:val="auto"/>
        </w:rPr>
        <w:t>has served as our Vice President, Regulatory since February 2014. Previously, Ms. Dubois served as our Senior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76"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b w:val="1"/>
          <w:bCs w:val="1"/>
          <w:i w:val="1"/>
          <w:iCs w:val="1"/>
          <w:color w:val="auto"/>
        </w:rPr>
        <w:t xml:space="preserve">Nikolas F. Kerr </w:t>
      </w:r>
      <w:r>
        <w:rPr>
          <w:rFonts w:ascii="Arial" w:cs="Arial" w:eastAsia="Arial" w:hAnsi="Arial"/>
          <w:sz w:val="18"/>
          <w:szCs w:val="18"/>
          <w:color w:val="auto"/>
        </w:rPr>
        <w:t>has served as our Vice President, Product Marketing since August 2016. Prior to joining us, Mr. Kerr was President of Kerr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Group where he advised leading medical device companies on product strategy. Previously, Mr. Kerr was Senior Director of Marketing for Benvenue Medical from December 2013 to June 2014. From August 2011 to December 2013, Mr. Kerr was Senior Director of Marketing for Baxano. From August 2006 to August 2011, Mr. Kerr served in various marketing roles at Medtronic’s Spinal &amp; Biologics Group including the Director of Global Marketing for the Kyphon division. And from August 1998 to August 2006, Mr. Kerr served in various sales, marketing, and business development roles for Milliken &amp; Company. Mr. Kerr started his career with Credit Suisse as an Analyst for Debt Capital Markets. Mr. Kerr received a B.S. in Finance and Economics and Master of International Business Economics from the Darla Moore School of Business, University of South Carolina.</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firstLine="440"/>
        <w:spacing w:after="0" w:line="270" w:lineRule="auto"/>
        <w:rPr>
          <w:sz w:val="20"/>
          <w:szCs w:val="20"/>
          <w:color w:val="auto"/>
        </w:rPr>
      </w:pPr>
      <w:r>
        <w:rPr>
          <w:rFonts w:ascii="Arial" w:cs="Arial" w:eastAsia="Arial" w:hAnsi="Arial"/>
          <w:sz w:val="17"/>
          <w:szCs w:val="17"/>
          <w:b w:val="1"/>
          <w:bCs w:val="1"/>
          <w:i w:val="1"/>
          <w:iCs w:val="1"/>
          <w:color w:val="auto"/>
        </w:rPr>
        <w:t xml:space="preserve">Andrea Mercanti </w:t>
      </w:r>
      <w:r>
        <w:rPr>
          <w:rFonts w:ascii="Arial" w:cs="Arial" w:eastAsia="Arial" w:hAnsi="Arial"/>
          <w:sz w:val="17"/>
          <w:szCs w:val="17"/>
          <w:color w:val="auto"/>
        </w:rPr>
        <w:t>has served as our Vice President, EMEA Operations since May 2013, and he previously served as our Vice President, European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79"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Joseph W. Powers </w:t>
      </w:r>
      <w:r>
        <w:rPr>
          <w:rFonts w:ascii="Arial" w:cs="Arial" w:eastAsia="Arial" w:hAnsi="Arial"/>
          <w:sz w:val="18"/>
          <w:szCs w:val="18"/>
          <w:color w:val="auto"/>
        </w:rPr>
        <w:t>has served as our Vice President, Marketing since August 2012. Previously, Mr. Powers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Development from January 2012 to July 2012 and as our Western Area Sales Director from December 2009 to December 2011. Prior to joining us, 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David P. Bonita, M.D. </w:t>
      </w:r>
      <w:r>
        <w:rPr>
          <w:rFonts w:ascii="Arial" w:cs="Arial" w:eastAsia="Arial" w:hAnsi="Arial"/>
          <w:sz w:val="17"/>
          <w:szCs w:val="17"/>
          <w:color w:val="auto"/>
        </w:rPr>
        <w:t>has served as a member of our board of directors since April 2014. Since June 2013, Dr. Bonita has also served as a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Partner at OrbiMed Advisors LLC, an investment company focused on the healthcare industry. From June 2004 to June 2013, Dr. Bonita held various positions at OrbiMed. Prior to OrbiMed, 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Clementia Pharmaceuticals, Inc., a drug developer focusing on bone disorders and other diseases, from June 2013 to present; Tricida, Inc., a drug developer focusing on kidney disease, from January 2014 to present; Loxo Oncology, Inc., a developer of oncological drugs, from October 2013 to December 2017; ViewRay Inc., a designer and manufacturer of radiation therapy and imaging technologies, from January 2008 to June 2018; and Ambit Biosciences Corporation, a drug developer focusing on oncology, autoimmune, and inflammatory diseases from October 2012 to November 2014. Dr. Bonita received a B.A. in Biological Sciences from Harvard University and a joint M.D./M.B.A. from Columbia University. We believe Dr. Bonita’s extensive investment experience in the healthcare industry and his experience as a public company director enable him to make valuable contributions to our board of directors.</w:t>
      </w:r>
    </w:p>
    <w:p>
      <w:pPr>
        <w:spacing w:after="0" w:line="186"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220" w:right="60"/>
        <w:spacing w:after="0" w:line="311" w:lineRule="auto"/>
        <w:rPr>
          <w:sz w:val="20"/>
          <w:szCs w:val="20"/>
          <w:color w:val="auto"/>
        </w:rPr>
      </w:pPr>
      <w:r>
        <w:rPr>
          <w:rFonts w:ascii="Arial" w:cs="Arial" w:eastAsia="Arial" w:hAnsi="Arial"/>
          <w:sz w:val="16"/>
          <w:szCs w:val="16"/>
          <w:color w:val="auto"/>
        </w:rPr>
        <w:t>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48" w:lineRule="exact"/>
        <w:rPr>
          <w:sz w:val="20"/>
          <w:szCs w:val="20"/>
          <w:color w:val="auto"/>
        </w:rPr>
      </w:pPr>
    </w:p>
    <w:p>
      <w:pPr>
        <w:ind w:left="220" w:right="60" w:firstLine="440"/>
        <w:spacing w:after="0" w:line="283"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founded Skyline Ventures,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Proteon Therapeutics, Inc., a biotechnology company, since 2014, and Sutro Biopharma, Inc., a biotechnology company, since 2014.</w:t>
      </w:r>
    </w:p>
    <w:p>
      <w:pPr>
        <w:spacing w:after="0" w:line="4" w:lineRule="exact"/>
        <w:rPr>
          <w:sz w:val="20"/>
          <w:szCs w:val="20"/>
          <w:color w:val="auto"/>
        </w:rPr>
      </w:pPr>
    </w:p>
    <w:p>
      <w:pPr>
        <w:ind w:left="220" w:right="20"/>
        <w:spacing w:after="0" w:line="269" w:lineRule="auto"/>
        <w:rPr>
          <w:sz w:val="20"/>
          <w:szCs w:val="20"/>
          <w:color w:val="auto"/>
        </w:rPr>
      </w:pPr>
      <w:r>
        <w:rPr>
          <w:rFonts w:ascii="Arial" w:cs="Arial" w:eastAsia="Arial" w:hAnsi="Arial"/>
          <w:sz w:val="17"/>
          <w:szCs w:val="17"/>
          <w:color w:val="auto"/>
        </w:rPr>
        <w:t>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79"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b w:val="1"/>
          <w:bCs w:val="1"/>
          <w:i w:val="1"/>
          <w:iCs w:val="1"/>
          <w:color w:val="auto"/>
        </w:rPr>
        <w:t xml:space="preserve">Gregory K. Hinckley </w:t>
      </w:r>
      <w:r>
        <w:rPr>
          <w:rFonts w:ascii="Arial" w:cs="Arial" w:eastAsia="Arial" w:hAnsi="Arial"/>
          <w:sz w:val="16"/>
          <w:szCs w:val="16"/>
          <w:color w:val="auto"/>
        </w:rPr>
        <w:t>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January 1999 until his retirement in July 2017, and served on the board of directors from January 1999 to June 2016. From January 1997 to January 1999,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76"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Karen A. Licitra </w:t>
      </w:r>
      <w:r>
        <w:rPr>
          <w:rFonts w:ascii="Arial" w:cs="Arial" w:eastAsia="Arial" w:hAnsi="Arial"/>
          <w:sz w:val="18"/>
          <w:szCs w:val="18"/>
          <w:color w:val="auto"/>
        </w:rPr>
        <w:t>has served as a member of our board of directors since August 2015. From January 2014 through August 2015, Ms. Licitra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Corporate Vice President, Worldwide Government Affairs &amp; Policy at Johnson &amp; Johnson, a medical devices, pharmaceutical, and consumer packaged goods manufacturer. From</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spacing w:after="0" w:line="255" w:lineRule="auto"/>
        <w:rPr>
          <w:sz w:val="20"/>
          <w:szCs w:val="20"/>
          <w:color w:val="auto"/>
        </w:rPr>
      </w:pPr>
      <w:r>
        <w:rPr>
          <w:rFonts w:ascii="Arial" w:cs="Arial" w:eastAsia="Arial" w:hAnsi="Arial"/>
          <w:sz w:val="18"/>
          <w:szCs w:val="18"/>
          <w:color w:val="auto"/>
        </w:rPr>
        <w:t>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currently serves on the board of directors of Novadaq Technologies Inc., a provider of proven comprehensive fluorescence imaging solutions. Ms. Licitra received a B.S. in Commerce from Rider College. We believe Ms. Licitra’s experience working for medical device companies and her knowledge of our company enable her to make valuable contributions to our board of directors.</w:t>
      </w:r>
    </w:p>
    <w:p>
      <w:pPr>
        <w:spacing w:after="0" w:line="191" w:lineRule="exact"/>
        <w:rPr>
          <w:sz w:val="20"/>
          <w:szCs w:val="20"/>
          <w:color w:val="auto"/>
        </w:rPr>
      </w:pPr>
    </w:p>
    <w:p>
      <w:pPr>
        <w:ind w:left="220" w:right="2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Timothy B. Petersen </w:t>
      </w:r>
      <w:r>
        <w:rPr>
          <w:rFonts w:ascii="Arial" w:cs="Arial" w:eastAsia="Arial" w:hAnsi="Arial"/>
          <w:sz w:val="16"/>
          <w:szCs w:val="16"/>
          <w:color w:val="auto"/>
        </w:rPr>
        <w:t>has served as a member of our board of directors since June 2016. Since April 2002, Mr. Petersen has been employed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Arboretum Ventures, Inc. As a Managing Director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Inc. (acquired by Becton Dickinson), IntelliCyt Corporation (acquired by Sartorius AG) and Inogen.</w:t>
      </w:r>
    </w:p>
    <w:p>
      <w:pPr>
        <w:spacing w:after="0" w:line="1" w:lineRule="exact"/>
        <w:rPr>
          <w:sz w:val="20"/>
          <w:szCs w:val="20"/>
          <w:color w:val="auto"/>
        </w:rPr>
      </w:pPr>
    </w:p>
    <w:p>
      <w:pPr>
        <w:ind w:left="220" w:right="60"/>
        <w:spacing w:after="0" w:line="253" w:lineRule="auto"/>
        <w:rPr>
          <w:sz w:val="20"/>
          <w:szCs w:val="20"/>
          <w:color w:val="auto"/>
        </w:rPr>
      </w:pPr>
      <w:r>
        <w:rPr>
          <w:rFonts w:ascii="Arial" w:cs="Arial" w:eastAsia="Arial" w:hAnsi="Arial"/>
          <w:sz w:val="18"/>
          <w:szCs w:val="18"/>
          <w:color w:val="auto"/>
        </w:rPr>
        <w:t>Mr. Petersen currently serves on the boards of several private companies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92"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a member of our board of directors since our inception in April 2008 and as our Chief Medical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to September 2016. 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Technology, Inc. in April 2008. From October 1990 to May 2007, 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 Dr. Reiley’s experience in the industry, his role as our former Chief Medical Officer, and his knowledge of our company enable him to make valuable contributions to our board of directors.</w:t>
      </w:r>
    </w:p>
    <w:p>
      <w:pPr>
        <w:spacing w:after="0" w:line="186" w:lineRule="exact"/>
        <w:rPr>
          <w:sz w:val="20"/>
          <w:szCs w:val="20"/>
          <w:color w:val="auto"/>
        </w:rPr>
      </w:pPr>
    </w:p>
    <w:p>
      <w:pPr>
        <w:ind w:left="220" w:right="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Keith C. Valentine </w:t>
      </w:r>
      <w:r>
        <w:rPr>
          <w:rFonts w:ascii="Arial" w:cs="Arial" w:eastAsia="Arial" w:hAnsi="Arial"/>
          <w:sz w:val="16"/>
          <w:szCs w:val="16"/>
          <w:color w:val="auto"/>
        </w:rPr>
        <w:t>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20" w:right="180" w:firstLine="440"/>
        <w:spacing w:after="0" w:line="270" w:lineRule="auto"/>
        <w:rPr>
          <w:sz w:val="20"/>
          <w:szCs w:val="20"/>
          <w:color w:val="auto"/>
        </w:rPr>
      </w:pPr>
      <w:r>
        <w:rPr>
          <w:rFonts w:ascii="Arial" w:cs="Arial" w:eastAsia="Arial" w:hAnsi="Arial"/>
          <w:sz w:val="17"/>
          <w:szCs w:val="17"/>
          <w:color w:val="auto"/>
        </w:rPr>
        <w:t>We have applied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Dr. Bonita, Mr. Davis, Dr. Freund, Mr. Hinckley, Ms. Licitra, Mr. Petersen, and Mr. Valentine do not have any relationships that would interfere with the exercise of independent judgment in carrying out the responsibilities of a director and that each of these directors is “independent” as that term is defined under the rules of the Nasdaq Global Market. Mr. Dunn is not independent given his position as our President and Chief Executive Officer, and Dr. Reiley is not independent given his status as the Chief Medical Officer of Reiley Pharmaceuticals, Inc., where Mr. Dunn is a member of the board of directors. Accordingly, a majority of our directors are independent, as required under applicable Nasdaq listing rules. The independent members of our board of directors will hold separate regularly scheduled executive session meetings at which only independent directors are present.</w:t>
      </w:r>
    </w:p>
    <w:p>
      <w:pPr>
        <w:spacing w:after="0" w:line="179" w:lineRule="exact"/>
        <w:rPr>
          <w:sz w:val="20"/>
          <w:szCs w:val="20"/>
          <w:color w:val="auto"/>
        </w:rPr>
      </w:pPr>
    </w:p>
    <w:p>
      <w:pPr>
        <w:ind w:left="220" w:right="20" w:firstLine="440"/>
        <w:spacing w:after="0" w:line="293"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Davis, Hinckley and Petersen qualify as an independent director pursuant to Rule 10A-3. We also intend to satisfy the audit committee independence requirement of the Nasdaq Global Market.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220" w:right="60" w:firstLine="440"/>
        <w:spacing w:after="0" w:line="290" w:lineRule="auto"/>
        <w:rPr>
          <w:sz w:val="20"/>
          <w:szCs w:val="20"/>
          <w:color w:val="auto"/>
        </w:rPr>
      </w:pPr>
      <w:r>
        <w:rPr>
          <w:rFonts w:ascii="Arial" w:cs="Arial" w:eastAsia="Arial" w:hAnsi="Arial"/>
          <w:sz w:val="16"/>
          <w:szCs w:val="16"/>
          <w:color w:val="auto"/>
        </w:rPr>
        <w:t>Our board of directors currently consists of nine members, who were elected pursuant to the provision of a voting agreement and the related provisions of our amended and restated certificate of incorporation. Under the terms of this voting agreement, the stockholders who are party to the voting agreement have agreed to vote their respective shares to elect: (1) two directors designated by the holders of a majority of the then outstanding shares of Series 2 common, one of which will be our chief executive officer, currently Mr. Dunn and Dr. Reiley; (2) one director designated by Skyline Venture Partners Qualified Purchaser Fund V, L.P., currently Dr. Freund; (3) one director designated by Montreux Equity Partners IV, LP which is currently vacant; (4) four directors approved by a majority of the members of our board of directors and at least one of whom has relevant industry experience relating to our business, currently Mr. Hinckley, Mr. Davis, Ms. Licitra, and Mr. Valentine; (5) one director designated by OrbiMed Advisors LLC or OrbiMed Private Investments V, LP, currently Dr. Bonita; and (6) one director designated by Arboretum IV, LP, currently Mr. Petersen.</w:t>
      </w:r>
    </w:p>
    <w:p>
      <w:pPr>
        <w:spacing w:after="0" w:line="164"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The provisions of this voting agreement will terminate upon the closing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3"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8" w:lineRule="exact"/>
        <w:rPr>
          <w:sz w:val="20"/>
          <w:szCs w:val="20"/>
          <w:color w:val="auto"/>
        </w:rPr>
      </w:pPr>
    </w:p>
    <w:p>
      <w:pPr>
        <w:ind w:left="1080" w:right="200" w:hanging="438"/>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will be Dr. Bonita, Mr. Davis, and Dr. Reiley their term will expire at the annual meeting of stockholders to be held in 2019;</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II directors will be Mr. Dunn, Dr. Freund, and Mr. Hinckley their terms will expire at the annual meeting of stockholders to be held in 2020; and</w:t>
      </w:r>
    </w:p>
    <w:p>
      <w:pPr>
        <w:spacing w:after="0" w:line="75" w:lineRule="exact"/>
        <w:rPr>
          <w:rFonts w:ascii="Arial" w:cs="Arial" w:eastAsia="Arial" w:hAnsi="Arial"/>
          <w:sz w:val="18"/>
          <w:szCs w:val="18"/>
          <w:color w:val="auto"/>
        </w:rPr>
      </w:pPr>
    </w:p>
    <w:p>
      <w:pPr>
        <w:ind w:left="1080" w:right="40" w:hanging="438"/>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III directors will be Mr. Petersen, Ms. Licitra, and Mr. Valentine their terms will expire at the annual meeting of stockholders to be held in 2021.</w:t>
      </w:r>
    </w:p>
    <w:p>
      <w:pPr>
        <w:spacing w:after="0" w:line="170"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6" w:lineRule="exact"/>
        <w:rPr>
          <w:sz w:val="20"/>
          <w:szCs w:val="20"/>
          <w:color w:val="auto"/>
        </w:rPr>
      </w:pPr>
    </w:p>
    <w:p>
      <w:pPr>
        <w:ind w:left="220" w:right="28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closing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6"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Stock—Anti-Takeover Provisions—Certificate of Incorporation and Bylaws Provisions.”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left="220" w:right="20" w:firstLine="440"/>
        <w:spacing w:after="0" w:line="27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and oversight of healthcare, regulatory, and fraud and abuse compliance.</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20" w:right="20" w:firstLine="440"/>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closing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20" w:right="60" w:firstLine="440"/>
        <w:spacing w:after="0" w:line="273" w:lineRule="auto"/>
        <w:rPr>
          <w:sz w:val="20"/>
          <w:szCs w:val="20"/>
          <w:color w:val="auto"/>
        </w:rPr>
      </w:pPr>
      <w:r>
        <w:rPr>
          <w:rFonts w:ascii="Arial" w:cs="Arial" w:eastAsia="Arial" w:hAnsi="Arial"/>
          <w:sz w:val="17"/>
          <w:szCs w:val="17"/>
          <w:color w:val="auto"/>
        </w:rPr>
        <w:t>Our audit committee consists of Messrs. Davis, Hinckley, and Petersen, each of whom satisfies the independence requirements under the Nasdaq Global Market listing standards and Rule 10A-3(b)(1) of the Exchange Act. The chairman of our audit committee is Mr. Hinckley. Our board of directors has determined that each of Messrs. Davis, Hinckley, and Petersen is an “audit committee financial expert” within the meaning of SEC regulations. Our board of directors has also determined that each member of our audit committee has the requisite financial expertise required under the applicable requirements of the Nasdaq Global Market. In arriving at this determination, the board of directors has examined each audit committee member’s scope of experience and the nature of their employment in the corporate finance sector.</w:t>
      </w:r>
    </w:p>
    <w:p>
      <w:pPr>
        <w:spacing w:after="0" w:line="177"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8" w:lineRule="exact"/>
        <w:rPr>
          <w:sz w:val="20"/>
          <w:szCs w:val="20"/>
          <w:color w:val="auto"/>
        </w:rPr>
      </w:pPr>
    </w:p>
    <w:p>
      <w:pPr>
        <w:ind w:left="1080" w:hanging="438"/>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180" w:hanging="438"/>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80" w:right="60" w:hanging="438"/>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8" w:lineRule="exact"/>
        <w:rPr>
          <w:rFonts w:ascii="Arial" w:cs="Arial" w:eastAsia="Arial" w:hAnsi="Arial"/>
          <w:sz w:val="18"/>
          <w:szCs w:val="18"/>
          <w:color w:val="auto"/>
        </w:rPr>
      </w:pPr>
    </w:p>
    <w:p>
      <w:pPr>
        <w:ind w:left="1080" w:right="300" w:hanging="438"/>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20" w:right="180" w:firstLine="440"/>
        <w:spacing w:after="0" w:line="286" w:lineRule="auto"/>
        <w:rPr>
          <w:sz w:val="20"/>
          <w:szCs w:val="20"/>
          <w:color w:val="auto"/>
        </w:rPr>
      </w:pPr>
      <w:r>
        <w:rPr>
          <w:rFonts w:ascii="Arial" w:cs="Arial" w:eastAsia="Arial" w:hAnsi="Arial"/>
          <w:sz w:val="17"/>
          <w:szCs w:val="17"/>
          <w:color w:val="auto"/>
        </w:rPr>
        <w:t>Our compensation committee consists of Dr. Bonita, Mr. Davis, and Ms. Licitra, each of whom our board of directors has determined to be independent under the Nasdaq Global Market listing standards and the rules and regulations of the SEC, a “non-employee director” as defined in Rule 16b-3 promulgated under the Exchange Act. The chairman of our compensation committee is Mr. Davis.</w:t>
      </w:r>
    </w:p>
    <w:p>
      <w:pPr>
        <w:spacing w:after="0" w:line="165" w:lineRule="exact"/>
        <w:rPr>
          <w:sz w:val="20"/>
          <w:szCs w:val="20"/>
          <w:color w:val="auto"/>
        </w:rPr>
      </w:pPr>
    </w:p>
    <w:p>
      <w:pPr>
        <w:ind w:left="220" w:right="300" w:firstLine="440"/>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8" w:lineRule="exact"/>
        <w:rPr>
          <w:sz w:val="20"/>
          <w:szCs w:val="20"/>
          <w:color w:val="auto"/>
        </w:rPr>
      </w:pPr>
    </w:p>
    <w:p>
      <w:pPr>
        <w:ind w:left="1080" w:hanging="438"/>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80" w:hanging="438"/>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hanging="438"/>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500" w:hanging="438"/>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80" w:right="540" w:hanging="438"/>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8" w:lineRule="exact"/>
        <w:rPr>
          <w:rFonts w:ascii="Arial" w:cs="Arial" w:eastAsia="Arial" w:hAnsi="Arial"/>
          <w:sz w:val="18"/>
          <w:szCs w:val="18"/>
          <w:color w:val="auto"/>
        </w:rPr>
      </w:pPr>
    </w:p>
    <w:p>
      <w:pPr>
        <w:ind w:left="1080" w:hanging="438"/>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color w:val="auto"/>
        </w:rPr>
        <w:t>Our nominating and corporate governance committee consists of Dr. Freund and Mr. Valentine, each of whom our board of directors has determined to be independent under the Nasdaq Global Market listing standards. The chairman of our nominating and corporate governance committee is Mr. Valentine.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0" w:lineRule="exact"/>
        <w:rPr>
          <w:sz w:val="20"/>
          <w:szCs w:val="20"/>
          <w:color w:val="auto"/>
        </w:rPr>
      </w:pPr>
    </w:p>
    <w:p>
      <w:pPr>
        <w:ind w:left="1080" w:hanging="438"/>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1080" w:hanging="438"/>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41" w:lineRule="exact"/>
        <w:rPr>
          <w:rFonts w:ascii="Arial" w:cs="Arial" w:eastAsia="Arial" w:hAnsi="Arial"/>
          <w:sz w:val="17"/>
          <w:szCs w:val="17"/>
          <w:color w:val="auto"/>
        </w:rPr>
      </w:pPr>
    </w:p>
    <w:p>
      <w:pPr>
        <w:ind w:left="1080" w:hanging="438"/>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Our board of directors has adopted a code of conduct. The code of conduct applies to all of our employees, officers, directors, contractors, consultants, suppliers, and agents. Upon the closing of this offering, the full text of our code of conduct will be posted on our website at www.si-bone.com under the Investor Relations section. We intend to disclose future amendments to, or waivers of, our code of conduct,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As noted above, the compensation committee of our board of directors consists of Dr. Bonita, Mr. Davis, and Ms. Licitra. During 2017, our compensation committee consisted of Dr. Bonita, Mr. Davis, and Ms. Licitra. None of the members of the compensation committee is currently, or has been at any time, one of our officers or employees. Mr. Dunn serves as a member of the board of directors and as a member of the compensation committee of the board of directors of Reiley Pharmaceuticals, Inc., where Dr. Reiley, a member of our board of directors, serves as Chief Medical Officer.</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240" w:top="459"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Currently, we pay our non-employee directors who are not representatives of our stockholders a fee of $2,000 per month as compensation for their service on our board of directors. We also have a policy of reimbursing all of our non-employee directors for their reasonable out-of-pocket expenses in connection with attending board of directors and committee meetings. From time to time we have granted stock options to certain of our non-employee directors.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2017 Non-Employee Director Compensation Table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compensation paid to our non-employee directors during 2017.</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720" w:type="dxa"/>
            <w:vAlign w:val="bottom"/>
            <w:vMerge w:val="restart"/>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12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174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Paid in Cash</w:t>
            </w:r>
          </w:p>
        </w:tc>
        <w:tc>
          <w:tcPr>
            <w:tcW w:w="7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12"/>
                <w:szCs w:val="12"/>
                <w:b w:val="1"/>
                <w:bCs w:val="1"/>
                <w:color w:val="auto"/>
                <w:w w:val="90"/>
              </w:rPr>
              <w:t>(1)(2)</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28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24,000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28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24,000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24,000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24,000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28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280" w:type="dxa"/>
            <w:vAlign w:val="bottom"/>
          </w:tcPr>
          <w:p>
            <w:pPr>
              <w:spacing w:after="0"/>
              <w:rPr>
                <w:sz w:val="20"/>
                <w:szCs w:val="20"/>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76835</wp:posOffset>
            </wp:positionV>
            <wp:extent cx="7023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27" w:lineRule="exact"/>
        <w:rPr>
          <w:sz w:val="20"/>
          <w:szCs w:val="20"/>
          <w:color w:val="auto"/>
        </w:rPr>
      </w:pPr>
    </w:p>
    <w:p>
      <w:pPr>
        <w:ind w:left="640" w:right="60" w:hanging="430"/>
        <w:spacing w:after="0" w:line="268"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March 2017, we granted options to purchase 22,222 shares to each of our non-employee directors, excluding Dr. Reiley, with an exercise price of $5.94 per share, vesting in equal monthly installments over three years commencing upon the closing of an initial public offering, subject to the non-employee director’s continued service with us through each relevant vesting date, and are early exercisable upon the closing of an initial public offering. The shares subject to the options will fully vest immediately prior to the effective time of a change in control, subject to the non-employee director’s continued service with us on the effective date of such change in control.</w:t>
      </w:r>
    </w:p>
    <w:p>
      <w:pPr>
        <w:spacing w:after="0" w:line="2" w:lineRule="exact"/>
        <w:rPr>
          <w:rFonts w:ascii="Arial" w:cs="Arial" w:eastAsia="Arial" w:hAnsi="Arial"/>
          <w:sz w:val="17"/>
          <w:szCs w:val="17"/>
          <w:color w:val="auto"/>
        </w:rPr>
      </w:pPr>
    </w:p>
    <w:p>
      <w:pPr>
        <w:ind w:left="640" w:right="180" w:hanging="430"/>
        <w:spacing w:after="0" w:line="269"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accordance with SEC rules, this column does not include the value of option awards granted to the directors in March 2017, as more fully described in footnote (1) above. These option awards are subject to certain liquidity events and time-based vesting components. As of the grant date and June 30, 2018, the liquidity events were considered not “probable” of occurring. As a result, the grant date fair value of each of these option awards, for purposes of this table, is $0. Assuming that all of the vesting conditions to the option awards were met, the estimated value of each of these option awards as of the grant date would be $69,154. The table below lists the aggregate number of shares subject to outstanding stock options held by each of our non-employee directors as of December 31, 2017.</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0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5640" w:type="dxa"/>
            <w:vAlign w:val="bottom"/>
          </w:tcPr>
          <w:p>
            <w:pPr>
              <w:spacing w:after="0"/>
              <w:rPr>
                <w:sz w:val="15"/>
                <w:szCs w:val="15"/>
                <w:color w:val="auto"/>
              </w:rPr>
            </w:pPr>
          </w:p>
        </w:tc>
        <w:tc>
          <w:tcPr>
            <w:tcW w:w="122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56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22,222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6860" w:type="dxa"/>
            <w:vAlign w:val="bottom"/>
            <w:gridSpan w:val="3"/>
          </w:tcPr>
          <w:p>
            <w:pPr>
              <w:jc w:val="right"/>
              <w:ind w:right="60"/>
              <w:spacing w:after="0"/>
              <w:rPr>
                <w:sz w:val="20"/>
                <w:szCs w:val="20"/>
                <w:color w:val="auto"/>
              </w:rPr>
            </w:pPr>
            <w:r>
              <w:rPr>
                <w:rFonts w:ascii="Arial" w:cs="Arial" w:eastAsia="Arial" w:hAnsi="Arial"/>
                <w:sz w:val="18"/>
                <w:szCs w:val="18"/>
                <w:color w:val="auto"/>
              </w:rPr>
              <w:t>55,397</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6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6860" w:type="dxa"/>
            <w:vAlign w:val="bottom"/>
            <w:gridSpan w:val="3"/>
          </w:tcPr>
          <w:p>
            <w:pPr>
              <w:jc w:val="right"/>
              <w:ind w:right="60"/>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6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43,630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6860" w:type="dxa"/>
            <w:vAlign w:val="bottom"/>
            <w:gridSpan w:val="3"/>
          </w:tcPr>
          <w:p>
            <w:pPr>
              <w:jc w:val="right"/>
              <w:ind w:right="60"/>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6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6860" w:type="dxa"/>
            <w:vAlign w:val="bottom"/>
            <w:gridSpan w:val="3"/>
          </w:tcPr>
          <w:p>
            <w:pPr>
              <w:jc w:val="right"/>
              <w:ind w:right="60"/>
              <w:spacing w:after="0"/>
              <w:rPr>
                <w:sz w:val="20"/>
                <w:szCs w:val="20"/>
                <w:color w:val="auto"/>
              </w:rPr>
            </w:pPr>
            <w:r>
              <w:rPr>
                <w:rFonts w:ascii="Arial" w:cs="Arial" w:eastAsia="Arial" w:hAnsi="Arial"/>
                <w:sz w:val="18"/>
                <w:szCs w:val="18"/>
                <w:color w:val="auto"/>
              </w:rPr>
              <w:t>43,630</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640" w:type="dxa"/>
            <w:vAlign w:val="bottom"/>
          </w:tcPr>
          <w:p>
            <w:pPr>
              <w:jc w:val="right"/>
              <w:ind w:right="3630"/>
              <w:spacing w:after="0"/>
              <w:rPr>
                <w:sz w:val="20"/>
                <w:szCs w:val="20"/>
                <w:color w:val="auto"/>
              </w:rPr>
            </w:pPr>
            <w:r>
              <w:rPr>
                <w:rFonts w:ascii="Arial" w:cs="Arial" w:eastAsia="Arial" w:hAnsi="Arial"/>
                <w:sz w:val="18"/>
                <w:szCs w:val="18"/>
                <w:color w:val="auto"/>
              </w:rPr>
              <w:t>136</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20" w:right="160" w:firstLine="440"/>
        <w:spacing w:after="0" w:line="307" w:lineRule="auto"/>
        <w:rPr>
          <w:sz w:val="20"/>
          <w:szCs w:val="20"/>
          <w:color w:val="auto"/>
        </w:rPr>
      </w:pPr>
      <w:r>
        <w:rPr>
          <w:rFonts w:ascii="Arial" w:cs="Arial" w:eastAsia="Arial" w:hAnsi="Arial"/>
          <w:sz w:val="17"/>
          <w:szCs w:val="17"/>
          <w:color w:val="auto"/>
        </w:rPr>
        <w:t>The following table sets forth information regarding the compensation of our chief executive officer and our two other most highly compensated executive officers during the year ended December 31, 2017. We refer to these individuals as our “named executive officers.”</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13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(2)</w:t>
            </w:r>
          </w:p>
        </w:tc>
        <w:tc>
          <w:tcPr>
            <w:tcW w:w="160" w:type="dxa"/>
            <w:vAlign w:val="bottom"/>
          </w:tcPr>
          <w:p>
            <w:pPr>
              <w:spacing w:after="0"/>
              <w:rPr>
                <w:sz w:val="14"/>
                <w:szCs w:val="14"/>
                <w:color w:val="auto"/>
              </w:rPr>
            </w:pPr>
          </w:p>
        </w:tc>
        <w:tc>
          <w:tcPr>
            <w:tcW w:w="1360" w:type="dxa"/>
            <w:vAlign w:val="bottom"/>
            <w:gridSpan w:val="2"/>
          </w:tcPr>
          <w:p>
            <w:pPr>
              <w:jc w:val="right"/>
              <w:ind w:right="644"/>
              <w:spacing w:after="0"/>
              <w:rPr>
                <w:sz w:val="20"/>
                <w:szCs w:val="20"/>
                <w:color w:val="auto"/>
              </w:rPr>
            </w:pPr>
            <w:r>
              <w:rPr>
                <w:rFonts w:ascii="Arial" w:cs="Arial" w:eastAsia="Arial" w:hAnsi="Arial"/>
                <w:sz w:val="14"/>
                <w:szCs w:val="14"/>
                <w:b w:val="1"/>
                <w:bCs w:val="1"/>
                <w:color w:val="auto"/>
              </w:rPr>
              <w:t>All Other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4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5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Jeffrey W. Dunn</w:t>
            </w:r>
          </w:p>
        </w:tc>
        <w:tc>
          <w:tcPr>
            <w:tcW w:w="2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2017</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$437,750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$249,518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251,618</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239,889</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(4)</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$1,178,775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46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302,315</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120,624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77,073</w:t>
            </w:r>
          </w:p>
        </w:tc>
        <w:tc>
          <w:tcPr>
            <w:tcW w:w="160" w:type="dxa"/>
            <w:vAlign w:val="bottom"/>
          </w:tcPr>
          <w:p>
            <w:pPr>
              <w:spacing w:after="0"/>
              <w:rPr>
                <w:sz w:val="24"/>
                <w:szCs w:val="24"/>
                <w:color w:val="auto"/>
              </w:rPr>
            </w:pPr>
          </w:p>
        </w:tc>
        <w:tc>
          <w:tcPr>
            <w:tcW w:w="1360" w:type="dxa"/>
            <w:vAlign w:val="bottom"/>
            <w:gridSpan w:val="2"/>
          </w:tcPr>
          <w:p>
            <w:pPr>
              <w:jc w:val="right"/>
              <w:ind w:right="404"/>
              <w:spacing w:after="0"/>
              <w:rPr>
                <w:sz w:val="20"/>
                <w:szCs w:val="20"/>
                <w:color w:val="auto"/>
              </w:rPr>
            </w:pPr>
            <w:r>
              <w:rPr>
                <w:rFonts w:ascii="Arial" w:cs="Arial" w:eastAsia="Arial" w:hAnsi="Arial"/>
                <w:sz w:val="18"/>
                <w:szCs w:val="18"/>
                <w:color w:val="auto"/>
              </w:rPr>
              <w:t>18,458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518,470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315,000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142,924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18,468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1" w:lineRule="exact"/>
        <w:rPr>
          <w:sz w:val="20"/>
          <w:szCs w:val="20"/>
          <w:color w:val="auto"/>
        </w:rPr>
      </w:pPr>
    </w:p>
    <w:p>
      <w:pPr>
        <w:ind w:left="640" w:right="560" w:hanging="430"/>
        <w:spacing w:after="0" w:line="290"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payments upon the achievement of 2017 corporate goals as well as individual objectives, which were paid in January 2018. Our corporate goals included revenue growth, cash flow, expense, profitability management, reimbursement progress and clinical milestones.</w:t>
      </w:r>
    </w:p>
    <w:p>
      <w:pPr>
        <w:spacing w:after="0" w:line="1" w:lineRule="exact"/>
        <w:rPr>
          <w:rFonts w:ascii="Arial" w:cs="Arial" w:eastAsia="Arial" w:hAnsi="Arial"/>
          <w:sz w:val="16"/>
          <w:szCs w:val="16"/>
          <w:color w:val="auto"/>
        </w:rPr>
      </w:pPr>
    </w:p>
    <w:p>
      <w:pPr>
        <w:ind w:left="640" w:right="320" w:hanging="430"/>
        <w:spacing w:after="0" w:line="281"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granted to the officer in 2017 and the incremental fair value of stock options repriced in December 2017, computed in accordance with FASB ASC Topic 718. For a discussion of the assumptions made in determining the grant date fair value of our equity awards, see Note 10 to our audited consolidated financial statements included elsewhere in this prospectus.</w:t>
      </w:r>
    </w:p>
    <w:p>
      <w:pPr>
        <w:spacing w:after="0" w:line="1" w:lineRule="exact"/>
        <w:rPr>
          <w:rFonts w:ascii="Arial" w:cs="Arial" w:eastAsia="Arial" w:hAnsi="Arial"/>
          <w:sz w:val="16"/>
          <w:szCs w:val="16"/>
          <w:color w:val="auto"/>
        </w:rPr>
      </w:pPr>
    </w:p>
    <w:p>
      <w:pPr>
        <w:ind w:left="640" w:hanging="430"/>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reported include medical and life insurance premiums paid by us on behalf of our named executive officers.</w:t>
      </w:r>
    </w:p>
    <w:p>
      <w:pPr>
        <w:spacing w:after="0" w:line="8" w:lineRule="exact"/>
        <w:rPr>
          <w:rFonts w:ascii="Arial" w:cs="Arial" w:eastAsia="Arial" w:hAnsi="Arial"/>
          <w:sz w:val="18"/>
          <w:szCs w:val="18"/>
          <w:color w:val="auto"/>
        </w:rPr>
      </w:pPr>
    </w:p>
    <w:p>
      <w:pPr>
        <w:ind w:left="640" w:right="280" w:hanging="430"/>
        <w:spacing w:after="0" w:line="255"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 includes $231,914 of principal and interest forgiven by us in March 2017, in connection with a loan we made to Mr. Dunn in February 2014. The remaining balance of the loan was forgiven by us in January 2018. For a more detailed description of this loan, see “Certain Relationships and Related Party Transactions—Loans.”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20" w:right="40" w:firstLine="44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As an emerging growth company we will be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of 2010.</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121" w:lineRule="exact"/>
        <w:rPr>
          <w:sz w:val="20"/>
          <w:szCs w:val="20"/>
          <w:color w:val="auto"/>
        </w:rPr>
      </w:pPr>
    </w:p>
    <w:p>
      <w:pPr>
        <w:ind w:left="220" w:right="280" w:firstLine="440"/>
        <w:spacing w:after="0" w:line="341"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2017. Unless otherwise indicated below, all of these awards were made pursuant to our 2008 Stock Plan.</w:t>
      </w:r>
    </w:p>
    <w:p>
      <w:pPr>
        <w:spacing w:after="0" w:line="125" w:lineRule="exact"/>
        <w:rPr>
          <w:sz w:val="20"/>
          <w:szCs w:val="20"/>
          <w:color w:val="auto"/>
        </w:rPr>
      </w:pPr>
    </w:p>
    <w:p>
      <w:pPr>
        <w:ind w:left="220" w:right="480" w:firstLine="440"/>
        <w:spacing w:after="0" w:line="277" w:lineRule="auto"/>
        <w:rPr>
          <w:sz w:val="20"/>
          <w:szCs w:val="20"/>
          <w:color w:val="auto"/>
        </w:rPr>
      </w:pPr>
      <w:r>
        <w:rPr>
          <w:rFonts w:ascii="Arial" w:cs="Arial" w:eastAsia="Arial" w:hAnsi="Arial"/>
          <w:sz w:val="18"/>
          <w:szCs w:val="18"/>
          <w:color w:val="auto"/>
        </w:rPr>
        <w:t>All of the options granted to our named executive officers are immediately exercisable with respect to all of the option shares, subject to our repurchase right in the event the officer’s service terminates prior to vesting in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20"/>
        <w:spacing w:after="0" w:line="277" w:lineRule="auto"/>
        <w:rPr>
          <w:sz w:val="20"/>
          <w:szCs w:val="20"/>
          <w:color w:val="auto"/>
        </w:rPr>
      </w:pPr>
      <w:r>
        <w:rPr>
          <w:rFonts w:ascii="Arial" w:cs="Arial" w:eastAsia="Arial" w:hAnsi="Arial"/>
          <w:sz w:val="18"/>
          <w:szCs w:val="18"/>
          <w:color w:val="auto"/>
        </w:rPr>
        <w:t>the shares. We refer to option shares that are subject to our right of repurchase as “unvested shares” and those that are no longer subject to our right of repurchase as “vested” shares.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Vesting</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Options</w:t>
            </w: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Unvested</w:t>
            </w: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40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580"/>
              <w:spacing w:after="0" w:line="157"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9"/>
              </w:rPr>
              <w:t>Vested (#)</w:t>
            </w:r>
          </w:p>
        </w:tc>
        <w:tc>
          <w:tcPr>
            <w:tcW w:w="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380" w:type="dxa"/>
            <w:vAlign w:val="bottom"/>
          </w:tcPr>
          <w:p>
            <w:pPr>
              <w:spacing w:after="0"/>
              <w:rPr>
                <w:sz w:val="13"/>
                <w:szCs w:val="13"/>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3"/>
                <w:szCs w:val="13"/>
                <w:color w:val="auto"/>
              </w:rPr>
            </w:pPr>
          </w:p>
        </w:tc>
        <w:tc>
          <w:tcPr>
            <w:tcW w:w="76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W. Dunn</w:t>
            </w:r>
          </w:p>
        </w:tc>
        <w:tc>
          <w:tcPr>
            <w:tcW w:w="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07/21/14</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07/21/14</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232,977</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39,776</w:t>
            </w: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79"/>
              </w:rPr>
              <w:t>3.42</w:t>
            </w: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07/20/24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6"/>
              </w:rPr>
              <w:t>05/26/15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04/15/15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67,626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33,814</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color w:val="auto"/>
              </w:rPr>
              <w:t>(3)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05/25/25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w w:val="88"/>
              </w:rPr>
              <w:t>07/26/16</w:t>
            </w:r>
          </w:p>
        </w:tc>
        <w:tc>
          <w:tcPr>
            <w:tcW w:w="13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06/02/16</w:t>
            </w:r>
          </w:p>
        </w:tc>
        <w:tc>
          <w:tcPr>
            <w:tcW w:w="11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43,088</w:t>
            </w:r>
          </w:p>
        </w:tc>
        <w:tc>
          <w:tcPr>
            <w:tcW w:w="11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71,813</w:t>
            </w:r>
          </w:p>
        </w:tc>
        <w:tc>
          <w:tcPr>
            <w:tcW w:w="11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4.32</w:t>
            </w:r>
          </w:p>
        </w:tc>
        <w:tc>
          <w:tcPr>
            <w:tcW w:w="7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6"/>
              </w:rPr>
              <w:t>07/25/26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03/01/17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09/06/17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7,891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118,369</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03/01/27</w:t>
            </w:r>
          </w:p>
        </w:tc>
        <w:tc>
          <w:tcPr>
            <w:tcW w:w="0" w:type="dxa"/>
            <w:vAlign w:val="bottom"/>
          </w:tcPr>
          <w:p>
            <w:pPr>
              <w:spacing w:after="0"/>
              <w:rPr>
                <w:sz w:val="1"/>
                <w:szCs w:val="1"/>
                <w:color w:val="auto"/>
              </w:rPr>
            </w:pPr>
          </w:p>
        </w:tc>
      </w:tr>
      <w:tr>
        <w:trPr>
          <w:trHeight w:val="309"/>
        </w:trPr>
        <w:tc>
          <w:tcPr>
            <w:tcW w:w="408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05/26/15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05/26/15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12,626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color w:val="auto"/>
              </w:rPr>
              <w:t>(3)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05/25/25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05/26/15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05/26/15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110,394</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67,463</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color w:val="auto"/>
              </w:rPr>
              <w:t>(3)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05/25/25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07/26/16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06/02/16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8,206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13,677</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4.32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07/25/26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03/01/17</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09/06/17</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2,418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36,257</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03/01/27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Anthony J. Recupero.</w:t>
            </w:r>
          </w:p>
        </w:tc>
        <w:tc>
          <w:tcPr>
            <w:tcW w:w="1400" w:type="dxa"/>
            <w:vAlign w:val="bottom"/>
            <w:gridSpan w:val="4"/>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07/26/16</w:t>
            </w:r>
          </w:p>
        </w:tc>
        <w:tc>
          <w:tcPr>
            <w:tcW w:w="138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07/05/16</w:t>
            </w:r>
          </w:p>
        </w:tc>
        <w:tc>
          <w:tcPr>
            <w:tcW w:w="112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44,479</w:t>
            </w:r>
          </w:p>
        </w:tc>
        <w:tc>
          <w:tcPr>
            <w:tcW w:w="114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81,111</w:t>
            </w:r>
          </w:p>
        </w:tc>
        <w:tc>
          <w:tcPr>
            <w:tcW w:w="11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4.32</w:t>
            </w:r>
          </w:p>
        </w:tc>
        <w:tc>
          <w:tcPr>
            <w:tcW w:w="7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6"/>
              </w:rPr>
              <w:t>07/25/26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03/01/17</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09/06/17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3,372</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50,572</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03/01/27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1" w:lineRule="exact"/>
        <w:rPr>
          <w:sz w:val="20"/>
          <w:szCs w:val="20"/>
          <w:color w:val="auto"/>
        </w:rPr>
      </w:pPr>
    </w:p>
    <w:p>
      <w:pPr>
        <w:ind w:left="640" w:right="100" w:hanging="430"/>
        <w:spacing w:after="0" w:line="258"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1" w:lineRule="exact"/>
        <w:rPr>
          <w:rFonts w:ascii="Arial" w:cs="Arial" w:eastAsia="Arial" w:hAnsi="Arial"/>
          <w:sz w:val="18"/>
          <w:szCs w:val="18"/>
          <w:color w:val="auto"/>
        </w:rPr>
      </w:pPr>
    </w:p>
    <w:p>
      <w:pPr>
        <w:ind w:left="640" w:hanging="430"/>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as described in “Equity Acceleration” below.</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stock option was repriced in December 2017.</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in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2017.</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in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2017.</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220" w:firstLine="440"/>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setting forth the initial terms of the officer’s employment with us and providing that the officer’s employment will be “at will” and may be terminated at any time. The severance benefits for our named executive officers are described in “Severance and Change in Control Agreement” below.</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Jeffrey W. Dunn</w:t>
      </w:r>
    </w:p>
    <w:p>
      <w:pPr>
        <w:spacing w:after="0" w:line="117" w:lineRule="exact"/>
        <w:rPr>
          <w:sz w:val="20"/>
          <w:szCs w:val="20"/>
          <w:color w:val="auto"/>
        </w:rPr>
      </w:pPr>
    </w:p>
    <w:p>
      <w:pPr>
        <w:ind w:left="220" w:right="40" w:firstLine="440"/>
        <w:spacing w:after="0" w:line="279" w:lineRule="auto"/>
        <w:rPr>
          <w:sz w:val="20"/>
          <w:szCs w:val="20"/>
          <w:color w:val="auto"/>
        </w:rPr>
      </w:pPr>
      <w:r>
        <w:rPr>
          <w:rFonts w:ascii="Arial" w:cs="Arial" w:eastAsia="Arial" w:hAnsi="Arial"/>
          <w:sz w:val="17"/>
          <w:szCs w:val="17"/>
          <w:color w:val="auto"/>
        </w:rPr>
        <w:t>In December 2009, we entered into an offer letter with Jeffrey W. Dunn, our President and Chief Executive Officer. Mr. Dunn’s annual base salary as of January 1, 2017 was $437,750 and Mr. Dunn was eligible for annual variable compensation up to 50% of his base salary. As of April 1, 2018, Mr. Dunn’s annual base salary was increased to $451,320. Upon the closing of this offering, Mr. Dunn’s annual base salary will be increased to $540,000 and Mr. Dunn will be eligible for annual variable compensation up to 75% of his base salary.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of directors, if applicable.</w:t>
      </w:r>
    </w:p>
    <w:p>
      <w:pPr>
        <w:spacing w:after="0" w:line="191"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In March 2017, Mr. Dunn was granted an option to purchase 126,260 shares of common stock with an exercise price of $5.94 per share vesting in equal monthly installments over four years commencing upon the closing of an initial public offering, subject to Mr. Dunn’s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$4.68 per share and the vesting commencement date was set at September 6, 2017.</w:t>
      </w:r>
    </w:p>
    <w:p>
      <w:pPr>
        <w:spacing w:after="0" w:line="191" w:lineRule="exact"/>
        <w:rPr>
          <w:sz w:val="20"/>
          <w:szCs w:val="20"/>
          <w:color w:val="auto"/>
        </w:rPr>
      </w:pPr>
    </w:p>
    <w:p>
      <w:pPr>
        <w:ind w:left="220" w:right="60" w:firstLine="440"/>
        <w:spacing w:after="0" w:line="272" w:lineRule="auto"/>
        <w:rPr>
          <w:sz w:val="20"/>
          <w:szCs w:val="20"/>
          <w:color w:val="auto"/>
        </w:rPr>
      </w:pPr>
      <w:r>
        <w:rPr>
          <w:rFonts w:ascii="Arial" w:cs="Arial" w:eastAsia="Arial" w:hAnsi="Arial"/>
          <w:sz w:val="17"/>
          <w:szCs w:val="17"/>
          <w:color w:val="auto"/>
        </w:rPr>
        <w:t>In August 2018, Mr. Dunn was granted 33,333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an initial public offering, subject to Mr. Dunn’s continued service with us through each relevant vesting date. In the event a change in control occurs prior to the closing of an initial public offering, these RSUs will vest in full immediately prior to the consummation of such change in control, provided that Mr. Dunn agrees to provide service as a full-time employee or consultant for the acquirer or the surviving entity for a period not to exceed 6 months (unless otherwise agreed to by us, Mr. Dunn and the acquirer or surviving entity).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Laura A. Francis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2015, we entered into an offer letter with Laura A. Francis, our Chief Financial Officer. Ms. Francis’ annual base salary as of January 1,</w:t>
      </w:r>
    </w:p>
    <w:p>
      <w:pPr>
        <w:spacing w:after="0" w:line="46" w:lineRule="exact"/>
        <w:rPr>
          <w:sz w:val="20"/>
          <w:szCs w:val="20"/>
          <w:color w:val="auto"/>
        </w:rPr>
      </w:pPr>
    </w:p>
    <w:p>
      <w:pPr>
        <w:jc w:val="both"/>
        <w:ind w:left="220" w:right="400"/>
        <w:spacing w:after="0" w:line="255" w:lineRule="auto"/>
        <w:rPr>
          <w:sz w:val="20"/>
          <w:szCs w:val="20"/>
          <w:color w:val="auto"/>
        </w:rPr>
      </w:pPr>
      <w:r>
        <w:rPr>
          <w:rFonts w:ascii="Arial" w:cs="Arial" w:eastAsia="Arial" w:hAnsi="Arial"/>
          <w:sz w:val="18"/>
          <w:szCs w:val="18"/>
          <w:color w:val="auto"/>
        </w:rPr>
        <w:t>2017 was $302,315 and Ms. Francis was eligible for annual variable compensation up to 35% of her base salary. As of April 1, 2018, Ms. Francis’ annual base salary was increased to $314,106. Upon the closing of this offering, Ms. Francis’s annual base salary will be increased to $350,000 and Ms. Francis will be eligible for annual variable compensation up to 45% of her base salary.</w:t>
      </w:r>
    </w:p>
    <w:p>
      <w:pPr>
        <w:spacing w:after="0" w:line="189" w:lineRule="exact"/>
        <w:rPr>
          <w:sz w:val="20"/>
          <w:szCs w:val="20"/>
          <w:color w:val="auto"/>
        </w:rPr>
      </w:pPr>
    </w:p>
    <w:p>
      <w:pPr>
        <w:ind w:left="220" w:right="100" w:firstLine="440"/>
        <w:spacing w:after="0" w:line="290" w:lineRule="auto"/>
        <w:rPr>
          <w:sz w:val="20"/>
          <w:szCs w:val="20"/>
          <w:color w:val="auto"/>
        </w:rPr>
      </w:pPr>
      <w:r>
        <w:rPr>
          <w:rFonts w:ascii="Arial" w:cs="Arial" w:eastAsia="Arial" w:hAnsi="Arial"/>
          <w:sz w:val="16"/>
          <w:szCs w:val="16"/>
          <w:color w:val="auto"/>
        </w:rPr>
        <w:t>Under the terms of her offer letter, Ms. Francis was granted an option to purchase a number of shares of common stock equal to 1.25% of the fully-diluted capitalization as of her first day of employment, or 190,483 shares, with an exercise price of $7.92 per share. The shares subject to this option vest as to 25% on the 12-month anniversary of May 26, 2015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 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64" w:lineRule="exact"/>
        <w:rPr>
          <w:sz w:val="20"/>
          <w:szCs w:val="20"/>
          <w:color w:val="auto"/>
        </w:rPr>
      </w:pPr>
    </w:p>
    <w:p>
      <w:pPr>
        <w:ind w:left="220" w:right="240" w:firstLine="440"/>
        <w:spacing w:after="0" w:line="263"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183"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In March 2017, Ms. Francis was granted an option to purchase 38,675 shares of common stock with an exercise price of $5.94 per share vesting in equal monthly installments over four years commencing upon the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311" w:lineRule="auto"/>
        <w:rPr>
          <w:sz w:val="20"/>
          <w:szCs w:val="20"/>
          <w:color w:val="auto"/>
        </w:rPr>
      </w:pPr>
      <w:r>
        <w:rPr>
          <w:rFonts w:ascii="Arial" w:cs="Arial" w:eastAsia="Arial" w:hAnsi="Arial"/>
          <w:sz w:val="16"/>
          <w:szCs w:val="16"/>
          <w:color w:val="auto"/>
        </w:rPr>
        <w:t>closing of an initial public offering, subject to Ms. Francis’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$4.68 per share and the vesting commencement date was set at September 6, 2017.</w:t>
      </w:r>
    </w:p>
    <w:p>
      <w:pPr>
        <w:spacing w:after="0" w:line="148" w:lineRule="exact"/>
        <w:rPr>
          <w:sz w:val="20"/>
          <w:szCs w:val="20"/>
          <w:color w:val="auto"/>
        </w:rPr>
      </w:pPr>
    </w:p>
    <w:p>
      <w:pPr>
        <w:ind w:left="220" w:right="40" w:firstLine="440"/>
        <w:spacing w:after="0" w:line="291" w:lineRule="auto"/>
        <w:rPr>
          <w:sz w:val="20"/>
          <w:szCs w:val="20"/>
          <w:color w:val="auto"/>
        </w:rPr>
      </w:pPr>
      <w:r>
        <w:rPr>
          <w:rFonts w:ascii="Arial" w:cs="Arial" w:eastAsia="Arial" w:hAnsi="Arial"/>
          <w:sz w:val="16"/>
          <w:szCs w:val="16"/>
          <w:color w:val="auto"/>
        </w:rPr>
        <w:t>In August 2018, Ms. Francis was granted 3,703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an initial public offering, subject to Ms. Francis’ continued service with us through each relevant vesting date. In the event (a) a change in control occurs prior to the closing of an initial public offering, and (b) within three months prior to or 12 months following such change of control we terminate Ms. Francis’ service with us other than for cause (as defined in Ms. Francis’ RSU agreement), or Ms. Francis terminates her service for good reason (as defined in Ms. Francis’ RSU agreement), these RSUs will vest in full as of the date of termination of Ms. Francis’ service.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Anthony J. Recupero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2016, we entered into an offer letter with Anthony J. Recupero, our Chief Commercial Officer. Mr. Recupero’s annual base salary as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January 1, 2017 was $315,000 and Mr. Recupero was eligible for annual variable compensation up to 40% of his base salary. As of April 1, 2018,</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Recupero’s annual base salary was increased to $325,710. Upon the closing of this offering, Mr. Recupero’s annual base salary will be increased to</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$330,000 and Mr. Recupero will be eligible for annual variable compensation up to 45% of his base salary.</w:t>
      </w:r>
    </w:p>
    <w:p>
      <w:pPr>
        <w:spacing w:after="0" w:line="210" w:lineRule="exact"/>
        <w:rPr>
          <w:sz w:val="20"/>
          <w:szCs w:val="20"/>
          <w:color w:val="auto"/>
        </w:rPr>
      </w:pPr>
    </w:p>
    <w:p>
      <w:pPr>
        <w:jc w:val="both"/>
        <w:ind w:left="220" w:right="360" w:firstLine="440"/>
        <w:spacing w:after="0" w:line="287" w:lineRule="auto"/>
        <w:rPr>
          <w:sz w:val="20"/>
          <w:szCs w:val="20"/>
          <w:color w:val="auto"/>
        </w:rPr>
      </w:pPr>
      <w:r>
        <w:rPr>
          <w:rFonts w:ascii="Arial" w:cs="Arial" w:eastAsia="Arial" w:hAnsi="Arial"/>
          <w:sz w:val="16"/>
          <w:szCs w:val="16"/>
          <w:color w:val="auto"/>
        </w:rPr>
        <w:t>Under the terms of his offer letter, Mr. Recupero was granted an option to purchase a number of shares of common stock equal to 0.7% of the fully-diluted capitalization as of his first day of employment, or 125,590 shares, with an exercise price of $4.32 per share. The shares subject to this option vest as to 25% on the 12-month anniversary of July 5, 2016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w:t>
      </w:r>
    </w:p>
    <w:p>
      <w:pPr>
        <w:spacing w:after="0" w:line="2" w:lineRule="exact"/>
        <w:rPr>
          <w:sz w:val="20"/>
          <w:szCs w:val="20"/>
          <w:color w:val="auto"/>
        </w:rPr>
      </w:pPr>
    </w:p>
    <w:p>
      <w:pPr>
        <w:ind w:left="220" w:right="60"/>
        <w:spacing w:after="0" w:line="255" w:lineRule="auto"/>
        <w:rPr>
          <w:sz w:val="20"/>
          <w:szCs w:val="20"/>
          <w:color w:val="auto"/>
        </w:rPr>
      </w:pPr>
      <w:r>
        <w:rPr>
          <w:rFonts w:ascii="Arial" w:cs="Arial" w:eastAsia="Arial" w:hAnsi="Arial"/>
          <w:sz w:val="18"/>
          <w:szCs w:val="18"/>
          <w:color w:val="auto"/>
        </w:rPr>
        <w:t>Mr. Recupero’s continued service with us through each relevant vesting date. Mr. Recupero’s offer letter provides that in the event we terminate him for any reason other than for cause (as defined in the letter agreement), we will provide him with the following benefits within 60 calendar days of his termination date:</w:t>
      </w:r>
    </w:p>
    <w:p>
      <w:pPr>
        <w:spacing w:after="0" w:line="95" w:lineRule="exact"/>
        <w:rPr>
          <w:sz w:val="20"/>
          <w:szCs w:val="20"/>
          <w:color w:val="auto"/>
        </w:rPr>
      </w:pPr>
    </w:p>
    <w:p>
      <w:pPr>
        <w:ind w:left="1080" w:hanging="438"/>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25" w:lineRule="exact"/>
        <w:rPr>
          <w:sz w:val="20"/>
          <w:szCs w:val="20"/>
          <w:color w:val="auto"/>
        </w:rPr>
      </w:pPr>
    </w:p>
    <w:p>
      <w:pPr>
        <w:jc w:val="both"/>
        <w:ind w:left="220" w:right="40" w:firstLine="440"/>
        <w:spacing w:after="0" w:line="263"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88" w:lineRule="exact"/>
        <w:rPr>
          <w:sz w:val="20"/>
          <w:szCs w:val="20"/>
          <w:color w:val="auto"/>
        </w:rPr>
      </w:pPr>
    </w:p>
    <w:p>
      <w:pPr>
        <w:ind w:left="1080" w:hanging="438"/>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his termination date; and</w:t>
      </w:r>
    </w:p>
    <w:p>
      <w:pPr>
        <w:spacing w:after="0" w:line="153" w:lineRule="exact"/>
        <w:rPr>
          <w:rFonts w:ascii="Arial" w:cs="Arial" w:eastAsia="Arial" w:hAnsi="Arial"/>
          <w:sz w:val="16"/>
          <w:szCs w:val="16"/>
          <w:color w:val="auto"/>
        </w:rPr>
      </w:pPr>
    </w:p>
    <w:p>
      <w:pPr>
        <w:ind w:left="1080" w:hanging="438"/>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25"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of directors, if applicable, and execution and non-revocation of a release of claims.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80" w:firstLine="440"/>
        <w:spacing w:after="0" w:line="275" w:lineRule="auto"/>
        <w:rPr>
          <w:sz w:val="20"/>
          <w:szCs w:val="20"/>
          <w:color w:val="auto"/>
        </w:rPr>
      </w:pPr>
      <w:r>
        <w:rPr>
          <w:rFonts w:ascii="Arial" w:cs="Arial" w:eastAsia="Arial" w:hAnsi="Arial"/>
          <w:sz w:val="17"/>
          <w:szCs w:val="17"/>
          <w:color w:val="auto"/>
        </w:rPr>
        <w:t>In March 2017, Mr. Recupero was granted an option to purchase for 53,944 shares of common stock with an exercise price of $5.94 per share vesting in equal monthly installments over four years commencing upon the closing of an initial public offering, subject to Mr. Recupero’s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$4.68 per share and the vesting commencement date was set at September 6, 2017.</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88" w:lineRule="exact"/>
        <w:rPr>
          <w:sz w:val="20"/>
          <w:szCs w:val="20"/>
          <w:color w:val="auto"/>
        </w:rPr>
      </w:pPr>
    </w:p>
    <w:p>
      <w:pPr>
        <w:ind w:left="1080" w:hanging="438"/>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25"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either three months prior to or 12 months following the consummation of a change in control (as defined in the letter agreement), we will provide her the following benefits within 60 calendar days of her termination date:</w:t>
      </w:r>
    </w:p>
    <w:p>
      <w:pPr>
        <w:spacing w:after="0" w:line="88" w:lineRule="exact"/>
        <w:rPr>
          <w:sz w:val="20"/>
          <w:szCs w:val="20"/>
          <w:color w:val="auto"/>
        </w:rPr>
      </w:pPr>
    </w:p>
    <w:p>
      <w:pPr>
        <w:ind w:left="1080" w:hanging="438"/>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her termination date; and</w:t>
      </w:r>
    </w:p>
    <w:p>
      <w:pPr>
        <w:spacing w:after="0" w:line="153" w:lineRule="exact"/>
        <w:rPr>
          <w:rFonts w:ascii="Arial" w:cs="Arial" w:eastAsia="Arial" w:hAnsi="Arial"/>
          <w:sz w:val="16"/>
          <w:szCs w:val="16"/>
          <w:color w:val="auto"/>
        </w:rPr>
      </w:pPr>
    </w:p>
    <w:p>
      <w:pPr>
        <w:ind w:left="1080" w:hanging="438"/>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25" w:lineRule="exact"/>
        <w:rPr>
          <w:sz w:val="20"/>
          <w:szCs w:val="20"/>
          <w:color w:val="auto"/>
        </w:rPr>
      </w:pPr>
    </w:p>
    <w:p>
      <w:pPr>
        <w:ind w:left="220" w:right="220" w:firstLine="440"/>
        <w:spacing w:after="0" w:line="311" w:lineRule="auto"/>
        <w:rPr>
          <w:sz w:val="20"/>
          <w:szCs w:val="20"/>
          <w:color w:val="auto"/>
        </w:rPr>
      </w:pPr>
      <w:r>
        <w:rPr>
          <w:rFonts w:ascii="Arial" w:cs="Arial" w:eastAsia="Arial" w:hAnsi="Arial"/>
          <w:sz w:val="16"/>
          <w:szCs w:val="16"/>
          <w:color w:val="auto"/>
        </w:rPr>
        <w:t>These severance benefits are contingent on Ms. Francis returning all of our property, continued adherence to the terms and condition of the proprietary information and inventions agreement between us and Ms. Francis, resigning from our board of directors, if applicable, and executing and not revoking a release of claims. The severance letter agreement for Ms. Francis supersede the acceleration provisions set forth in her offer letter.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jc w:val="both"/>
        <w:ind w:left="220" w:right="40" w:firstLine="440"/>
        <w:spacing w:after="0" w:line="311" w:lineRule="auto"/>
        <w:rPr>
          <w:sz w:val="20"/>
          <w:szCs w:val="20"/>
          <w:color w:val="auto"/>
        </w:rPr>
      </w:pPr>
      <w:r>
        <w:rPr>
          <w:rFonts w:ascii="Arial" w:cs="Arial" w:eastAsia="Arial" w:hAnsi="Arial"/>
          <w:sz w:val="16"/>
          <w:szCs w:val="16"/>
          <w:color w:val="auto"/>
        </w:rPr>
        <w:t>Mr. Dunn’s options to purchase 114,901 shares granted in July 2016 and 126,260 shares granted in March 2017 will fully vest if we are subject to a change in control before Mr. Dunn’s service terminates, provided he agrees to provide services to the acquiring company for a period not to exceed six months. Mr. Dunn’s option for 101,440 shares granted in May 2015, will vest as to 50% of the option shares if we are subject to a change in control.</w:t>
      </w:r>
    </w:p>
    <w:p>
      <w:pPr>
        <w:spacing w:after="0" w:line="148"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In the case of all the options granted to Ms. Francis and Mr. Recupero, the accelerated vesting of any unvested option shares will occur as set forth above in “Employment Agreements” and “Severance and Change in Control Agreement.”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20" w:right="600" w:firstLine="440"/>
        <w:spacing w:after="0" w:line="307" w:lineRule="auto"/>
        <w:rPr>
          <w:sz w:val="20"/>
          <w:szCs w:val="20"/>
          <w:color w:val="auto"/>
        </w:rPr>
      </w:pPr>
      <w:r>
        <w:rPr>
          <w:rFonts w:ascii="Arial" w:cs="Arial" w:eastAsia="Arial" w:hAnsi="Arial"/>
          <w:sz w:val="17"/>
          <w:szCs w:val="17"/>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adopted our 2018 Equity Incentive Plan, or the 2018 Plan, in July 2018, and our stockholders subsequently approved the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2018 Plan in October 2018. The 2018 Plan will become effective immediately upon the execution of the underwriting agreement related to this offering.</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Once the 2018 Plan becomes effective, no further grants will be made under our 2008 Stock Plan, which is described below.</w:t>
      </w:r>
    </w:p>
    <w:p>
      <w:pPr>
        <w:spacing w:after="0" w:line="210"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Our 2018 Plan provides for the grant of incentive stock options, or ISOs, within the meaning of Section 422 of the Internal Revenue Code of 1986, or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2018 Plan provides for the grant of performance cash awards to our employees, directors and consultants.</w:t>
      </w:r>
    </w:p>
    <w:p>
      <w:pPr>
        <w:spacing w:after="0" w:line="191"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that may be issued under our 2018 Plan is 2,576,538.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reserved for issuance under our 2018 Plan will automatically increase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The maximum number of shares that may be issued upon the exercise of ISOs under our 2018 Plan is three times the share reserve.</w:t>
      </w:r>
    </w:p>
    <w:p>
      <w:pPr>
        <w:spacing w:after="0" w:line="191"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Shares issued under our 2018 Plan will be authorized but unissued or reacquired shares of our common stock. Shares subject to stock awards granted under our 2018 Plan that expire or terminate without being exercised in full, or that are paid out in cash rather than in shares, will not reduce the number of shares available for issuance under our 2018 Plan. Additionally, shares issued pursuant to stock awards under our 2018 Plan that we repurchase or that are forfeited, as well as shares used to pay the exercise price of a stock award or to satisfy the tax withholding obligations related to a stock award, will become available for future grant under our 2018 Plan.</w:t>
      </w:r>
    </w:p>
    <w:p>
      <w:pPr>
        <w:spacing w:after="0" w:line="191"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2018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(1) designate employees (other than officers) to receive specified stock awards, and (2) determine the number of shares subject to such stock awards. Subject to the terms of our 2018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2018 Plan.</w:t>
      </w:r>
    </w:p>
    <w:p>
      <w:pPr>
        <w:spacing w:after="0" w:line="193" w:lineRule="exact"/>
        <w:rPr>
          <w:sz w:val="20"/>
          <w:szCs w:val="20"/>
          <w:color w:val="auto"/>
        </w:rPr>
      </w:pPr>
    </w:p>
    <w:p>
      <w:pPr>
        <w:ind w:left="220" w:right="80" w:firstLine="440"/>
        <w:spacing w:after="0" w:line="311" w:lineRule="auto"/>
        <w:rPr>
          <w:sz w:val="20"/>
          <w:szCs w:val="20"/>
          <w:color w:val="auto"/>
        </w:rPr>
      </w:pPr>
      <w:r>
        <w:rPr>
          <w:rFonts w:ascii="Arial" w:cs="Arial" w:eastAsia="Arial" w:hAnsi="Arial"/>
          <w:sz w:val="16"/>
          <w:szCs w:val="16"/>
          <w:color w:val="auto"/>
        </w:rPr>
        <w:t>Our board of directors has the power to modify outstanding awards under our 2018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8" w:lineRule="exact"/>
        <w:rPr>
          <w:sz w:val="20"/>
          <w:szCs w:val="20"/>
          <w:color w:val="auto"/>
        </w:rPr>
      </w:pPr>
    </w:p>
    <w:p>
      <w:pPr>
        <w:ind w:left="220" w:right="60" w:firstLine="440"/>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2018 Plan, provided that the exercise price of a stock option generally cannot be less than 100% of the fair market value of our common stock on the date of grant. Options granted under the 2018 Plan vest at the rate specified in the stock option agreement as determined by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firstLine="440"/>
        <w:spacing w:after="0" w:line="254"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Restricted stock unit awards are granted pursuant to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93" w:lineRule="exact"/>
        <w:rPr>
          <w:sz w:val="20"/>
          <w:szCs w:val="20"/>
          <w:color w:val="auto"/>
        </w:rPr>
      </w:pPr>
    </w:p>
    <w:p>
      <w:pPr>
        <w:ind w:left="220" w:right="120" w:firstLine="440"/>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177" w:lineRule="exact"/>
        <w:rPr>
          <w:sz w:val="20"/>
          <w:szCs w:val="20"/>
          <w:color w:val="auto"/>
        </w:rPr>
      </w:pPr>
    </w:p>
    <w:p>
      <w:pPr>
        <w:ind w:left="220" w:right="280" w:firstLine="440"/>
        <w:spacing w:after="0" w:line="279"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are granted pursuant to stock appreciation grant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purchase price or strike price for a stock appreciation right, which generally cannot be less than 100% of the fair market value of our common stock on the date of grant. A stock appreciation right granted under the 2018 Plan vests at the rate specified in the stock appreciation right agreement as determined by the plan administrator.</w:t>
      </w:r>
    </w:p>
    <w:p>
      <w:pPr>
        <w:spacing w:after="0" w:line="170"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2018 Plan permits the grant of performance-based stock and cash awards. Our compensation committee can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such awards so that the stock or cash will be issued or paid pursuant to such award only following the achievement of certain pre-established performance goals during a designated performance period.</w:t>
      </w:r>
    </w:p>
    <w:p>
      <w:pPr>
        <w:spacing w:after="0" w:line="183" w:lineRule="exact"/>
        <w:rPr>
          <w:sz w:val="20"/>
          <w:szCs w:val="20"/>
          <w:color w:val="auto"/>
        </w:rPr>
      </w:pPr>
    </w:p>
    <w:p>
      <w:pPr>
        <w:jc w:val="both"/>
        <w:ind w:left="220" w:right="60" w:firstLine="440"/>
        <w:spacing w:after="0" w:line="287"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w:t>
      </w:r>
    </w:p>
    <w:p>
      <w:pPr>
        <w:spacing w:after="0" w:line="2" w:lineRule="exact"/>
        <w:rPr>
          <w:sz w:val="20"/>
          <w:szCs w:val="20"/>
          <w:color w:val="auto"/>
        </w:rPr>
      </w:pPr>
    </w:p>
    <w:p>
      <w:pPr>
        <w:ind w:left="460" w:hanging="250"/>
        <w:spacing w:after="0"/>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stock price; (8) margin (including gross margin); (9) income (before or after taxes); (10) operating income; (11) operating income after taxes;</w:t>
      </w:r>
    </w:p>
    <w:p>
      <w:pPr>
        <w:spacing w:after="0" w:line="20" w:lineRule="exact"/>
        <w:rPr>
          <w:rFonts w:ascii="Arial" w:cs="Arial" w:eastAsia="Arial" w:hAnsi="Arial"/>
          <w:sz w:val="17"/>
          <w:szCs w:val="17"/>
          <w:color w:val="auto"/>
        </w:rPr>
      </w:pPr>
    </w:p>
    <w:p>
      <w:pPr>
        <w:ind w:left="220" w:right="160" w:hanging="10"/>
        <w:spacing w:after="0" w:line="281" w:lineRule="auto"/>
        <w:tabs>
          <w:tab w:leader="none" w:pos="565"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w:t>
      </w:r>
    </w:p>
    <w:p>
      <w:pPr>
        <w:ind w:left="560" w:hanging="35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cash flow; (21) cash flow per share; (22) share price performance; (23) debt reduction; (24) customer satisfaction; (25) stockholders’ equity;</w:t>
      </w:r>
    </w:p>
    <w:p>
      <w:pPr>
        <w:spacing w:after="0" w:line="20" w:lineRule="exact"/>
        <w:rPr>
          <w:rFonts w:ascii="Arial" w:cs="Arial" w:eastAsia="Arial" w:hAnsi="Arial"/>
          <w:sz w:val="17"/>
          <w:szCs w:val="17"/>
          <w:color w:val="auto"/>
        </w:rPr>
      </w:pPr>
    </w:p>
    <w:p>
      <w:pPr>
        <w:ind w:left="220" w:hanging="10"/>
        <w:spacing w:after="0" w:line="281" w:lineRule="auto"/>
        <w:tabs>
          <w:tab w:leader="none" w:pos="565" w:val="left"/>
        </w:tabs>
        <w:numPr>
          <w:ilvl w:val="0"/>
          <w:numId w:val="89"/>
        </w:numPr>
        <w:rPr>
          <w:rFonts w:ascii="Arial" w:cs="Arial" w:eastAsia="Arial" w:hAnsi="Arial"/>
          <w:sz w:val="16"/>
          <w:szCs w:val="16"/>
          <w:color w:val="auto"/>
        </w:rPr>
      </w:pPr>
      <w:r>
        <w:rPr>
          <w:rFonts w:ascii="Arial" w:cs="Arial" w:eastAsia="Arial" w:hAnsi="Arial"/>
          <w:sz w:val="16"/>
          <w:szCs w:val="16"/>
          <w:color w:val="auto"/>
        </w:rPr>
        <w:t>capital expenditures; (27) 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 (36) corporate governance and compliance; (37) product commercialization; (38) intellectual property;</w:t>
      </w:r>
    </w:p>
    <w:p>
      <w:pPr>
        <w:spacing w:after="0" w:line="1" w:lineRule="exact"/>
        <w:rPr>
          <w:rFonts w:ascii="Arial" w:cs="Arial" w:eastAsia="Arial" w:hAnsi="Arial"/>
          <w:sz w:val="16"/>
          <w:szCs w:val="16"/>
          <w:color w:val="auto"/>
        </w:rPr>
      </w:pPr>
    </w:p>
    <w:p>
      <w:pPr>
        <w:ind w:left="560" w:hanging="350"/>
        <w:spacing w:after="0"/>
        <w:tabs>
          <w:tab w:leader="none" w:pos="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personnel matters; (40) progress of internal research or clinical programs; (41) progress of partnered programs; (42) partner satisfaction;</w:t>
      </w:r>
    </w:p>
    <w:p>
      <w:pPr>
        <w:spacing w:after="0" w:line="20" w:lineRule="exact"/>
        <w:rPr>
          <w:rFonts w:ascii="Arial" w:cs="Arial" w:eastAsia="Arial" w:hAnsi="Arial"/>
          <w:sz w:val="17"/>
          <w:szCs w:val="17"/>
          <w:color w:val="auto"/>
        </w:rPr>
      </w:pPr>
    </w:p>
    <w:p>
      <w:pPr>
        <w:ind w:left="220" w:right="160" w:hanging="10"/>
        <w:spacing w:after="0" w:line="252" w:lineRule="auto"/>
        <w:tabs>
          <w:tab w:leader="none" w:pos="5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96" w:lineRule="auto"/>
        <w:rPr>
          <w:sz w:val="20"/>
          <w:szCs w:val="20"/>
          <w:color w:val="auto"/>
        </w:rPr>
      </w:pPr>
      <w:r>
        <w:rPr>
          <w:rFonts w:ascii="Arial" w:cs="Arial" w:eastAsia="Arial" w:hAnsi="Arial"/>
          <w:sz w:val="16"/>
          <w:szCs w:val="16"/>
          <w:color w:val="auto"/>
        </w:rPr>
        <w:t>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other measures of performance selected by our board.</w:t>
      </w:r>
    </w:p>
    <w:p>
      <w:pPr>
        <w:spacing w:after="0" w:line="160" w:lineRule="exact"/>
        <w:rPr>
          <w:sz w:val="20"/>
          <w:szCs w:val="20"/>
          <w:color w:val="auto"/>
        </w:rPr>
      </w:pPr>
    </w:p>
    <w:p>
      <w:pPr>
        <w:ind w:left="220" w:firstLine="440"/>
        <w:spacing w:after="0" w:line="285" w:lineRule="auto"/>
        <w:rPr>
          <w:sz w:val="20"/>
          <w:szCs w:val="20"/>
          <w:color w:val="auto"/>
        </w:rPr>
      </w:pPr>
      <w:r>
        <w:rPr>
          <w:rFonts w:ascii="Arial" w:cs="Arial" w:eastAsia="Arial" w:hAnsi="Arial"/>
          <w:sz w:val="16"/>
          <w:szCs w:val="16"/>
          <w:color w:val="auto"/>
        </w:rPr>
        <w:t>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will appropriately make adjustments in the method of calculating the attainment of the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w:t>
      </w:r>
    </w:p>
    <w:p>
      <w:pPr>
        <w:spacing w:after="0" w:line="176" w:lineRule="exact"/>
        <w:rPr>
          <w:sz w:val="20"/>
          <w:szCs w:val="20"/>
          <w:color w:val="auto"/>
        </w:rPr>
      </w:pPr>
    </w:p>
    <w:p>
      <w:pPr>
        <w:ind w:left="220" w:right="620" w:firstLine="440"/>
        <w:spacing w:after="0" w:line="307"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7"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91" w:lineRule="exact"/>
        <w:rPr>
          <w:sz w:val="20"/>
          <w:szCs w:val="20"/>
          <w:color w:val="auto"/>
        </w:rPr>
      </w:pPr>
    </w:p>
    <w:p>
      <w:pPr>
        <w:ind w:left="220" w:right="60" w:firstLine="440"/>
        <w:spacing w:after="0" w:line="283"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2018 Plan provides that in the event of certain specified significant corporate transactions including: (1) a sale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or 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will take one of the following actions with respect to such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w:t>
      </w:r>
    </w:p>
    <w:p>
      <w:pPr>
        <w:spacing w:after="0" w:line="5" w:lineRule="exact"/>
        <w:rPr>
          <w:sz w:val="20"/>
          <w:szCs w:val="20"/>
          <w:color w:val="auto"/>
        </w:rPr>
      </w:pPr>
    </w:p>
    <w:p>
      <w:pPr>
        <w:ind w:left="5580" w:right="2060" w:hanging="5370"/>
        <w:spacing w:after="0" w:line="432" w:lineRule="auto"/>
        <w:tabs>
          <w:tab w:leader="none" w:pos="4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 (6) cancel or arrange for 144</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the cancellation of the stock award in exchange for a payment, in the form determined by the board, equal to the excess, if any, of the per share amount (or value of property per share) payable to holders of our common stock in connection with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common stock. The plan administrator is not obligated to treat all stock awards or portions of stock awards, even those that are of the same type, in the same manner.</w:t>
      </w:r>
    </w:p>
    <w:p>
      <w:pPr>
        <w:spacing w:after="0" w:line="190" w:lineRule="exact"/>
        <w:rPr>
          <w:sz w:val="20"/>
          <w:szCs w:val="20"/>
          <w:color w:val="auto"/>
        </w:rPr>
      </w:pPr>
    </w:p>
    <w:p>
      <w:pPr>
        <w:ind w:left="220" w:right="40" w:firstLine="440"/>
        <w:spacing w:after="0" w:line="287" w:lineRule="auto"/>
        <w:rPr>
          <w:sz w:val="20"/>
          <w:szCs w:val="20"/>
          <w:color w:val="auto"/>
        </w:rPr>
      </w:pPr>
      <w:r>
        <w:rPr>
          <w:rFonts w:ascii="Arial" w:cs="Arial" w:eastAsia="Arial" w:hAnsi="Arial"/>
          <w:sz w:val="16"/>
          <w:szCs w:val="16"/>
          <w:color w:val="auto"/>
        </w:rPr>
        <w:t>In the event of a change in control, awards granted under the 2018 Plan will not receive automatic acceleration of vesting and/or exercisability, although this treatment may be provided for in an award agreement. Under the 2018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(iv) a majority of our Board becomes comprised of individuals whose nomination, appointment, or election was not approved by a majority of the Board members or their approved successors.</w:t>
      </w:r>
    </w:p>
    <w:p>
      <w:pPr>
        <w:spacing w:after="0" w:line="170"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2018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2018 Plan.</w:t>
      </w:r>
    </w:p>
    <w:p>
      <w:pPr>
        <w:spacing w:after="0" w:line="170" w:lineRule="exact"/>
        <w:rPr>
          <w:sz w:val="20"/>
          <w:szCs w:val="20"/>
          <w:color w:val="auto"/>
        </w:rPr>
      </w:pPr>
    </w:p>
    <w:p>
      <w:pPr>
        <w:ind w:left="220" w:right="220" w:firstLine="440"/>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2018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2018 Plan. No stock awards may be granted under our 2018 Plan while it is suspended or after it is terminated.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Our board of directors adopted our 2018 Employee Stock Purchase Plan, or the ESPP, in July 2018, and our stockholders subsequently approved the ESPP in October 2018. The ESPP will become effective immediately upon the execution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1" w:lineRule="exact"/>
        <w:rPr>
          <w:sz w:val="20"/>
          <w:szCs w:val="20"/>
          <w:color w:val="auto"/>
        </w:rPr>
      </w:pPr>
    </w:p>
    <w:p>
      <w:pPr>
        <w:ind w:left="220" w:right="140" w:firstLine="440"/>
        <w:spacing w:after="0" w:line="255"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aggregate number of shares of our common stock that may be issued pursuant to the exercise of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ESPP that are granted to our employees or to employees of any of our designated affiliates is 515,307 shares. Additionally, the number of shares of our common stock reserved for issuance under our ESPP will increase automatically each year, beginning on January 1, 2019, and continuing through and including January 1, 2028, by the lesser of (1) 1% of the total number of shares of our common stock outstanding on December 31 of the preceding calendar year, (2) 555,555 shares or (3) a lesser number of shares as determined by our board of directors. Shares subject to purchase rights granted under our ESPP that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terminate without having been exercised in full will not reduce the number of shares available for issuance under our ESPP.</w:t>
      </w:r>
    </w:p>
    <w:p>
      <w:pPr>
        <w:spacing w:after="0" w:line="225" w:lineRule="exact"/>
        <w:rPr>
          <w:sz w:val="20"/>
          <w:szCs w:val="20"/>
          <w:color w:val="auto"/>
        </w:rPr>
      </w:pPr>
    </w:p>
    <w:p>
      <w:pPr>
        <w:ind w:left="220" w:right="140" w:firstLine="440"/>
        <w:spacing w:after="0" w:line="293"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duly authorized committee thereof, will administer our ESPP. Our board of directors has delegated</w:t>
      </w:r>
      <w:r>
        <w:rPr>
          <w:rFonts w:ascii="Arial" w:cs="Arial" w:eastAsia="Arial" w:hAnsi="Arial"/>
          <w:sz w:val="16"/>
          <w:szCs w:val="16"/>
          <w:i w:val="1"/>
          <w:iCs w:val="1"/>
          <w:color w:val="auto"/>
        </w:rPr>
        <w:t xml:space="preserve"> </w:t>
      </w:r>
      <w:r>
        <w:rPr>
          <w:rFonts w:ascii="Arial" w:cs="Arial" w:eastAsia="Arial" w:hAnsi="Arial"/>
          <w:sz w:val="16"/>
          <w:szCs w:val="16"/>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63" w:lineRule="exact"/>
        <w:rPr>
          <w:sz w:val="20"/>
          <w:szCs w:val="20"/>
          <w:color w:val="auto"/>
        </w:rPr>
      </w:pPr>
    </w:p>
    <w:p>
      <w:pPr>
        <w:ind w:left="220" w:right="120" w:firstLine="440"/>
        <w:spacing w:after="0" w:line="272"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will commence upon the execution and delivery of the underwriting agreement relating to this offering, the fair market value on the first day of the initial offering will be the price at which shares are first sold to the public.</w:t>
      </w:r>
    </w:p>
    <w:p>
      <w:pPr>
        <w:spacing w:after="0" w:line="176"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Our employees, including executive officers, or any of our designated affiliates may have to satisfy one or more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 (2) 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65" w:lineRule="exact"/>
        <w:rPr>
          <w:sz w:val="20"/>
          <w:szCs w:val="20"/>
          <w:color w:val="auto"/>
        </w:rPr>
      </w:pPr>
    </w:p>
    <w:p>
      <w:pPr>
        <w:ind w:left="220" w:right="160" w:firstLine="440"/>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an offering.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w:t>
      </w:r>
    </w:p>
    <w:p>
      <w:pPr>
        <w:spacing w:after="0" w:line="35" w:lineRule="exact"/>
        <w:rPr>
          <w:sz w:val="20"/>
          <w:szCs w:val="20"/>
          <w:color w:val="auto"/>
        </w:rPr>
      </w:pPr>
    </w:p>
    <w:p>
      <w:pPr>
        <w:ind w:left="220" w:right="60" w:hanging="10"/>
        <w:spacing w:after="0" w:line="269" w:lineRule="auto"/>
        <w:tabs>
          <w:tab w:leader="none" w:pos="47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 after such purchase.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left="220" w:right="20" w:firstLine="440"/>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board of directors adopted the 2008 Stock Plan in April 2008, and it was approved by our stockholders in February 2009.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amended the 2008 Stock Plan, with the most recent amendment occurring in March 2017, the purpose of which was to increase the number of shares available for issuance under the 2008 Stock Plan. No further awards will be made under the 2008 Stock Plan following this offering; however, awards outstanding under the 2008 Stock Plan will continue in full effect in accordance with their existing terms.</w:t>
      </w:r>
    </w:p>
    <w:p>
      <w:pPr>
        <w:spacing w:after="0" w:line="170"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June 30, 2018, we have reserved 5,350,080 shares of our common stock for issuance under the 2008 Stock Plan.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options to purchase 2,900,842 shares of common stock, at exercise prices ranging from $0.27 to $9.72 per share, or a weighted-average exercise price of $4.09 per share, were outstanding under the 2008 Stock Plan, and 26,613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until the expiration date of the 2008 Stock Plan, as described above.</w:t>
      </w:r>
    </w:p>
    <w:p>
      <w:pPr>
        <w:spacing w:after="0" w:line="177"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the 2008 Stock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the 2008 Stock Plan. The administrator has complete discretion to make all decisions relating to the 2008 Stock Plan and the outstanding awards, including the authority to accept the cancellation of outstanding options (whether granted by us or another issuer) in return for the grant of new options for the same or a different number of shares and at the same or a different exercise price</w:t>
      </w:r>
    </w:p>
    <w:p>
      <w:pPr>
        <w:spacing w:after="0" w:line="191" w:lineRule="exact"/>
        <w:rPr>
          <w:sz w:val="20"/>
          <w:szCs w:val="20"/>
          <w:color w:val="auto"/>
        </w:rPr>
      </w:pPr>
    </w:p>
    <w:p>
      <w:pPr>
        <w:ind w:left="220" w:right="420" w:firstLine="440"/>
        <w:spacing w:after="0" w:line="307"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non-employee members of our board of directors and consultants are eligible to participate in the 2008 Stock Plan.</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However, only employees are eligible to receive incentive stock options.</w:t>
      </w:r>
    </w:p>
    <w:p>
      <w:pPr>
        <w:spacing w:after="0" w:line="210"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Options expire at the time determined by the administrator, but in no event more than 10 years after they are granted, and generally expire earlier if the optionee’s service terminates.</w:t>
      </w:r>
    </w:p>
    <w:p>
      <w:pPr>
        <w:spacing w:after="0" w:line="183" w:lineRule="exact"/>
        <w:rPr>
          <w:sz w:val="20"/>
          <w:szCs w:val="20"/>
          <w:color w:val="auto"/>
        </w:rPr>
      </w:pPr>
    </w:p>
    <w:p>
      <w:pPr>
        <w:ind w:left="220" w:right="40" w:firstLine="440"/>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shares acquired under the 2008 Stock Plan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of merger or consolidation, which agreement need not treat all options in an identical manner. Such agreement will provide for one or more of the following with respect to outstanding options:</w:t>
      </w:r>
    </w:p>
    <w:p>
      <w:pPr>
        <w:spacing w:after="0" w:line="88" w:lineRule="exact"/>
        <w:rPr>
          <w:sz w:val="20"/>
          <w:szCs w:val="20"/>
          <w:color w:val="auto"/>
        </w:rPr>
      </w:pPr>
    </w:p>
    <w:p>
      <w:pPr>
        <w:ind w:left="1080" w:hanging="438"/>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1080" w:right="200" w:hanging="438"/>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140"/>
        <w:spacing w:after="0" w:line="277" w:lineRule="auto"/>
        <w:rPr>
          <w:sz w:val="20"/>
          <w:szCs w:val="20"/>
          <w:color w:val="auto"/>
        </w:rPr>
      </w:pPr>
      <w:r>
        <w:rPr>
          <w:rFonts w:ascii="Arial" w:cs="Arial" w:eastAsia="Arial" w:hAnsi="Arial"/>
          <w:sz w:val="18"/>
          <w:szCs w:val="18"/>
          <w:color w:val="auto"/>
        </w:rPr>
        <w:t>may be subject to vesting based on the optionee’s continuing service, generally in accordance with the original vesting schedule applicable to the option.</w:t>
      </w:r>
    </w:p>
    <w:p>
      <w:pPr>
        <w:spacing w:after="0" w:line="170"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i w:val="1"/>
          <w:iCs w:val="1"/>
          <w:color w:val="auto"/>
        </w:rPr>
        <w:t>Changes in Capitalization</w:t>
      </w:r>
      <w:r>
        <w:rPr>
          <w:rFonts w:ascii="Arial" w:cs="Arial" w:eastAsia="Arial" w:hAnsi="Arial"/>
          <w:sz w:val="16"/>
          <w:szCs w:val="16"/>
          <w:color w:val="auto"/>
        </w:rPr>
        <w:t>. In the event of certain specified changes in the capital structure of our common stock, such as a stock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63"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administrator may at any time amend, suspend or terminate the 2008 Stock Plan, subject to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certain amendments. The 2008 Stock Plan will terminate upon the closing of this offering.</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20" w:right="100" w:firstLine="440"/>
        <w:spacing w:after="0" w:line="293" w:lineRule="auto"/>
        <w:rPr>
          <w:sz w:val="20"/>
          <w:szCs w:val="20"/>
          <w:color w:val="auto"/>
        </w:rPr>
      </w:pPr>
      <w:r>
        <w:rPr>
          <w:rFonts w:ascii="Arial" w:cs="Arial" w:eastAsia="Arial" w:hAnsi="Arial"/>
          <w:sz w:val="16"/>
          <w:szCs w:val="16"/>
          <w:color w:val="auto"/>
        </w:rPr>
        <w:t>We maintain a 401(k) plan for employees. The 401(k) is intended to be qualified under Section 401(k) of the Code (as defined below), with the related trust intended to be tax exempt under Section 501(a) of the Code. As a tax-qualified retirement plan, contributions to the 401(k) plan by eligible U.S. employees or by us, and the investment earnings thereon, are not taxable to the employees until withdrawn, and so that contributions by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company contributions to the 401(k) plan to date.</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All our named executive officers are eligible to participate in our employee benefit plans, including our medical, dental and vision insurance plan, in each case on the same basis as all of our other employees.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executive officers and directors for monetary damages to the fullest extent permitted by Delaware law. Delaware law provides that directors of a corporation will not be personally liable for monetary damages for any breach of fiduciary duties as directors, except liability:</w:t>
      </w:r>
    </w:p>
    <w:p>
      <w:pPr>
        <w:spacing w:after="0" w:line="70" w:lineRule="exact"/>
        <w:rPr>
          <w:sz w:val="20"/>
          <w:szCs w:val="20"/>
          <w:color w:val="auto"/>
        </w:rPr>
      </w:pPr>
    </w:p>
    <w:p>
      <w:pPr>
        <w:ind w:left="1080" w:hanging="438"/>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left="220" w:right="600" w:firstLine="440"/>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are required to indemnify our executive officers and directors to the fullest extent permitted by Delaware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line="289" w:lineRule="auto"/>
        <w:rPr>
          <w:sz w:val="20"/>
          <w:szCs w:val="20"/>
          <w:color w:val="auto"/>
        </w:rPr>
      </w:pPr>
      <w:r>
        <w:rPr>
          <w:rFonts w:ascii="Arial" w:cs="Arial" w:eastAsia="Arial" w:hAnsi="Arial"/>
          <w:sz w:val="16"/>
          <w:szCs w:val="16"/>
          <w:color w:val="auto"/>
        </w:rPr>
        <w:t>law. Our amended and restated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64" w:lineRule="exact"/>
        <w:rPr>
          <w:sz w:val="20"/>
          <w:szCs w:val="20"/>
          <w:color w:val="auto"/>
        </w:rPr>
      </w:pPr>
    </w:p>
    <w:p>
      <w:pPr>
        <w:ind w:left="220" w:right="60" w:firstLine="440"/>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is a description of transactions since January 1, 2015 to which we have been a party in which the amount involved exceeded</w:t>
      </w:r>
    </w:p>
    <w:p>
      <w:pPr>
        <w:spacing w:after="0" w:line="23" w:lineRule="exact"/>
        <w:rPr>
          <w:sz w:val="20"/>
          <w:szCs w:val="20"/>
          <w:color w:val="auto"/>
        </w:rPr>
      </w:pPr>
    </w:p>
    <w:p>
      <w:pPr>
        <w:ind w:left="220" w:right="140"/>
        <w:spacing w:after="0" w:line="255" w:lineRule="auto"/>
        <w:rPr>
          <w:sz w:val="20"/>
          <w:szCs w:val="20"/>
          <w:color w:val="auto"/>
        </w:rPr>
      </w:pPr>
      <w:r>
        <w:rPr>
          <w:rFonts w:ascii="Arial" w:cs="Arial" w:eastAsia="Arial" w:hAnsi="Arial"/>
          <w:sz w:val="18"/>
          <w:szCs w:val="18"/>
          <w:color w:val="auto"/>
        </w:rPr>
        <w:t>$120,000 and in which any of our executive officers, directors, promoters, or beneficial holders of more than 5% of our capital stock had or will have a direct or indirect material interest, other than compensation arrangements which are described in “Management—Non-Employee Director Compensation” and “Executive Compensation.”</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In April and June 2015, we issued and sold an aggregate of 1,315,856 shares of Series 6 preferred stock at a purchase price of $16.47 per share for an aggregate purchase price of $21,674,741.</w:t>
      </w:r>
    </w:p>
    <w:p>
      <w:pPr>
        <w:spacing w:after="0" w:line="170"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The following table summarizes purchases of shares of Series 6 preferred stock by our executive officers, directors and holders of more than 5% of our capital stock.</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7"/>
              </w:rPr>
              <w:t>Purchaser</w:t>
            </w:r>
          </w:p>
        </w:tc>
        <w:tc>
          <w:tcPr>
            <w:tcW w:w="8380" w:type="dxa"/>
            <w:vAlign w:val="bottom"/>
            <w:vMerge w:val="restart"/>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8380" w:type="dxa"/>
            <w:vAlign w:val="bottom"/>
            <w:vMerge w:val="continue"/>
          </w:tcPr>
          <w:p>
            <w:pPr>
              <w:spacing w:after="0"/>
              <w:rPr>
                <w:sz w:val="15"/>
                <w:szCs w:val="15"/>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5"/>
                <w:szCs w:val="15"/>
                <w:color w:val="auto"/>
              </w:rPr>
            </w:pPr>
          </w:p>
        </w:tc>
        <w:tc>
          <w:tcPr>
            <w:tcW w:w="104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03"/>
        </w:trPr>
        <w:tc>
          <w:tcPr>
            <w:tcW w:w="9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Redline Capital Management S.A.</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789,227</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$ 12,999,999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105,959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1,745,335</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Montreux IV Associates, L.L.C.</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5,778</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95,190</w:t>
            </w: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25,937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427,244</w:t>
            </w: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90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939,042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$ 15,467,768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640" w:hanging="430"/>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640" w:hanging="430"/>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8" w:lineRule="exact"/>
        <w:rPr>
          <w:rFonts w:ascii="Arial" w:cs="Arial" w:eastAsia="Arial" w:hAnsi="Arial"/>
          <w:sz w:val="18"/>
          <w:szCs w:val="18"/>
          <w:color w:val="auto"/>
        </w:rPr>
      </w:pPr>
    </w:p>
    <w:p>
      <w:pPr>
        <w:ind w:left="640" w:hanging="430"/>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Hinckley is a member of our board of directors.</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Sale of Series 7 Preferred Stock</w:t>
      </w:r>
    </w:p>
    <w:p>
      <w:pPr>
        <w:spacing w:after="0" w:line="121" w:lineRule="exact"/>
        <w:rPr>
          <w:sz w:val="20"/>
          <w:szCs w:val="20"/>
          <w:color w:val="auto"/>
        </w:rPr>
      </w:pPr>
    </w:p>
    <w:p>
      <w:pPr>
        <w:jc w:val="both"/>
        <w:ind w:left="220" w:right="60" w:firstLine="440"/>
        <w:spacing w:after="0" w:line="263" w:lineRule="auto"/>
        <w:rPr>
          <w:sz w:val="20"/>
          <w:szCs w:val="20"/>
          <w:color w:val="auto"/>
        </w:rPr>
      </w:pPr>
      <w:r>
        <w:rPr>
          <w:rFonts w:ascii="Arial" w:cs="Arial" w:eastAsia="Arial" w:hAnsi="Arial"/>
          <w:sz w:val="18"/>
          <w:szCs w:val="18"/>
          <w:color w:val="auto"/>
        </w:rPr>
        <w:t>In June and July 2016, we issued and sold an aggregate of 2,039,530 shares of Series 7 preferred stock at a purchase price of $10.03 per share for an aggregate purchase price of $20,463,102. In February and March 2017, we issued and sold an aggregate of 540,874 shares of Series 7 preferred stock at a purchase price of $10.03 per share for an aggregate purchase price of $5,426,717.</w:t>
      </w:r>
    </w:p>
    <w:p>
      <w:pPr>
        <w:spacing w:after="0" w:line="183"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by our executive officers, directors, and holders of more than 5% of our capital stock.</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Shares of Series 7 Preferred Stock</w:t>
            </w:r>
          </w:p>
        </w:tc>
        <w:tc>
          <w:tcPr>
            <w:tcW w:w="0" w:type="dxa"/>
            <w:vAlign w:val="bottom"/>
          </w:tcPr>
          <w:p>
            <w:pPr>
              <w:spacing w:after="0"/>
              <w:rPr>
                <w:sz w:val="1"/>
                <w:szCs w:val="1"/>
                <w:color w:val="auto"/>
              </w:rPr>
            </w:pPr>
          </w:p>
        </w:tc>
      </w:tr>
      <w:tr>
        <w:trPr>
          <w:trHeight w:val="119"/>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7"/>
              </w:rPr>
              <w:t>Purchaser</w:t>
            </w:r>
          </w:p>
        </w:tc>
        <w:tc>
          <w:tcPr>
            <w:tcW w:w="3900" w:type="dxa"/>
            <w:vAlign w:val="bottom"/>
            <w:vMerge w:val="restart"/>
          </w:tcPr>
          <w:p>
            <w:pPr>
              <w:spacing w:after="0"/>
              <w:rPr>
                <w:sz w:val="10"/>
                <w:szCs w:val="10"/>
                <w:color w:val="auto"/>
              </w:rPr>
            </w:pPr>
          </w:p>
        </w:tc>
        <w:tc>
          <w:tcPr>
            <w:tcW w:w="3600" w:type="dxa"/>
            <w:vAlign w:val="bottom"/>
          </w:tcPr>
          <w:p>
            <w:pPr>
              <w:spacing w:after="0"/>
              <w:rPr>
                <w:sz w:val="10"/>
                <w:szCs w:val="10"/>
                <w:color w:val="auto"/>
              </w:rPr>
            </w:pPr>
          </w:p>
        </w:tc>
        <w:tc>
          <w:tcPr>
            <w:tcW w:w="18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10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Aggregate 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36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80" w:type="dxa"/>
            <w:vAlign w:val="bottom"/>
            <w:gridSpan w:val="3"/>
          </w:tcPr>
          <w:p>
            <w:pPr>
              <w:jc w:val="right"/>
              <w:ind w:right="140"/>
              <w:spacing w:after="0" w:line="157" w:lineRule="exact"/>
              <w:rPr>
                <w:sz w:val="20"/>
                <w:szCs w:val="20"/>
                <w:color w:val="auto"/>
              </w:rPr>
            </w:pPr>
            <w:r>
              <w:rPr>
                <w:rFonts w:ascii="Arial" w:cs="Arial" w:eastAsia="Arial" w:hAnsi="Arial"/>
                <w:sz w:val="14"/>
                <w:szCs w:val="14"/>
                <w:b w:val="1"/>
                <w:bCs w:val="1"/>
                <w:color w:val="auto"/>
                <w:w w:val="97"/>
              </w:rPr>
              <w:t>Consideration</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w:t>
            </w:r>
          </w:p>
        </w:tc>
        <w:tc>
          <w:tcPr>
            <w:tcW w:w="3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1,495,036</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398,676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(3)</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199,338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(4)</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179,404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106,636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5400" w:type="dxa"/>
            <w:vAlign w:val="bottom"/>
            <w:gridSpan w:val="3"/>
          </w:tcPr>
          <w:p>
            <w:pPr>
              <w:jc w:val="right"/>
              <w:ind w:right="680"/>
              <w:spacing w:after="0"/>
              <w:rPr>
                <w:sz w:val="20"/>
                <w:szCs w:val="20"/>
                <w:color w:val="auto"/>
              </w:rPr>
            </w:pPr>
            <w:r>
              <w:rPr>
                <w:rFonts w:ascii="Arial" w:cs="Arial" w:eastAsia="Arial" w:hAnsi="Arial"/>
                <w:sz w:val="18"/>
                <w:szCs w:val="18"/>
                <w:color w:val="auto"/>
              </w:rPr>
              <w:t>44,851</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(6)</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2,433,907</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0" w:type="dxa"/>
            <w:vAlign w:val="bottom"/>
            <w:vMerge w:val="restart"/>
          </w:tcPr>
          <w:p>
            <w:pPr>
              <w:jc w:val="right"/>
              <w:ind w:right="2410"/>
              <w:spacing w:after="0"/>
              <w:rPr>
                <w:sz w:val="20"/>
                <w:szCs w:val="20"/>
                <w:color w:val="auto"/>
              </w:rPr>
            </w:pPr>
            <w:r>
              <w:rPr>
                <w:rFonts w:ascii="Arial" w:cs="Arial" w:eastAsia="Arial" w:hAnsi="Arial"/>
                <w:sz w:val="18"/>
                <w:szCs w:val="18"/>
                <w:color w:val="auto"/>
              </w:rPr>
              <w:t>150</w:t>
            </w: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299720</wp:posOffset>
            </wp:positionV>
            <wp:extent cx="7023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hanging="430"/>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640" w:hanging="430"/>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8" w:lineRule="exact"/>
        <w:rPr>
          <w:rFonts w:ascii="Arial" w:cs="Arial" w:eastAsia="Arial" w:hAnsi="Arial"/>
          <w:sz w:val="18"/>
          <w:szCs w:val="18"/>
          <w:color w:val="auto"/>
        </w:rPr>
      </w:pPr>
    </w:p>
    <w:p>
      <w:pPr>
        <w:ind w:left="640" w:hanging="430"/>
        <w:spacing w:after="0" w:line="250"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(a) 27,409 shares of Series 7 preferred stock held by Montreux Equity Partners IV, L.P. and (b) 171,929 shares of Series 7 preferred stock held by Montreux IV Associates IV, L.L.C.</w:t>
      </w:r>
    </w:p>
    <w:p>
      <w:pPr>
        <w:ind w:left="640" w:hanging="430"/>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8" w:lineRule="exact"/>
        <w:rPr>
          <w:rFonts w:ascii="Arial" w:cs="Arial" w:eastAsia="Arial" w:hAnsi="Arial"/>
          <w:sz w:val="18"/>
          <w:szCs w:val="18"/>
          <w:color w:val="auto"/>
        </w:rPr>
      </w:pPr>
    </w:p>
    <w:p>
      <w:pPr>
        <w:ind w:left="640" w:right="40" w:hanging="430"/>
        <w:spacing w:after="0" w:line="250"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640" w:hanging="430"/>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220" w:right="240" w:firstLine="440"/>
        <w:spacing w:after="0" w:line="287" w:lineRule="auto"/>
        <w:rPr>
          <w:sz w:val="20"/>
          <w:szCs w:val="20"/>
          <w:color w:val="auto"/>
        </w:rPr>
      </w:pPr>
      <w:r>
        <w:rPr>
          <w:rFonts w:ascii="Arial" w:cs="Arial" w:eastAsia="Arial" w:hAnsi="Arial"/>
          <w:sz w:val="16"/>
          <w:szCs w:val="16"/>
          <w:color w:val="auto"/>
        </w:rPr>
        <w:t>In March 2013, we loaned Daniel P. Murray, our then current Chief Financial Officer, $200,000 in connection with the exercise of options to purchase 152,106 shares of our common stock, or the Murray Purchased Shares. The loan was evidenced by a full recourse promissory note, accrued interest on the outstanding principal amount at the rate of 1.09% per annum and was secured by a pledge of the Murray Purchased Shares and</w:t>
      </w:r>
    </w:p>
    <w:p>
      <w:pPr>
        <w:spacing w:after="0" w:line="2" w:lineRule="exact"/>
        <w:rPr>
          <w:sz w:val="20"/>
          <w:szCs w:val="20"/>
          <w:color w:val="auto"/>
        </w:rPr>
      </w:pPr>
    </w:p>
    <w:p>
      <w:pPr>
        <w:ind w:left="220" w:right="100"/>
        <w:spacing w:after="0" w:line="323" w:lineRule="auto"/>
        <w:rPr>
          <w:sz w:val="20"/>
          <w:szCs w:val="20"/>
          <w:color w:val="auto"/>
        </w:rPr>
      </w:pPr>
      <w:r>
        <w:rPr>
          <w:rFonts w:ascii="Arial" w:cs="Arial" w:eastAsia="Arial" w:hAnsi="Arial"/>
          <w:sz w:val="16"/>
          <w:szCs w:val="16"/>
          <w:color w:val="auto"/>
        </w:rPr>
        <w:t>Mr. Murray’s personal assets. In November 2016, the loan amount was partially repaid in the amount of $116,000 (including principal of $113,000 and interest of $3,000). The remainder of the principal balance of this loan, together with all interest accrued, was fully paid in December 2017.</w:t>
      </w:r>
    </w:p>
    <w:p>
      <w:pPr>
        <w:spacing w:after="0" w:line="138" w:lineRule="exact"/>
        <w:rPr>
          <w:sz w:val="20"/>
          <w:szCs w:val="20"/>
          <w:color w:val="auto"/>
        </w:rPr>
      </w:pPr>
    </w:p>
    <w:p>
      <w:pPr>
        <w:ind w:left="220" w:right="100" w:firstLine="440"/>
        <w:spacing w:after="0" w:line="275" w:lineRule="auto"/>
        <w:rPr>
          <w:sz w:val="20"/>
          <w:szCs w:val="20"/>
          <w:color w:val="auto"/>
        </w:rPr>
      </w:pPr>
      <w:r>
        <w:rPr>
          <w:rFonts w:ascii="Arial" w:cs="Arial" w:eastAsia="Arial" w:hAnsi="Arial"/>
          <w:sz w:val="17"/>
          <w:szCs w:val="17"/>
          <w:color w:val="auto"/>
        </w:rPr>
        <w:t>In February 2014, we loaned Jeffrey W. Dunn, $437,000 in connection with the exercise of options to purchase 174,110 shares of our common stock, or the 2014 Exercised Options, and Mr. Dunn’s personal assets. The loan was evidenced by a full recourse promissory note, accrued interest on the outstanding principal amount at the rate of 1.97% per annum and was secured by a pledge of the 2014 Exercised Options. On March 1, 2017, we forgave $231,914 (including principal of $218,500 and interest of $13,414) of this loan. As of December 31, 2017, the outstanding balance of this loan was $231,914, including principal of $219,500, which was forgiven on January 1, 2018.</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“Description of Capital Stock—Registration Rights.”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We have entered into offer letters and severance and change in control agreements with our executive officers. For more information regarding these arranges, see “Executive Compensation—Employment Arrangements.”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left="220" w:right="460" w:firstLine="440"/>
        <w:spacing w:after="0" w:line="277" w:lineRule="auto"/>
        <w:rPr>
          <w:sz w:val="20"/>
          <w:szCs w:val="20"/>
          <w:color w:val="auto"/>
        </w:rPr>
      </w:pPr>
      <w:r>
        <w:rPr>
          <w:rFonts w:ascii="Arial" w:cs="Arial" w:eastAsia="Arial" w:hAnsi="Arial"/>
          <w:sz w:val="18"/>
          <w:szCs w:val="18"/>
          <w:color w:val="auto"/>
        </w:rPr>
        <w:t>We have granted stock options to our executive officers and members of our board of directors. For a description of these stock options, see “Executive Compensation” and “Management—Non-Employee Director Compensation.”</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60"/>
          </w:cols>
          <w:pgMar w:left="24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which will be effective upon the closing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91"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220" w:right="80" w:firstLine="440"/>
        <w:spacing w:after="0" w:line="271"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closing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77" w:lineRule="exact"/>
        <w:rPr>
          <w:sz w:val="20"/>
          <w:szCs w:val="20"/>
          <w:color w:val="auto"/>
        </w:rPr>
      </w:pPr>
    </w:p>
    <w:p>
      <w:pPr>
        <w:ind w:left="220" w:right="100" w:firstLine="440"/>
        <w:spacing w:after="0" w:line="275"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20" w:right="540" w:firstLine="44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2018, and as adjusted to reflect the sale of common stock offered by us in this offering, for:</w:t>
      </w:r>
    </w:p>
    <w:p>
      <w:pPr>
        <w:spacing w:after="0" w:line="75" w:lineRule="exact"/>
        <w:rPr>
          <w:sz w:val="20"/>
          <w:szCs w:val="20"/>
          <w:color w:val="auto"/>
        </w:rPr>
      </w:pPr>
    </w:p>
    <w:p>
      <w:pPr>
        <w:ind w:left="1080" w:hanging="438"/>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left="220" w:right="320" w:firstLine="440"/>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8" w:lineRule="exact"/>
        <w:rPr>
          <w:sz w:val="20"/>
          <w:szCs w:val="20"/>
          <w:color w:val="auto"/>
        </w:rPr>
      </w:pPr>
    </w:p>
    <w:p>
      <w:pPr>
        <w:ind w:left="220" w:firstLine="440"/>
        <w:spacing w:after="0" w:line="287" w:lineRule="auto"/>
        <w:rPr>
          <w:sz w:val="20"/>
          <w:szCs w:val="20"/>
          <w:color w:val="auto"/>
        </w:rPr>
      </w:pPr>
      <w:r>
        <w:rPr>
          <w:rFonts w:ascii="Arial" w:cs="Arial" w:eastAsia="Arial" w:hAnsi="Arial"/>
          <w:sz w:val="16"/>
          <w:szCs w:val="16"/>
          <w:color w:val="auto"/>
        </w:rPr>
        <w:t>Applicable percentage ownership is based on 15,793,160 shares of common stock outstanding at June 30, 2018, after giving effect to the conversion of all outstanding shares of preferred stock as of that date into an aggregate of 12,066,654 shares of our common stock and the reclassification of all outstanding shares of series 1 common stock and series 2 common stock into an aggregate of 3,707,268 shares of our common stock, which will occur immediately prior to the closing of this offering. For purposes of computing percentage ownership after this offering, we have assumed that (i) 6,000,000 shares of common stock will be issued by us in this offering; (ii) 19,238 shares of common stock will be issued upon the automatic net exercise of outstanding warrants, with an exercise price of $9.10 per share, immediately prior to the closing of this offering, assuming an initial public offering price of $14.00 per share, which is the midpoint of the price range set forth on the cover page of this prospectus; and (iii) that the underwriters will not exercise their right to purchase 900,000 additional shares. In computing the number of shares of common stock beneficially owned by a person and the percentage ownership of that person, we deemed to be outstanding all shares of common stock subject to stock options and warrants held by that person or entity that are currently exercisable or that will become exercisable within 60 days of June 30, 2018. We did not deem these shares outstanding; however, for the purpose of computing the percentage ownership of any other person or entity. Unless otherwise indicated, the address of each beneficial owner listed in the table below is c/o SI-BONE, Inc., 471 El Camino Real, Suite 101, Santa Clara, California 95050.</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Shares Beneficially</w:t>
            </w: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7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Owned Prior to</w:t>
            </w:r>
          </w:p>
        </w:tc>
        <w:tc>
          <w:tcPr>
            <w:tcW w:w="14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0" w:type="dxa"/>
            <w:vAlign w:val="bottom"/>
          </w:tcPr>
          <w:p>
            <w:pPr>
              <w:spacing w:after="0"/>
              <w:rPr>
                <w:sz w:val="1"/>
                <w:szCs w:val="1"/>
                <w:color w:val="auto"/>
              </w:rPr>
            </w:pPr>
          </w:p>
        </w:tc>
      </w:tr>
      <w:tr>
        <w:trPr>
          <w:trHeight w:val="171"/>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00" w:type="dxa"/>
            <w:vAlign w:val="bottom"/>
            <w:tcBorders>
              <w:bottom w:val="single" w:sz="8" w:color="auto"/>
            </w:tcBorders>
            <w:gridSpan w:val="3"/>
          </w:tcPr>
          <w:p>
            <w:pPr>
              <w:jc w:val="center"/>
              <w:ind w:left="234"/>
              <w:spacing w:after="0"/>
              <w:rPr>
                <w:sz w:val="20"/>
                <w:szCs w:val="20"/>
                <w:color w:val="auto"/>
              </w:rPr>
            </w:pPr>
            <w:r>
              <w:rPr>
                <w:rFonts w:ascii="Arial" w:cs="Arial" w:eastAsia="Arial" w:hAnsi="Arial"/>
                <w:sz w:val="14"/>
                <w:szCs w:val="14"/>
                <w:b w:val="1"/>
                <w:bCs w:val="1"/>
                <w:color w:val="auto"/>
                <w:w w:val="93"/>
              </w:rPr>
              <w:t>this Offering</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234"/>
              <w:spacing w:after="0"/>
              <w:rPr>
                <w:sz w:val="20"/>
                <w:szCs w:val="20"/>
                <w:color w:val="auto"/>
              </w:rPr>
            </w:pPr>
            <w:r>
              <w:rPr>
                <w:rFonts w:ascii="Arial" w:cs="Arial" w:eastAsia="Arial" w:hAnsi="Arial"/>
                <w:sz w:val="14"/>
                <w:szCs w:val="14"/>
                <w:b w:val="1"/>
                <w:bCs w:val="1"/>
                <w:color w:val="auto"/>
                <w:w w:val="93"/>
              </w:rPr>
              <w:t>this Offering</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20" w:type="dxa"/>
            <w:vAlign w:val="bottom"/>
            <w:gridSpan w:val="2"/>
            <w:vMerge w:val="continue"/>
          </w:tcPr>
          <w:p>
            <w:pPr>
              <w:spacing w:after="0"/>
              <w:rPr>
                <w:sz w:val="11"/>
                <w:szCs w:val="11"/>
                <w:color w:val="auto"/>
              </w:rPr>
            </w:pPr>
          </w:p>
        </w:tc>
        <w:tc>
          <w:tcPr>
            <w:tcW w:w="110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10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785,368</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785,368</w:t>
            </w: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39,601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39,601</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1,164,561</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1,164,561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Francis</w:t>
            </w:r>
            <w:r>
              <w:rPr>
                <w:rFonts w:ascii="Arial" w:cs="Arial" w:eastAsia="Arial" w:hAnsi="Arial"/>
                <w:sz w:val="15"/>
                <w:szCs w:val="15"/>
                <w:color w:val="auto"/>
              </w:rPr>
              <w:t>(4)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251,039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251,039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4,093,278</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25.9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4,093,278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18.8</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116,394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116,394</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21,408</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21,408</w:t>
            </w: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1,495,036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1,495,036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Anthony J. Recupero</w:t>
            </w:r>
            <w:r>
              <w:rPr>
                <w:rFonts w:ascii="Arial" w:cs="Arial" w:eastAsia="Arial" w:hAnsi="Arial"/>
                <w:sz w:val="15"/>
                <w:szCs w:val="15"/>
                <w:color w:val="auto"/>
              </w:rPr>
              <w:t>(9)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179,533</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179,533</w:t>
            </w: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(10)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542,624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542,624</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31,374</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31,374</w:t>
            </w: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15"/>
                <w:szCs w:val="15"/>
                <w:color w:val="auto"/>
              </w:rPr>
              <w:t>(12)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9,151,967</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52.9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9,151,967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39.3</w:t>
            </w:r>
          </w:p>
        </w:tc>
        <w:tc>
          <w:tcPr>
            <w:tcW w:w="0" w:type="dxa"/>
            <w:vAlign w:val="bottom"/>
          </w:tcPr>
          <w:p>
            <w:pPr>
              <w:spacing w:after="0"/>
              <w:rPr>
                <w:sz w:val="1"/>
                <w:szCs w:val="1"/>
                <w:color w:val="auto"/>
              </w:rPr>
            </w:pPr>
          </w:p>
        </w:tc>
      </w:tr>
      <w:tr>
        <w:trPr>
          <w:trHeight w:val="28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4,093,278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4,093,278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18.8</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2,029,044</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12.8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2,029,044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1,495,036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1,495,036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945,250</w:t>
            </w:r>
          </w:p>
        </w:tc>
        <w:tc>
          <w:tcPr>
            <w:tcW w:w="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945,250</w:t>
            </w:r>
          </w:p>
        </w:tc>
        <w:tc>
          <w:tcPr>
            <w:tcW w:w="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(17)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785,368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785,368</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85725</wp:posOffset>
            </wp:positionV>
            <wp:extent cx="7023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41" w:lineRule="exact"/>
        <w:rPr>
          <w:sz w:val="20"/>
          <w:szCs w:val="20"/>
          <w:color w:val="auto"/>
        </w:rPr>
      </w:pPr>
    </w:p>
    <w:p>
      <w:pPr>
        <w:ind w:left="640" w:hanging="430"/>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640" w:hanging="430"/>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shares of common stock held by OrbiMed Private Investments V, LP. (“OPI V”). OrbiMed Capital GP V LLC (“GP V”) is the general</w:t>
      </w:r>
    </w:p>
    <w:p>
      <w:pPr>
        <w:spacing w:after="0" w:line="32" w:lineRule="exact"/>
        <w:rPr>
          <w:sz w:val="20"/>
          <w:szCs w:val="20"/>
          <w:color w:val="auto"/>
        </w:rPr>
      </w:pPr>
    </w:p>
    <w:p>
      <w:pPr>
        <w:ind w:left="640" w:right="60"/>
        <w:spacing w:after="0" w:line="281" w:lineRule="auto"/>
        <w:rPr>
          <w:sz w:val="20"/>
          <w:szCs w:val="20"/>
          <w:color w:val="auto"/>
        </w:rPr>
      </w:pPr>
      <w:r>
        <w:rPr>
          <w:rFonts w:ascii="Arial" w:cs="Arial" w:eastAsia="Arial" w:hAnsi="Arial"/>
          <w:sz w:val="16"/>
          <w:szCs w:val="16"/>
          <w:color w:val="auto"/>
        </w:rPr>
        <w:t>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 OrbiMed Advisors. Each of GP V, OrbiMed Advisors,</w:t>
      </w:r>
    </w:p>
    <w:p>
      <w:pPr>
        <w:spacing w:after="0" w:line="1" w:lineRule="exact"/>
        <w:rPr>
          <w:sz w:val="20"/>
          <w:szCs w:val="20"/>
          <w:color w:val="auto"/>
        </w:rPr>
      </w:pPr>
    </w:p>
    <w:p>
      <w:pPr>
        <w:ind w:left="640" w:right="140"/>
        <w:spacing w:after="0" w:line="250" w:lineRule="auto"/>
        <w:rPr>
          <w:sz w:val="20"/>
          <w:szCs w:val="20"/>
          <w:color w:val="auto"/>
        </w:rPr>
      </w:pPr>
      <w:r>
        <w:rPr>
          <w:rFonts w:ascii="Arial" w:cs="Arial" w:eastAsia="Arial" w:hAnsi="Arial"/>
          <w:sz w:val="18"/>
          <w:szCs w:val="18"/>
          <w:color w:val="auto"/>
        </w:rPr>
        <w:t>Mr. Gordon, Mr. Borho, Mr. Silverstein, and Dr. Bonita disclaims beneficial ownership of such shares, except to the extent of its or his pecuniary interest therein, if any.</w:t>
      </w:r>
    </w:p>
    <w:p>
      <w:pPr>
        <w:ind w:left="640" w:right="80" w:hanging="430"/>
        <w:spacing w:after="0" w:line="250"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33,175 shares of common stock issuable to Mr. Davis pursuant to options exercisable within 60 days of June 30, 2018, of which 5,529 of the shares would be unvested as of such date.</w:t>
      </w:r>
    </w:p>
    <w:p>
      <w:pPr>
        <w:ind w:left="640" w:right="100" w:hanging="430"/>
        <w:spacing w:after="0" w:line="250"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549,207 shares of common stock held by Jeffrey W. Dunn as Trustee of the Jeffrey W. Dunn Living Trust Dated May 17, 2012 and (ii) 615,354 shares of common stock issuable to Mr. Dunn pursuant to options exercisable within 60 days of June 30, 2018, of which 166,895 of the shares would be unvested as of such date.</w:t>
      </w:r>
    </w:p>
    <w:p>
      <w:pPr>
        <w:ind w:left="640" w:right="300" w:hanging="430"/>
        <w:spacing w:after="0" w:line="250"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251,039 shares of common stock issuable to Ms. Francis pursuant to options exercisable within 60 days of June 30, 2018, of which 75,556 of the shares would be unvested as of such date.</w:t>
      </w:r>
    </w:p>
    <w:p>
      <w:pPr>
        <w:ind w:left="640" w:right="20" w:hanging="430"/>
        <w:spacing w:after="0" w:line="264" w:lineRule="auto"/>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4,079,468 shares of common stock held by Skyline Venture Partners V, L.P. (“SVP V”) and (ii) 15,517 shares of common stock issuable to SVP V upon the automatic net exercise of an outstanding warrant immediately prior to the closing of this offering, as reflected in footnote 13 below.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w:t>
      </w:r>
    </w:p>
    <w:p>
      <w:pPr>
        <w:spacing w:after="0" w:line="4" w:lineRule="exact"/>
        <w:rPr>
          <w:rFonts w:ascii="Arial" w:cs="Arial" w:eastAsia="Arial" w:hAnsi="Arial"/>
          <w:sz w:val="17"/>
          <w:szCs w:val="17"/>
          <w:color w:val="auto"/>
        </w:rPr>
      </w:pPr>
    </w:p>
    <w:p>
      <w:pPr>
        <w:ind w:left="640" w:right="300" w:hanging="430"/>
        <w:spacing w:after="0" w:line="260"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40,791 shares of common stock held by Mr. Hinckley and (ii) 75,603 shares of common stock held by Gregory K. Hinckley and Mary C. Hinckley as Community Property with the Right of Survivorship.</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right="340" w:hanging="430"/>
        <w:spacing w:after="0" w:line="258"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21,408 shares of common stock issuable to Ms. Licitra pursuant to options exercisable within 60 days of June 30, 2018, of which 7,496 of the shares would be unvested as of such date.</w:t>
      </w:r>
    </w:p>
    <w:p>
      <w:pPr>
        <w:spacing w:after="0" w:line="1" w:lineRule="exact"/>
        <w:rPr>
          <w:rFonts w:ascii="Arial" w:cs="Arial" w:eastAsia="Arial" w:hAnsi="Arial"/>
          <w:sz w:val="18"/>
          <w:szCs w:val="18"/>
          <w:color w:val="auto"/>
        </w:rPr>
      </w:pPr>
    </w:p>
    <w:p>
      <w:pPr>
        <w:ind w:left="640" w:right="40" w:hanging="430"/>
        <w:spacing w:after="0" w:line="250"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shares of common stock held by Arboretum Ventures IV, LP (“AV IV”). Arboretum Investment Manager IV, LLC (“AIM IV”) serves as the general partner of AV IV. Jan Garfinkle, Timothy B. Petersen, a member of our board of directors, and Paul McCreadie are managing directors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1" w:lineRule="exact"/>
        <w:rPr>
          <w:rFonts w:ascii="Arial" w:cs="Arial" w:eastAsia="Arial" w:hAnsi="Arial"/>
          <w:sz w:val="18"/>
          <w:szCs w:val="18"/>
          <w:color w:val="auto"/>
        </w:rPr>
      </w:pPr>
    </w:p>
    <w:p>
      <w:pPr>
        <w:ind w:left="640" w:right="60" w:hanging="430"/>
        <w:spacing w:after="0" w:line="250"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179,533 shares of common stock issuable to Mr. Recupero pursuant to options exercisable within 60 days of June 30, 2018, of which 101,759 of the shares would be unvested as of such date.</w:t>
      </w:r>
    </w:p>
    <w:p>
      <w:pPr>
        <w:ind w:left="640" w:right="60" w:hanging="430"/>
        <w:spacing w:after="0" w:line="250"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(i) 375,119 shares of common stock held by Dr. Reiley, (ii) 19,444 shares of common stock held by The Mark and Muriel Reiley Charitable Remainder Unitrust and (iii) 148,061 shares of common stock issuable to Dr. Reiley pursuant to options exercisable within 60 days of June 30, 2018, of which 23,361 of the shares would be unvested as of such date.</w:t>
      </w:r>
    </w:p>
    <w:p>
      <w:pPr>
        <w:ind w:left="640" w:right="180" w:hanging="430"/>
        <w:spacing w:after="0" w:line="250"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of 21,408 shares of common stock issuable to Mr. Valentine pursuant to options exercisable within 60 days of June 30, 2018, of which 7,496 of the shares would be unvested as of such date.</w:t>
      </w:r>
    </w:p>
    <w:p>
      <w:pPr>
        <w:ind w:left="640" w:right="60" w:hanging="430"/>
        <w:spacing w:after="0" w:line="264" w:lineRule="auto"/>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Includes (i) 7,436,428 shares of common stock beneficially owned by the directors and named executive officers, (ii) 206,477 shares of common stock beneficially owned by other executive officers, (iii) 1,495,252 shares issuable pursuant to options exercisable within 60 days of June 30, 2018, of which 456,300 of the shares would be unvested as of such date and (iv) 19,238 shares of common stock issuable upon automatic net exercise of outstanding warrants immediately prior to the closing of this offering.</w:t>
      </w:r>
    </w:p>
    <w:p>
      <w:pPr>
        <w:spacing w:after="0" w:line="3" w:lineRule="exact"/>
        <w:rPr>
          <w:rFonts w:ascii="Arial" w:cs="Arial" w:eastAsia="Arial" w:hAnsi="Arial"/>
          <w:sz w:val="17"/>
          <w:szCs w:val="17"/>
          <w:color w:val="auto"/>
        </w:rPr>
      </w:pPr>
    </w:p>
    <w:p>
      <w:pPr>
        <w:ind w:left="640" w:hanging="430"/>
        <w:spacing w:after="0" w:line="264" w:lineRule="auto"/>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(i) 4,079,468 shares of common stock held by Skyline Venture Partners V, L.P. (“SVP V”) and (ii) 13,810 shares of common stock issuable to SVP V upon the automatic net exercise of an outstanding warrant immediately prior to the closing of this offering.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 The address of each of the entities and individual listed above is 525 University Avenue, Suite 1350, Palo Alto, California 94301. SVP V has indicated an interest in purchasing shares of our common stock in this offering at the initial public offering price. Because this indication of interest is not a binding agreement or commitment to purchase, SVP V may elect not to purchase shares in this offering or the underwriters may elect not to sell any shares in this offering to SVP V. However, if any shares are purchased by SVP V, the number of shares of common stock beneficially owned after this offering and the percentage of common stock beneficially owned after this offering will differ from that set forth in the table above.</w:t>
      </w:r>
    </w:p>
    <w:p>
      <w:pPr>
        <w:spacing w:after="0" w:line="8" w:lineRule="exact"/>
        <w:rPr>
          <w:rFonts w:ascii="Arial" w:cs="Arial" w:eastAsia="Arial" w:hAnsi="Arial"/>
          <w:sz w:val="17"/>
          <w:szCs w:val="17"/>
          <w:color w:val="auto"/>
        </w:rPr>
      </w:pPr>
    </w:p>
    <w:p>
      <w:pPr>
        <w:ind w:left="640" w:right="60" w:hanging="430"/>
        <w:spacing w:after="0" w:line="250"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(i) 1,721,296 shares of common stock held by Montreux Equity Partners IV, L.P. (“MEP IV”), (ii) 5,428 shares of common stock issuable to MEP IV upon the automatic net exercise of an outstanding warrant immediately prior to the closing of this offering, (iii) 171,929 shares of common stock held by Montreux IV Associates IV, L.L.C. (“Associates IV”), and (iv) 130,391 shares of common stock held by Montreux IV Associates, L.L.C. (“Associates”). Daniel K. Turner III is the Managing Director of Montreux Equity Management IV, L.L.C., the general partner of each of MEP IV, Associates IV and Associates, and may be deemed to have voting and investment power over the shares held by each of these entities. Mr. Turner disclaims beneficial ownership of such shares, except to the extent of his proportionate pecuniary interest, if any. The address of the principal place of business of each of the entities and individuals listed above is One Ferry Building, Suite 255, San Francisco, California 94111.</w:t>
      </w:r>
    </w:p>
    <w:p>
      <w:pPr>
        <w:spacing w:after="0" w:line="1" w:lineRule="exact"/>
        <w:rPr>
          <w:rFonts w:ascii="Arial" w:cs="Arial" w:eastAsia="Arial" w:hAnsi="Arial"/>
          <w:sz w:val="18"/>
          <w:szCs w:val="18"/>
          <w:color w:val="auto"/>
        </w:rPr>
      </w:pPr>
    </w:p>
    <w:p>
      <w:pPr>
        <w:ind w:left="640" w:hanging="430"/>
        <w:spacing w:after="0" w:line="252"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Arboretum Investment Manager IV, LLC (“AIM IV”) serves as the general partner of Arboretum Ventures IV, LP (“AV IV”). Jan Garfinkle, Timothy B. Petersen, a member of our board of directors, and Paul McCreadie are managing directors of AIM IV and share the power to vote or dispose of these shares and therefore each of the foregoing managing members may be deemed to have voting and investment power with respect to such shares. Each of these individuals disclaims beneficial ownership of such shares except to the extent of their respective proportionate pecuniary interest therein. The address of the principal</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240" w:top="459" w:right="5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40" w:right="160"/>
        <w:spacing w:after="0" w:line="253" w:lineRule="auto"/>
        <w:rPr>
          <w:sz w:val="20"/>
          <w:szCs w:val="20"/>
          <w:color w:val="auto"/>
        </w:rPr>
      </w:pPr>
      <w:r>
        <w:rPr>
          <w:rFonts w:ascii="Arial" w:cs="Arial" w:eastAsia="Arial" w:hAnsi="Arial"/>
          <w:sz w:val="18"/>
          <w:szCs w:val="18"/>
          <w:color w:val="auto"/>
        </w:rPr>
        <w:t>place of business of each of the entities and individuals listed above is 303 Detroit Street, Suite 301, Ann Arbor, Michigan 48104. AV IV has indicated an interest in purchasing shares of our common stock in this offering at the initial public offering price. Because this indication of interest is not a binding agreement or commitment to purchase, AV IV may elect not to purchase shares in this offering or the underwriters may elect not to sell any shares in this offering to SVP V. However, if any shares are purchased by AV IV, the number of shares of common stock beneficially owned after this offering and the percentage of common stock beneficially owned after this offering will differ from that set forth in the table above.</w:t>
      </w:r>
    </w:p>
    <w:p>
      <w:pPr>
        <w:ind w:left="640" w:hanging="430"/>
        <w:spacing w:after="0" w:line="281" w:lineRule="auto"/>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Shares held by Redline Capital Management S.A. (“Redline”), acting for the account of Redline Capital Fund – Universal Investments, a sub-fund of Redline Capital Fund FCP-FIS. Tatiana Evtushenkova and Sabine Teske are managing directors of Redline. Ms. Evtushenkova, Robert Kocharyan, Robert Kenedi and Stefan Justinger are members of the Board of Directors of Redline and may be deemed to have voting and investment power over the shares held by Redline. Ms. Evtushenkova, Ms. Teske, Mr. Kocharyan, Mr. Kenedy and Mr. Justinger disclaim beneficial ownership of these shares except to the extent of their respective proportionate pecuniary interest therein, if any. The address of the principal place of business of each of Redline and individuals listed above is 26 Avenue Monterey, L-2163 Luxemborg, G.D. Luxemborg.</w:t>
      </w:r>
    </w:p>
    <w:p>
      <w:pPr>
        <w:spacing w:after="0" w:line="2" w:lineRule="exact"/>
        <w:rPr>
          <w:rFonts w:ascii="Arial" w:cs="Arial" w:eastAsia="Arial" w:hAnsi="Arial"/>
          <w:sz w:val="16"/>
          <w:szCs w:val="16"/>
          <w:color w:val="auto"/>
        </w:rPr>
      </w:pPr>
    </w:p>
    <w:p>
      <w:pPr>
        <w:ind w:left="640" w:right="40" w:hanging="430"/>
        <w:spacing w:after="0" w:line="286" w:lineRule="auto"/>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OrbiMed Capital GP V LLC (“GP V”) is the general 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 OrbiMed Advisors. Each of GP V, OrbiMed Advisors, Mr. Gordon, Mr. Borho, Mr. Silverstein, and Dr. Bonita disclaims beneficial ownership of such shares, except to the extent of its or his pecuniary interest therein, if any. The address of the principal place of business of each of the entities and individuals listed above is 601 Lexington Avenue, 54</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OPI V has indicated an interest in purchasing shares of our common stock in this offering at the initial public offering price. Because this indication of interest is not a binding agreement or commitment to purchase, OPI V may elect not to purchase shares in this offering or the underwriters may elect not to sell any shares in this offering to OPI V. However, if any shares are purchased by OPI V, the number of shares of common stock beneficially owned after this offering and the percentage of common stock beneficially owned after this offering will differ from that set forth in the table above.</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20" w:right="20" w:firstLine="440"/>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closing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6"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Upon the closing of this offering, our authorized capital stock will consist of 105,000,000 shares, all with a par value of $0.0001 per share, of which:</w:t>
      </w:r>
    </w:p>
    <w:p>
      <w:pPr>
        <w:spacing w:after="0" w:line="75" w:lineRule="exact"/>
        <w:rPr>
          <w:sz w:val="20"/>
          <w:szCs w:val="20"/>
          <w:color w:val="auto"/>
        </w:rPr>
      </w:pPr>
    </w:p>
    <w:p>
      <w:pPr>
        <w:ind w:left="1080" w:hanging="438"/>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100,000,000 shares are designated common stock;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5,000,000 shares are designated preferred stock.</w:t>
      </w:r>
    </w:p>
    <w:p>
      <w:pPr>
        <w:spacing w:after="0" w:line="225" w:lineRule="exact"/>
        <w:rPr>
          <w:sz w:val="20"/>
          <w:szCs w:val="20"/>
          <w:color w:val="auto"/>
        </w:rPr>
      </w:pPr>
    </w:p>
    <w:p>
      <w:pPr>
        <w:ind w:left="220" w:right="280" w:firstLine="440"/>
        <w:spacing w:after="0" w:line="277" w:lineRule="auto"/>
        <w:rPr>
          <w:sz w:val="20"/>
          <w:szCs w:val="20"/>
          <w:color w:val="auto"/>
        </w:rPr>
      </w:pPr>
      <w:r>
        <w:rPr>
          <w:rFonts w:ascii="Arial" w:cs="Arial" w:eastAsia="Arial" w:hAnsi="Arial"/>
          <w:sz w:val="18"/>
          <w:szCs w:val="18"/>
          <w:color w:val="auto"/>
        </w:rPr>
        <w:t>As of June 30, 2018, and after giving effect to the conversion of all of our outstanding preferred stock into 12,066,654 shares of common stock immediately prior to the closing of this offering, there were outstanding:</w:t>
      </w:r>
    </w:p>
    <w:p>
      <w:pPr>
        <w:spacing w:after="0" w:line="75" w:lineRule="exact"/>
        <w:rPr>
          <w:sz w:val="20"/>
          <w:szCs w:val="20"/>
          <w:color w:val="auto"/>
        </w:rPr>
      </w:pPr>
    </w:p>
    <w:p>
      <w:pPr>
        <w:ind w:left="1080" w:hanging="438"/>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15,793,160 shares of common stock held of record by 422 stockholders;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2,900,842 shares of common stock issuable upon exercise of outstanding stock options; and</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exercise of outstanding warrants.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20" w:right="140" w:firstLine="440"/>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closing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left="220" w:right="120" w:firstLine="440"/>
        <w:spacing w:after="0" w:line="275"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20" w:right="40" w:firstLine="440"/>
        <w:spacing w:after="0" w:line="270" w:lineRule="auto"/>
        <w:rPr>
          <w:sz w:val="20"/>
          <w:szCs w:val="20"/>
          <w:color w:val="auto"/>
        </w:rPr>
      </w:pPr>
      <w:r>
        <w:rPr>
          <w:rFonts w:ascii="Arial" w:cs="Arial" w:eastAsia="Arial" w:hAnsi="Arial"/>
          <w:sz w:val="17"/>
          <w:szCs w:val="17"/>
          <w:color w:val="auto"/>
        </w:rPr>
        <w:t>Upon the closing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As of June 30, 2018, we had options to purchase 2,900,842 shares of common stock outstanding, with a weighted-average exercise price of $4.09 per share, under the 2008 Stock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the terms of the 2008 Stock Plan, see “Executive Compensation—Equity Plans.”</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20" w:right="20" w:firstLine="440"/>
        <w:spacing w:after="0" w:line="279" w:lineRule="auto"/>
        <w:rPr>
          <w:sz w:val="20"/>
          <w:szCs w:val="20"/>
          <w:color w:val="auto"/>
        </w:rPr>
      </w:pPr>
      <w:r>
        <w:rPr>
          <w:rFonts w:ascii="Arial" w:cs="Arial" w:eastAsia="Arial" w:hAnsi="Arial"/>
          <w:sz w:val="17"/>
          <w:szCs w:val="17"/>
          <w:color w:val="auto"/>
        </w:rPr>
        <w:t>As of June 30, 2018, we had outstanding warrants to purchase up to an aggregate of 280,876 shares of common stock and preferred stock with a weighted-average exercise price of $8.66 per share. Immediately prior to the closing of this offering, outstanding warrants to purchase up to an aggregate of 54,917 shares will be deemed to be net exercised. Upon the closing of this offering, the balance of the warrants will become exercisable for up to an aggregate of 230,066 shares of our common stock with a weighted-average exercise price of $8.69 per share.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As of June 30, 2018, we had outstanding warrants to purchase up to an aggregate of 124,326 shares of our common stock with a weighted-average exercise price of $3.89. Unless earlier exercised, these warrants will expire between July 2023 and March 2027.</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117"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76,906 shares of our Series 5 preferred stock with an exercise price of $9.10. Immediately prior to the closing of this offering, outstanding warrants to purchase 54,917 shares will be deemed to be net exercised. Upon the closing of this offering, the remaining warrant will become exercisable for 21,989 shares of our common stock with an exercise price of $9.10 per share and, unless exercised earlier, will expire in July 2023.</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69,932 shares of our Series 6 preferred stock with an exercise price of $16.47 per share. Upon the closing of this offering, these warrants will become exercisable for up to an aggregate of 74,039 shares of our common stock with an exercise price of $16.47 per share. Unless earlier exercised, these warrants will expire between November 2024 and November 2025.</w:t>
      </w:r>
    </w:p>
    <w:p>
      <w:pPr>
        <w:spacing w:after="0" w:line="186" w:lineRule="exact"/>
        <w:rPr>
          <w:sz w:val="20"/>
          <w:szCs w:val="20"/>
          <w:color w:val="auto"/>
        </w:rPr>
      </w:pPr>
    </w:p>
    <w:p>
      <w:pPr>
        <w:ind w:left="220" w:right="100" w:firstLine="440"/>
        <w:spacing w:after="0" w:line="286" w:lineRule="auto"/>
        <w:rPr>
          <w:sz w:val="20"/>
          <w:szCs w:val="20"/>
          <w:color w:val="auto"/>
        </w:rPr>
      </w:pPr>
      <w:r>
        <w:rPr>
          <w:rFonts w:ascii="Arial" w:cs="Arial" w:eastAsia="Arial" w:hAnsi="Arial"/>
          <w:sz w:val="17"/>
          <w:szCs w:val="17"/>
          <w:color w:val="auto"/>
        </w:rPr>
        <w:t>As of June 30, 2018, we had outstanding warrants to purchase up to an aggregate of 9,712 shares of our Series 7 preferred stock with an exercise price of $10.03 per share. Upon the closing of this offering, these warrants will become exercisable for up to an aggregate of 9,712 shares of our common stock with an exercise price of $10.03 per share. Unless earlier exercised, these warrants will expire in November 2026.</w:t>
      </w:r>
    </w:p>
    <w:p>
      <w:pPr>
        <w:spacing w:after="0" w:line="165" w:lineRule="exact"/>
        <w:rPr>
          <w:sz w:val="20"/>
          <w:szCs w:val="20"/>
          <w:color w:val="auto"/>
        </w:rPr>
      </w:pPr>
    </w:p>
    <w:p>
      <w:pPr>
        <w:ind w:left="220" w:right="320" w:firstLine="440"/>
        <w:spacing w:after="0" w:line="277" w:lineRule="auto"/>
        <w:rPr>
          <w:sz w:val="20"/>
          <w:szCs w:val="20"/>
          <w:color w:val="auto"/>
        </w:rPr>
      </w:pPr>
      <w:r>
        <w:rPr>
          <w:rFonts w:ascii="Arial" w:cs="Arial" w:eastAsia="Arial" w:hAnsi="Arial"/>
          <w:sz w:val="18"/>
          <w:szCs w:val="18"/>
          <w:color w:val="auto"/>
        </w:rPr>
        <w:t>The warrants contain provisions for the adjustment of the exercise price and the number of shares issuable upon the exercise of the applicable warrant in the event of certain stock dividends, stock splits, reorganizations, reclassifications, and consolidations.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20" w:right="120" w:firstLine="440"/>
        <w:spacing w:after="0" w:line="275" w:lineRule="auto"/>
        <w:rPr>
          <w:sz w:val="20"/>
          <w:szCs w:val="20"/>
          <w:color w:val="auto"/>
        </w:rPr>
      </w:pPr>
      <w:r>
        <w:rPr>
          <w:rFonts w:ascii="Arial" w:cs="Arial" w:eastAsia="Arial" w:hAnsi="Arial"/>
          <w:sz w:val="17"/>
          <w:szCs w:val="17"/>
          <w:color w:val="auto"/>
        </w:rPr>
        <w:t>After this offering, the holders of 12,066,654 shares of common stock issued upon the conversion of our preferred stock will be entitled to contractual rights to require us to register those shares under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5"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closing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20" w:right="20" w:firstLine="440"/>
        <w:spacing w:after="0" w:line="296"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June 2021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20" w:right="320" w:firstLine="440"/>
        <w:spacing w:after="0" w:line="301"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60"/>
          </w:cols>
          <w:pgMar w:left="24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jc w:val="both"/>
        <w:ind w:left="220" w:right="60" w:firstLine="440"/>
        <w:spacing w:after="0" w:line="301" w:lineRule="auto"/>
        <w:rPr>
          <w:sz w:val="20"/>
          <w:szCs w:val="20"/>
          <w:color w:val="auto"/>
        </w:rPr>
      </w:pPr>
      <w:r>
        <w:rPr>
          <w:rFonts w:ascii="Arial" w:cs="Arial" w:eastAsia="Arial" w:hAnsi="Arial"/>
          <w:sz w:val="16"/>
          <w:szCs w:val="16"/>
          <w:color w:val="auto"/>
        </w:rPr>
        <w:t>At any time after we are qualified to file a registration statement on Form S-3, and subject to limitations and conditions specified in the amended and restated investors’ rights agreement, the holders of at least 277,778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60"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Upon the closing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7" w:lineRule="exact"/>
        <w:rPr>
          <w:sz w:val="20"/>
          <w:szCs w:val="20"/>
          <w:color w:val="auto"/>
        </w:rPr>
      </w:pPr>
    </w:p>
    <w:p>
      <w:pPr>
        <w:ind w:left="1080" w:hanging="438"/>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 or</w:t>
      </w:r>
    </w:p>
    <w:p>
      <w:pPr>
        <w:spacing w:after="0" w:line="153" w:lineRule="exact"/>
        <w:rPr>
          <w:rFonts w:ascii="Arial" w:cs="Arial" w:eastAsia="Arial" w:hAnsi="Arial"/>
          <w:sz w:val="16"/>
          <w:szCs w:val="16"/>
          <w:color w:val="auto"/>
        </w:rPr>
      </w:pPr>
    </w:p>
    <w:p>
      <w:pPr>
        <w:ind w:left="1080" w:right="220" w:hanging="438"/>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3"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left="220" w:right="420" w:firstLine="440"/>
        <w:spacing w:after="0" w:line="263" w:lineRule="auto"/>
        <w:rPr>
          <w:sz w:val="20"/>
          <w:szCs w:val="20"/>
          <w:color w:val="auto"/>
        </w:rPr>
      </w:pPr>
      <w:r>
        <w:rPr>
          <w:rFonts w:ascii="Arial" w:cs="Arial" w:eastAsia="Arial" w:hAnsi="Arial"/>
          <w:sz w:val="18"/>
          <w:szCs w:val="18"/>
          <w:color w:val="auto"/>
        </w:rPr>
        <w:t>Upon the closing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8" w:lineRule="exact"/>
        <w:rPr>
          <w:sz w:val="20"/>
          <w:szCs w:val="20"/>
          <w:color w:val="auto"/>
        </w:rPr>
      </w:pPr>
    </w:p>
    <w:p>
      <w:pPr>
        <w:ind w:left="1080" w:right="80" w:hanging="438"/>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6" w:lineRule="exact"/>
        <w:rPr>
          <w:rFonts w:ascii="Arial" w:cs="Arial" w:eastAsia="Arial" w:hAnsi="Arial"/>
          <w:sz w:val="18"/>
          <w:szCs w:val="18"/>
          <w:color w:val="auto"/>
        </w:rPr>
      </w:pPr>
    </w:p>
    <w:p>
      <w:pPr>
        <w:ind w:left="1080" w:hanging="438"/>
        <w:spacing w:after="0" w:line="25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be 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96" w:lineRule="exact"/>
        <w:rPr>
          <w:rFonts w:ascii="Arial" w:cs="Arial" w:eastAsia="Arial" w:hAnsi="Arial"/>
          <w:sz w:val="18"/>
          <w:szCs w:val="18"/>
          <w:color w:val="auto"/>
        </w:rPr>
      </w:pPr>
    </w:p>
    <w:p>
      <w:pPr>
        <w:ind w:left="1080" w:right="200" w:hanging="438"/>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able to take action by written consent, and will</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40"/>
        <w:spacing w:after="0" w:line="286" w:lineRule="auto"/>
        <w:rPr>
          <w:sz w:val="20"/>
          <w:szCs w:val="20"/>
          <w:color w:val="auto"/>
        </w:rPr>
      </w:pPr>
      <w:r>
        <w:rPr>
          <w:rFonts w:ascii="Arial" w:cs="Arial" w:eastAsia="Arial" w:hAnsi="Arial"/>
          <w:sz w:val="17"/>
          <w:szCs w:val="17"/>
          <w:color w:val="auto"/>
        </w:rPr>
        <w:t>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70" w:lineRule="exact"/>
        <w:rPr>
          <w:sz w:val="20"/>
          <w:szCs w:val="20"/>
          <w:color w:val="auto"/>
        </w:rPr>
      </w:pPr>
    </w:p>
    <w:p>
      <w:pPr>
        <w:ind w:left="1080" w:right="20" w:hanging="438"/>
        <w:spacing w:after="0" w:line="275"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0" w:lineRule="exact"/>
        <w:rPr>
          <w:rFonts w:ascii="Arial" w:cs="Arial" w:eastAsia="Arial" w:hAnsi="Arial"/>
          <w:sz w:val="17"/>
          <w:szCs w:val="17"/>
          <w:color w:val="auto"/>
        </w:rPr>
      </w:pPr>
    </w:p>
    <w:p>
      <w:pPr>
        <w:ind w:left="1080" w:hanging="438"/>
        <w:spacing w:after="0" w:line="30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Upon the closing of this offering, our amended and restated certificate of incorporation will provide that the Court of Chancery of the State of Delaware will be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would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closing of this offering the transfer agent and registrar for our common stock will be American Stock Transfer &amp; Trust Company, LLC.</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agent’s address is 6201 15th Avenue, Brooklyn, New York 11219, and the telephone number is (800) 937-5449.</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symbol “SIBN.”</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20" w:right="80" w:firstLine="440"/>
        <w:spacing w:after="0" w:line="311" w:lineRule="auto"/>
        <w:rPr>
          <w:sz w:val="20"/>
          <w:szCs w:val="20"/>
          <w:color w:val="auto"/>
        </w:rPr>
      </w:pPr>
      <w:r>
        <w:rPr>
          <w:rFonts w:ascii="Arial" w:cs="Arial" w:eastAsia="Arial" w:hAnsi="Arial"/>
          <w:sz w:val="16"/>
          <w:szCs w:val="16"/>
          <w:color w:val="auto"/>
        </w:rPr>
        <w:t>Before this offering, there has not been a public market for shares of common stock. Future sales of substantial amounts of shares of our common stock, including shares issuable upon the exercise of outstanding options and warrants, in the public market following this offering or the possibility of these sales occurring, could cause the prevailing market price for our common stock to fall or impair our ability to raise equity capital in the future.</w:t>
      </w:r>
    </w:p>
    <w:p>
      <w:pPr>
        <w:spacing w:after="0" w:line="148"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Following this offering, we will have outstanding 21,793,160 shares of our common stock, based on the number of shares outstanding as of June 30, 2018. This includes 6,000,000 shares of common stock that we are selling in this offering, which shares may be resold in the public market immediately unless purchased by our affiliates, and assumes no additional exercise of outstanding options or warrants, other than as described elsewhere in this prospectus.</w:t>
      </w:r>
    </w:p>
    <w:p>
      <w:pPr>
        <w:spacing w:after="0" w:line="186" w:lineRule="exact"/>
        <w:rPr>
          <w:sz w:val="20"/>
          <w:szCs w:val="20"/>
          <w:color w:val="auto"/>
        </w:rPr>
      </w:pPr>
    </w:p>
    <w:p>
      <w:pPr>
        <w:jc w:val="both"/>
        <w:ind w:left="220" w:right="100" w:firstLine="440"/>
        <w:spacing w:after="0" w:line="286" w:lineRule="auto"/>
        <w:rPr>
          <w:sz w:val="20"/>
          <w:szCs w:val="20"/>
          <w:color w:val="auto"/>
        </w:rPr>
      </w:pPr>
      <w:r>
        <w:rPr>
          <w:rFonts w:ascii="Arial" w:cs="Arial" w:eastAsia="Arial" w:hAnsi="Arial"/>
          <w:sz w:val="17"/>
          <w:szCs w:val="17"/>
          <w:color w:val="auto"/>
        </w:rPr>
        <w:t>The remaining 15,793,160 shares of common stock that are not sold in this offering will be “restricted securities,” as that term is defined in Rule 144 under the Securities Act of 1933.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65"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the shares will generally become available for sale in the public market as follows:</w:t>
      </w:r>
    </w:p>
    <w:p>
      <w:pPr>
        <w:spacing w:after="0" w:line="97" w:lineRule="exact"/>
        <w:rPr>
          <w:sz w:val="20"/>
          <w:szCs w:val="20"/>
          <w:color w:val="auto"/>
        </w:rPr>
      </w:pPr>
    </w:p>
    <w:p>
      <w:pPr>
        <w:ind w:left="1080" w:right="540" w:hanging="438"/>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beginning on the date of this prospectus, the 6,000,000 shares sold in this offering will be immediately available for sale in the public market, unless purchased by our affiliates; and</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15,793,160 additional shares will become eligible for sale in the public market.</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5" w:lineRule="exact"/>
        <w:rPr>
          <w:sz w:val="20"/>
          <w:szCs w:val="20"/>
          <w:color w:val="auto"/>
        </w:rPr>
      </w:pPr>
    </w:p>
    <w:p>
      <w:pPr>
        <w:ind w:left="1080" w:right="260" w:hanging="438"/>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217,932 shares immediately after this offering assuming no exercise of the underwriters’ option to purchase additional shares, based on the number of common shares outstanding as of June 30, 2018; or</w:t>
      </w:r>
    </w:p>
    <w:p>
      <w:pPr>
        <w:spacing w:after="0" w:line="88" w:lineRule="exact"/>
        <w:rPr>
          <w:rFonts w:ascii="Arial" w:cs="Arial" w:eastAsia="Arial" w:hAnsi="Arial"/>
          <w:sz w:val="18"/>
          <w:szCs w:val="18"/>
          <w:color w:val="auto"/>
        </w:rPr>
      </w:pPr>
    </w:p>
    <w:p>
      <w:pPr>
        <w:ind w:left="1080" w:right="80" w:hanging="438"/>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280"/>
        <w:spacing w:after="0" w:line="341"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20" w:right="60" w:firstLine="440"/>
        <w:spacing w:after="0" w:line="285"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w:t>
      </w:r>
    </w:p>
    <w:p>
      <w:pPr>
        <w:spacing w:after="0" w:line="1" w:lineRule="exact"/>
        <w:rPr>
          <w:sz w:val="20"/>
          <w:szCs w:val="20"/>
          <w:color w:val="auto"/>
        </w:rPr>
      </w:pPr>
    </w:p>
    <w:p>
      <w:pPr>
        <w:ind w:left="220" w:right="600" w:hanging="10"/>
        <w:spacing w:after="0" w:line="260" w:lineRule="auto"/>
        <w:tabs>
          <w:tab w:leader="none" w:pos="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Rule 701 shares are, however, subject to lock-up agreements and will only become eligible for sale upon the expiration of these lock-up agreements.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In connection with this offering, we and all directors and officers and the holders of substantially all of our outstanding capital stock, warrants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65" w:lineRule="exact"/>
        <w:rPr>
          <w:sz w:val="20"/>
          <w:szCs w:val="20"/>
          <w:color w:val="auto"/>
        </w:rPr>
      </w:pPr>
    </w:p>
    <w:p>
      <w:pPr>
        <w:ind w:left="220" w:right="340" w:firstLine="440"/>
        <w:spacing w:after="0" w:line="263"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20" w:right="20" w:firstLine="440"/>
        <w:spacing w:after="0" w:line="279" w:lineRule="auto"/>
        <w:rPr>
          <w:sz w:val="20"/>
          <w:szCs w:val="20"/>
          <w:color w:val="auto"/>
        </w:rPr>
      </w:pPr>
      <w:r>
        <w:rPr>
          <w:rFonts w:ascii="Arial" w:cs="Arial" w:eastAsia="Arial" w:hAnsi="Arial"/>
          <w:sz w:val="17"/>
          <w:szCs w:val="17"/>
          <w:color w:val="auto"/>
        </w:rPr>
        <w:t>Upon the closing of this offering, the holders of 12,066,654 shares of common stock will be entitled to rights with respect to the registration of the sale of such shares of common stock under the Securities Act. See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20" w:right="140" w:firstLine="440"/>
        <w:spacing w:after="0" w:line="275"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closing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0" w:lineRule="exact"/>
        <w:rPr>
          <w:sz w:val="20"/>
          <w:szCs w:val="20"/>
          <w:color w:val="auto"/>
        </w:rPr>
      </w:pPr>
    </w:p>
    <w:p>
      <w:pPr>
        <w:ind w:left="220" w:firstLine="440"/>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9" w:lineRule="exact"/>
        <w:rPr>
          <w:sz w:val="20"/>
          <w:szCs w:val="20"/>
          <w:color w:val="auto"/>
        </w:rPr>
      </w:pPr>
    </w:p>
    <w:p>
      <w:pPr>
        <w:ind w:left="220" w:right="20" w:firstLine="440"/>
        <w:spacing w:after="0" w:line="256"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7" w:lineRule="exact"/>
        <w:rPr>
          <w:sz w:val="20"/>
          <w:szCs w:val="20"/>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80" w:right="180" w:hanging="438"/>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20" w:right="20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2" w:lineRule="exact"/>
        <w:rPr>
          <w:sz w:val="20"/>
          <w:szCs w:val="20"/>
          <w:color w:val="auto"/>
        </w:rPr>
      </w:pPr>
    </w:p>
    <w:p>
      <w:pPr>
        <w:ind w:left="220" w:right="500" w:firstLine="440"/>
        <w:spacing w:after="0" w:line="28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line="258" w:lineRule="auto"/>
        <w:rPr>
          <w:sz w:val="20"/>
          <w:szCs w:val="20"/>
          <w:color w:val="auto"/>
        </w:rPr>
      </w:pPr>
      <w:r>
        <w:rPr>
          <w:rFonts w:ascii="Arial" w:cs="Arial" w:eastAsia="Arial" w:hAnsi="Arial"/>
          <w:sz w:val="18"/>
          <w:szCs w:val="18"/>
          <w:b w:val="1"/>
          <w:bCs w:val="1"/>
          <w:color w:val="auto"/>
        </w:rPr>
        <w:t>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20" w:right="26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8" w:lineRule="exact"/>
        <w:rPr>
          <w:sz w:val="20"/>
          <w:szCs w:val="20"/>
          <w:color w:val="auto"/>
        </w:rPr>
      </w:pPr>
    </w:p>
    <w:p>
      <w:pPr>
        <w:ind w:left="1080" w:hanging="438"/>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380" w:hanging="438"/>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right="100" w:hanging="438"/>
        <w:spacing w:after="0" w:line="263"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7" w:lineRule="exact"/>
        <w:rPr>
          <w:sz w:val="20"/>
          <w:szCs w:val="20"/>
          <w:color w:val="auto"/>
        </w:rPr>
      </w:pPr>
    </w:p>
    <w:p>
      <w:pPr>
        <w:ind w:left="220" w:firstLine="440"/>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4"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80"/>
          </w:cols>
          <w:pgMar w:left="24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or business (and are attributable to such holder’s permanent establishment in the United States if required by an applicable tax treaty),</w:t>
      </w:r>
    </w:p>
    <w:p>
      <w:pPr>
        <w:spacing w:after="0" w:line="23" w:lineRule="exact"/>
        <w:rPr>
          <w:sz w:val="20"/>
          <w:szCs w:val="20"/>
          <w:color w:val="auto"/>
        </w:rPr>
      </w:pPr>
    </w:p>
    <w:p>
      <w:pPr>
        <w:ind w:left="220" w:right="480"/>
        <w:spacing w:after="0" w:line="260" w:lineRule="auto"/>
        <w:rPr>
          <w:sz w:val="20"/>
          <w:szCs w:val="20"/>
          <w:color w:val="auto"/>
        </w:rPr>
      </w:pPr>
      <w:r>
        <w:rPr>
          <w:rFonts w:ascii="Arial" w:cs="Arial" w:eastAsia="Arial" w:hAnsi="Arial"/>
          <w:sz w:val="18"/>
          <w:szCs w:val="18"/>
          <w:color w:val="auto"/>
        </w:rPr>
        <w:t>the non-U.S. holder will be exempt from U.S. federal withholding tax. To claim the exemption, the non-U.S. holder must generally furnish a valid IRS Form W-8ECI (or applicable successor form) to the applicable withholding agent.</w:t>
      </w:r>
    </w:p>
    <w:p>
      <w:pPr>
        <w:spacing w:after="0" w:line="185"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20" w:right="560" w:firstLine="44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5" w:lineRule="exact"/>
        <w:rPr>
          <w:sz w:val="20"/>
          <w:szCs w:val="20"/>
          <w:color w:val="auto"/>
        </w:rPr>
      </w:pPr>
    </w:p>
    <w:p>
      <w:pPr>
        <w:ind w:left="1080" w:right="620" w:hanging="438"/>
        <w:spacing w:after="0" w:line="341"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30" w:lineRule="exact"/>
        <w:rPr>
          <w:rFonts w:ascii="Arial" w:cs="Arial" w:eastAsia="Arial" w:hAnsi="Arial"/>
          <w:sz w:val="16"/>
          <w:szCs w:val="16"/>
          <w:color w:val="auto"/>
        </w:rPr>
      </w:pPr>
    </w:p>
    <w:p>
      <w:pPr>
        <w:ind w:left="1080" w:right="640" w:hanging="438"/>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180" w:hanging="438"/>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6" w:lineRule="exact"/>
        <w:rPr>
          <w:sz w:val="20"/>
          <w:szCs w:val="20"/>
          <w:color w:val="auto"/>
        </w:rPr>
      </w:pPr>
    </w:p>
    <w:p>
      <w:pPr>
        <w:jc w:val="both"/>
        <w:ind w:left="220" w:firstLine="440"/>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5" w:lineRule="exact"/>
        <w:rPr>
          <w:sz w:val="20"/>
          <w:szCs w:val="20"/>
          <w:color w:val="auto"/>
        </w:rPr>
      </w:pPr>
    </w:p>
    <w:p>
      <w:pPr>
        <w:ind w:left="220" w:right="80" w:firstLine="440"/>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20" w:right="20" w:firstLine="440"/>
        <w:spacing w:after="0" w:line="263"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spacing w:after="0" w:line="287" w:lineRule="auto"/>
        <w:rPr>
          <w:sz w:val="20"/>
          <w:szCs w:val="20"/>
          <w:color w:val="auto"/>
        </w:rPr>
      </w:pPr>
      <w:r>
        <w:rPr>
          <w:rFonts w:ascii="Arial" w:cs="Arial" w:eastAsia="Arial" w:hAnsi="Arial"/>
          <w:sz w:val="16"/>
          <w:szCs w:val="16"/>
          <w:color w:val="auto"/>
        </w:rPr>
        <w:t>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w:t>
      </w:r>
    </w:p>
    <w:p>
      <w:pPr>
        <w:spacing w:after="0" w:line="2" w:lineRule="exact"/>
        <w:rPr>
          <w:sz w:val="20"/>
          <w:szCs w:val="20"/>
          <w:color w:val="auto"/>
        </w:rPr>
      </w:pPr>
    </w:p>
    <w:p>
      <w:pPr>
        <w:ind w:left="220" w:right="180"/>
        <w:spacing w:after="0" w:line="253" w:lineRule="auto"/>
        <w:rPr>
          <w:sz w:val="20"/>
          <w:szCs w:val="20"/>
          <w:color w:val="auto"/>
        </w:rPr>
      </w:pPr>
      <w:r>
        <w:rPr>
          <w:rFonts w:ascii="Arial" w:cs="Arial" w:eastAsia="Arial" w:hAnsi="Arial"/>
          <w:sz w:val="18"/>
          <w:szCs w:val="18"/>
          <w:color w:val="auto"/>
        </w:rPr>
        <w:t>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2"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20" w:right="100" w:firstLine="440"/>
        <w:spacing w:after="0" w:line="270"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179" w:lineRule="exact"/>
        <w:rPr>
          <w:sz w:val="20"/>
          <w:szCs w:val="20"/>
          <w:color w:val="auto"/>
        </w:rPr>
      </w:pPr>
    </w:p>
    <w:p>
      <w:pPr>
        <w:ind w:left="220" w:right="66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20" w:right="220" w:firstLine="440"/>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780" w:type="dxa"/>
            <w:vAlign w:val="bottom"/>
            <w:gridSpan w:val="2"/>
            <w:vMerge w:val="restart"/>
          </w:tcPr>
          <w:p>
            <w:pPr>
              <w:ind w:left="3420"/>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 w:type="dxa"/>
            <w:vAlign w:val="bottom"/>
            <w:tcBorders>
              <w:top w:val="single" w:sz="8" w:color="auto"/>
            </w:tcBorders>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000"/>
              <w:spacing w:after="0"/>
              <w:rPr>
                <w:sz w:val="20"/>
                <w:szCs w:val="20"/>
                <w:color w:val="auto"/>
              </w:rPr>
            </w:pPr>
            <w:r>
              <w:rPr>
                <w:rFonts w:ascii="Arial" w:cs="Arial" w:eastAsia="Arial" w:hAnsi="Arial"/>
                <w:sz w:val="18"/>
                <w:szCs w:val="18"/>
                <w:color w:val="auto"/>
              </w:rPr>
              <w:t>Incorporated</w:t>
            </w: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3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3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w:t>
            </w:r>
          </w:p>
        </w:tc>
        <w:tc>
          <w:tcPr>
            <w:tcW w:w="4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20" w:right="220"/>
        <w:spacing w:after="0" w:line="255" w:lineRule="auto"/>
        <w:rPr>
          <w:sz w:val="20"/>
          <w:szCs w:val="20"/>
          <w:color w:val="auto"/>
        </w:rPr>
      </w:pPr>
      <w:r>
        <w:rPr>
          <w:rFonts w:ascii="Arial" w:cs="Arial" w:eastAsia="Arial" w:hAnsi="Arial"/>
          <w:sz w:val="18"/>
          <w:szCs w:val="18"/>
          <w:color w:val="auto"/>
        </w:rPr>
        <w:t>this prospectus and part to certain dealers at a price that represents a concession not in excess of $ a share under the public offering price. After the initial public offering of the shares of common stock, the offering price and other selling terms may from time to time be varied by the representatives.</w:t>
      </w:r>
    </w:p>
    <w:p>
      <w:pPr>
        <w:spacing w:after="0" w:line="189"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900,000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3" w:lineRule="exact"/>
        <w:rPr>
          <w:sz w:val="20"/>
          <w:szCs w:val="20"/>
          <w:color w:val="auto"/>
        </w:rPr>
      </w:pPr>
    </w:p>
    <w:p>
      <w:pPr>
        <w:jc w:val="both"/>
        <w:ind w:left="220" w:right="140" w:firstLine="440"/>
        <w:spacing w:after="0" w:line="255" w:lineRule="auto"/>
        <w:rPr>
          <w:sz w:val="20"/>
          <w:szCs w:val="20"/>
          <w:color w:val="auto"/>
        </w:rPr>
      </w:pPr>
      <w:r>
        <w:rPr>
          <w:rFonts w:ascii="Arial" w:cs="Arial" w:eastAsia="Arial" w:hAnsi="Arial"/>
          <w:sz w:val="18"/>
          <w:szCs w:val="18"/>
          <w:color w:val="auto"/>
        </w:rPr>
        <w:t>Certain of our existing stockholders or their affiliates, including entities affiliated with Arboretum Ventures, Novo Holdings A/S, OrbiMed, and Skyline Venture Partners, have indicated an interest in purchasing up to an aggregate of $32.0 million in shares of our common stock in this offering at the initial public offering price. However, because indications of interest are not binding agreements or commitments to purchase, the underwriter may determine to sell more, fewer, or no shares in this offering to any or all of these entities, or any or all of these entities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900,000 shares of common stock.</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No Exercise</w:t>
            </w:r>
          </w:p>
        </w:tc>
        <w:tc>
          <w:tcPr>
            <w:tcW w:w="4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36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$1.7 million. We have agreed to reimburse the underwriters for expense relating to clearance of this offering with the Financial Industry Regulatory Authority up to $30,000.</w:t>
      </w:r>
    </w:p>
    <w:p>
      <w:pPr>
        <w:spacing w:after="0" w:line="183"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symbol “SIBN.”</w:t>
      </w:r>
    </w:p>
    <w:p>
      <w:pPr>
        <w:spacing w:after="0" w:line="225"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capital stock, warrants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8" w:lineRule="exact"/>
        <w:rPr>
          <w:sz w:val="20"/>
          <w:szCs w:val="20"/>
          <w:color w:val="auto"/>
        </w:rPr>
      </w:pPr>
    </w:p>
    <w:p>
      <w:pPr>
        <w:ind w:left="1080" w:right="60" w:hanging="438"/>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8" w:lineRule="exact"/>
        <w:rPr>
          <w:rFonts w:ascii="Arial" w:cs="Arial" w:eastAsia="Arial" w:hAnsi="Arial"/>
          <w:sz w:val="18"/>
          <w:szCs w:val="18"/>
          <w:color w:val="auto"/>
        </w:rPr>
      </w:pPr>
    </w:p>
    <w:p>
      <w:pPr>
        <w:ind w:left="1080" w:right="160" w:hanging="438"/>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260" w:hanging="438"/>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20" w:right="6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0" w:lineRule="exact"/>
        <w:rPr>
          <w:sz w:val="20"/>
          <w:szCs w:val="20"/>
          <w:color w:val="auto"/>
        </w:rPr>
      </w:pPr>
    </w:p>
    <w:p>
      <w:pPr>
        <w:ind w:left="1080" w:right="220" w:hanging="438"/>
        <w:spacing w:after="0" w:line="301"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 (i) and (ii), no filing under Section 16(a) of the Exchange Act is required or voluntarily made during the restricted period in connection with subsequent sales of common stock or other securities acquired in such open market transactions or in this offering;</w:t>
      </w:r>
    </w:p>
    <w:p>
      <w:pPr>
        <w:spacing w:after="0" w:line="61" w:lineRule="exact"/>
        <w:rPr>
          <w:rFonts w:ascii="Arial" w:cs="Arial" w:eastAsia="Arial" w:hAnsi="Arial"/>
          <w:sz w:val="16"/>
          <w:szCs w:val="16"/>
          <w:color w:val="auto"/>
        </w:rPr>
      </w:pPr>
    </w:p>
    <w:p>
      <w:pPr>
        <w:ind w:left="1080" w:right="40" w:hanging="438"/>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(ii) to an immediate family member or a trust for the direct or</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240"/>
        <w:spacing w:after="0" w:line="293" w:lineRule="auto"/>
        <w:rPr>
          <w:sz w:val="20"/>
          <w:szCs w:val="20"/>
          <w:color w:val="auto"/>
        </w:rPr>
      </w:pPr>
      <w:r>
        <w:rPr>
          <w:rFonts w:ascii="Arial" w:cs="Arial" w:eastAsia="Arial" w:hAnsi="Arial"/>
          <w:sz w:val="16"/>
          <w:szCs w:val="16"/>
          <w:color w:val="auto"/>
        </w:rPr>
        <w:t>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69" w:lineRule="exact"/>
        <w:rPr>
          <w:sz w:val="20"/>
          <w:szCs w:val="20"/>
          <w:color w:val="auto"/>
        </w:rPr>
      </w:pPr>
    </w:p>
    <w:p>
      <w:pPr>
        <w:ind w:left="1080" w:hanging="438"/>
        <w:spacing w:after="0" w:line="279"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75" w:lineRule="exact"/>
        <w:rPr>
          <w:rFonts w:ascii="Arial" w:cs="Arial" w:eastAsia="Arial" w:hAnsi="Arial"/>
          <w:sz w:val="17"/>
          <w:szCs w:val="17"/>
          <w:color w:val="auto"/>
        </w:rPr>
      </w:pPr>
    </w:p>
    <w:p>
      <w:pPr>
        <w:ind w:left="1080" w:right="20" w:hanging="438"/>
        <w:spacing w:after="0" w:line="25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6" w:lineRule="exact"/>
        <w:rPr>
          <w:rFonts w:ascii="Arial" w:cs="Arial" w:eastAsia="Arial" w:hAnsi="Arial"/>
          <w:sz w:val="18"/>
          <w:szCs w:val="18"/>
          <w:color w:val="auto"/>
        </w:rPr>
      </w:pPr>
    </w:p>
    <w:p>
      <w:pPr>
        <w:ind w:left="1080" w:right="20" w:hanging="438"/>
        <w:spacing w:after="0" w:line="275"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80" w:lineRule="exact"/>
        <w:rPr>
          <w:rFonts w:ascii="Arial" w:cs="Arial" w:eastAsia="Arial" w:hAnsi="Arial"/>
          <w:sz w:val="17"/>
          <w:szCs w:val="17"/>
          <w:color w:val="auto"/>
        </w:rPr>
      </w:pPr>
    </w:p>
    <w:p>
      <w:pPr>
        <w:ind w:left="1080" w:right="40" w:hanging="438"/>
        <w:spacing w:after="0" w:line="268"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87" w:lineRule="exact"/>
        <w:rPr>
          <w:rFonts w:ascii="Arial" w:cs="Arial" w:eastAsia="Arial" w:hAnsi="Arial"/>
          <w:sz w:val="17"/>
          <w:szCs w:val="17"/>
          <w:color w:val="auto"/>
        </w:rPr>
      </w:pPr>
    </w:p>
    <w:p>
      <w:pPr>
        <w:ind w:left="1080" w:right="180" w:hanging="438"/>
        <w:spacing w:after="0" w:line="31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40"/>
        <w:spacing w:after="0" w:line="263" w:lineRule="auto"/>
        <w:rPr>
          <w:sz w:val="20"/>
          <w:szCs w:val="20"/>
          <w:color w:val="auto"/>
        </w:rPr>
      </w:pPr>
      <w:r>
        <w:rPr>
          <w:rFonts w:ascii="Arial" w:cs="Arial" w:eastAsia="Arial" w:hAnsi="Arial"/>
          <w:sz w:val="18"/>
          <w:szCs w:val="18"/>
          <w:color w:val="auto"/>
        </w:rPr>
        <w:t>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88" w:lineRule="exact"/>
        <w:rPr>
          <w:sz w:val="20"/>
          <w:szCs w:val="20"/>
          <w:color w:val="auto"/>
        </w:rPr>
      </w:pPr>
    </w:p>
    <w:p>
      <w:pPr>
        <w:ind w:left="1080" w:right="240" w:hanging="438"/>
        <w:spacing w:after="0" w:line="286"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w:t>
      </w:r>
    </w:p>
    <w:p>
      <w:pPr>
        <w:ind w:left="1080"/>
        <w:spacing w:after="0"/>
        <w:rPr>
          <w:rFonts w:ascii="Arial" w:cs="Arial" w:eastAsia="Arial" w:hAnsi="Arial"/>
          <w:sz w:val="16"/>
          <w:szCs w:val="16"/>
          <w:color w:val="auto"/>
        </w:rPr>
      </w:pPr>
      <w:r>
        <w:rPr>
          <w:rFonts w:ascii="Arial" w:cs="Arial" w:eastAsia="Arial" w:hAnsi="Arial"/>
          <w:sz w:val="16"/>
          <w:szCs w:val="16"/>
          <w:color w:val="auto"/>
        </w:rPr>
        <w:t>(iii) the transferor does not otherwise voluntarily effect any other public filing or report regarding such transfers during the restricted period;</w:t>
      </w:r>
    </w:p>
    <w:p>
      <w:pPr>
        <w:spacing w:after="0" w:line="138" w:lineRule="exact"/>
        <w:rPr>
          <w:rFonts w:ascii="Arial" w:cs="Arial" w:eastAsia="Arial" w:hAnsi="Arial"/>
          <w:sz w:val="16"/>
          <w:szCs w:val="16"/>
          <w:color w:val="auto"/>
        </w:rPr>
      </w:pPr>
    </w:p>
    <w:p>
      <w:pPr>
        <w:ind w:left="1080" w:right="460" w:hanging="438"/>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20" w:right="8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20" w:right="16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6" w:lineRule="exact"/>
        <w:rPr>
          <w:sz w:val="20"/>
          <w:szCs w:val="20"/>
          <w:color w:val="auto"/>
        </w:rPr>
      </w:pPr>
    </w:p>
    <w:p>
      <w:pPr>
        <w:ind w:left="220" w:firstLine="440"/>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20" w:right="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results from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20" w:right="200" w:firstLine="440"/>
        <w:spacing w:after="0" w:line="263"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8" w:lineRule="exact"/>
        <w:rPr>
          <w:sz w:val="20"/>
          <w:szCs w:val="20"/>
          <w:color w:val="auto"/>
        </w:rPr>
      </w:pPr>
    </w:p>
    <w:p>
      <w:pPr>
        <w:ind w:left="1080" w:hanging="438"/>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80" w:right="540" w:hanging="438"/>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38"/>
        <w:spacing w:after="0" w:line="341"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5" w:lineRule="exact"/>
        <w:rPr>
          <w:sz w:val="20"/>
          <w:szCs w:val="20"/>
          <w:color w:val="auto"/>
        </w:rPr>
      </w:pPr>
    </w:p>
    <w:p>
      <w:pPr>
        <w:ind w:left="220" w:right="140" w:firstLine="440"/>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30" w:lineRule="exact"/>
        <w:rPr>
          <w:sz w:val="20"/>
          <w:szCs w:val="20"/>
          <w:color w:val="auto"/>
        </w:rPr>
      </w:pPr>
    </w:p>
    <w:p>
      <w:pPr>
        <w:ind w:left="1080" w:right="120" w:hanging="314"/>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right="180" w:hanging="3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20" w:right="36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6" w:lineRule="exact"/>
        <w:rPr>
          <w:sz w:val="20"/>
          <w:szCs w:val="20"/>
          <w:color w:val="auto"/>
        </w:rPr>
      </w:pPr>
    </w:p>
    <w:p>
      <w:pPr>
        <w:ind w:left="2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6" w:lineRule="exact"/>
        <w:rPr>
          <w:sz w:val="20"/>
          <w:szCs w:val="20"/>
          <w:color w:val="auto"/>
        </w:rPr>
      </w:pPr>
    </w:p>
    <w:p>
      <w:pPr>
        <w:ind w:left="220" w:right="60" w:firstLine="44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0" w:lineRule="exact"/>
        <w:rPr>
          <w:sz w:val="20"/>
          <w:szCs w:val="20"/>
          <w:color w:val="auto"/>
        </w:rPr>
      </w:pPr>
    </w:p>
    <w:p>
      <w:pPr>
        <w:jc w:val="both"/>
        <w:ind w:left="220" w:right="340" w:firstLine="440"/>
        <w:spacing w:after="0" w:line="256"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20" w:right="26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6" w:lineRule="exact"/>
        <w:rPr>
          <w:sz w:val="20"/>
          <w:szCs w:val="20"/>
          <w:color w:val="auto"/>
        </w:rPr>
      </w:pPr>
    </w:p>
    <w:p>
      <w:pPr>
        <w:ind w:left="220" w:right="32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6" w:lineRule="exact"/>
        <w:rPr>
          <w:sz w:val="20"/>
          <w:szCs w:val="20"/>
          <w:color w:val="auto"/>
        </w:rPr>
      </w:pPr>
    </w:p>
    <w:p>
      <w:pPr>
        <w:ind w:left="2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60" w:hanging="250"/>
        <w:spacing w:after="0"/>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1" w:lineRule="exact"/>
        <w:rPr>
          <w:rFonts w:ascii="Arial" w:cs="Arial" w:eastAsia="Arial" w:hAnsi="Arial"/>
          <w:sz w:val="16"/>
          <w:szCs w:val="16"/>
          <w:color w:val="auto"/>
        </w:rPr>
      </w:pPr>
    </w:p>
    <w:p>
      <w:pPr>
        <w:ind w:left="220" w:right="20" w:hanging="10"/>
        <w:spacing w:after="0" w:line="251" w:lineRule="auto"/>
        <w:tabs>
          <w:tab w:leader="none" w:pos="4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20" w:right="20" w:firstLine="440"/>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0" w:lineRule="exact"/>
        <w:rPr>
          <w:sz w:val="20"/>
          <w:szCs w:val="20"/>
          <w:color w:val="auto"/>
        </w:rPr>
      </w:pPr>
    </w:p>
    <w:p>
      <w:pPr>
        <w:ind w:left="1080" w:right="200" w:hanging="314"/>
        <w:spacing w:after="0" w:line="307"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2" w:lineRule="exact"/>
        <w:rPr>
          <w:rFonts w:ascii="Arial" w:cs="Arial" w:eastAsia="Arial" w:hAnsi="Arial"/>
          <w:sz w:val="17"/>
          <w:szCs w:val="17"/>
          <w:color w:val="auto"/>
        </w:rPr>
      </w:pPr>
    </w:p>
    <w:p>
      <w:pPr>
        <w:ind w:left="1080" w:right="200" w:hanging="3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220" w:right="18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8" w:lineRule="exact"/>
        <w:rPr>
          <w:sz w:val="20"/>
          <w:szCs w:val="20"/>
          <w:color w:val="auto"/>
        </w:rPr>
      </w:pPr>
    </w:p>
    <w:p>
      <w:pPr>
        <w:ind w:left="1080" w:right="120" w:hanging="31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80" w:hanging="3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31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3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80" w:right="80" w:hanging="4814"/>
        <w:spacing w:after="0" w:line="449" w:lineRule="auto"/>
        <w:tabs>
          <w:tab w:leader="none" w:pos="10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175</w:t>
      </w:r>
    </w:p>
    <w:p>
      <w:pPr>
        <w:sectPr>
          <w:pgSz w:w="11900" w:h="16838" w:orient="portrait"/>
          <w:cols w:equalWidth="0" w:num="1">
            <w:col w:w="11200"/>
          </w:cols>
          <w:pgMar w:left="24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20" w:right="40" w:firstLine="440"/>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Cooley LLP, Palo Alto, California. Latham &amp; Watkins LLP, New York, New York is representing the underwriters in this offering.</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20" w:right="200" w:firstLine="440"/>
        <w:spacing w:after="0" w:line="259" w:lineRule="auto"/>
        <w:rPr>
          <w:sz w:val="20"/>
          <w:szCs w:val="20"/>
          <w:color w:val="auto"/>
        </w:rPr>
      </w:pPr>
      <w:r>
        <w:rPr>
          <w:rFonts w:ascii="Arial" w:cs="Arial" w:eastAsia="Arial" w:hAnsi="Arial"/>
          <w:sz w:val="18"/>
          <w:szCs w:val="18"/>
          <w:color w:val="auto"/>
        </w:rPr>
        <w:t>The consolidated financial statements as of December 31, 2016 and December 31, 2017 and for each of the years then ended included in this prospectus have been so included in reliance on the report (which contains an explanatory paragraph relating to our ability to continue as a going concern as described in Note 2 to the consolidated financial statements) of PricewaterhouseCoopers LLP, an independent registered public accounting firm, given on the authority of said firm as experts in auditing and accounting.</w:t>
      </w: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20" w:firstLine="440"/>
        <w:spacing w:after="0" w:line="268" w:lineRule="auto"/>
        <w:rPr>
          <w:sz w:val="20"/>
          <w:szCs w:val="20"/>
          <w:color w:val="auto"/>
        </w:rPr>
      </w:pPr>
      <w:r>
        <w:rPr>
          <w:rFonts w:ascii="Arial" w:cs="Arial" w:eastAsia="Arial" w:hAnsi="Arial"/>
          <w:sz w:val="17"/>
          <w:szCs w:val="17"/>
          <w:color w:val="auto"/>
        </w:rPr>
        <w:t>We have filed with the Securities and Exchange Commission, or SEC,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6"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Upon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0640" w:type="dxa"/>
            <w:vAlign w:val="bottom"/>
            <w:gridSpan w:val="7"/>
            <w:vMerge w:val="restart"/>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1064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44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80" w:type="dxa"/>
            <w:vAlign w:val="bottom"/>
            <w:tcBorders>
              <w:bottom w:val="single" w:sz="8" w:color="0000EE"/>
            </w:tcBorders>
          </w:tcPr>
          <w:p>
            <w:pPr>
              <w:spacing w:after="0" w:line="189" w:lineRule="exact"/>
              <w:rPr>
                <w:rFonts w:ascii="Arial" w:cs="Arial" w:eastAsia="Arial" w:hAnsi="Arial"/>
                <w:sz w:val="18"/>
                <w:szCs w:val="18"/>
                <w:color w:val="0000EE"/>
                <w:w w:val="87"/>
              </w:rPr>
            </w:pPr>
            <w:hyperlink w:anchor="page183">
              <w:r>
                <w:rPr>
                  <w:rFonts w:ascii="Arial" w:cs="Arial" w:eastAsia="Arial" w:hAnsi="Arial"/>
                  <w:sz w:val="18"/>
                  <w:szCs w:val="18"/>
                  <w:color w:val="0000EE"/>
                  <w:w w:val="87"/>
                </w:rPr>
                <w:t>Consolidated Balance Sheets</w:t>
              </w:r>
            </w:hyperlink>
          </w:p>
        </w:tc>
        <w:tc>
          <w:tcPr>
            <w:tcW w:w="8560" w:type="dxa"/>
            <w:vAlign w:val="bottom"/>
            <w:gridSpan w:val="6"/>
          </w:tcPr>
          <w:p>
            <w:pPr>
              <w:spacing w:after="0"/>
              <w:rPr>
                <w:sz w:val="16"/>
                <w:szCs w:val="16"/>
                <w:color w:val="auto"/>
              </w:rPr>
            </w:pPr>
          </w:p>
        </w:tc>
        <w:tc>
          <w:tcPr>
            <w:tcW w:w="3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Operations and Comprehensive Loss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Consolidated Statements of Changes in Redeemable Convertible Preferred Stock and Stockholders’ Deficit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Consolidated Statements of Cash Flows</w:t>
              </w:r>
            </w:hyperlink>
          </w:p>
        </w:tc>
        <w:tc>
          <w:tcPr>
            <w:tcW w:w="4840" w:type="dxa"/>
            <w:vAlign w:val="bottom"/>
            <w:tcBorders>
              <w:top w:val="single" w:sz="8" w:color="0000EE"/>
            </w:tcBorders>
            <w:gridSpan w:val="4"/>
          </w:tcPr>
          <w:p>
            <w:pPr>
              <w:spacing w:after="0"/>
              <w:rPr>
                <w:sz w:val="17"/>
                <w:szCs w:val="17"/>
                <w:color w:val="auto"/>
              </w:rPr>
            </w:pPr>
          </w:p>
        </w:tc>
        <w:tc>
          <w:tcPr>
            <w:tcW w:w="29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Board of Directors and Stockholders of SI-BONE, Inc.</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We have audited the accompanying consolidated balance sheets of SI-BONE, Inc. and its subsidiaries as of December 31, 2017 and 2016, and the related consolidated statements of operations and comprehensive loss,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220" w:right="20" w:firstLine="440"/>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determined there is risk of future non-compliance with its debt covenants that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20" w:right="18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3" w:lineRule="exact"/>
        <w:rPr>
          <w:sz w:val="20"/>
          <w:szCs w:val="20"/>
          <w:color w:val="auto"/>
        </w:rPr>
      </w:pPr>
    </w:p>
    <w:p>
      <w:pPr>
        <w:ind w:left="220" w:right="220" w:firstLine="44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20" w:right="560"/>
        <w:spacing w:after="0" w:line="260" w:lineRule="auto"/>
        <w:rPr>
          <w:sz w:val="20"/>
          <w:szCs w:val="20"/>
          <w:color w:val="auto"/>
        </w:rPr>
      </w:pPr>
      <w:r>
        <w:rPr>
          <w:rFonts w:ascii="Arial" w:cs="Arial" w:eastAsia="Arial" w:hAnsi="Arial"/>
          <w:sz w:val="18"/>
          <w:szCs w:val="18"/>
          <w:color w:val="auto"/>
        </w:rPr>
        <w:t>July 31, 2018, except for the effects of the reverse stock split discussed in Note 2 to the consolidated financial statements, as to which the date is October 5, 2018</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served as the Company’s auditor since 2013.</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7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22,408</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16,233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60" w:type="dxa"/>
            <w:vAlign w:val="bottom"/>
          </w:tcPr>
          <w:p>
            <w:pPr>
              <w:ind w:left="260"/>
              <w:spacing w:after="0" w:line="130" w:lineRule="exact"/>
              <w:rPr>
                <w:sz w:val="20"/>
                <w:szCs w:val="20"/>
                <w:color w:val="auto"/>
              </w:rPr>
            </w:pPr>
            <w:r>
              <w:rPr>
                <w:rFonts w:ascii="Arial" w:cs="Arial" w:eastAsia="Arial" w:hAnsi="Arial"/>
                <w:sz w:val="14"/>
                <w:szCs w:val="14"/>
                <w:color w:val="auto"/>
              </w:rPr>
              <w:t>Accounts receivable, net of allowance for doubtful accounts of $316, $268 and $263 (unaudited) at</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400"/>
              <w:spacing w:after="0"/>
              <w:rPr>
                <w:sz w:val="20"/>
                <w:szCs w:val="20"/>
                <w:color w:val="auto"/>
              </w:rPr>
            </w:pPr>
            <w:r>
              <w:rPr>
                <w:rFonts w:ascii="Arial" w:cs="Arial" w:eastAsia="Arial" w:hAnsi="Arial"/>
                <w:sz w:val="14"/>
                <w:szCs w:val="14"/>
                <w:color w:val="auto"/>
              </w:rPr>
              <w:t>December 31, 2016 and 2017 and June 30, 2018, respectively</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5,951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7,416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7,254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7,254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2,553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2,888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1,252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33,629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27,322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27,322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39,436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35,834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29,913</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29,913</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4"/>
                <w:szCs w:val="14"/>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(EQUITY)</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4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1,814</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1,358</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Accrued liabilities and other</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5,724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Short term borrowings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8,236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Redeemable convertible preferred stock warrants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Long term borrowings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38,704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38,834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60"/>
              <w:spacing w:after="0" w:line="149" w:lineRule="exact"/>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35,048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47,068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46,422</w:t>
            </w:r>
          </w:p>
        </w:tc>
        <w:tc>
          <w:tcPr>
            <w:tcW w:w="0" w:type="dxa"/>
            <w:vAlign w:val="bottom"/>
          </w:tcPr>
          <w:p>
            <w:pPr>
              <w:spacing w:after="0"/>
              <w:rPr>
                <w:sz w:val="1"/>
                <w:szCs w:val="1"/>
                <w:color w:val="auto"/>
              </w:rPr>
            </w:pPr>
          </w:p>
        </w:tc>
      </w:tr>
      <w:tr>
        <w:trPr>
          <w:trHeight w:val="155"/>
        </w:trPr>
        <w:tc>
          <w:tcPr>
            <w:tcW w:w="678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5)</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$0.0001 par value;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60" w:type="dxa"/>
            <w:vAlign w:val="bottom"/>
          </w:tcPr>
          <w:p>
            <w:pPr>
              <w:ind w:left="260"/>
              <w:spacing w:after="0" w:line="130" w:lineRule="exact"/>
              <w:rPr>
                <w:sz w:val="20"/>
                <w:szCs w:val="20"/>
                <w:color w:val="auto"/>
              </w:rPr>
            </w:pPr>
            <w:r>
              <w:rPr>
                <w:rFonts w:ascii="Arial" w:cs="Arial" w:eastAsia="Arial" w:hAnsi="Arial"/>
                <w:sz w:val="14"/>
                <w:szCs w:val="14"/>
                <w:color w:val="auto"/>
                <w:w w:val="99"/>
              </w:rPr>
              <w:t>Authorized: 11,552,989, 12,104,749 and 12,104,749 (unaudited) shares at December 31, 2016 and 2017</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rPr>
              <w:t>and June 30, 2018, respectively; issued and outstanding: 11,330,704, 11,871,578 and 11,871,578</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rPr>
              <w:t>(unaudited) shares at December 31, 2016 and 2017 and June 30, 2018, respectively; (Liquidation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rPr>
              <w:t>preference of $113,767, $119,194 and $119,194 (unaudited) at December 31, 2016 and 2017 and</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rPr>
              <w:t>June 30, 2018, respectively; no shares authorized, issued, or outstanding at June 30, 2018, pro forma</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ind w:left="400"/>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113,121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118,548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118,548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60" w:type="dxa"/>
            <w:vAlign w:val="bottom"/>
          </w:tcPr>
          <w:p>
            <w:pPr>
              <w:ind w:left="260"/>
              <w:spacing w:after="0" w:line="130" w:lineRule="exact"/>
              <w:rPr>
                <w:sz w:val="20"/>
                <w:szCs w:val="20"/>
                <w:color w:val="auto"/>
              </w:rPr>
            </w:pPr>
            <w:r>
              <w:rPr>
                <w:rFonts w:ascii="Arial" w:cs="Arial" w:eastAsia="Arial" w:hAnsi="Arial"/>
                <w:sz w:val="14"/>
                <w:szCs w:val="14"/>
                <w:color w:val="auto"/>
              </w:rPr>
              <w:t>Common stock, $0.0001 par value; Authorized: 18,777,777, 19,333,333 and 19,333,333 (unaudited)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rPr>
              <w:t>shares at December 31, 2016 and 2017 and June 30, 2018, respectively; issued and outstanding:</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w w:val="99"/>
              </w:rPr>
              <w:t>3,446,137, 3,603,140 and 3,707,268 (unaudited) shares, at December 31, 2016 and 2017 and June 30,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400"/>
              <w:spacing w:after="0" w:line="149" w:lineRule="exact"/>
              <w:rPr>
                <w:sz w:val="20"/>
                <w:szCs w:val="20"/>
                <w:color w:val="auto"/>
              </w:rPr>
            </w:pPr>
            <w:r>
              <w:rPr>
                <w:rFonts w:ascii="Arial" w:cs="Arial" w:eastAsia="Arial" w:hAnsi="Arial"/>
                <w:sz w:val="14"/>
                <w:szCs w:val="14"/>
                <w:color w:val="auto"/>
              </w:rPr>
              <w:t>2018, respectively; 100,000,000 shares authorized and 15,793,160 shares issued and outstanding at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400"/>
              <w:spacing w:after="0"/>
              <w:rPr>
                <w:sz w:val="20"/>
                <w:szCs w:val="20"/>
                <w:color w:val="auto"/>
              </w:rPr>
            </w:pPr>
            <w:r>
              <w:rPr>
                <w:rFonts w:ascii="Arial" w:cs="Arial" w:eastAsia="Arial" w:hAnsi="Arial"/>
                <w:sz w:val="14"/>
                <w:szCs w:val="14"/>
                <w:color w:val="auto"/>
              </w:rPr>
              <w:t>June 30, 2018, pro forma (unaudited)</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9,943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10,933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130,126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(521)</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3"/>
              </w:rPr>
              <w:t>(116,685)</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(139,724)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(147,072)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TOTAL STOCKHOLDERS’ DEFICIT (EQUITY)</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(108,733)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(129,378)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(135,703)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(16,509)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760" w:type="dxa"/>
            <w:vAlign w:val="bottom"/>
          </w:tcPr>
          <w:p>
            <w:pPr>
              <w:ind w:left="540"/>
              <w:spacing w:after="0" w:line="137" w:lineRule="exact"/>
              <w:rPr>
                <w:sz w:val="20"/>
                <w:szCs w:val="20"/>
                <w:color w:val="auto"/>
              </w:rPr>
            </w:pPr>
            <w:r>
              <w:rPr>
                <w:rFonts w:ascii="Arial" w:cs="Arial" w:eastAsia="Arial" w:hAnsi="Arial"/>
                <w:sz w:val="14"/>
                <w:szCs w:val="14"/>
                <w:color w:val="auto"/>
              </w:rPr>
              <w:t>TOTAL LIABILITIES, REDEEMABLE CONVERTIBLE PREFERRED STOCK AND</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680"/>
              <w:spacing w:after="0"/>
              <w:rPr>
                <w:sz w:val="20"/>
                <w:szCs w:val="20"/>
                <w:color w:val="auto"/>
              </w:rPr>
            </w:pPr>
            <w:r>
              <w:rPr>
                <w:rFonts w:ascii="Arial" w:cs="Arial" w:eastAsia="Arial" w:hAnsi="Arial"/>
                <w:sz w:val="14"/>
                <w:szCs w:val="14"/>
                <w:color w:val="auto"/>
              </w:rPr>
              <w:t>STOCKHOLDERS’ DEFICIT (EQUITY)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39,436</w:t>
            </w:r>
          </w:p>
        </w:tc>
        <w:tc>
          <w:tcPr>
            <w:tcW w:w="4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35,834</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29,913</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47,983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22,531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42,871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41,646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(6,204)</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 (Note 14)</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Weighted-average number of common shares used to compute basic and</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loss per share (Note 14)</w:t>
            </w: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3,314,198</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3,467,096</w:t>
            </w:r>
          </w:p>
        </w:tc>
        <w:tc>
          <w:tcPr>
            <w:tcW w:w="5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3,426,963</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3,603,308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(Note 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Pro forma weighted-average number of common shares used to compute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share (unaudited) (Note 14)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2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15,478,016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15,689,200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4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Notes</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0"/>
              </w:rPr>
              <w:t>Receivable</w:t>
            </w:r>
          </w:p>
        </w:tc>
        <w:tc>
          <w:tcPr>
            <w:tcW w:w="11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2015</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9,291,176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92,796</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3,333,160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(96,096)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(90,197)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110,970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unvested stock options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10,837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1,398</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redeemable convertible preferred</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net of issuance costs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2,039,528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20,325</w:t>
            </w: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w w:val="97"/>
              </w:rPr>
              <w:t>Repurchase of unvested early exercised 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options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(8,553)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Repayment of stockholders’ note receivable</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(20,589)</w:t>
            </w:r>
          </w:p>
        </w:tc>
        <w:tc>
          <w:tcPr>
            <w:tcW w:w="0" w:type="dxa"/>
            <w:vAlign w:val="bottom"/>
          </w:tcPr>
          <w:p>
            <w:pPr>
              <w:spacing w:after="0"/>
              <w:rPr>
                <w:sz w:val="1"/>
                <w:szCs w:val="1"/>
                <w:color w:val="auto"/>
              </w:rPr>
            </w:pPr>
          </w:p>
        </w:tc>
      </w:tr>
      <w:tr>
        <w:trPr>
          <w:trHeight w:val="155"/>
        </w:trPr>
        <w:tc>
          <w:tcPr>
            <w:tcW w:w="2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11,330,704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113,121</w:t>
            </w: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3,446,137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8,000</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(116,685)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152,691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unvested stock options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4,312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w w:val="98"/>
              </w:rPr>
              <w:t>Issuance of redeemable convertible preferred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stock, net of issuance costs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540,874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5,427</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Repayment of stockholders’ notes receivable</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Forgiveness of stockholders’ note receivable</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(23,039)</w:t>
            </w:r>
          </w:p>
        </w:tc>
        <w:tc>
          <w:tcPr>
            <w:tcW w:w="0" w:type="dxa"/>
            <w:vAlign w:val="bottom"/>
          </w:tcPr>
          <w:p>
            <w:pPr>
              <w:spacing w:after="0"/>
              <w:rPr>
                <w:sz w:val="1"/>
                <w:szCs w:val="1"/>
                <w:color w:val="auto"/>
              </w:rPr>
            </w:pPr>
          </w:p>
        </w:tc>
      </w:tr>
      <w:tr>
        <w:trPr>
          <w:trHeight w:val="155"/>
        </w:trPr>
        <w:tc>
          <w:tcPr>
            <w:tcW w:w="2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2017</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11,871,578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118,548</w:t>
            </w: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3,603,140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9,943</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(139,724)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 (unaudited)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48,402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unvested stock options (unaudited)</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55,726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(unaudited)</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June 30, 2018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11,871,578</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118,548</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3,707,268</w:t>
            </w: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(147,072)</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20"/>
          </w:cols>
          <w:pgMar w:left="24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00" w:type="dxa"/>
            <w:vAlign w:val="bottom"/>
            <w:gridSpan w:val="4"/>
          </w:tcPr>
          <w:p>
            <w:pPr>
              <w:jc w:val="center"/>
              <w:ind w:left="30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(20,589)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(23,039)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(12,451)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(7,348)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1,038</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allowance for doubtful accounts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1,398</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1,438</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fair value of redeemable convertible preferred stock warrants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Loss on write-off of property and equipment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337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debt discount</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Amortization of debt discount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public offering costs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1,460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Forgiveness of notes receivable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(1,313)</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(980)</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Accrued liabilities and other</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1,792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(16,753)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0"/>
              </w:rPr>
              <w:t>(17,530)</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(5,673)</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6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Proceeds from the exercise of common stock options, net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Repayment of stockholders’ notes receivable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Repayment of debt financing</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Extinguishment of debt financing</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(29,081)</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 financing</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4,000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40,000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(1,540)</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8"/>
              </w:rPr>
              <w:t>20,325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Payments of public offering costs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8"/>
              </w:rPr>
              <w:t>24,755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12,862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7,628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(5,492)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(6,175)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b w:val="1"/>
                <w:bCs w:val="1"/>
                <w:color w:val="auto"/>
              </w:rPr>
              <w:t>Cash and cash equivalents at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8"/>
              </w:rPr>
              <w:t>20,272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27,900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5"/>
              </w:rPr>
              <w:t>22,408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6"/>
                <w:szCs w:val="16"/>
                <w:color w:val="auto"/>
              </w:rPr>
              <w:t>End of year</w:t>
            </w: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w w:val="98"/>
              </w:rPr>
              <w:t>27,900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22,408</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23,351</w:t>
            </w:r>
          </w:p>
        </w:tc>
        <w:tc>
          <w:tcPr>
            <w:tcW w:w="2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16,233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2,994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4,514</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1,750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122</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Issuance of redeemable convertible preferred stock warrants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costs included in accounts payable and accrued liabilities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left="220" w:right="160" w:firstLine="440"/>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20" w:right="10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three wholly-owned international subsidiaries. All inter-company accounts and transactions have been eliminated.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220" w:right="40" w:firstLine="440"/>
        <w:spacing w:after="0" w:line="271" w:lineRule="auto"/>
        <w:rPr>
          <w:sz w:val="20"/>
          <w:szCs w:val="20"/>
          <w:color w:val="auto"/>
        </w:rPr>
      </w:pPr>
      <w:r>
        <w:rPr>
          <w:rFonts w:ascii="Arial" w:cs="Arial" w:eastAsia="Arial" w:hAnsi="Arial"/>
          <w:sz w:val="17"/>
          <w:szCs w:val="17"/>
          <w:color w:val="auto"/>
        </w:rPr>
        <w:t>The accompanying interim consolidated financial statements as of June 30, 2018 and for the six months ended June 30, 2017 and 2018, and the related interim information contained within the notes to the consolidated financial statements, are unaudited. The unaudited interim consolidated financial statements have been prepared in accordance with generally accepted accounting principles for interim financial information and on the same basis as the audited consolidated financial statements. In the opinion of management, the accompanying unaudited interim consolidated financial statements contain all adjustments consisting of only normal recurring adjustments necessary for a fair statement of the Company’s financial position as of June 30, 2018, and the results of its operations and cash flows for the six months ended June 30, 2017 and 2018. Such adjustments are of a normal and recurring nature. The results for the six months ended June 30, 2018 are not necessarily indicative of the results to be expected for the year ending December 31, 2018, or for any future period.</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Balance Sheet and Pro Forma Net Loss Per Share</w:t>
      </w:r>
    </w:p>
    <w:p>
      <w:pPr>
        <w:spacing w:after="0" w:line="117" w:lineRule="exact"/>
        <w:rPr>
          <w:sz w:val="20"/>
          <w:szCs w:val="20"/>
          <w:color w:val="auto"/>
        </w:rPr>
      </w:pPr>
    </w:p>
    <w:p>
      <w:pPr>
        <w:ind w:left="220" w:right="120" w:firstLine="440"/>
        <w:spacing w:after="0" w:line="290" w:lineRule="auto"/>
        <w:rPr>
          <w:sz w:val="20"/>
          <w:szCs w:val="20"/>
          <w:color w:val="auto"/>
        </w:rPr>
      </w:pPr>
      <w:r>
        <w:rPr>
          <w:rFonts w:ascii="Arial" w:cs="Arial" w:eastAsia="Arial" w:hAnsi="Arial"/>
          <w:sz w:val="16"/>
          <w:szCs w:val="16"/>
          <w:color w:val="auto"/>
        </w:rPr>
        <w:t>The June 30, 2018 unaudited pro forma balance sheet has been prepared assuming immediately prior to the completion of the Company’s initial public offering, (“IPO”): (i) the automatic conversion of all outstanding shares of redeemable convertible preferred stock into shares of common stock;</w:t>
      </w:r>
    </w:p>
    <w:p>
      <w:pPr>
        <w:spacing w:after="0" w:line="1" w:lineRule="exact"/>
        <w:rPr>
          <w:sz w:val="20"/>
          <w:szCs w:val="20"/>
          <w:color w:val="auto"/>
        </w:rPr>
      </w:pPr>
    </w:p>
    <w:p>
      <w:pPr>
        <w:ind w:left="220" w:right="240" w:hanging="10"/>
        <w:spacing w:after="0" w:line="255" w:lineRule="auto"/>
        <w:tabs>
          <w:tab w:leader="none" w:pos="4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automatic net exercise of certain redeemable convertible preferred stock warrants, assuming an IPO price of $14.00 per share and the related reclassification of the warrant liability to common stock and additional paid-in-capital; and (iii) the automatic conversion of certain other redeemable convertible preferred stock warrants into common stock warrants.</w:t>
      </w:r>
    </w:p>
    <w:p>
      <w:pPr>
        <w:spacing w:after="0" w:line="189" w:lineRule="exact"/>
        <w:rPr>
          <w:sz w:val="20"/>
          <w:szCs w:val="20"/>
          <w:color w:val="auto"/>
        </w:rPr>
      </w:pPr>
    </w:p>
    <w:p>
      <w:pPr>
        <w:ind w:left="220" w:firstLine="440"/>
        <w:spacing w:after="0" w:line="293" w:lineRule="auto"/>
        <w:rPr>
          <w:sz w:val="20"/>
          <w:szCs w:val="20"/>
          <w:color w:val="auto"/>
        </w:rPr>
      </w:pPr>
      <w:r>
        <w:rPr>
          <w:rFonts w:ascii="Arial" w:cs="Arial" w:eastAsia="Arial" w:hAnsi="Arial"/>
          <w:sz w:val="16"/>
          <w:szCs w:val="16"/>
          <w:color w:val="auto"/>
        </w:rPr>
        <w:t>The unaudited pro forma basic and diluted net loss per share has been computed to give effect to the automatic conversion of the shares of redeemable convertible preferred stock into common stock immediately prior to the closing of an IPO, as if such conversion had occurred at the earlier of the beginning of the period or the date of issuance, if later. In addition, the numerator in the pro forma basic and diluted net loss per share calculation has been adjusted to remove the change in the fair value resulting from the remeasurement of the redeemable convertible preferred stock warrant liability as the redeemable convertible preferred stock warrants will be converted into warrants to purchase common stock or net exercised into common stock, and the related redeemable convertible preferred stock warrant liability will be reclassified to stockholders’ deficit immediately prior to the</w:t>
      </w:r>
    </w:p>
    <w:p>
      <w:pPr>
        <w:spacing w:after="0" w:line="9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80"/>
          </w:cols>
          <w:pgMar w:left="24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jc w:val="both"/>
        <w:ind w:left="220" w:right="220"/>
        <w:spacing w:after="0" w:line="263" w:lineRule="auto"/>
        <w:rPr>
          <w:sz w:val="20"/>
          <w:szCs w:val="20"/>
          <w:color w:val="auto"/>
        </w:rPr>
      </w:pPr>
      <w:r>
        <w:rPr>
          <w:rFonts w:ascii="Arial" w:cs="Arial" w:eastAsia="Arial" w:hAnsi="Arial"/>
          <w:sz w:val="18"/>
          <w:szCs w:val="18"/>
          <w:color w:val="auto"/>
        </w:rPr>
        <w:t>closing of an IPO. The denominator in the pro forma basic and diluted net loss per share calculation has been adjusted to include the number of shares into which certain redeemable convertible preferred stock warrants would be converted upon their net exercise immediately prior to the closing of an IPO assuming an IPO price of $14.00 per share.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net loss per share does not include the shares to be sold and related proceeds to be received from an IPO.</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20" w:right="20" w:firstLine="440"/>
        <w:spacing w:after="0" w:line="275" w:lineRule="auto"/>
        <w:rPr>
          <w:sz w:val="20"/>
          <w:szCs w:val="20"/>
          <w:color w:val="auto"/>
        </w:rPr>
      </w:pPr>
      <w:r>
        <w:rPr>
          <w:rFonts w:ascii="Arial" w:cs="Arial" w:eastAsia="Arial" w:hAnsi="Arial"/>
          <w:sz w:val="17"/>
          <w:szCs w:val="17"/>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75" w:lineRule="exact"/>
        <w:rPr>
          <w:sz w:val="20"/>
          <w:szCs w:val="20"/>
          <w:color w:val="auto"/>
        </w:rPr>
      </w:pPr>
    </w:p>
    <w:p>
      <w:pPr>
        <w:jc w:val="both"/>
        <w:ind w:left="220" w:right="460" w:firstLine="440"/>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$38,791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$43,351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$20,385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$23,456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International</w:t>
            </w:r>
          </w:p>
        </w:tc>
        <w:tc>
          <w:tcPr>
            <w:tcW w:w="3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3,310</w:t>
            </w:r>
          </w:p>
        </w:tc>
        <w:tc>
          <w:tcPr>
            <w:tcW w:w="3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4,632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2,146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2,919</w:t>
            </w:r>
          </w:p>
        </w:tc>
      </w:tr>
      <w:tr>
        <w:trPr>
          <w:trHeight w:val="27"/>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42,101</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47,983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22,531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26,375</w:t>
            </w:r>
          </w:p>
        </w:tc>
      </w:tr>
      <w:tr>
        <w:trPr>
          <w:trHeight w:val="20"/>
        </w:trPr>
        <w:tc>
          <w:tcPr>
            <w:tcW w:w="4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20" w:right="40" w:firstLine="440"/>
        <w:spacing w:after="0" w:line="301" w:lineRule="auto"/>
        <w:rPr>
          <w:sz w:val="20"/>
          <w:szCs w:val="20"/>
          <w:color w:val="auto"/>
        </w:rPr>
      </w:pPr>
      <w:r>
        <w:rPr>
          <w:rFonts w:ascii="Arial" w:cs="Arial" w:eastAsia="Arial" w:hAnsi="Arial"/>
          <w:sz w:val="16"/>
          <w:szCs w:val="16"/>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20" w:right="80" w:firstLine="440"/>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0" w:lineRule="exact"/>
        <w:rPr>
          <w:sz w:val="20"/>
          <w:szCs w:val="20"/>
          <w:color w:val="auto"/>
        </w:rPr>
      </w:pPr>
    </w:p>
    <w:p>
      <w:pPr>
        <w:ind w:left="220" w:right="580" w:firstLine="440"/>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left="220" w:right="220" w:firstLine="440"/>
        <w:spacing w:after="0" w:line="259" w:lineRule="auto"/>
        <w:rPr>
          <w:sz w:val="20"/>
          <w:szCs w:val="20"/>
          <w:color w:val="auto"/>
        </w:rPr>
      </w:pPr>
      <w:r>
        <w:rPr>
          <w:rFonts w:ascii="Arial" w:cs="Arial" w:eastAsia="Arial" w:hAnsi="Arial"/>
          <w:sz w:val="18"/>
          <w:szCs w:val="18"/>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186"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20" w:right="280" w:firstLine="440"/>
        <w:spacing w:after="0" w:line="290" w:lineRule="auto"/>
        <w:rPr>
          <w:sz w:val="20"/>
          <w:szCs w:val="20"/>
          <w:color w:val="auto"/>
        </w:rPr>
      </w:pPr>
      <w:r>
        <w:rPr>
          <w:rFonts w:ascii="Arial" w:cs="Arial" w:eastAsia="Arial" w:hAnsi="Arial"/>
          <w:sz w:val="16"/>
          <w:szCs w:val="16"/>
          <w:color w:val="auto"/>
        </w:rPr>
        <w:t>As of and for the year ended December 31, 2017, the Company had an accumulated deficit of $139.7 million and used $17.5 million of cash in operations. As of and for the six months ended June 30, 2018, the Company had an accumulated deficit of $147.1 million (unaudited) and used</w:t>
      </w:r>
    </w:p>
    <w:p>
      <w:pPr>
        <w:spacing w:after="0" w:line="1" w:lineRule="exact"/>
        <w:rPr>
          <w:sz w:val="20"/>
          <w:szCs w:val="20"/>
          <w:color w:val="auto"/>
        </w:rPr>
      </w:pPr>
    </w:p>
    <w:p>
      <w:pPr>
        <w:ind w:left="220" w:right="140"/>
        <w:spacing w:after="0" w:line="289" w:lineRule="auto"/>
        <w:rPr>
          <w:sz w:val="20"/>
          <w:szCs w:val="20"/>
          <w:color w:val="auto"/>
        </w:rPr>
      </w:pPr>
      <w:r>
        <w:rPr>
          <w:rFonts w:ascii="Arial" w:cs="Arial" w:eastAsia="Arial" w:hAnsi="Arial"/>
          <w:sz w:val="17"/>
          <w:szCs w:val="17"/>
          <w:color w:val="auto"/>
        </w:rPr>
        <w:t>$5.7 million (unaudited) of cash in operations. The Company has not achieved positive cash flow from operations to date. The Company held cash and cash equivalents of $22.4 million and $16.2 million (unaudited) as of December 31, 2017 and June 30, 2018, respectively.</w:t>
      </w:r>
    </w:p>
    <w:p>
      <w:pPr>
        <w:spacing w:after="0" w:line="162" w:lineRule="exact"/>
        <w:rPr>
          <w:sz w:val="20"/>
          <w:szCs w:val="20"/>
          <w:color w:val="auto"/>
        </w:rPr>
      </w:pPr>
    </w:p>
    <w:p>
      <w:pPr>
        <w:ind w:left="220" w:right="160" w:firstLine="440"/>
        <w:spacing w:after="0" w:line="273" w:lineRule="auto"/>
        <w:rPr>
          <w:sz w:val="20"/>
          <w:szCs w:val="20"/>
          <w:color w:val="auto"/>
        </w:rPr>
      </w:pPr>
      <w:r>
        <w:rPr>
          <w:rFonts w:ascii="Arial" w:cs="Arial" w:eastAsia="Arial" w:hAnsi="Arial"/>
          <w:sz w:val="17"/>
          <w:szCs w:val="17"/>
          <w:color w:val="auto"/>
        </w:rPr>
        <w:t>The Company’s primary cash needs are for the ongoing commercialization of its iFuse products. The Company also has certain debt covenants associated with its current debt agreement. These covenants include a $5.0 million minimum cash balance and revenue targets, which if not met would result in the debt becoming immediately due. The revenue target is assessed quarterly based on the rolling twelve months of revenue, and increases by approximately 2%-4% each quarter. Beginning with the three months ended March 31, 2019, the Company is required to meet either revenue or earnings targets. The Company has met the minimum liquidity and revenue targets as of June 30, 2018, however there can be no assurances that the Company will continue to meet these targets in the future.</w:t>
      </w:r>
    </w:p>
    <w:p>
      <w:pPr>
        <w:spacing w:after="0" w:line="177"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Management has the responsibility to evaluate whether conditions and/or events raise substantial doubt about the Company’s ability to continue as a going concern within one year after the date that the financial statements are issued. In performing this assessment, management considered the risk associated with its ongoing ability to meet the financial covenants. The Company continues to face challenges and uncertainties and, as a result, its available capital resources may be consumed more rapidly than currently expected due to (a) decreases in sales of products and the uncertainty of future revenues from new products; (b) changes made to the business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40"/>
        <w:spacing w:after="0" w:line="279" w:lineRule="auto"/>
        <w:rPr>
          <w:sz w:val="20"/>
          <w:szCs w:val="20"/>
          <w:color w:val="auto"/>
        </w:rPr>
      </w:pPr>
      <w:r>
        <w:rPr>
          <w:rFonts w:ascii="Arial" w:cs="Arial" w:eastAsia="Arial" w:hAnsi="Arial"/>
          <w:sz w:val="17"/>
          <w:szCs w:val="17"/>
          <w:color w:val="auto"/>
        </w:rPr>
        <w:t>that affect ongoing operating expenses; (c) changes made in its business strategy; (d) regulatory developments affecting existing products; (e) changes made in research and development spending plans; and (f) other items affecting forecasted levels of expenditures and use of cash resources. Considering all of these factors, primarily the risk of non-compliance with debt covenants, Management has determined there is substantial doubt about the Company’s ability to continue as a going concern within one year from the financial statement issuance date.</w:t>
      </w:r>
    </w:p>
    <w:p>
      <w:pPr>
        <w:spacing w:after="0" w:line="170" w:lineRule="exact"/>
        <w:rPr>
          <w:sz w:val="20"/>
          <w:szCs w:val="20"/>
          <w:color w:val="auto"/>
        </w:rPr>
      </w:pPr>
    </w:p>
    <w:p>
      <w:pPr>
        <w:ind w:left="220" w:right="20" w:firstLine="440"/>
        <w:spacing w:after="0" w:line="288" w:lineRule="auto"/>
        <w:rPr>
          <w:sz w:val="20"/>
          <w:szCs w:val="20"/>
          <w:color w:val="auto"/>
        </w:rPr>
      </w:pPr>
      <w:r>
        <w:rPr>
          <w:rFonts w:ascii="Arial" w:cs="Arial" w:eastAsia="Arial" w:hAnsi="Arial"/>
          <w:sz w:val="16"/>
          <w:szCs w:val="16"/>
          <w:color w:val="auto"/>
        </w:rPr>
        <w:t>The Company is seeking to complete an IPO of its common stock. In the event the Company does not complete an IPO, the Company expects to seek additional funding through private equity financings, debt financings, or other capital sources. The Company may not be able to obtain funding on acceptable terms, or at all. If the Company does raise additional capital through public or private equity offerings, the ownership interest of its existing stockholders will be diluted, and the terms of these securities may include liquidation or other preferences that adversely affect its stockholders’ rights. If the Company is unable to obtain adequate financing when needed, it may have to delay, reduce the scope of or suspend one or more of its sales and marketing efforts, research and development activities, or other operations. If the Company raises additional capital through debt financing, it may be subject to covenants limiting or restricting its ability to take specific actions, such as incurring additional debt, making capital expenditures, or declaring dividends. If the Company is unable to raise capital, it will need to delay, reduce, or terminate planned activities to reduce costs. Doing so will likely harm the Company’s ability to execute its business plans. Although management continues to pursue these plans, there is no assurance that the Company will be successful in obtaining sufficient funding on terms acceptable to the Company to fund operations.</w:t>
      </w:r>
    </w:p>
    <w:p>
      <w:pPr>
        <w:spacing w:after="0" w:line="166" w:lineRule="exact"/>
        <w:rPr>
          <w:sz w:val="20"/>
          <w:szCs w:val="20"/>
          <w:color w:val="auto"/>
        </w:rPr>
      </w:pPr>
    </w:p>
    <w:p>
      <w:pPr>
        <w:ind w:left="220" w:right="600" w:firstLine="440"/>
        <w:spacing w:after="0" w:line="31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and therefore, the consolidated financial statements do not include any adjustments to reflect the possible future effects on the recoverability and classification of assets or the amount and classifications of liabilities that may result from the outcome of this uncertainty.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In October 2018, our board of directors and stockholders approved a 1-for-18 reverse stock split of our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options, and warrants included in the accompanying consolidated financial statements have been adjusted to reflect this reverse stock split for all periods presented.</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redeemable convertible preferred stock warrants has been marked to fair value such that the carrying amount represents its estimated fair value.</w:t>
      </w:r>
    </w:p>
    <w:p>
      <w:pPr>
        <w:spacing w:after="0" w:line="191"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firstLine="440"/>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220" w:right="400" w:firstLine="440"/>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70" w:lineRule="exact"/>
        <w:rPr>
          <w:sz w:val="20"/>
          <w:szCs w:val="20"/>
          <w:color w:val="auto"/>
        </w:rPr>
      </w:pPr>
    </w:p>
    <w:p>
      <w:pPr>
        <w:ind w:left="220" w:right="140" w:firstLine="440"/>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3" w:lineRule="exact"/>
        <w:rPr>
          <w:sz w:val="20"/>
          <w:szCs w:val="20"/>
          <w:color w:val="auto"/>
        </w:rPr>
      </w:pPr>
    </w:p>
    <w:p>
      <w:pPr>
        <w:ind w:left="220" w:right="80" w:firstLine="440"/>
        <w:spacing w:after="0" w:line="256" w:lineRule="auto"/>
        <w:rPr>
          <w:sz w:val="20"/>
          <w:szCs w:val="20"/>
          <w:color w:val="auto"/>
        </w:rPr>
      </w:pPr>
      <w:r>
        <w:rPr>
          <w:rFonts w:ascii="Arial" w:cs="Arial" w:eastAsia="Arial" w:hAnsi="Arial"/>
          <w:sz w:val="18"/>
          <w:szCs w:val="18"/>
          <w:color w:val="auto"/>
        </w:rPr>
        <w:t>The Company did not have any cash equivalents as of December 31, 2016. The Company’s cash equivalents consist of money market funds as of December 31, 2017 and June 30, 2018 (unaudited). The money market funds are classified as Level 1 of the fair value hierarchy. The Company’s redeemable convertible preferred stock warrants are classified within Level 3 of the fair value hierarchy. The redeemable convertible preferred stock warrants have been valued using a Black-Scholes valuation model and are subsequently marked to fair value each reporting period. The related input assumptions are discussed in Note 9.</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right="680" w:firstLine="440"/>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220" w:right="80" w:firstLine="440"/>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2016 and 2017 and June 30, 2018 (unaudited), inventory consisted entirely of finished goods.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47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7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72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1" w:lineRule="exact"/>
        <w:rPr>
          <w:sz w:val="20"/>
          <w:szCs w:val="20"/>
          <w:color w:val="auto"/>
        </w:rPr>
      </w:pPr>
    </w:p>
    <w:p>
      <w:pPr>
        <w:jc w:val="both"/>
        <w:ind w:left="220" w:right="220" w:firstLine="440"/>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consist of intellectual property related to the sacroiliac-joint developed technologies acquired by the Company in March 2008.</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are amortized over the period of estimated benefit using the straight-line method and estimated useful lives of approximately 15 years.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residual value is estimated for intangible assets.</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20" w:firstLine="440"/>
        <w:spacing w:after="0" w:line="27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2017 and June 30, 2018 (unaudited), the Company has not experienced impairment losses on its long-lived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17"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$1.5 million, $0, and $0 (unaudited) of offering costs capitalized as of December 31, 2016 and 2017 and June 30, 2018, respectively, in other non-current assets on the consolidated balance sheets. The $1.5 million of offering costs incurred in 2015 were expensed to General and Administrative expenses in 2016 when IPO plans were delayed. Offering costs of $1.3 million were also incurred and expensed in 2017 as a result of further delays in the IPO process.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20" w:right="540" w:firstLine="440"/>
        <w:spacing w:after="0" w:line="311" w:lineRule="auto"/>
        <w:rPr>
          <w:sz w:val="20"/>
          <w:szCs w:val="20"/>
          <w:color w:val="auto"/>
        </w:rPr>
      </w:pPr>
      <w:r>
        <w:rPr>
          <w:rFonts w:ascii="Arial" w:cs="Arial" w:eastAsia="Arial" w:hAnsi="Arial"/>
          <w:sz w:val="16"/>
          <w:szCs w:val="16"/>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140"/>
        <w:spacing w:after="0" w:line="263" w:lineRule="auto"/>
        <w:rPr>
          <w:sz w:val="20"/>
          <w:szCs w:val="20"/>
          <w:color w:val="auto"/>
        </w:rPr>
      </w:pPr>
      <w:r>
        <w:rPr>
          <w:rFonts w:ascii="Arial" w:cs="Arial" w:eastAsia="Arial" w:hAnsi="Arial"/>
          <w:sz w:val="18"/>
          <w:szCs w:val="18"/>
          <w:color w:val="auto"/>
        </w:rPr>
        <w:t>consolidated balance sheet. The Company determined that the warrants for shares of common stock issued in connection with the debt arrangement are required to be classified in equity. Warrants classified as equity are recorded as additional paid-in capital on the consolidated balance sheet and no further adjustments to their valuation are made.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220" w:firstLine="440"/>
        <w:spacing w:after="0" w:line="284" w:lineRule="auto"/>
        <w:rPr>
          <w:sz w:val="20"/>
          <w:szCs w:val="20"/>
          <w:color w:val="auto"/>
        </w:rPr>
      </w:pPr>
      <w:r>
        <w:rPr>
          <w:rFonts w:ascii="Arial" w:cs="Arial" w:eastAsia="Arial" w:hAnsi="Arial"/>
          <w:sz w:val="16"/>
          <w:szCs w:val="16"/>
          <w:color w:val="auto"/>
        </w:rPr>
        <w:t>Warrants and other similar instruments related to shares that are contingently redeemable are classified as liabilities on the consolidated balance sheet at their estimated fair value because the shares underlying the warrants may obligate the Company to transfer assets to the holders at a future date under certain circumstances such as a deemed liquidation event. The warrants are exercisable into the Company’s redeemable convertible preferred stock and are classified as liabilities on the consolidated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 (i) exercise of the warrants, (ii) conversion into equity classified warrants to purchase common stock, or</w:t>
      </w:r>
    </w:p>
    <w:p>
      <w:pPr>
        <w:spacing w:after="0" w:line="3" w:lineRule="exact"/>
        <w:rPr>
          <w:sz w:val="20"/>
          <w:szCs w:val="20"/>
          <w:color w:val="auto"/>
        </w:rPr>
      </w:pPr>
    </w:p>
    <w:p>
      <w:pPr>
        <w:ind w:left="220" w:right="20" w:hanging="10"/>
        <w:spacing w:after="0" w:line="289" w:lineRule="auto"/>
        <w:tabs>
          <w:tab w:leader="none" w:pos="53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expiration of the warrants. The remaining value of the redeemable convertible preferred stock warrants will be reclassified to common stock with no further remeasurement required upon exercise of the warrants or conversion into equity classified warrants to purchase common stock.</w:t>
      </w:r>
    </w:p>
    <w:p>
      <w:pPr>
        <w:spacing w:after="0" w:line="162"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20" w:right="440" w:firstLine="440"/>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left="220" w:right="20" w:firstLine="440"/>
        <w:spacing w:after="0" w:line="289" w:lineRule="auto"/>
        <w:rPr>
          <w:sz w:val="20"/>
          <w:szCs w:val="20"/>
          <w:color w:val="auto"/>
        </w:rPr>
      </w:pPr>
      <w:r>
        <w:rPr>
          <w:rFonts w:ascii="Arial" w:cs="Arial" w:eastAsia="Arial" w:hAnsi="Arial"/>
          <w:sz w:val="16"/>
          <w:szCs w:val="16"/>
          <w:color w:val="auto"/>
        </w:rPr>
        <w:t>In accordance with ASC Topic 605, Revenue Recognition (“ASC 605”), 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the Company recognizes revenue based upon shipping or delivery terms, which represents the point in time when the customer has taken ownership and assumed risk of loss and the required revenue recognition criteria are met. Such customers are obligated to pay within specified terms regardless of when or if they ever sell or use the products, and the Company has no post-delivery obligations.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Warranty Program</w:t>
      </w:r>
    </w:p>
    <w:p>
      <w:pPr>
        <w:spacing w:after="0" w:line="117" w:lineRule="exact"/>
        <w:rPr>
          <w:sz w:val="20"/>
          <w:szCs w:val="20"/>
          <w:color w:val="auto"/>
        </w:rPr>
      </w:pPr>
    </w:p>
    <w:p>
      <w:pPr>
        <w:ind w:left="220" w:right="40" w:firstLine="440"/>
        <w:spacing w:after="0" w:line="256" w:lineRule="auto"/>
        <w:rPr>
          <w:sz w:val="20"/>
          <w:szCs w:val="20"/>
          <w:color w:val="auto"/>
        </w:rPr>
      </w:pPr>
      <w:r>
        <w:rPr>
          <w:rFonts w:ascii="Arial" w:cs="Arial" w:eastAsia="Arial" w:hAnsi="Arial"/>
          <w:sz w:val="18"/>
          <w:szCs w:val="18"/>
          <w:color w:val="auto"/>
        </w:rPr>
        <w:t>In January 2017, the Company implemented a warranty program which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These one-time credits are accounted for as sales reserves. Sales and warranty reserves from the warranty program were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$0, $0.1 million and $0.2 million (unaudited) as of December 31, 2016, December 31, 2017, and June 30, 2018, respectively.</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left="220" w:right="60" w:firstLine="440"/>
        <w:spacing w:after="0" w:line="301" w:lineRule="auto"/>
        <w:rPr>
          <w:sz w:val="20"/>
          <w:szCs w:val="20"/>
          <w:color w:val="auto"/>
        </w:rPr>
      </w:pPr>
      <w:r>
        <w:rPr>
          <w:rFonts w:ascii="Arial" w:cs="Arial" w:eastAsia="Arial" w:hAnsi="Arial"/>
          <w:sz w:val="16"/>
          <w:szCs w:val="16"/>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tax on medical devices through 2017. In January 2018, the suspension on the tax on medical devices was further extended through 2019.</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20" w:right="200" w:firstLine="440"/>
        <w:spacing w:after="0" w:line="311"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left="220" w:right="280" w:firstLine="440"/>
        <w:spacing w:after="0" w:line="341" w:lineRule="auto"/>
        <w:rPr>
          <w:sz w:val="20"/>
          <w:szCs w:val="20"/>
          <w:color w:val="auto"/>
        </w:rPr>
      </w:pPr>
      <w:r>
        <w:rPr>
          <w:rFonts w:ascii="Arial" w:cs="Arial" w:eastAsia="Arial" w:hAnsi="Arial"/>
          <w:sz w:val="16"/>
          <w:szCs w:val="16"/>
          <w:color w:val="auto"/>
        </w:rPr>
        <w:t>The cost of advertising is expensed as incurred. Advertising costs totaled $1.0 million and $0.8 million for the years ended December 31, 2016 and 2017, respectively, and $0.4 million (unaudited) and $0.3 million (unaudited) for the six months ended June 30, 2017 and 2018, respectively.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20" w:right="60" w:firstLine="440"/>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1" w:lineRule="exact"/>
        <w:rPr>
          <w:sz w:val="20"/>
          <w:szCs w:val="20"/>
          <w:color w:val="auto"/>
        </w:rPr>
      </w:pPr>
    </w:p>
    <w:p>
      <w:pPr>
        <w:ind w:left="220" w:firstLine="440"/>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8" w:lineRule="exact"/>
        <w:rPr>
          <w:sz w:val="20"/>
          <w:szCs w:val="20"/>
          <w:color w:val="auto"/>
        </w:rPr>
      </w:pPr>
    </w:p>
    <w:p>
      <w:pPr>
        <w:ind w:left="220" w:right="20" w:firstLine="440"/>
        <w:spacing w:after="0" w:line="307" w:lineRule="auto"/>
        <w:rPr>
          <w:sz w:val="20"/>
          <w:szCs w:val="20"/>
          <w:color w:val="auto"/>
        </w:rPr>
      </w:pPr>
      <w:r>
        <w:rPr>
          <w:rFonts w:ascii="Arial" w:cs="Arial" w:eastAsia="Arial" w:hAnsi="Arial"/>
          <w:sz w:val="17"/>
          <w:szCs w:val="17"/>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20" w:right="100" w:firstLine="44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6" w:lineRule="exact"/>
        <w:rPr>
          <w:sz w:val="20"/>
          <w:szCs w:val="20"/>
          <w:color w:val="auto"/>
        </w:rPr>
      </w:pPr>
    </w:p>
    <w:p>
      <w:pPr>
        <w:ind w:left="220" w:right="100" w:firstLine="440"/>
        <w:spacing w:after="0" w:line="275"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91" w:lineRule="exact"/>
        <w:rPr>
          <w:sz w:val="20"/>
          <w:szCs w:val="20"/>
          <w:color w:val="auto"/>
        </w:rPr>
      </w:pPr>
    </w:p>
    <w:p>
      <w:pPr>
        <w:ind w:left="220" w:right="100" w:firstLine="440"/>
        <w:spacing w:after="0" w:line="293"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220" w:firstLine="440"/>
        <w:spacing w:after="0" w:line="311" w:lineRule="auto"/>
        <w:rPr>
          <w:sz w:val="20"/>
          <w:szCs w:val="20"/>
          <w:color w:val="auto"/>
        </w:rPr>
      </w:pPr>
      <w:r>
        <w:rPr>
          <w:rFonts w:ascii="Arial" w:cs="Arial" w:eastAsia="Arial" w:hAnsi="Arial"/>
          <w:sz w:val="16"/>
          <w:szCs w:val="16"/>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20" w:right="240" w:firstLine="440"/>
        <w:spacing w:after="0" w:line="311"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20"/>
        <w:spacing w:after="0" w:line="269" w:lineRule="auto"/>
        <w:rPr>
          <w:sz w:val="20"/>
          <w:szCs w:val="20"/>
          <w:color w:val="auto"/>
        </w:rPr>
      </w:pPr>
      <w:r>
        <w:rPr>
          <w:rFonts w:ascii="Arial" w:cs="Arial" w:eastAsia="Arial" w:hAnsi="Arial"/>
          <w:sz w:val="17"/>
          <w:szCs w:val="17"/>
          <w:color w:val="auto"/>
        </w:rPr>
        <w:t>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as ASU 2014-09. Management is undergoing its assessment of the new standard, which includes the review of contracts and revenue channels, and will adopt the standard for the fiscal year ending December 31, 2019.</w:t>
      </w:r>
    </w:p>
    <w:p>
      <w:pPr>
        <w:spacing w:after="0" w:line="180" w:lineRule="exact"/>
        <w:rPr>
          <w:sz w:val="20"/>
          <w:szCs w:val="20"/>
          <w:color w:val="auto"/>
        </w:rPr>
      </w:pPr>
    </w:p>
    <w:p>
      <w:pPr>
        <w:ind w:left="220" w:right="240" w:firstLine="440"/>
        <w:spacing w:after="0" w:line="272"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The Company has adopted this standard for the fiscal year ended December 31, 2017, which did not have a material impact on the Company’s consolidated financial statements.</w:t>
      </w:r>
    </w:p>
    <w:p>
      <w:pPr>
        <w:spacing w:after="0" w:line="176" w:lineRule="exact"/>
        <w:rPr>
          <w:sz w:val="20"/>
          <w:szCs w:val="20"/>
          <w:color w:val="auto"/>
        </w:rPr>
      </w:pPr>
    </w:p>
    <w:p>
      <w:pPr>
        <w:ind w:left="220" w:right="80" w:firstLine="440"/>
        <w:spacing w:after="0" w:line="293" w:lineRule="auto"/>
        <w:rPr>
          <w:sz w:val="20"/>
          <w:szCs w:val="20"/>
          <w:color w:val="auto"/>
        </w:rPr>
      </w:pPr>
      <w:r>
        <w:rPr>
          <w:rFonts w:ascii="Arial" w:cs="Arial" w:eastAsia="Arial" w:hAnsi="Arial"/>
          <w:sz w:val="16"/>
          <w:szCs w:val="16"/>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The Company has early adopted this standard for the fiscal year ended December 31, 2017, which did not have a material impact on the Company’s consolidated financial statements.</w:t>
      </w:r>
    </w:p>
    <w:p>
      <w:pPr>
        <w:spacing w:after="0" w:line="163"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firstLine="440"/>
        <w:spacing w:after="0" w:line="291" w:lineRule="auto"/>
        <w:rPr>
          <w:sz w:val="20"/>
          <w:szCs w:val="20"/>
          <w:color w:val="auto"/>
        </w:rPr>
      </w:pPr>
      <w:r>
        <w:rPr>
          <w:rFonts w:ascii="Arial" w:cs="Arial" w:eastAsia="Arial" w:hAnsi="Arial"/>
          <w:sz w:val="16"/>
          <w:szCs w:val="16"/>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The Company early adopted this standard in the first quarter of 2017 by recording the cumulative impact of applying this guidance to retained earnings, which was not material. The Company elected to continue to estimate the number of awards that are expected to vest.</w:t>
      </w:r>
    </w:p>
    <w:p>
      <w:pPr>
        <w:spacing w:after="0" w:line="165" w:lineRule="exact"/>
        <w:rPr>
          <w:sz w:val="20"/>
          <w:szCs w:val="20"/>
          <w:color w:val="auto"/>
        </w:rPr>
      </w:pPr>
    </w:p>
    <w:p>
      <w:pPr>
        <w:ind w:left="220" w:firstLine="440"/>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is currently evaluating the impact of adopting ASU 2016-15 on its consolidated financial statements, and anticipates adopting the standard for the fiscal year ending December 31, 2019.</w:t>
      </w:r>
    </w:p>
    <w:p>
      <w:pPr>
        <w:spacing w:after="0" w:line="180" w:lineRule="exact"/>
        <w:rPr>
          <w:sz w:val="20"/>
          <w:szCs w:val="20"/>
          <w:color w:val="auto"/>
        </w:rPr>
      </w:pPr>
    </w:p>
    <w:p>
      <w:pPr>
        <w:ind w:left="220" w:right="80" w:firstLine="440"/>
        <w:spacing w:after="0" w:line="273"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The Company has adopted this standard for the fiscal year ending December 31, 2018, which did not have a material impact on the Company’s consolidated financial statements.</w:t>
      </w:r>
    </w:p>
    <w:p>
      <w:pPr>
        <w:spacing w:after="0" w:line="177" w:lineRule="exact"/>
        <w:rPr>
          <w:sz w:val="20"/>
          <w:szCs w:val="20"/>
          <w:color w:val="auto"/>
        </w:rPr>
      </w:pPr>
    </w:p>
    <w:p>
      <w:pPr>
        <w:ind w:left="220" w:right="20" w:firstLine="440"/>
        <w:spacing w:after="0" w:line="269" w:lineRule="auto"/>
        <w:rPr>
          <w:sz w:val="20"/>
          <w:szCs w:val="20"/>
          <w:color w:val="auto"/>
        </w:rPr>
      </w:pPr>
      <w:r>
        <w:rPr>
          <w:rFonts w:ascii="Arial" w:cs="Arial" w:eastAsia="Arial" w:hAnsi="Arial"/>
          <w:sz w:val="17"/>
          <w:szCs w:val="17"/>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480"/>
        <w:spacing w:after="0" w:line="277" w:lineRule="auto"/>
        <w:rPr>
          <w:sz w:val="20"/>
          <w:szCs w:val="20"/>
          <w:color w:val="auto"/>
        </w:rPr>
      </w:pPr>
      <w:r>
        <w:rPr>
          <w:rFonts w:ascii="Arial" w:cs="Arial" w:eastAsia="Arial" w:hAnsi="Arial"/>
          <w:sz w:val="18"/>
          <w:szCs w:val="18"/>
          <w:color w:val="auto"/>
        </w:rPr>
        <w:t>impact that the adoption of this standard will have on its consolidated financial statements, and anticipates adopting the standard for the fiscal year ending December 31, 2020.</w:t>
      </w:r>
    </w:p>
    <w:p>
      <w:pPr>
        <w:spacing w:after="0" w:line="170" w:lineRule="exact"/>
        <w:rPr>
          <w:sz w:val="20"/>
          <w:szCs w:val="20"/>
          <w:color w:val="auto"/>
        </w:rPr>
      </w:pPr>
    </w:p>
    <w:p>
      <w:pPr>
        <w:ind w:left="220" w:right="120" w:firstLine="440"/>
        <w:spacing w:after="0" w:line="296"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is currently evaluating the impact that the adoption of this standard will have on its consolidated financial statements, and anticipates adopting the standard for the fiscal year ending December 31, 2019.</w:t>
      </w:r>
    </w:p>
    <w:p>
      <w:pPr>
        <w:spacing w:after="0" w:line="160" w:lineRule="exact"/>
        <w:rPr>
          <w:sz w:val="20"/>
          <w:szCs w:val="20"/>
          <w:color w:val="auto"/>
        </w:rPr>
      </w:pPr>
    </w:p>
    <w:p>
      <w:pPr>
        <w:ind w:left="220" w:right="100" w:firstLine="440"/>
        <w:spacing w:after="0" w:line="271" w:lineRule="auto"/>
        <w:rPr>
          <w:sz w:val="20"/>
          <w:szCs w:val="20"/>
          <w:color w:val="auto"/>
        </w:rPr>
      </w:pPr>
      <w:r>
        <w:rPr>
          <w:rFonts w:ascii="Arial" w:cs="Arial" w:eastAsia="Arial" w:hAnsi="Arial"/>
          <w:sz w:val="17"/>
          <w:szCs w:val="17"/>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 606. The Company is evaluating the impact that the adoption of this standard will have on the consolidated financial statements, and anticipates adopting the standard for the fiscal year ending December 31, 2020.</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$ 588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22,115</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$ 422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15,773</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$ 646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5" w:lineRule="exact"/>
        <w:rPr>
          <w:sz w:val="20"/>
          <w:szCs w:val="20"/>
          <w:color w:val="auto"/>
        </w:rPr>
      </w:pPr>
    </w:p>
    <w:p>
      <w:pPr>
        <w:ind w:left="5540" w:right="5340" w:hanging="5330"/>
        <w:spacing w:after="0" w:line="535" w:lineRule="auto"/>
        <w:tabs>
          <w:tab w:leader="none" w:pos="6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Included in cash and cash equivalents on the consolidated balance sheet F-18</w:t>
      </w:r>
    </w:p>
    <w:p>
      <w:pPr>
        <w:sectPr>
          <w:pgSz w:w="11900" w:h="16838" w:orient="portrait"/>
          <w:cols w:equalWidth="0" w:num="1">
            <w:col w:w="11220"/>
          </w:cols>
          <w:pgMar w:left="24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warrants, the Company’s Level 3 financial liability, which is measured on a recurring basis (in thousands):</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$ 957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Fair value of redeemable convertible preferred stock warrants issued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Balances at December 31, 2016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Balances at December 31, 2017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 (unaudited)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0" w:type="dxa"/>
            <w:vAlign w:val="bottom"/>
          </w:tcPr>
          <w:p>
            <w:pPr>
              <w:ind w:left="440"/>
              <w:spacing w:after="0"/>
              <w:rPr>
                <w:sz w:val="20"/>
                <w:szCs w:val="20"/>
                <w:color w:val="auto"/>
              </w:rPr>
            </w:pPr>
            <w:r>
              <w:rPr>
                <w:rFonts w:ascii="Arial" w:cs="Arial" w:eastAsia="Arial" w:hAnsi="Arial"/>
                <w:sz w:val="18"/>
                <w:szCs w:val="18"/>
                <w:color w:val="auto"/>
              </w:rPr>
              <w:t>Property and Equipment, net (in thousands):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0" w:type="dxa"/>
            <w:vAlign w:val="bottom"/>
          </w:tcPr>
          <w:p>
            <w:pPr>
              <w:spacing w:after="0"/>
              <w:rPr>
                <w:sz w:val="24"/>
                <w:szCs w:val="24"/>
                <w:color w:val="auto"/>
              </w:rPr>
            </w:pPr>
          </w:p>
        </w:tc>
        <w:tc>
          <w:tcPr>
            <w:tcW w:w="19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$ 2,942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(2,037)</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$ 2,608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$ 1,896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260" w:firstLine="440"/>
        <w:spacing w:after="0" w:line="277" w:lineRule="auto"/>
        <w:rPr>
          <w:sz w:val="20"/>
          <w:szCs w:val="20"/>
          <w:color w:val="auto"/>
        </w:rPr>
      </w:pPr>
      <w:r>
        <w:rPr>
          <w:rFonts w:ascii="Arial" w:cs="Arial" w:eastAsia="Arial" w:hAnsi="Arial"/>
          <w:sz w:val="18"/>
          <w:szCs w:val="18"/>
          <w:color w:val="auto"/>
        </w:rPr>
        <w:t>Depreciation expense for the years ended December 31, 2016 and 2017 and for the six months ended June 30, 2017 and 2018 was $1.0 million, $1.0 million, $0.6 million (unaudited), and $0.3 million (unaudited),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and Other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Sales tax payable</w:t>
            </w:r>
          </w:p>
        </w:tc>
        <w:tc>
          <w:tcPr>
            <w:tcW w:w="4440" w:type="dxa"/>
            <w:vAlign w:val="bottom"/>
            <w:gridSpan w:val="3"/>
          </w:tcPr>
          <w:p>
            <w:pPr>
              <w:jc w:val="right"/>
              <w:ind w:right="220"/>
              <w:spacing w:after="0"/>
              <w:rPr>
                <w:sz w:val="20"/>
                <w:szCs w:val="20"/>
                <w:color w:val="auto"/>
              </w:rPr>
            </w:pPr>
            <w:r>
              <w:rPr>
                <w:rFonts w:ascii="Arial" w:cs="Arial" w:eastAsia="Arial" w:hAnsi="Arial"/>
                <w:sz w:val="18"/>
                <w:szCs w:val="18"/>
                <w:color w:val="auto"/>
              </w:rPr>
              <w:t>448</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Liability for early exercise of unvested stock options</w:t>
            </w:r>
          </w:p>
        </w:tc>
        <w:tc>
          <w:tcPr>
            <w:tcW w:w="4440" w:type="dxa"/>
            <w:vAlign w:val="bottom"/>
            <w:gridSpan w:val="3"/>
          </w:tcPr>
          <w:p>
            <w:pPr>
              <w:jc w:val="right"/>
              <w:ind w:right="220"/>
              <w:spacing w:after="0"/>
              <w:rPr>
                <w:sz w:val="20"/>
                <w:szCs w:val="20"/>
                <w:color w:val="auto"/>
              </w:rPr>
            </w:pPr>
            <w:r>
              <w:rPr>
                <w:rFonts w:ascii="Arial" w:cs="Arial" w:eastAsia="Arial" w:hAnsi="Arial"/>
                <w:sz w:val="18"/>
                <w:szCs w:val="18"/>
                <w:color w:val="auto"/>
              </w:rPr>
              <w:t>168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Sales and warranty reserves</w:t>
            </w:r>
          </w:p>
        </w:tc>
        <w:tc>
          <w:tcPr>
            <w:tcW w:w="444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23"/>
        </w:trPr>
        <w:tc>
          <w:tcPr>
            <w:tcW w:w="45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6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4440" w:type="dxa"/>
            <w:vAlign w:val="bottom"/>
            <w:gridSpan w:val="3"/>
          </w:tcPr>
          <w:p>
            <w:pPr>
              <w:ind w:left="760"/>
              <w:spacing w:after="0"/>
              <w:rPr>
                <w:sz w:val="20"/>
                <w:szCs w:val="20"/>
                <w:color w:val="auto"/>
              </w:rPr>
            </w:pPr>
            <w:r>
              <w:rPr>
                <w:rFonts w:ascii="Arial" w:cs="Arial" w:eastAsia="Arial" w:hAnsi="Arial"/>
                <w:sz w:val="18"/>
                <w:szCs w:val="18"/>
                <w:color w:val="auto"/>
              </w:rPr>
              <w:t>F-19</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20" w:right="100" w:firstLine="440"/>
        <w:spacing w:after="0" w:line="293" w:lineRule="auto"/>
        <w:rPr>
          <w:sz w:val="20"/>
          <w:szCs w:val="20"/>
          <w:color w:val="auto"/>
        </w:rPr>
      </w:pPr>
      <w:r>
        <w:rPr>
          <w:rFonts w:ascii="Arial" w:cs="Arial" w:eastAsia="Arial" w:hAnsi="Arial"/>
          <w:sz w:val="16"/>
          <w:szCs w:val="16"/>
          <w:color w:val="auto"/>
        </w:rPr>
        <w:t>In August 2012, the Company entered into a new four-year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Effective May 2018, the Company entered into an early termination agreement on an operating lease for its San Jose office. No early termination fees were incurred and all previously agreed-to rent payments were released, with no further obligations. In February 2018, the Company entered into a new seven-year non-cancelable operating lease for an office building space in Santa Clara, California which commenced in April 2018.</w:t>
      </w:r>
    </w:p>
    <w:p>
      <w:pPr>
        <w:spacing w:after="0" w:line="163"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In March 2011, the Company entered into a six-year non-cancelable operating lease for its office building space in Milan, Italy. In February 2017, the terms of the lease were extended for another six years under the same agreement. In September 2015, the Company entered into a six-year non-cancelable operating lease for additional floor space in its office building in Milan, Italy.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2014, the Company entered into a five-year non-cancelable operating lease for its office building space in Mannheim, Germany.</w:t>
      </w:r>
    </w:p>
    <w:p>
      <w:pPr>
        <w:spacing w:after="0" w:line="248"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In December 2015, the Company entered into a three-year non-cancelable operating lease for its office building space in Knaresborough, United Kingdom.</w:t>
      </w:r>
    </w:p>
    <w:p>
      <w:pPr>
        <w:spacing w:after="0" w:line="170"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2021.</w:t>
      </w:r>
    </w:p>
    <w:p>
      <w:pPr>
        <w:spacing w:after="0" w:line="170"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$1.0 million for each of the years ended December 31, 2016 and 2017 and $0.5 million (unaudited) and $0.6 million (unaudited) for the six-month periods ended June 30, 2017 and 2018,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future minimum lease payments under all leases as of December 31, 2017 are as follows (in thousands):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6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2017</w:t>
            </w:r>
          </w:p>
        </w:tc>
        <w:tc>
          <w:tcPr>
            <w:tcW w:w="7320" w:type="dxa"/>
            <w:vAlign w:val="bottom"/>
            <w:gridSpan w:val="3"/>
          </w:tcPr>
          <w:p>
            <w:pPr>
              <w:jc w:val="right"/>
              <w:ind w:right="60"/>
              <w:spacing w:after="0"/>
              <w:rPr>
                <w:sz w:val="20"/>
                <w:szCs w:val="20"/>
                <w:color w:val="auto"/>
              </w:rPr>
            </w:pPr>
            <w:r>
              <w:rPr>
                <w:rFonts w:ascii="Arial" w:cs="Arial" w:eastAsia="Arial" w:hAnsi="Arial"/>
                <w:sz w:val="18"/>
                <w:szCs w:val="18"/>
                <w:color w:val="auto"/>
              </w:rPr>
              <w:t>$721</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2019</w:t>
            </w:r>
          </w:p>
        </w:tc>
        <w:tc>
          <w:tcPr>
            <w:tcW w:w="73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69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7"/>
        </w:trPr>
        <w:tc>
          <w:tcPr>
            <w:tcW w:w="36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8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w:t>
            </w:r>
          </w:p>
        </w:tc>
      </w:tr>
      <w:tr>
        <w:trPr>
          <w:trHeight w:val="20"/>
        </w:trPr>
        <w:tc>
          <w:tcPr>
            <w:tcW w:w="3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680" w:type="dxa"/>
            <w:vAlign w:val="bottom"/>
          </w:tcPr>
          <w:p>
            <w:pPr>
              <w:spacing w:after="0"/>
              <w:rPr>
                <w:sz w:val="24"/>
                <w:szCs w:val="24"/>
                <w:color w:val="auto"/>
              </w:rPr>
            </w:pPr>
          </w:p>
        </w:tc>
        <w:tc>
          <w:tcPr>
            <w:tcW w:w="7320" w:type="dxa"/>
            <w:vAlign w:val="bottom"/>
            <w:gridSpan w:val="3"/>
          </w:tcPr>
          <w:p>
            <w:pPr>
              <w:jc w:val="right"/>
              <w:ind w:right="534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1220"/>
          </w:cols>
          <w:pgMar w:left="240" w:top="459" w:right="43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93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0660" w:type="dxa"/>
            <w:vAlign w:val="bottom"/>
            <w:gridSpan w:val="4"/>
          </w:tcPr>
          <w:p>
            <w:pPr>
              <w:spacing w:after="0"/>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Index to Financial Statements</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8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9"/>
              </w:rPr>
              <w:t>SI-BONE,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80" w:type="dxa"/>
            <w:vAlign w:val="bottom"/>
          </w:tcPr>
          <w:p>
            <w:pPr>
              <w:jc w:val="center"/>
              <w:ind w:right="141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10440" w:type="dxa"/>
            <w:vAlign w:val="bottom"/>
            <w:gridSpan w:val="3"/>
          </w:tcPr>
          <w:p>
            <w:pPr>
              <w:ind w:left="440"/>
              <w:spacing w:after="0"/>
              <w:rPr>
                <w:sz w:val="20"/>
                <w:szCs w:val="20"/>
                <w:color w:val="auto"/>
              </w:rPr>
            </w:pPr>
            <w:r>
              <w:rPr>
                <w:rFonts w:ascii="Arial" w:cs="Arial" w:eastAsia="Arial" w:hAnsi="Arial"/>
                <w:sz w:val="18"/>
                <w:szCs w:val="18"/>
                <w:color w:val="auto"/>
                <w:w w:val="99"/>
              </w:rPr>
              <w:t>The aggregate future minimum lease payments under all leases as of June 30, 2018 (unaudited) are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0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40" w:type="dxa"/>
            <w:vAlign w:val="bottom"/>
            <w:gridSpan w:val="3"/>
          </w:tcPr>
          <w:p>
            <w:pPr>
              <w:spacing w:after="0"/>
              <w:rPr>
                <w:sz w:val="20"/>
                <w:szCs w:val="20"/>
                <w:color w:val="auto"/>
              </w:rPr>
            </w:pPr>
            <w:r>
              <w:rPr>
                <w:rFonts w:ascii="Arial" w:cs="Arial" w:eastAsia="Arial" w:hAnsi="Arial"/>
                <w:sz w:val="18"/>
                <w:szCs w:val="18"/>
                <w:color w:val="auto"/>
              </w:rPr>
              <w:t>2018 (six months remaining)</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2020</w:t>
            </w:r>
          </w:p>
        </w:tc>
        <w:tc>
          <w:tcPr>
            <w:tcW w:w="9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1,921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20" w:right="440" w:firstLine="440"/>
        <w:spacing w:after="0" w:line="341"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17"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totaled $0.1 million at December 31, 2017 and $0.3 million (unaudited) at June 30, 2018. The amounts paid under these arrangements may be less in the event that the arrangement is renegotiated or cancelled.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20" w:right="40" w:firstLine="440"/>
        <w:spacing w:after="0" w:line="341"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20" w:right="40" w:firstLine="440"/>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91" w:lineRule="exact"/>
        <w:rPr>
          <w:sz w:val="20"/>
          <w:szCs w:val="20"/>
          <w:color w:val="auto"/>
        </w:rPr>
      </w:pPr>
    </w:p>
    <w:p>
      <w:pPr>
        <w:ind w:left="220" w:right="80" w:firstLine="440"/>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3" w:lineRule="exact"/>
        <w:rPr>
          <w:sz w:val="20"/>
          <w:szCs w:val="20"/>
          <w:color w:val="auto"/>
        </w:rPr>
      </w:pPr>
    </w:p>
    <w:p>
      <w:pPr>
        <w:ind w:left="220" w:right="200" w:firstLine="440"/>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46"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220" w:right="360" w:firstLine="440"/>
        <w:spacing w:after="0" w:line="277" w:lineRule="auto"/>
        <w:rPr>
          <w:sz w:val="20"/>
          <w:szCs w:val="20"/>
          <w:color w:val="auto"/>
        </w:rPr>
      </w:pPr>
      <w:r>
        <w:rPr>
          <w:rFonts w:ascii="Arial" w:cs="Arial" w:eastAsia="Arial" w:hAnsi="Arial"/>
          <w:sz w:val="18"/>
          <w:szCs w:val="18"/>
          <w:color w:val="auto"/>
        </w:rPr>
        <w:t>The Company has the following outstanding debt, net of debt discounts, as of December 31, 2016 and 2017 and June 30, 2018 (unaudited) (in thousands):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21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808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80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29,310</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38,834</w:t>
            </w: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Total Borrowings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38,704</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Borrowings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8,236</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Long-Term Borrowings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21,074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38,704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left="220" w:right="40" w:firstLine="440"/>
        <w:spacing w:after="0" w:line="254" w:lineRule="auto"/>
        <w:rPr>
          <w:sz w:val="20"/>
          <w:szCs w:val="20"/>
          <w:color w:val="auto"/>
        </w:rPr>
      </w:pPr>
      <w:r>
        <w:rPr>
          <w:rFonts w:ascii="Arial" w:cs="Arial" w:eastAsia="Arial" w:hAnsi="Arial"/>
          <w:sz w:val="18"/>
          <w:szCs w:val="18"/>
          <w:color w:val="auto"/>
        </w:rPr>
        <w:t>In October 2015, the Company entered into a Term Loan facility and a revolving line of credit with Silicon Valley Bank, or SVB and Oxford Finance LLC, or Oxford for $35.2 million. The first tranche of the Term Loan closed in October 2015 for $16.2 million, of which $15.5 million (including $0.3 million of interest) of the proceeds were used to pay off the existing loans with SVB. The additional $0.7 million related to the payment of final fees due on previous loans. Prepayment fees on the then existing debt facilities were waived. The loan includes an interest-only period through March 31, 2017 and then to be repaid over thirty-three (33) months of equal principal payments plus interest. In November 2015, the Company drew the second tranche of $10.0 million, which was coterminous with the first tranche. Under the Term Loan, the Company also had available a third tranche of $4.0 million through September 30, 2016 and a fourth tranche of $5.0 million through December 31, 2016. Both tranches were contingent upon the achievement of certain goals.</w:t>
      </w:r>
    </w:p>
    <w:p>
      <w:pPr>
        <w:spacing w:after="0" w:line="190" w:lineRule="exact"/>
        <w:rPr>
          <w:sz w:val="20"/>
          <w:szCs w:val="20"/>
          <w:color w:val="auto"/>
        </w:rPr>
      </w:pPr>
    </w:p>
    <w:p>
      <w:pPr>
        <w:ind w:left="220" w:right="80" w:firstLine="440"/>
        <w:spacing w:after="0" w:line="255" w:lineRule="auto"/>
        <w:rPr>
          <w:sz w:val="20"/>
          <w:szCs w:val="20"/>
          <w:color w:val="auto"/>
        </w:rPr>
      </w:pPr>
      <w:r>
        <w:rPr>
          <w:rFonts w:ascii="Arial" w:cs="Arial" w:eastAsia="Arial" w:hAnsi="Arial"/>
          <w:sz w:val="18"/>
          <w:szCs w:val="18"/>
          <w:color w:val="auto"/>
        </w:rPr>
        <w:t>The Company accounted for SVB’s portion of the term loan facility as a modification of its existing debt facility as the change in cash flows was less than 10%. As such, a new effective interest rate was established based on the carrying value of the debt and the revised cash flows. Based on the guidance for loan modification, no gains or losses were recorded on the old debt and new fees paid to or received from existing lenders were capitalized and amortized as part of the effective yield. As a result, the Company accounted for the portion of the $0.7 million of final fees related to the previous loans, not yet recognized in interest expense, as a debt discount. This amount will be amortized over the remaining period of the Term Loan as part of the new effective interest rate.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2016, the Company amended the agreement to remove the revenue requirement for the third tranche and extended the draw period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fourth tranche for additional three months. In December 2016, the Company withdrew the third tranche of the Term Loan of $4.0 million. The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agreement also provided for the fourth tranche of $5.0 million to be available through March 2017 contingent upon the Company achieving at least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$24.0 million in trailing six-month revenues. In February 2017, the Company amended the Term Loan to extend the interest only period by six months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October 1, 2017 and was then to be repaid over 27 months of equal principal payments plus interest. In addition, the amendment extended the draw</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period through January 2018 for the fourth tranche of $5.0 million under the Term Loan upon achieving certain revenue milestones. The maturity date of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term loan was December 1, 2019, and it carried an interest rate equal to the greater of 11% or the WSJ Prime rate plus 7.75%. As of December 31,</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2016, the total loan balance was $30.2 million with an effective interest rate of 12.45%. The Term Loan borrowings were senior unsecured obligations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of the Company, ranking equally and ratably among themselves and with the Company’s existing and future unsecured and unsubordinated debt.</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240" w:firstLine="440"/>
        <w:spacing w:after="0" w:line="277" w:lineRule="auto"/>
        <w:rPr>
          <w:sz w:val="20"/>
          <w:szCs w:val="20"/>
          <w:color w:val="auto"/>
        </w:rPr>
      </w:pPr>
      <w:r>
        <w:rPr>
          <w:rFonts w:ascii="Arial" w:cs="Arial" w:eastAsia="Arial" w:hAnsi="Arial"/>
          <w:sz w:val="18"/>
          <w:szCs w:val="18"/>
          <w:color w:val="auto"/>
        </w:rPr>
        <w:t>In conjunction with the above Term Loan agreements, the Company issued redeemable convertible preferred stock warrants (refer to Note 9 for details).</w:t>
      </w:r>
    </w:p>
    <w:p>
      <w:pPr>
        <w:spacing w:after="0" w:line="170" w:lineRule="exact"/>
        <w:rPr>
          <w:sz w:val="20"/>
          <w:szCs w:val="20"/>
          <w:color w:val="auto"/>
        </w:rPr>
      </w:pPr>
    </w:p>
    <w:p>
      <w:pPr>
        <w:ind w:left="220" w:right="320" w:firstLine="440"/>
        <w:spacing w:after="0" w:line="279" w:lineRule="auto"/>
        <w:rPr>
          <w:sz w:val="20"/>
          <w:szCs w:val="20"/>
          <w:color w:val="auto"/>
        </w:rPr>
      </w:pPr>
      <w:r>
        <w:rPr>
          <w:rFonts w:ascii="Arial" w:cs="Arial" w:eastAsia="Arial" w:hAnsi="Arial"/>
          <w:sz w:val="17"/>
          <w:szCs w:val="17"/>
          <w:color w:val="auto"/>
        </w:rPr>
        <w:t>In October 2017, the Company extinguished the Term Loan with SVB and Oxford. Concurrently, the Company entered into a New Term Loan with Pharmakon Advisors, or Pharmakon. As a result of the extinguished debt, the Company paid $29.1 million in principal payments to SVB and Oxford. The Company also paid $1.5 million in early termination fees and recorded $0.7 million of unamortized debt discounts. This loss on extinguishment of $2.2 million is reflected as interest expense in the consolidated statement of operations.</w:t>
      </w:r>
    </w:p>
    <w:p>
      <w:pPr>
        <w:spacing w:after="0" w:line="170" w:lineRule="exact"/>
        <w:rPr>
          <w:sz w:val="20"/>
          <w:szCs w:val="20"/>
          <w:color w:val="auto"/>
        </w:rPr>
      </w:pPr>
    </w:p>
    <w:p>
      <w:pPr>
        <w:ind w:left="220" w:right="20" w:firstLine="440"/>
        <w:spacing w:after="0" w:line="268" w:lineRule="auto"/>
        <w:rPr>
          <w:sz w:val="20"/>
          <w:szCs w:val="20"/>
          <w:color w:val="auto"/>
        </w:rPr>
      </w:pPr>
      <w:r>
        <w:rPr>
          <w:rFonts w:ascii="Arial" w:cs="Arial" w:eastAsia="Arial" w:hAnsi="Arial"/>
          <w:sz w:val="17"/>
          <w:szCs w:val="17"/>
          <w:color w:val="auto"/>
        </w:rPr>
        <w:t>The Company entered into the New Term Loan with Pharmakon for $40.0 million in October 2017. Debt issuance costs of $1.3 million were recorded as a direct deduction from the carrying amount of the New Term Loan on the consolidated balance sheet, and are being amortized over the period of the New Term Loan using the effective interest method to interest expense in the consolidated statement of operations. The New Term Loan includes an interest-only period for 35 months through September 2020 and is then repaid in equal quarterly principal payments plus interest through December 2022, and is classified as long-term borrowings on the consolidated balance sheet. The New Term Loan carries a fixed interest rate of 11.5% and a closing fee of 1.5% of the funded amount, or $0.6 million. The New Term Loan includes a pre-payment fee equal to the interest due for the first 30 months of the agreement if it is prepaid within the first 30 months, a 2% prepayment penalty for months 31-48, and a 1% penalty for months 49-60. The New Term Loan requires the Company to maintain a minimum cash balance of $5.0 million and revenue targets. Beginning with the three months ended March 31, 2019, the Company is required to meet either revenue or earnings targets. Under the New Term Loan, the Company also has a second tranche of $10.0 million available through January 2019, contingent upon the achievement of certain revenue milestones. The New Term Loan is a senior obligation secured with a blanket first lien on the assets of the Company. As of December 31, 2017 and June 30, 2018, the total loan balance, net of debt discount, was $38.7 million and $38.8 million (unaudited), respectively, with an effective interest rate of 12.0% and 12.2% (unaudited) and the Company was in compliance with all debt covenants.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2017 are as follows (in thousands):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2018</w:t>
            </w:r>
          </w:p>
        </w:tc>
        <w:tc>
          <w:tcPr>
            <w:tcW w:w="8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2022</w:t>
            </w: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 representing debt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(1,296)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80" w:type="dxa"/>
            <w:vAlign w:val="bottom"/>
            <w:gridSpan w:val="2"/>
          </w:tcPr>
          <w:p>
            <w:pPr>
              <w:ind w:left="3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38,704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left="220" w:right="200" w:firstLine="440"/>
        <w:spacing w:after="0" w:line="256"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is $4.0 million (or 80% of the amount of certain customer accounts receivable). It carried an interest rate equal to the WSJ Prime rate plus 3% with a maturity of December 1, 2019. In October 2017, this line of credit was cancelled in conjunction with the SVB and Oxford debt extinguishment discussed above. No draws were made on this facility through its termination. Cancellation fees of $0.2 million were included in the loss on extinguishment of the Term Loan of $1.5 million discussed above.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left="220" w:right="100" w:firstLine="440"/>
        <w:spacing w:after="0" w:line="255" w:lineRule="auto"/>
        <w:rPr>
          <w:sz w:val="20"/>
          <w:szCs w:val="20"/>
          <w:color w:val="auto"/>
        </w:rPr>
      </w:pPr>
      <w:r>
        <w:rPr>
          <w:rFonts w:ascii="Arial" w:cs="Arial" w:eastAsia="Arial" w:hAnsi="Arial"/>
          <w:sz w:val="18"/>
          <w:szCs w:val="18"/>
          <w:color w:val="auto"/>
        </w:rPr>
        <w:t>In March 2017, the Board of Directors approved an increase of 555,555 Series 2 common stock. As a result, the Company’s restated certificate of incorporation, as amended, authorizes the Company to issue 19,333,333 shares of $0.0001 par value common stock, of which 6,000,000 has been designated as Series 1 common stock and 13,333,333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December 31, 2017</w:t>
            </w:r>
          </w:p>
        </w:tc>
        <w:tc>
          <w:tcPr>
            <w:tcW w:w="48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June 30,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34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Issued and</w:t>
            </w:r>
          </w:p>
        </w:tc>
        <w:tc>
          <w:tcPr>
            <w:tcW w:w="16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Common Stock</w:t>
            </w:r>
          </w:p>
        </w:tc>
        <w:tc>
          <w:tcPr>
            <w:tcW w:w="88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Issued and</w:t>
            </w:r>
          </w:p>
        </w:tc>
        <w:tc>
          <w:tcPr>
            <w:tcW w:w="48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2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Shares</w:t>
            </w: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Equivalent Shares</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Equivalent Shares</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802"/>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Series 1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3,112,955</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3,112,955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3,217,083</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3,217,083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Series 2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490,185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490,185</w:t>
            </w:r>
          </w:p>
        </w:tc>
        <w:tc>
          <w:tcPr>
            <w:tcW w:w="860" w:type="dxa"/>
            <w:vAlign w:val="bottom"/>
          </w:tcPr>
          <w:p>
            <w:pPr>
              <w:jc w:val="right"/>
              <w:spacing w:after="0"/>
              <w:rPr>
                <w:sz w:val="20"/>
                <w:szCs w:val="20"/>
                <w:color w:val="auto"/>
              </w:rPr>
            </w:pPr>
            <w:r>
              <w:rPr>
                <w:rFonts w:ascii="Arial" w:cs="Arial" w:eastAsia="Arial" w:hAnsi="Arial"/>
                <w:sz w:val="18"/>
                <w:szCs w:val="18"/>
                <w:color w:val="auto"/>
              </w:rPr>
              <w:t>490,185</w:t>
            </w:r>
          </w:p>
        </w:tc>
        <w:tc>
          <w:tcPr>
            <w:tcW w:w="2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490,185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11,871,578</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12,066,654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11,871,578</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12,066,654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880" w:type="dxa"/>
            <w:vAlign w:val="bottom"/>
          </w:tcPr>
          <w:p>
            <w:pPr>
              <w:jc w:val="right"/>
              <w:spacing w:after="0"/>
              <w:rPr>
                <w:sz w:val="20"/>
                <w:szCs w:val="20"/>
                <w:color w:val="auto"/>
              </w:rPr>
            </w:pPr>
            <w:r>
              <w:rPr>
                <w:rFonts w:ascii="Arial" w:cs="Arial" w:eastAsia="Arial" w:hAnsi="Arial"/>
                <w:sz w:val="18"/>
                <w:szCs w:val="18"/>
                <w:color w:val="auto"/>
              </w:rPr>
              <w:t>3,001,929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3,001,929</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2,900,842</w:t>
            </w:r>
          </w:p>
        </w:tc>
        <w:tc>
          <w:tcPr>
            <w:tcW w:w="2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2,900,842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available for grant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29,654</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29,654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26,613</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26,613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Common stock warrants</w:t>
            </w:r>
          </w:p>
        </w:tc>
        <w:tc>
          <w:tcPr>
            <w:tcW w:w="880" w:type="dxa"/>
            <w:vAlign w:val="bottom"/>
          </w:tcPr>
          <w:p>
            <w:pPr>
              <w:jc w:val="right"/>
              <w:spacing w:after="0"/>
              <w:rPr>
                <w:sz w:val="20"/>
                <w:szCs w:val="20"/>
                <w:color w:val="auto"/>
              </w:rPr>
            </w:pPr>
            <w:r>
              <w:rPr>
                <w:rFonts w:ascii="Arial" w:cs="Arial" w:eastAsia="Arial" w:hAnsi="Arial"/>
                <w:sz w:val="18"/>
                <w:szCs w:val="18"/>
                <w:color w:val="auto"/>
              </w:rPr>
              <w:t>124,326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124,326</w:t>
            </w:r>
          </w:p>
        </w:tc>
        <w:tc>
          <w:tcPr>
            <w:tcW w:w="860" w:type="dxa"/>
            <w:vAlign w:val="bottom"/>
          </w:tcPr>
          <w:p>
            <w:pPr>
              <w:jc w:val="right"/>
              <w:spacing w:after="0"/>
              <w:rPr>
                <w:sz w:val="20"/>
                <w:szCs w:val="20"/>
                <w:color w:val="auto"/>
              </w:rPr>
            </w:pPr>
            <w:r>
              <w:rPr>
                <w:rFonts w:ascii="Arial" w:cs="Arial" w:eastAsia="Arial" w:hAnsi="Arial"/>
                <w:sz w:val="18"/>
                <w:szCs w:val="18"/>
                <w:color w:val="auto"/>
              </w:rPr>
              <w:t>124,326</w:t>
            </w:r>
          </w:p>
        </w:tc>
        <w:tc>
          <w:tcPr>
            <w:tcW w:w="2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124,326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160,657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156,550</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160,657</w:t>
            </w:r>
          </w:p>
        </w:tc>
        <w:tc>
          <w:tcPr>
            <w:tcW w:w="0" w:type="dxa"/>
            <w:vAlign w:val="bottom"/>
          </w:tcPr>
          <w:p>
            <w:pPr>
              <w:spacing w:after="0"/>
              <w:rPr>
                <w:sz w:val="1"/>
                <w:szCs w:val="1"/>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18,787,177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18,986,360</w:t>
            </w: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18,787,177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18,986,360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Redeemable convertible preferred stock (“preferred stock”) at December 31, 2016 consisted of the following:</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2700" w:type="dxa"/>
            <w:vAlign w:val="bottom"/>
          </w:tcPr>
          <w:p>
            <w:pPr>
              <w:spacing w:after="0"/>
              <w:rPr>
                <w:sz w:val="10"/>
                <w:szCs w:val="10"/>
                <w:color w:val="auto"/>
              </w:rPr>
            </w:pPr>
          </w:p>
        </w:tc>
        <w:tc>
          <w:tcPr>
            <w:tcW w:w="88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Authorized</w:t>
            </w:r>
          </w:p>
        </w:tc>
        <w:tc>
          <w:tcPr>
            <w:tcW w:w="4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4"/>
              <w:spacing w:after="0" w:line="119" w:lineRule="exact"/>
              <w:rPr>
                <w:sz w:val="20"/>
                <w:szCs w:val="20"/>
                <w:color w:val="auto"/>
              </w:rPr>
            </w:pPr>
            <w:r>
              <w:rPr>
                <w:rFonts w:ascii="Arial" w:cs="Arial" w:eastAsia="Arial" w:hAnsi="Arial"/>
                <w:sz w:val="13"/>
                <w:szCs w:val="13"/>
                <w:b w:val="1"/>
                <w:bCs w:val="1"/>
                <w:color w:val="auto"/>
              </w:rPr>
              <w:t>Issued and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65"/>
        </w:trPr>
        <w:tc>
          <w:tcPr>
            <w:tcW w:w="3020" w:type="dxa"/>
            <w:vAlign w:val="bottom"/>
            <w:gridSpan w:val="2"/>
            <w:vMerge w:val="continue"/>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right"/>
              <w:ind w:right="280"/>
              <w:spacing w:after="0" w:line="157" w:lineRule="exact"/>
              <w:rPr>
                <w:sz w:val="20"/>
                <w:szCs w:val="20"/>
                <w:color w:val="auto"/>
              </w:rPr>
            </w:pPr>
            <w:r>
              <w:rPr>
                <w:rFonts w:ascii="Arial" w:cs="Arial" w:eastAsia="Arial" w:hAnsi="Arial"/>
                <w:sz w:val="14"/>
                <w:szCs w:val="14"/>
                <w:b w:val="1"/>
                <w:bCs w:val="1"/>
                <w:color w:val="auto"/>
                <w:w w:val="96"/>
              </w:rPr>
              <w:t>Outstanding</w:t>
            </w:r>
          </w:p>
        </w:tc>
        <w:tc>
          <w:tcPr>
            <w:tcW w:w="2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ind w:left="620"/>
              <w:spacing w:after="0" w:line="149"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3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245,096</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245,096</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3580" w:type="dxa"/>
            <w:vAlign w:val="bottom"/>
            <w:gridSpan w:val="3"/>
          </w:tcPr>
          <w:p>
            <w:pPr>
              <w:jc w:val="right"/>
              <w:ind w:right="20"/>
              <w:spacing w:after="0"/>
              <w:rPr>
                <w:sz w:val="20"/>
                <w:szCs w:val="20"/>
                <w:color w:val="auto"/>
              </w:rPr>
            </w:pPr>
            <w:r>
              <w:rPr>
                <w:rFonts w:ascii="Arial" w:cs="Arial" w:eastAsia="Arial" w:hAnsi="Arial"/>
                <w:sz w:val="18"/>
                <w:szCs w:val="18"/>
                <w:color w:val="auto"/>
              </w:rPr>
              <w:t>709,617</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709,608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3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498,958</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498,938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2,509,047</w:t>
            </w:r>
          </w:p>
        </w:tc>
        <w:tc>
          <w:tcPr>
            <w:tcW w:w="20" w:type="dxa"/>
            <w:vAlign w:val="bottom"/>
          </w:tcPr>
          <w:p>
            <w:pPr>
              <w:spacing w:after="0"/>
              <w:rPr>
                <w:sz w:val="18"/>
                <w:szCs w:val="18"/>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2,509,032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15,656</w:t>
            </w: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2,086,138</w:t>
            </w:r>
          </w:p>
        </w:tc>
        <w:tc>
          <w:tcPr>
            <w:tcW w:w="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2,009,226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18,127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3,389,227</w:t>
            </w:r>
          </w:p>
        </w:tc>
        <w:tc>
          <w:tcPr>
            <w:tcW w:w="20" w:type="dxa"/>
            <w:vAlign w:val="bottom"/>
          </w:tcPr>
          <w:p>
            <w:pPr>
              <w:spacing w:after="0"/>
              <w:rPr>
                <w:sz w:val="18"/>
                <w:szCs w:val="18"/>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3,319,274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54,508</w:t>
            </w: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3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2,114,906</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2,039,530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20,325</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23"/>
        </w:trPr>
        <w:tc>
          <w:tcPr>
            <w:tcW w:w="30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11,552,989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11,330,704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580" w:type="dxa"/>
            <w:vAlign w:val="bottom"/>
            <w:gridSpan w:val="3"/>
          </w:tcPr>
          <w:p>
            <w:pPr>
              <w:jc w:val="right"/>
              <w:ind w:right="94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Preferred stock at December 31, 2017 and June 30, 2018 (unaudited) consisted of the following:</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88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Authorized</w:t>
            </w:r>
          </w:p>
        </w:tc>
        <w:tc>
          <w:tcPr>
            <w:tcW w:w="4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4"/>
              <w:spacing w:after="0" w:line="119" w:lineRule="exact"/>
              <w:rPr>
                <w:sz w:val="20"/>
                <w:szCs w:val="20"/>
                <w:color w:val="auto"/>
              </w:rPr>
            </w:pPr>
            <w:r>
              <w:rPr>
                <w:rFonts w:ascii="Arial" w:cs="Arial" w:eastAsia="Arial" w:hAnsi="Arial"/>
                <w:sz w:val="13"/>
                <w:szCs w:val="13"/>
                <w:b w:val="1"/>
                <w:bCs w:val="1"/>
                <w:color w:val="auto"/>
              </w:rPr>
              <w:t>Issued and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65"/>
        </w:trPr>
        <w:tc>
          <w:tcPr>
            <w:tcW w:w="57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right"/>
              <w:ind w:right="280"/>
              <w:spacing w:after="0" w:line="157" w:lineRule="exact"/>
              <w:rPr>
                <w:sz w:val="20"/>
                <w:szCs w:val="20"/>
                <w:color w:val="auto"/>
              </w:rPr>
            </w:pPr>
            <w:r>
              <w:rPr>
                <w:rFonts w:ascii="Arial" w:cs="Arial" w:eastAsia="Arial" w:hAnsi="Arial"/>
                <w:sz w:val="14"/>
                <w:szCs w:val="14"/>
                <w:b w:val="1"/>
                <w:bCs w:val="1"/>
                <w:color w:val="auto"/>
                <w:w w:val="96"/>
              </w:rPr>
              <w:t>Outstanding</w:t>
            </w:r>
          </w:p>
        </w:tc>
        <w:tc>
          <w:tcPr>
            <w:tcW w:w="2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top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ind w:left="620"/>
              <w:spacing w:after="0" w:line="149"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245,096</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245,096</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709,617</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709,608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498,958</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498,938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860" w:type="dxa"/>
            <w:vAlign w:val="bottom"/>
          </w:tcPr>
          <w:p>
            <w:pPr>
              <w:jc w:val="right"/>
              <w:spacing w:after="0"/>
              <w:rPr>
                <w:sz w:val="20"/>
                <w:szCs w:val="20"/>
                <w:color w:val="auto"/>
              </w:rPr>
            </w:pPr>
            <w:r>
              <w:rPr>
                <w:rFonts w:ascii="Arial" w:cs="Arial" w:eastAsia="Arial" w:hAnsi="Arial"/>
                <w:sz w:val="18"/>
                <w:szCs w:val="18"/>
                <w:color w:val="auto"/>
              </w:rPr>
              <w:t>2,509,047</w:t>
            </w:r>
          </w:p>
        </w:tc>
        <w:tc>
          <w:tcPr>
            <w:tcW w:w="20" w:type="dxa"/>
            <w:vAlign w:val="bottom"/>
          </w:tcPr>
          <w:p>
            <w:pPr>
              <w:spacing w:after="0"/>
              <w:rPr>
                <w:sz w:val="18"/>
                <w:szCs w:val="18"/>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2,509,032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15,656</w:t>
            </w: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2,086,138</w:t>
            </w:r>
          </w:p>
        </w:tc>
        <w:tc>
          <w:tcPr>
            <w:tcW w:w="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2,009,226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18,127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860" w:type="dxa"/>
            <w:vAlign w:val="bottom"/>
          </w:tcPr>
          <w:p>
            <w:pPr>
              <w:jc w:val="right"/>
              <w:spacing w:after="0"/>
              <w:rPr>
                <w:sz w:val="20"/>
                <w:szCs w:val="20"/>
                <w:color w:val="auto"/>
              </w:rPr>
            </w:pPr>
            <w:r>
              <w:rPr>
                <w:rFonts w:ascii="Arial" w:cs="Arial" w:eastAsia="Arial" w:hAnsi="Arial"/>
                <w:sz w:val="18"/>
                <w:szCs w:val="18"/>
                <w:color w:val="auto"/>
              </w:rPr>
              <w:t>3,389,227</w:t>
            </w:r>
          </w:p>
        </w:tc>
        <w:tc>
          <w:tcPr>
            <w:tcW w:w="20" w:type="dxa"/>
            <w:vAlign w:val="bottom"/>
          </w:tcPr>
          <w:p>
            <w:pPr>
              <w:spacing w:after="0"/>
              <w:rPr>
                <w:sz w:val="18"/>
                <w:szCs w:val="18"/>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3,319,274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54,508</w:t>
            </w: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2,666,666</w:t>
            </w:r>
          </w:p>
        </w:tc>
        <w:tc>
          <w:tcPr>
            <w:tcW w:w="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2,580,404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25,752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23"/>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12,104,749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11,871,578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118,548</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20" w:right="40" w:firstLine="440"/>
        <w:spacing w:after="0" w:line="290" w:lineRule="auto"/>
        <w:rPr>
          <w:sz w:val="20"/>
          <w:szCs w:val="20"/>
          <w:color w:val="auto"/>
        </w:rPr>
      </w:pPr>
      <w:r>
        <w:rPr>
          <w:rFonts w:ascii="Arial" w:cs="Arial" w:eastAsia="Arial" w:hAnsi="Arial"/>
          <w:sz w:val="16"/>
          <w:szCs w:val="16"/>
          <w:color w:val="auto"/>
        </w:rPr>
        <w:t>The holders of Series 1, Series 2, Series 3, Series 4, Series 5, Series 6, and Series 7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and Series 7 shares are outstanding, the holders of such Series 4, Series 5, Series 6 and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64" w:lineRule="exact"/>
        <w:rPr>
          <w:sz w:val="20"/>
          <w:szCs w:val="20"/>
          <w:color w:val="auto"/>
        </w:rPr>
      </w:pPr>
    </w:p>
    <w:p>
      <w:pPr>
        <w:ind w:left="220" w:right="300" w:firstLine="440"/>
        <w:spacing w:after="0" w:line="290" w:lineRule="auto"/>
        <w:rPr>
          <w:sz w:val="20"/>
          <w:szCs w:val="20"/>
          <w:color w:val="auto"/>
        </w:rPr>
      </w:pPr>
      <w:r>
        <w:rPr>
          <w:rFonts w:ascii="Arial" w:cs="Arial" w:eastAsia="Arial" w:hAnsi="Arial"/>
          <w:sz w:val="16"/>
          <w:szCs w:val="16"/>
          <w:color w:val="auto"/>
        </w:rPr>
        <w:t>As long as at least 277,778 preferred stock shares remain outstanding, the Company must obtain approval from a majority of the holders of the then outstanding shares of preferred stockholders and a majority of the voting power of all outstanding shares of Series 5 preferred stock in order to</w:t>
      </w:r>
    </w:p>
    <w:p>
      <w:pPr>
        <w:spacing w:after="0" w:line="1" w:lineRule="exact"/>
        <w:rPr>
          <w:sz w:val="20"/>
          <w:szCs w:val="20"/>
          <w:color w:val="auto"/>
        </w:rPr>
      </w:pPr>
    </w:p>
    <w:p>
      <w:pPr>
        <w:ind w:left="220" w:right="100" w:hanging="10"/>
        <w:spacing w:after="0" w:line="267" w:lineRule="auto"/>
        <w:tabs>
          <w:tab w:leader="none" w:pos="43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first refusal in favor of the Company, in each case, provided that such agreement has been approved by the Company’s board of directors; or (vi) pay or declare any dividend on any shares of capital stock of the Company.</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20" w:right="160" w:firstLine="440"/>
        <w:spacing w:after="0" w:line="301" w:lineRule="auto"/>
        <w:rPr>
          <w:sz w:val="20"/>
          <w:szCs w:val="20"/>
          <w:color w:val="auto"/>
        </w:rPr>
      </w:pPr>
      <w:r>
        <w:rPr>
          <w:rFonts w:ascii="Arial" w:cs="Arial" w:eastAsia="Arial" w:hAnsi="Arial"/>
          <w:sz w:val="16"/>
          <w:szCs w:val="16"/>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 are $0.050112, $0.171360, $0.4608, $0.504, $0.72774, $1.317744, and $0.802656, respectively, (adjusted to reflect subsequent stock dividends, stock splits or recapitalization).</w:t>
      </w:r>
    </w:p>
    <w:p>
      <w:pPr>
        <w:spacing w:after="0" w:line="156" w:lineRule="exact"/>
        <w:rPr>
          <w:sz w:val="20"/>
          <w:szCs w:val="20"/>
          <w:color w:val="auto"/>
        </w:rPr>
      </w:pPr>
    </w:p>
    <w:p>
      <w:pPr>
        <w:ind w:left="220" w:firstLine="440"/>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2017 and June 30, 2018 (unaudited).</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20" w:right="20" w:firstLine="440"/>
        <w:spacing w:after="0" w:line="284" w:lineRule="auto"/>
        <w:rPr>
          <w:sz w:val="20"/>
          <w:szCs w:val="20"/>
          <w:color w:val="auto"/>
        </w:rPr>
      </w:pPr>
      <w:r>
        <w:rPr>
          <w:rFonts w:ascii="Arial" w:cs="Arial" w:eastAsia="Arial" w:hAnsi="Arial"/>
          <w:sz w:val="16"/>
          <w:szCs w:val="16"/>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w:t>
      </w:r>
    </w:p>
    <w:p>
      <w:pPr>
        <w:spacing w:after="0" w:line="3" w:lineRule="exact"/>
        <w:rPr>
          <w:sz w:val="20"/>
          <w:szCs w:val="20"/>
          <w:color w:val="auto"/>
        </w:rPr>
      </w:pPr>
    </w:p>
    <w:p>
      <w:pPr>
        <w:ind w:left="220" w:right="60" w:hanging="10"/>
        <w:spacing w:after="0" w:line="281" w:lineRule="auto"/>
        <w:tabs>
          <w:tab w:leader="none" w:pos="47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w:t>
      </w:r>
    </w:p>
    <w:p>
      <w:pPr>
        <w:spacing w:after="0" w:line="2" w:lineRule="exact"/>
        <w:rPr>
          <w:rFonts w:ascii="Arial" w:cs="Arial" w:eastAsia="Arial" w:hAnsi="Arial"/>
          <w:sz w:val="16"/>
          <w:szCs w:val="16"/>
          <w:color w:val="auto"/>
        </w:rPr>
      </w:pPr>
    </w:p>
    <w:p>
      <w:pPr>
        <w:ind w:left="220"/>
        <w:spacing w:after="0" w:line="268" w:lineRule="auto"/>
        <w:rPr>
          <w:rFonts w:ascii="Arial" w:cs="Arial" w:eastAsia="Arial" w:hAnsi="Arial"/>
          <w:sz w:val="16"/>
          <w:szCs w:val="16"/>
          <w:color w:val="auto"/>
        </w:rPr>
      </w:pPr>
      <w:r>
        <w:rPr>
          <w:rFonts w:ascii="Arial" w:cs="Arial" w:eastAsia="Arial" w:hAnsi="Arial"/>
          <w:sz w:val="17"/>
          <w:szCs w:val="17"/>
          <w:color w:val="auto"/>
        </w:rPr>
        <w:t>(C)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 are $0.6264, $2.142, $5.76, $6.30, $9.0954, $16.4718, and $10.0332, respectively), plus any declared but unpaid dividends on such shares. Should the Company’s legally available assets be insufficient to satisfy the full liquidation preference, the funds will be distributed ratably among the holders of the preferred stock in proportion to the preferential amount each holder is otherwise entitled to receive.</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Upon the closing of the distribution as above, the remaining proceeds shall be distributed among the holders of Series 4, Series 5, Series 6,</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Series 7 preferred stock and common stock pro rata based on the number of shares of common stock held by each until the holders of the preferred stock</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have received the “participation cap.” Thereafter, if proceeds remain, the holders of Series 7 preferred stock and common stock of this corporation shall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receive all of the remaining proceeds pro rata based on the number of shares of common stock held by each (assuming full conversion of all such</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Series 7 preferred stock). The Company has a per share “Participation Cap” of $32.9436 for the Series 6 preferred stock, $18.1908 for the Series 5</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preferred stock, and $12.60 for the Series 4 preferred stock (each as adjusted for any stock splits, stock dividends, combinations, subdivisions,</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recapitalizations or the like with respect to such series of preferred stock).</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20" w:firstLine="440"/>
        <w:spacing w:after="0" w:line="255" w:lineRule="auto"/>
        <w:rPr>
          <w:sz w:val="20"/>
          <w:szCs w:val="20"/>
          <w:color w:val="auto"/>
        </w:rPr>
      </w:pPr>
      <w:r>
        <w:rPr>
          <w:rFonts w:ascii="Arial" w:cs="Arial" w:eastAsia="Arial" w:hAnsi="Arial"/>
          <w:sz w:val="18"/>
          <w:szCs w:val="18"/>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is subject to adjustment from time to time. In March 2017, the conversion price per share for the Series 6 preferred stock was amended from $15.714 per share to $15.5574 per share which resulted in the conversion ratio increasing from 1.05 to 1.06 per share.</w:t>
      </w:r>
    </w:p>
    <w:p>
      <w:pPr>
        <w:spacing w:after="0" w:line="191"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$30.0996, or (ii) the Company’s receipt of a written request for such conversion from the holders of at least the voting majority of all outstanding preferred stock (voting as a single class and on an as-converted basis).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20" w:right="120" w:firstLine="440"/>
        <w:spacing w:after="0" w:line="296" w:lineRule="auto"/>
        <w:rPr>
          <w:sz w:val="20"/>
          <w:szCs w:val="20"/>
          <w:color w:val="auto"/>
        </w:rPr>
      </w:pPr>
      <w:r>
        <w:rPr>
          <w:rFonts w:ascii="Arial" w:cs="Arial" w:eastAsia="Arial" w:hAnsi="Arial"/>
          <w:sz w:val="16"/>
          <w:szCs w:val="16"/>
          <w:color w:val="auto"/>
        </w:rPr>
        <w:t>The Company has classified the preferred stock as temporary equity on the consolidated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issued and outstanding at December 31, 2016 are as follows (in thousands, except share and per share data):</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per</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Warrants to purchase</w:t>
            </w:r>
          </w:p>
        </w:tc>
        <w:tc>
          <w:tcPr>
            <w:tcW w:w="39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3"/>
            <w:vMerge w:val="continue"/>
          </w:tcPr>
          <w:p>
            <w:pPr>
              <w:spacing w:after="0"/>
              <w:rPr>
                <w:sz w:val="12"/>
                <w:szCs w:val="12"/>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w w:val="97"/>
              </w:rPr>
              <w:t>at the Date</w:t>
            </w:r>
          </w:p>
        </w:tc>
        <w:tc>
          <w:tcPr>
            <w:tcW w:w="0" w:type="dxa"/>
            <w:vAlign w:val="bottom"/>
          </w:tcPr>
          <w:p>
            <w:pPr>
              <w:spacing w:after="0"/>
              <w:rPr>
                <w:sz w:val="1"/>
                <w:szCs w:val="1"/>
                <w:color w:val="auto"/>
              </w:rPr>
            </w:pPr>
          </w:p>
        </w:tc>
      </w:tr>
      <w:tr>
        <w:trPr>
          <w:trHeight w:val="162"/>
        </w:trPr>
        <w:tc>
          <w:tcPr>
            <w:tcW w:w="134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8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Series</w:t>
            </w:r>
          </w:p>
        </w:tc>
        <w:tc>
          <w:tcPr>
            <w:tcW w:w="10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Issuance</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Expiration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Share</w:t>
            </w:r>
          </w:p>
        </w:tc>
        <w:tc>
          <w:tcPr>
            <w:tcW w:w="7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of Issuance</w:t>
            </w:r>
          </w:p>
        </w:tc>
        <w:tc>
          <w:tcPr>
            <w:tcW w:w="0" w:type="dxa"/>
            <w:vAlign w:val="bottom"/>
          </w:tcPr>
          <w:p>
            <w:pPr>
              <w:spacing w:after="0"/>
              <w:rPr>
                <w:sz w:val="1"/>
                <w:szCs w:val="1"/>
                <w:color w:val="auto"/>
              </w:rPr>
            </w:pPr>
          </w:p>
        </w:tc>
      </w:tr>
      <w:tr>
        <w:trPr>
          <w:trHeight w:val="189"/>
        </w:trPr>
        <w:tc>
          <w:tcPr>
            <w:tcW w:w="5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87"/>
              </w:rPr>
              <w:t>7/19/2013</w:t>
            </w: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101,010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11/26/2014</w:t>
            </w:r>
          </w:p>
        </w:tc>
        <w:tc>
          <w:tcPr>
            <w:tcW w:w="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21,928</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3.42</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common stock warrants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7/1/2012</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7/25/2019</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[b]</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54,917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9.10</w:t>
            </w:r>
          </w:p>
        </w:tc>
        <w:tc>
          <w:tcPr>
            <w:tcW w:w="2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7/19/2013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7/22/2023</w:t>
            </w: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[c]</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21,989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11/26/2014</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[c]</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6,310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16.47</w:t>
            </w:r>
          </w:p>
        </w:tc>
        <w:tc>
          <w:tcPr>
            <w:tcW w:w="2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10/20/2015</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10/20/2025</w:t>
            </w: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[c]</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39,339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11/9/2015</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11/9/2025</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[c]</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24,283</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16.47</w:t>
            </w:r>
          </w:p>
        </w:tc>
        <w:tc>
          <w:tcPr>
            <w:tcW w:w="2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4"/>
              </w:rPr>
              <w:t>12/22/2016</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12/22/2026</w:t>
            </w: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[c]</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320"/>
              <w:spacing w:after="0"/>
              <w:rPr>
                <w:sz w:val="20"/>
                <w:szCs w:val="20"/>
                <w:color w:val="auto"/>
              </w:rPr>
            </w:pPr>
            <w:r>
              <w:rPr>
                <w:rFonts w:ascii="Arial" w:cs="Arial" w:eastAsia="Arial" w:hAnsi="Arial"/>
                <w:sz w:val="16"/>
                <w:szCs w:val="16"/>
                <w:color w:val="auto"/>
              </w:rPr>
              <w:t>Total redeemable convertible preferred stock warrants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156,550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2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97"/>
              </w:rPr>
              <w:t>Total outstanding common and redeemable convertible preferred stock</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warrants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279,488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0" w:lineRule="exact"/>
        <w:rPr>
          <w:sz w:val="20"/>
          <w:szCs w:val="20"/>
          <w:color w:val="auto"/>
        </w:rPr>
      </w:pPr>
    </w:p>
    <w:p>
      <w:pPr>
        <w:ind w:left="540" w:hanging="330"/>
        <w:spacing w:after="0"/>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40" w:right="60" w:hanging="330"/>
        <w:spacing w:after="0" w:line="221"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40" w:right="40" w:hanging="330"/>
        <w:spacing w:after="0" w:line="232" w:lineRule="auto"/>
        <w:tabs>
          <w:tab w:leader="none" w:pos="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 The warrants will be exercisable for 10 years from the date of issuance.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issued and outstanding at December 31, 2017 are as follows (in thousands, except share and per share data):</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w w:val="85"/>
              </w:rPr>
              <w:t>Date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Series</w:t>
            </w:r>
          </w:p>
        </w:tc>
        <w:tc>
          <w:tcPr>
            <w:tcW w:w="10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Issuance</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Expiration</w:t>
            </w:r>
          </w:p>
        </w:tc>
        <w:tc>
          <w:tcPr>
            <w:tcW w:w="5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Underlying</w:t>
            </w:r>
          </w:p>
        </w:tc>
        <w:tc>
          <w:tcPr>
            <w:tcW w:w="20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Price per</w:t>
            </w: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78"/>
        </w:trPr>
        <w:tc>
          <w:tcPr>
            <w:tcW w:w="534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Warrants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Share</w:t>
            </w:r>
          </w:p>
        </w:tc>
        <w:tc>
          <w:tcPr>
            <w:tcW w:w="7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w w:val="90"/>
              </w:rPr>
              <w:t>of Issuance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40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101,010</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11/26/2014</w:t>
            </w:r>
          </w:p>
        </w:tc>
        <w:tc>
          <w:tcPr>
            <w:tcW w:w="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11/26/2024</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[a]</w:t>
            </w:r>
          </w:p>
        </w:tc>
        <w:tc>
          <w:tcPr>
            <w:tcW w:w="720" w:type="dxa"/>
            <w:vAlign w:val="bottom"/>
          </w:tcPr>
          <w:p>
            <w:pPr>
              <w:jc w:val="right"/>
              <w:spacing w:after="0"/>
              <w:rPr>
                <w:sz w:val="20"/>
                <w:szCs w:val="20"/>
                <w:color w:val="auto"/>
              </w:rPr>
            </w:pPr>
            <w:r>
              <w:rPr>
                <w:rFonts w:ascii="Arial" w:cs="Arial" w:eastAsia="Arial" w:hAnsi="Arial"/>
                <w:sz w:val="16"/>
                <w:szCs w:val="16"/>
                <w:color w:val="auto"/>
              </w:rPr>
              <w:t>21,928</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3/1/2017</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3/1/2027</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[a]</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00"/>
              <w:spacing w:after="0"/>
              <w:rPr>
                <w:sz w:val="20"/>
                <w:szCs w:val="20"/>
                <w:color w:val="auto"/>
              </w:rPr>
            </w:pPr>
            <w:r>
              <w:rPr>
                <w:rFonts w:ascii="Arial" w:cs="Arial" w:eastAsia="Arial" w:hAnsi="Arial"/>
                <w:sz w:val="16"/>
                <w:szCs w:val="16"/>
                <w:color w:val="auto"/>
              </w:rPr>
              <w:t>Total common stock warrants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7/1/2012</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7/25/2019</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[b]</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Series 5</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7/19/2013</w:t>
            </w:r>
          </w:p>
        </w:tc>
        <w:tc>
          <w:tcPr>
            <w:tcW w:w="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7/22/2023</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[c]</w:t>
            </w:r>
          </w:p>
        </w:tc>
        <w:tc>
          <w:tcPr>
            <w:tcW w:w="720" w:type="dxa"/>
            <w:vAlign w:val="bottom"/>
          </w:tcPr>
          <w:p>
            <w:pPr>
              <w:jc w:val="right"/>
              <w:spacing w:after="0"/>
              <w:rPr>
                <w:sz w:val="20"/>
                <w:szCs w:val="20"/>
                <w:color w:val="auto"/>
              </w:rPr>
            </w:pPr>
            <w:r>
              <w:rPr>
                <w:rFonts w:ascii="Arial" w:cs="Arial" w:eastAsia="Arial" w:hAnsi="Arial"/>
                <w:sz w:val="16"/>
                <w:szCs w:val="16"/>
                <w:color w:val="auto"/>
              </w:rPr>
              <w:t>21,989</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9.10</w:t>
            </w:r>
          </w:p>
        </w:tc>
        <w:tc>
          <w:tcPr>
            <w:tcW w:w="2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7"/>
              </w:rPr>
              <w:t>11/26/2014</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11/26/2024</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[c]</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Series 6</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10/20/2015</w:t>
            </w:r>
          </w:p>
        </w:tc>
        <w:tc>
          <w:tcPr>
            <w:tcW w:w="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10/20/2025</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[c]</w:t>
            </w:r>
          </w:p>
        </w:tc>
        <w:tc>
          <w:tcPr>
            <w:tcW w:w="720" w:type="dxa"/>
            <w:vAlign w:val="bottom"/>
          </w:tcPr>
          <w:p>
            <w:pPr>
              <w:jc w:val="right"/>
              <w:spacing w:after="0"/>
              <w:rPr>
                <w:sz w:val="20"/>
                <w:szCs w:val="20"/>
                <w:color w:val="auto"/>
              </w:rPr>
            </w:pPr>
            <w:r>
              <w:rPr>
                <w:rFonts w:ascii="Arial" w:cs="Arial" w:eastAsia="Arial" w:hAnsi="Arial"/>
                <w:sz w:val="16"/>
                <w:szCs w:val="16"/>
                <w:color w:val="auto"/>
              </w:rPr>
              <w:t>39,339</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16.47</w:t>
            </w:r>
          </w:p>
        </w:tc>
        <w:tc>
          <w:tcPr>
            <w:tcW w:w="2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11/9/2015</w:t>
            </w:r>
          </w:p>
        </w:tc>
        <w:tc>
          <w:tcPr>
            <w:tcW w:w="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11/9/2025</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[c]</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Series 7</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w w:val="97"/>
              </w:rPr>
              <w:t>12/22/2016</w:t>
            </w:r>
          </w:p>
        </w:tc>
        <w:tc>
          <w:tcPr>
            <w:tcW w:w="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12/22/2026</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[c]</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10.03</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20" w:type="dxa"/>
            <w:vAlign w:val="bottom"/>
            <w:gridSpan w:val="2"/>
          </w:tcPr>
          <w:p>
            <w:pPr>
              <w:ind w:left="300"/>
              <w:spacing w:after="0"/>
              <w:rPr>
                <w:sz w:val="20"/>
                <w:szCs w:val="20"/>
                <w:color w:val="auto"/>
              </w:rPr>
            </w:pPr>
            <w:r>
              <w:rPr>
                <w:rFonts w:ascii="Arial" w:cs="Arial" w:eastAsia="Arial" w:hAnsi="Arial"/>
                <w:sz w:val="16"/>
                <w:szCs w:val="16"/>
                <w:color w:val="auto"/>
                <w:w w:val="99"/>
              </w:rPr>
              <w:t>Total outstanding common and redeemable convertible preferred stock</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gridSpan w:val="2"/>
          </w:tcPr>
          <w:p>
            <w:pPr>
              <w:ind w:left="460"/>
              <w:spacing w:after="0"/>
              <w:rPr>
                <w:sz w:val="20"/>
                <w:szCs w:val="20"/>
                <w:color w:val="auto"/>
              </w:rPr>
            </w:pPr>
            <w:r>
              <w:rPr>
                <w:rFonts w:ascii="Arial" w:cs="Arial" w:eastAsia="Arial" w:hAnsi="Arial"/>
                <w:sz w:val="16"/>
                <w:szCs w:val="16"/>
                <w:color w:val="auto"/>
              </w:rPr>
              <w:t>warrants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93980</wp:posOffset>
            </wp:positionV>
            <wp:extent cx="7023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50" w:lineRule="exact"/>
        <w:rPr>
          <w:sz w:val="20"/>
          <w:szCs w:val="20"/>
          <w:color w:val="auto"/>
        </w:rPr>
      </w:pPr>
    </w:p>
    <w:p>
      <w:pPr>
        <w:ind w:left="540" w:hanging="330"/>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40" w:right="60" w:hanging="330"/>
        <w:spacing w:after="0" w:line="221" w:lineRule="auto"/>
        <w:tabs>
          <w:tab w:leader="none" w:pos="5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40" w:right="60" w:hanging="330"/>
        <w:spacing w:after="0" w:line="237" w:lineRule="auto"/>
        <w:tabs>
          <w:tab w:leader="none" w:pos="5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The warrants will be exercisable for 10 years from the date of issuance.</w:t>
      </w:r>
    </w:p>
    <w:p>
      <w:pPr>
        <w:spacing w:after="0" w:line="187" w:lineRule="exact"/>
        <w:rPr>
          <w:sz w:val="20"/>
          <w:szCs w:val="20"/>
          <w:color w:val="auto"/>
        </w:rPr>
      </w:pPr>
    </w:p>
    <w:p>
      <w:pPr>
        <w:ind w:left="220" w:right="60" w:firstLine="440"/>
        <w:spacing w:after="0" w:line="259" w:lineRule="auto"/>
        <w:rPr>
          <w:sz w:val="20"/>
          <w:szCs w:val="20"/>
          <w:color w:val="auto"/>
        </w:rPr>
      </w:pPr>
      <w:r>
        <w:rPr>
          <w:rFonts w:ascii="Arial" w:cs="Arial" w:eastAsia="Arial" w:hAnsi="Arial"/>
          <w:sz w:val="18"/>
          <w:szCs w:val="18"/>
          <w:color w:val="auto"/>
        </w:rPr>
        <w:t>In connection with previously issued debt, the Company issued 101,010 warrants to purchase common shares of the Company at an exercise price of $3.96 per share in July 2013. Additionally, the Company issued warrants to purchase an additional 21,928 shares of common stock at an exercise price of $3.42 per share in November 2014. The Company determined that its warrants to purchase shares of common stock meet the requirements for equity classification.</w:t>
      </w:r>
    </w:p>
    <w:p>
      <w:pPr>
        <w:spacing w:after="0" w:line="186" w:lineRule="exact"/>
        <w:rPr>
          <w:sz w:val="20"/>
          <w:szCs w:val="20"/>
          <w:color w:val="auto"/>
        </w:rPr>
      </w:pPr>
    </w:p>
    <w:p>
      <w:pPr>
        <w:ind w:left="220" w:right="160" w:firstLine="440"/>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to purchase an aggregate of 54,917 shares of Series 5 preferred stock of the Company at an exercise price of $9.10 per share.</w:t>
      </w:r>
    </w:p>
    <w:p>
      <w:pPr>
        <w:spacing w:after="0" w:line="170" w:lineRule="exact"/>
        <w:rPr>
          <w:sz w:val="20"/>
          <w:szCs w:val="20"/>
          <w:color w:val="auto"/>
        </w:rPr>
      </w:pPr>
    </w:p>
    <w:p>
      <w:pPr>
        <w:ind w:left="220" w:firstLine="440"/>
        <w:spacing w:after="0" w:line="263" w:lineRule="auto"/>
        <w:rPr>
          <w:sz w:val="20"/>
          <w:szCs w:val="20"/>
          <w:color w:val="auto"/>
        </w:rPr>
      </w:pPr>
      <w:r>
        <w:rPr>
          <w:rFonts w:ascii="Arial" w:cs="Arial" w:eastAsia="Arial" w:hAnsi="Arial"/>
          <w:sz w:val="18"/>
          <w:szCs w:val="18"/>
          <w:color w:val="auto"/>
        </w:rPr>
        <w:t>In conjunction with debt issued in 2013 and 2014, the Company issued 21,989 warrants to purchase Series 5 redeemable convertible preferred stock of the Company at an exercise price of $9.10 per share. Subsequently, the Company issued additional warrants to purchase 6,310 shares of Series 6 redeemable convertible preferred stock at an exercise price of $16.47 per share.</w:t>
      </w:r>
    </w:p>
    <w:p>
      <w:pPr>
        <w:spacing w:after="0" w:line="183" w:lineRule="exact"/>
        <w:rPr>
          <w:sz w:val="20"/>
          <w:szCs w:val="20"/>
          <w:color w:val="auto"/>
        </w:rPr>
      </w:pPr>
    </w:p>
    <w:p>
      <w:pPr>
        <w:ind w:left="220" w:right="520" w:firstLine="440"/>
        <w:spacing w:after="0" w:line="311" w:lineRule="auto"/>
        <w:rPr>
          <w:sz w:val="20"/>
          <w:szCs w:val="20"/>
          <w:color w:val="auto"/>
        </w:rPr>
      </w:pPr>
      <w:r>
        <w:rPr>
          <w:rFonts w:ascii="Arial" w:cs="Arial" w:eastAsia="Arial" w:hAnsi="Arial"/>
          <w:sz w:val="16"/>
          <w:szCs w:val="16"/>
          <w:color w:val="auto"/>
        </w:rPr>
        <w:t>In conjunction with the debt agreement with SVB and Oxford, or Term Loan agreement (refer to Note 6), the Company issued warrants to purchase 39,339 shares of Series 6 redeemable convertible preferred stock at an exercise price of $16.47 per share in October 2015 and additional 24,283 shares of Series 6 redeemable convertible preferred stock at an exercise price of $16.47 per share in November 2015.</w:t>
      </w:r>
    </w:p>
    <w:p>
      <w:pPr>
        <w:spacing w:after="0" w:line="148" w:lineRule="exact"/>
        <w:rPr>
          <w:sz w:val="20"/>
          <w:szCs w:val="20"/>
          <w:color w:val="auto"/>
        </w:rPr>
      </w:pPr>
    </w:p>
    <w:p>
      <w:pPr>
        <w:ind w:left="220" w:right="200" w:firstLine="440"/>
        <w:spacing w:after="0" w:line="307" w:lineRule="auto"/>
        <w:rPr>
          <w:sz w:val="20"/>
          <w:szCs w:val="20"/>
          <w:color w:val="auto"/>
        </w:rPr>
      </w:pPr>
      <w:r>
        <w:rPr>
          <w:rFonts w:ascii="Arial" w:cs="Arial" w:eastAsia="Arial" w:hAnsi="Arial"/>
          <w:sz w:val="17"/>
          <w:szCs w:val="17"/>
          <w:color w:val="auto"/>
        </w:rPr>
        <w:t>In conjunction with the Term Loan agreement and its modification (refer to Note 6), the Company issued additional warrants for the purchase of 9,712 shares of Series 7 redeemable convertible preferred stock at an exercise price of $10.03 per share in December 2016.</w:t>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jc w:val="both"/>
        <w:ind w:left="220" w:firstLine="440"/>
        <w:spacing w:after="0" w:line="341" w:lineRule="auto"/>
        <w:rPr>
          <w:sz w:val="20"/>
          <w:szCs w:val="20"/>
          <w:color w:val="auto"/>
        </w:rPr>
      </w:pPr>
      <w:r>
        <w:rPr>
          <w:rFonts w:ascii="Arial" w:cs="Arial" w:eastAsia="Arial" w:hAnsi="Arial"/>
          <w:sz w:val="16"/>
          <w:szCs w:val="16"/>
          <w:color w:val="auto"/>
        </w:rPr>
        <w:t>The fair value of warrants to purchase preferred stock were recorded at the date of issuance as a discount to debt and amortized to interest expense over the term of the note. The changes in the fair value of the redeemable convertible preferred stock warrants are recorded in other income and expense.</w:t>
      </w:r>
    </w:p>
    <w:p>
      <w:pPr>
        <w:spacing w:after="0" w:line="125" w:lineRule="exact"/>
        <w:rPr>
          <w:sz w:val="20"/>
          <w:szCs w:val="20"/>
          <w:color w:val="auto"/>
        </w:rPr>
      </w:pPr>
    </w:p>
    <w:p>
      <w:pPr>
        <w:ind w:left="220" w:right="300" w:firstLine="440"/>
        <w:spacing w:after="0" w:line="277" w:lineRule="auto"/>
        <w:rPr>
          <w:sz w:val="20"/>
          <w:szCs w:val="20"/>
          <w:color w:val="auto"/>
        </w:rPr>
      </w:pPr>
      <w:r>
        <w:rPr>
          <w:rFonts w:ascii="Arial" w:cs="Arial" w:eastAsia="Arial" w:hAnsi="Arial"/>
          <w:sz w:val="18"/>
          <w:szCs w:val="18"/>
          <w:color w:val="auto"/>
        </w:rPr>
        <w:t>In March 2017, the Company issued a warrant to purchase 1,388 shares of common stock at an exercise price of $5.94 to a non-employee. The Company determined that such warrant meets the requirements for equity classification.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October 2017, the Company extinguished its debt with SVB and Oxford. All related debt discounts were written off upon repayment of the</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loan.</w:t>
      </w:r>
    </w:p>
    <w:p>
      <w:pPr>
        <w:spacing w:after="0" w:line="210" w:lineRule="exact"/>
        <w:rPr>
          <w:sz w:val="20"/>
          <w:szCs w:val="20"/>
          <w:color w:val="auto"/>
        </w:rPr>
      </w:pPr>
    </w:p>
    <w:p>
      <w:pPr>
        <w:ind w:left="220" w:right="20" w:firstLine="440"/>
        <w:spacing w:after="0" w:line="277" w:lineRule="auto"/>
        <w:rPr>
          <w:sz w:val="20"/>
          <w:szCs w:val="20"/>
          <w:color w:val="auto"/>
        </w:rPr>
      </w:pPr>
      <w:r>
        <w:rPr>
          <w:rFonts w:ascii="Arial" w:cs="Arial" w:eastAsia="Arial" w:hAnsi="Arial"/>
          <w:sz w:val="18"/>
          <w:szCs w:val="18"/>
          <w:color w:val="auto"/>
        </w:rPr>
        <w:t>Weighted-average assumptions used in computation of the fair value of the redeemable convertible preferred stock warrants are summarized in the table below:</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2017</w:t>
            </w:r>
          </w:p>
        </w:tc>
        <w:tc>
          <w:tcPr>
            <w:tcW w:w="580" w:type="dxa"/>
            <w:vAlign w:val="bottom"/>
          </w:tcPr>
          <w:p>
            <w:pPr>
              <w:spacing w:after="0"/>
              <w:rPr>
                <w:sz w:val="12"/>
                <w:szCs w:val="12"/>
                <w:color w:val="auto"/>
              </w:rPr>
            </w:pPr>
          </w:p>
        </w:tc>
        <w:tc>
          <w:tcPr>
            <w:tcW w:w="1260" w:type="dxa"/>
            <w:vAlign w:val="bottom"/>
            <w:tcBorders>
              <w:bottom w:val="single" w:sz="8" w:color="auto"/>
            </w:tcBorders>
          </w:tcPr>
          <w:p>
            <w:pPr>
              <w:jc w:val="right"/>
              <w:ind w:right="758"/>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126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rPr>
              <w:t>5.8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44.77%</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59.06%</w:t>
            </w:r>
          </w:p>
        </w:tc>
        <w:tc>
          <w:tcPr>
            <w:tcW w:w="1260" w:type="dxa"/>
            <w:vAlign w:val="bottom"/>
          </w:tcPr>
          <w:p>
            <w:pPr>
              <w:jc w:val="right"/>
              <w:ind w:right="458"/>
              <w:spacing w:after="0"/>
              <w:rPr>
                <w:sz w:val="20"/>
                <w:szCs w:val="20"/>
                <w:color w:val="auto"/>
              </w:rPr>
            </w:pPr>
            <w:r>
              <w:rPr>
                <w:rFonts w:ascii="Arial" w:cs="Arial" w:eastAsia="Arial" w:hAnsi="Arial"/>
                <w:sz w:val="18"/>
                <w:szCs w:val="18"/>
                <w:color w:val="auto"/>
              </w:rPr>
              <w:t>49.70%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53.83%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126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2.06%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458"/>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left="220" w:firstLine="440"/>
        <w:spacing w:after="0" w:line="253" w:lineRule="auto"/>
        <w:rPr>
          <w:sz w:val="20"/>
          <w:szCs w:val="20"/>
          <w:color w:val="auto"/>
        </w:rPr>
      </w:pPr>
      <w:r>
        <w:rPr>
          <w:rFonts w:ascii="Arial" w:cs="Arial" w:eastAsia="Arial" w:hAnsi="Arial"/>
          <w:sz w:val="18"/>
          <w:szCs w:val="18"/>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2017, a total of 5,350,080 shares of common stock have been reserved for issuance under the Plan. 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activity under the Plan for the years ended December 31, 2016 and 2017 and June 30, 2018 (unaudited):</w:t>
      </w: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Available</w:t>
            </w:r>
          </w:p>
        </w:tc>
        <w:tc>
          <w:tcPr>
            <w:tcW w:w="36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w:t>
            </w: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36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295,371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2,034,892</w:t>
            </w: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to the Plan</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538,244</w:t>
            </w:r>
          </w:p>
        </w:tc>
        <w:tc>
          <w:tcPr>
            <w:tcW w:w="3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(664,735)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664,735</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 exercised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(121,807)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3.00</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115,871</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(115,871)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 repurchased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8,553</w:t>
            </w:r>
          </w:p>
        </w:tc>
        <w:tc>
          <w:tcPr>
            <w:tcW w:w="3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3.67</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293,304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2,461,949</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3.63</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to the Plan</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433,333</w:t>
            </w:r>
          </w:p>
        </w:tc>
        <w:tc>
          <w:tcPr>
            <w:tcW w:w="3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(875,873)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875,873</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 exercised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(157,003)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2.52</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178,890</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(178,890)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Balances at December 31, 2017</w:t>
            </w: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gridSpan w:val="2"/>
            <w:vMerge w:val="continue"/>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29,654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3,001,929</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4.15</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(53,785)</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53,785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(104,128)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(unaudited)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50,744</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(50,744)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gridSpan w:val="2"/>
            <w:vMerge w:val="continue"/>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26,613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2,900,842</w:t>
            </w:r>
          </w:p>
        </w:tc>
        <w:tc>
          <w:tcPr>
            <w:tcW w:w="360" w:type="dxa"/>
            <w:vAlign w:val="bottom"/>
          </w:tcPr>
          <w:p>
            <w:pPr>
              <w:spacing w:after="0"/>
              <w:rPr>
                <w:sz w:val="20"/>
                <w:szCs w:val="20"/>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4.09</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 - December 31, 2017</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1,535,335</w:t>
            </w: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 December 31, 2017</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2,771,444</w:t>
            </w:r>
          </w:p>
        </w:tc>
        <w:tc>
          <w:tcPr>
            <w:tcW w:w="36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3.96</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 - June 30, 2018 (unaudited)</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1,770,228</w:t>
            </w:r>
          </w:p>
        </w:tc>
        <w:tc>
          <w:tcPr>
            <w:tcW w:w="3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 June 30, 2018 (unaudited)</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2,674,388</w:t>
            </w:r>
          </w:p>
        </w:tc>
        <w:tc>
          <w:tcPr>
            <w:tcW w:w="36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3.96</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60" w:firstLine="440"/>
        <w:spacing w:after="0" w:line="256" w:lineRule="auto"/>
        <w:rPr>
          <w:sz w:val="20"/>
          <w:szCs w:val="20"/>
          <w:color w:val="auto"/>
        </w:rPr>
      </w:pPr>
      <w:r>
        <w:rPr>
          <w:rFonts w:ascii="Arial" w:cs="Arial" w:eastAsia="Arial" w:hAnsi="Arial"/>
          <w:sz w:val="18"/>
          <w:szCs w:val="18"/>
          <w:color w:val="auto"/>
        </w:rPr>
        <w:t>The aggregate intrinsic values of options outstanding, options exercisable, options vested and exercisable, and options vested and expected to vest were calculated as the difference between the exercise price of the options and the estimated fair value of the Company’s common stock, as determined by the board of directors, as of December 31, 2016, December 31, 2017 and June 30, 2018 (unaudited). The total grant date fair value of options that vested during each of the years ended December 31, 2016 and 2017 was $0.9 million, and $0.3 million (unaudited) and $0.6 million (unaudited) for the six months ended June 30, 2017 and 2018, respectively.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2017:</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4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Options Outstanding</w:t>
            </w:r>
          </w:p>
        </w:tc>
        <w:tc>
          <w:tcPr>
            <w:tcW w:w="76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Options Vested and Exercisable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4"/>
              </w:rPr>
              <w:t>Remaining</w:t>
            </w: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Exercise Price</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Outstanding</w:t>
            </w:r>
          </w:p>
        </w:tc>
        <w:tc>
          <w:tcPr>
            <w:tcW w:w="176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94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w w:val="89"/>
              </w:rPr>
              <w:t>Number Vested</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4"/>
              </w:rPr>
              <w:t>Life (Years)</w:t>
            </w:r>
          </w:p>
        </w:tc>
        <w:tc>
          <w:tcPr>
            <w:tcW w:w="194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88"/>
              </w:rPr>
              <w:t>$0.27 – $3.25</w:t>
            </w: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307,143</w:t>
            </w:r>
          </w:p>
        </w:tc>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296,696</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ind w:left="533"/>
              <w:spacing w:after="0"/>
              <w:rPr>
                <w:sz w:val="20"/>
                <w:szCs w:val="20"/>
                <w:color w:val="auto"/>
              </w:rPr>
            </w:pPr>
            <w:r>
              <w:rPr>
                <w:rFonts w:ascii="Arial" w:cs="Arial" w:eastAsia="Arial" w:hAnsi="Arial"/>
                <w:sz w:val="18"/>
                <w:szCs w:val="18"/>
                <w:color w:val="auto"/>
                <w:w w:val="88"/>
              </w:rPr>
              <w:t>$3.26 – $3.80</w:t>
            </w:r>
          </w:p>
        </w:tc>
        <w:tc>
          <w:tcPr>
            <w:tcW w:w="3880" w:type="dxa"/>
            <w:vAlign w:val="bottom"/>
            <w:gridSpan w:val="4"/>
          </w:tcPr>
          <w:p>
            <w:pPr>
              <w:jc w:val="right"/>
              <w:ind w:right="1000"/>
              <w:spacing w:after="0"/>
              <w:rPr>
                <w:sz w:val="20"/>
                <w:szCs w:val="20"/>
                <w:color w:val="auto"/>
              </w:rPr>
            </w:pPr>
            <w:r>
              <w:rPr>
                <w:rFonts w:ascii="Arial" w:cs="Arial" w:eastAsia="Arial" w:hAnsi="Arial"/>
                <w:sz w:val="18"/>
                <w:szCs w:val="18"/>
                <w:color w:val="auto"/>
              </w:rPr>
              <w:t>606,491</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6.6</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510,992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9"/>
              </w:rPr>
              <w:t>$3.81– $4.29</w:t>
            </w:r>
          </w:p>
        </w:tc>
        <w:tc>
          <w:tcPr>
            <w:tcW w:w="3880" w:type="dxa"/>
            <w:vAlign w:val="bottom"/>
            <w:gridSpan w:val="4"/>
            <w:shd w:val="clear" w:color="auto" w:fill="CCEEFF"/>
          </w:tcPr>
          <w:p>
            <w:pPr>
              <w:jc w:val="right"/>
              <w:ind w:right="1000"/>
              <w:spacing w:after="0"/>
              <w:rPr>
                <w:sz w:val="20"/>
                <w:szCs w:val="20"/>
                <w:color w:val="auto"/>
              </w:rPr>
            </w:pPr>
            <w:r>
              <w:rPr>
                <w:rFonts w:ascii="Arial" w:cs="Arial" w:eastAsia="Arial" w:hAnsi="Arial"/>
                <w:sz w:val="18"/>
                <w:szCs w:val="18"/>
                <w:color w:val="auto"/>
              </w:rPr>
              <w:t>168,244</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5.3</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159,911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480" w:type="dxa"/>
            <w:vAlign w:val="bottom"/>
          </w:tcPr>
          <w:p>
            <w:pPr>
              <w:jc w:val="center"/>
              <w:ind w:left="533"/>
              <w:spacing w:after="0"/>
              <w:rPr>
                <w:sz w:val="20"/>
                <w:szCs w:val="20"/>
                <w:color w:val="auto"/>
              </w:rPr>
            </w:pPr>
            <w:r>
              <w:rPr>
                <w:rFonts w:ascii="Arial" w:cs="Arial" w:eastAsia="Arial" w:hAnsi="Arial"/>
                <w:sz w:val="18"/>
                <w:szCs w:val="18"/>
                <w:color w:val="auto"/>
                <w:w w:val="88"/>
              </w:rPr>
              <w:t>$4.30 – $4.49</w:t>
            </w:r>
          </w:p>
        </w:tc>
        <w:tc>
          <w:tcPr>
            <w:tcW w:w="3880" w:type="dxa"/>
            <w:vAlign w:val="bottom"/>
            <w:gridSpan w:val="4"/>
          </w:tcPr>
          <w:p>
            <w:pPr>
              <w:jc w:val="right"/>
              <w:ind w:right="1000"/>
              <w:spacing w:after="0"/>
              <w:rPr>
                <w:sz w:val="20"/>
                <w:szCs w:val="20"/>
                <w:color w:val="auto"/>
              </w:rPr>
            </w:pPr>
            <w:r>
              <w:rPr>
                <w:rFonts w:ascii="Arial" w:cs="Arial" w:eastAsia="Arial" w:hAnsi="Arial"/>
                <w:sz w:val="18"/>
                <w:szCs w:val="18"/>
                <w:color w:val="auto"/>
              </w:rPr>
              <w:t>1,067,667</w:t>
            </w: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8.0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525,515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8"/>
              </w:rPr>
              <w:t>$4.50 – $4.85</w:t>
            </w:r>
          </w:p>
        </w:tc>
        <w:tc>
          <w:tcPr>
            <w:tcW w:w="3880" w:type="dxa"/>
            <w:vAlign w:val="bottom"/>
            <w:gridSpan w:val="4"/>
            <w:shd w:val="clear" w:color="auto" w:fill="CCEEFF"/>
          </w:tcPr>
          <w:p>
            <w:pPr>
              <w:jc w:val="right"/>
              <w:ind w:right="1000"/>
              <w:spacing w:after="0"/>
              <w:rPr>
                <w:sz w:val="20"/>
                <w:szCs w:val="20"/>
                <w:color w:val="auto"/>
              </w:rPr>
            </w:pPr>
            <w:r>
              <w:rPr>
                <w:rFonts w:ascii="Arial" w:cs="Arial" w:eastAsia="Arial" w:hAnsi="Arial"/>
                <w:sz w:val="18"/>
                <w:szCs w:val="18"/>
                <w:color w:val="auto"/>
              </w:rPr>
              <w:t>580,953</w:t>
            </w:r>
          </w:p>
        </w:tc>
        <w:tc>
          <w:tcPr>
            <w:tcW w:w="17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9.4</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32,388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480" w:type="dxa"/>
            <w:vAlign w:val="bottom"/>
          </w:tcPr>
          <w:p>
            <w:pPr>
              <w:jc w:val="center"/>
              <w:ind w:left="533"/>
              <w:spacing w:after="0"/>
              <w:rPr>
                <w:sz w:val="20"/>
                <w:szCs w:val="20"/>
                <w:color w:val="auto"/>
              </w:rPr>
            </w:pPr>
            <w:r>
              <w:rPr>
                <w:rFonts w:ascii="Arial" w:cs="Arial" w:eastAsia="Arial" w:hAnsi="Arial"/>
                <w:sz w:val="18"/>
                <w:szCs w:val="18"/>
                <w:color w:val="auto"/>
                <w:w w:val="88"/>
              </w:rPr>
              <w:t>$4.86 – $9.75</w:t>
            </w:r>
          </w:p>
        </w:tc>
        <w:tc>
          <w:tcPr>
            <w:tcW w:w="1560" w:type="dxa"/>
            <w:vAlign w:val="bottom"/>
            <w:gridSpan w:val="2"/>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271,431</w:t>
            </w:r>
          </w:p>
        </w:tc>
        <w:tc>
          <w:tcPr>
            <w:tcW w:w="1000" w:type="dxa"/>
            <w:vAlign w:val="bottom"/>
          </w:tcPr>
          <w:p>
            <w:pPr>
              <w:spacing w:after="0"/>
              <w:rPr>
                <w:sz w:val="18"/>
                <w:szCs w:val="18"/>
                <w:color w:val="auto"/>
              </w:rPr>
            </w:pPr>
          </w:p>
        </w:tc>
        <w:tc>
          <w:tcPr>
            <w:tcW w:w="1760" w:type="dxa"/>
            <w:vAlign w:val="bottom"/>
            <w:gridSpan w:val="2"/>
          </w:tcPr>
          <w:p>
            <w:pPr>
              <w:jc w:val="right"/>
              <w:ind w:right="1000"/>
              <w:spacing w:after="0"/>
              <w:rPr>
                <w:sz w:val="20"/>
                <w:szCs w:val="20"/>
                <w:color w:val="auto"/>
              </w:rPr>
            </w:pPr>
            <w:r>
              <w:rPr>
                <w:rFonts w:ascii="Arial" w:cs="Arial" w:eastAsia="Arial" w:hAnsi="Arial"/>
                <w:sz w:val="18"/>
                <w:szCs w:val="18"/>
                <w:color w:val="auto"/>
              </w:rPr>
              <w:t>9.2</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9,833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3,001,929</w:t>
            </w: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1,535,335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under the Plan at June 30, 2018 (unaudited):</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3900" w:type="dxa"/>
            <w:vAlign w:val="bottom"/>
            <w:gridSpan w:val="4"/>
          </w:tcPr>
          <w:p>
            <w:pPr>
              <w:ind w:left="440"/>
              <w:spacing w:after="0"/>
              <w:rPr>
                <w:sz w:val="20"/>
                <w:szCs w:val="20"/>
                <w:color w:val="auto"/>
              </w:rPr>
            </w:pPr>
            <w:r>
              <w:rPr>
                <w:rFonts w:ascii="Arial" w:cs="Arial" w:eastAsia="Arial" w:hAnsi="Arial"/>
                <w:sz w:val="14"/>
                <w:szCs w:val="14"/>
                <w:b w:val="1"/>
                <w:bCs w:val="1"/>
                <w:color w:val="auto"/>
              </w:rPr>
              <w:t>Options Outstanding</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4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Average</w:t>
            </w:r>
          </w:p>
        </w:tc>
        <w:tc>
          <w:tcPr>
            <w:tcW w:w="10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jc w:val="center"/>
              <w:ind w:left="515"/>
              <w:spacing w:after="0"/>
              <w:rPr>
                <w:sz w:val="20"/>
                <w:szCs w:val="20"/>
                <w:color w:val="auto"/>
              </w:rPr>
            </w:pPr>
            <w:r>
              <w:rPr>
                <w:rFonts w:ascii="Arial" w:cs="Arial" w:eastAsia="Arial" w:hAnsi="Arial"/>
                <w:sz w:val="14"/>
                <w:szCs w:val="14"/>
                <w:b w:val="1"/>
                <w:bCs w:val="1"/>
                <w:color w:val="auto"/>
                <w:w w:val="90"/>
              </w:rPr>
              <w:t>Exercise</w:t>
            </w: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4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Outstanding</w:t>
            </w:r>
          </w:p>
        </w:tc>
        <w:tc>
          <w:tcPr>
            <w:tcW w:w="1760" w:type="dxa"/>
            <w:vAlign w:val="bottom"/>
            <w:gridSpan w:val="2"/>
          </w:tcPr>
          <w:p>
            <w:pPr>
              <w:jc w:val="right"/>
              <w:ind w:right="102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14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5"/>
        </w:trPr>
        <w:tc>
          <w:tcPr>
            <w:tcW w:w="2480" w:type="dxa"/>
            <w:vAlign w:val="bottom"/>
          </w:tcPr>
          <w:p>
            <w:pPr>
              <w:jc w:val="center"/>
              <w:ind w:left="515"/>
              <w:spacing w:after="0"/>
              <w:rPr>
                <w:sz w:val="20"/>
                <w:szCs w:val="20"/>
                <w:color w:val="auto"/>
              </w:rPr>
            </w:pPr>
            <w:r>
              <w:rPr>
                <w:rFonts w:ascii="Arial" w:cs="Arial" w:eastAsia="Arial" w:hAnsi="Arial"/>
                <w:sz w:val="14"/>
                <w:szCs w:val="14"/>
                <w:b w:val="1"/>
                <w:bCs w:val="1"/>
                <w:color w:val="auto"/>
                <w:w w:val="93"/>
              </w:rPr>
              <w:t>Price</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1"/>
              </w:rPr>
              <w:t>Life (Years)</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Vested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88"/>
              </w:rPr>
              <w:t>$0.27 – $3.25</w:t>
            </w: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306,727</w:t>
            </w:r>
          </w:p>
        </w:tc>
        <w:tc>
          <w:tcPr>
            <w:tcW w:w="10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295,616</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ind w:left="495"/>
              <w:spacing w:after="0"/>
              <w:rPr>
                <w:sz w:val="20"/>
                <w:szCs w:val="20"/>
                <w:color w:val="auto"/>
              </w:rPr>
            </w:pPr>
            <w:r>
              <w:rPr>
                <w:rFonts w:ascii="Arial" w:cs="Arial" w:eastAsia="Arial" w:hAnsi="Arial"/>
                <w:sz w:val="18"/>
                <w:szCs w:val="18"/>
                <w:color w:val="auto"/>
                <w:w w:val="88"/>
              </w:rPr>
              <w:t>$3.26 – $3.80</w:t>
            </w:r>
          </w:p>
        </w:tc>
        <w:tc>
          <w:tcPr>
            <w:tcW w:w="3900" w:type="dxa"/>
            <w:vAlign w:val="bottom"/>
            <w:gridSpan w:val="4"/>
          </w:tcPr>
          <w:p>
            <w:pPr>
              <w:jc w:val="right"/>
              <w:ind w:right="1020"/>
              <w:spacing w:after="0"/>
              <w:rPr>
                <w:sz w:val="20"/>
                <w:szCs w:val="20"/>
                <w:color w:val="auto"/>
              </w:rPr>
            </w:pPr>
            <w:r>
              <w:rPr>
                <w:rFonts w:ascii="Arial" w:cs="Arial" w:eastAsia="Arial" w:hAnsi="Arial"/>
                <w:sz w:val="18"/>
                <w:szCs w:val="18"/>
                <w:color w:val="auto"/>
              </w:rPr>
              <w:t>595,757</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6.1</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595,672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8"/>
              </w:rPr>
              <w:t>$3.81 – $4.29</w:t>
            </w:r>
          </w:p>
        </w:tc>
        <w:tc>
          <w:tcPr>
            <w:tcW w:w="3900" w:type="dxa"/>
            <w:vAlign w:val="bottom"/>
            <w:gridSpan w:val="4"/>
            <w:shd w:val="clear" w:color="auto" w:fill="CCEEFF"/>
          </w:tcPr>
          <w:p>
            <w:pPr>
              <w:jc w:val="right"/>
              <w:ind w:right="1020"/>
              <w:spacing w:after="0"/>
              <w:rPr>
                <w:sz w:val="20"/>
                <w:szCs w:val="20"/>
                <w:color w:val="auto"/>
              </w:rPr>
            </w:pPr>
            <w:r>
              <w:rPr>
                <w:rFonts w:ascii="Arial" w:cs="Arial" w:eastAsia="Arial" w:hAnsi="Arial"/>
                <w:sz w:val="18"/>
                <w:szCs w:val="18"/>
                <w:color w:val="auto"/>
              </w:rPr>
              <w:t>159,810</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4.8</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159,810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480" w:type="dxa"/>
            <w:vAlign w:val="bottom"/>
          </w:tcPr>
          <w:p>
            <w:pPr>
              <w:jc w:val="center"/>
              <w:ind w:left="495"/>
              <w:spacing w:after="0"/>
              <w:rPr>
                <w:sz w:val="20"/>
                <w:szCs w:val="20"/>
                <w:color w:val="auto"/>
              </w:rPr>
            </w:pPr>
            <w:r>
              <w:rPr>
                <w:rFonts w:ascii="Arial" w:cs="Arial" w:eastAsia="Arial" w:hAnsi="Arial"/>
                <w:sz w:val="18"/>
                <w:szCs w:val="18"/>
                <w:color w:val="auto"/>
                <w:w w:val="88"/>
              </w:rPr>
              <w:t>$4.30 – $4.49</w:t>
            </w:r>
          </w:p>
        </w:tc>
        <w:tc>
          <w:tcPr>
            <w:tcW w:w="3900" w:type="dxa"/>
            <w:vAlign w:val="bottom"/>
            <w:gridSpan w:val="4"/>
          </w:tcPr>
          <w:p>
            <w:pPr>
              <w:jc w:val="right"/>
              <w:ind w:right="1020"/>
              <w:spacing w:after="0"/>
              <w:rPr>
                <w:sz w:val="20"/>
                <w:szCs w:val="20"/>
                <w:color w:val="auto"/>
              </w:rPr>
            </w:pPr>
            <w:r>
              <w:rPr>
                <w:rFonts w:ascii="Arial" w:cs="Arial" w:eastAsia="Arial" w:hAnsi="Arial"/>
                <w:sz w:val="18"/>
                <w:szCs w:val="18"/>
                <w:color w:val="auto"/>
              </w:rPr>
              <w:t>1,013,897</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7.5</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1,001,220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8"/>
              </w:rPr>
              <w:t>$4.50 – $4.85</w:t>
            </w:r>
          </w:p>
        </w:tc>
        <w:tc>
          <w:tcPr>
            <w:tcW w:w="3900" w:type="dxa"/>
            <w:vAlign w:val="bottom"/>
            <w:gridSpan w:val="4"/>
            <w:shd w:val="clear" w:color="auto" w:fill="CCEEFF"/>
          </w:tcPr>
          <w:p>
            <w:pPr>
              <w:jc w:val="right"/>
              <w:ind w:right="1020"/>
              <w:spacing w:after="0"/>
              <w:rPr>
                <w:sz w:val="20"/>
                <w:szCs w:val="20"/>
                <w:color w:val="auto"/>
              </w:rPr>
            </w:pPr>
            <w:r>
              <w:rPr>
                <w:rFonts w:ascii="Arial" w:cs="Arial" w:eastAsia="Arial" w:hAnsi="Arial"/>
                <w:sz w:val="18"/>
                <w:szCs w:val="18"/>
                <w:color w:val="auto"/>
              </w:rPr>
              <w:t>565,764</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8.9</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527,633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3"/>
        </w:trPr>
        <w:tc>
          <w:tcPr>
            <w:tcW w:w="2480" w:type="dxa"/>
            <w:vAlign w:val="bottom"/>
          </w:tcPr>
          <w:p>
            <w:pPr>
              <w:jc w:val="center"/>
              <w:ind w:left="495"/>
              <w:spacing w:after="0"/>
              <w:rPr>
                <w:sz w:val="20"/>
                <w:szCs w:val="20"/>
                <w:color w:val="auto"/>
              </w:rPr>
            </w:pPr>
            <w:r>
              <w:rPr>
                <w:rFonts w:ascii="Arial" w:cs="Arial" w:eastAsia="Arial" w:hAnsi="Arial"/>
                <w:sz w:val="18"/>
                <w:szCs w:val="18"/>
                <w:color w:val="auto"/>
                <w:w w:val="88"/>
              </w:rPr>
              <w:t>$4.86 – $9.75</w:t>
            </w:r>
          </w:p>
        </w:tc>
        <w:tc>
          <w:tcPr>
            <w:tcW w:w="1560" w:type="dxa"/>
            <w:vAlign w:val="bottom"/>
            <w:gridSpan w:val="2"/>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258,887</w:t>
            </w:r>
          </w:p>
        </w:tc>
        <w:tc>
          <w:tcPr>
            <w:tcW w:w="1020" w:type="dxa"/>
            <w:vAlign w:val="bottom"/>
          </w:tcPr>
          <w:p>
            <w:pPr>
              <w:spacing w:after="0"/>
              <w:rPr>
                <w:sz w:val="19"/>
                <w:szCs w:val="19"/>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8.7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94,437</w:t>
            </w:r>
          </w:p>
        </w:tc>
        <w:tc>
          <w:tcPr>
            <w:tcW w:w="5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3900" w:type="dxa"/>
            <w:vAlign w:val="bottom"/>
            <w:gridSpan w:val="4"/>
            <w:shd w:val="clear" w:color="auto" w:fill="CCEEFF"/>
          </w:tcPr>
          <w:p>
            <w:pPr>
              <w:jc w:val="right"/>
              <w:ind w:right="1020"/>
              <w:spacing w:after="0"/>
              <w:rPr>
                <w:sz w:val="20"/>
                <w:szCs w:val="20"/>
                <w:color w:val="auto"/>
              </w:rPr>
            </w:pPr>
            <w:r>
              <w:rPr>
                <w:rFonts w:ascii="Arial" w:cs="Arial" w:eastAsia="Arial" w:hAnsi="Arial"/>
                <w:sz w:val="18"/>
                <w:szCs w:val="18"/>
                <w:color w:val="auto"/>
              </w:rPr>
              <w:t>2,900,842</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2,674,388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ind w:left="220" w:right="20" w:firstLine="440"/>
        <w:spacing w:after="0" w:line="275"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December 31, 2016 and 2017, and June 30, 2018, the Company had a total of 47,447, 16,117 and 64,107 (unaudited) shares of common stock, respectively, subject to repurchase under the Plan and $0.2 million, $0.1 million and $0.3 million (unaudited), respectively, of associated liabilities for the repurchase.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stock-based compensation expense related to options granted for the periods presented (in thousands):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1,131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340" w:firstLine="440"/>
        <w:spacing w:after="0" w:line="277" w:lineRule="auto"/>
        <w:rPr>
          <w:sz w:val="20"/>
          <w:szCs w:val="20"/>
          <w:color w:val="auto"/>
        </w:rPr>
      </w:pPr>
      <w:r>
        <w:rPr>
          <w:rFonts w:ascii="Arial" w:cs="Arial" w:eastAsia="Arial" w:hAnsi="Arial"/>
          <w:sz w:val="18"/>
          <w:szCs w:val="18"/>
          <w:color w:val="auto"/>
        </w:rPr>
        <w:t>Amounts above do not include $0.4 million of stock-based compensation expense related to forgiveness of notes receivable for the year ended December 31, 2017 and the six months ended June 30, 2018. Refer to Note 13 for details.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left="220" w:right="20" w:firstLine="440"/>
        <w:spacing w:after="0" w:line="272" w:lineRule="auto"/>
        <w:rPr>
          <w:sz w:val="20"/>
          <w:szCs w:val="20"/>
          <w:color w:val="auto"/>
        </w:rPr>
      </w:pPr>
      <w:r>
        <w:rPr>
          <w:rFonts w:ascii="Arial" w:cs="Arial" w:eastAsia="Arial" w:hAnsi="Arial"/>
          <w:sz w:val="17"/>
          <w:szCs w:val="17"/>
          <w:color w:val="auto"/>
        </w:rPr>
        <w:t>During the years ended December 31, 2016 and 2017 and the six months ended June 30, 2017 and 2018, the Company granted stock options to employees to purchase 661,958, 875,207, 697,241 (unaudited) and 53,092 (unaudited) shares of common stock, respectively, with a weighted-average grant date fair value of $3.60, $1.80, $3.06 (unaudited) and $1.98 (unaudited), respectively. As of December 31, 2017, there was a total unrecognized compensation cost of $2.9 million. These costs are expected to be recognized over a period of approximately 2.5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Stock Options</w:t>
      </w:r>
    </w:p>
    <w:p>
      <w:pPr>
        <w:spacing w:after="0" w:line="117" w:lineRule="exact"/>
        <w:rPr>
          <w:sz w:val="20"/>
          <w:szCs w:val="20"/>
          <w:color w:val="auto"/>
        </w:rPr>
      </w:pPr>
    </w:p>
    <w:p>
      <w:pPr>
        <w:ind w:left="220" w:right="100" w:firstLine="440"/>
        <w:spacing w:after="0" w:line="254" w:lineRule="auto"/>
        <w:rPr>
          <w:sz w:val="20"/>
          <w:szCs w:val="20"/>
          <w:color w:val="auto"/>
        </w:rPr>
      </w:pPr>
      <w:r>
        <w:rPr>
          <w:rFonts w:ascii="Arial" w:cs="Arial" w:eastAsia="Arial" w:hAnsi="Arial"/>
          <w:sz w:val="18"/>
          <w:szCs w:val="18"/>
          <w:color w:val="auto"/>
        </w:rPr>
        <w:t>In March 2017, the Company granted 564,098 performance stock options at a grant price of $5.94, of which 408,544 performance options will vest monthly over four years and 155,554 performance options will vest monthly over three years. The vesting period will begin on the date of the closing of an IPO, the performance condition, subject to the optionee’s continuous service. Stock-based compensation expense for performance stock options is based on the probability of achieving certain performance criteria, as defined in the individual option grant agreement. Periodically, the Company estimates the number of performance options ultimately expected to vest and recognizes stock-based compensation expense for those options when it becomes probable that the performance criteria will be met. As of December 31, 2017 and June 30, 2018, an IPO was not deemed probable and thus no expense was recognized. In December 2017, a portion of these option grants were modified as described in the options modification/repricing section below.</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left="220" w:right="360" w:firstLine="440"/>
        <w:spacing w:after="0" w:line="277" w:lineRule="auto"/>
        <w:rPr>
          <w:sz w:val="20"/>
          <w:szCs w:val="20"/>
          <w:color w:val="auto"/>
        </w:rPr>
      </w:pPr>
      <w:r>
        <w:rPr>
          <w:rFonts w:ascii="Arial" w:cs="Arial" w:eastAsia="Arial" w:hAnsi="Arial"/>
          <w:sz w:val="18"/>
          <w:szCs w:val="18"/>
          <w:color w:val="auto"/>
        </w:rPr>
        <w:t>The fair value of the shares of the Company’s common stock underlying the stock options has historically been determined by the Company’s Board of Directors. Because there has been no public market for the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260"/>
        <w:spacing w:after="0" w:line="301" w:lineRule="auto"/>
        <w:rPr>
          <w:sz w:val="20"/>
          <w:szCs w:val="20"/>
          <w:color w:val="auto"/>
        </w:rPr>
      </w:pPr>
      <w:r>
        <w:rPr>
          <w:rFonts w:ascii="Arial" w:cs="Arial" w:eastAsia="Arial" w:hAnsi="Arial"/>
          <w:sz w:val="16"/>
          <w:szCs w:val="16"/>
          <w:color w:val="auto"/>
        </w:rPr>
        <w:t>Company’s common stock, its Board of Directors has determined the fair value of the Company’s common stock at the time of grant of the option by considering a number of objective and subjective factors, including independent third-party valuations, the Company’s stage of development, sales of the Company’s redeemable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left="220" w:right="140" w:firstLine="440"/>
        <w:spacing w:after="0" w:line="307"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left="220" w:right="420" w:firstLine="440"/>
        <w:spacing w:after="0" w:line="263"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left="220" w:right="620" w:firstLine="440"/>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left="220" w:right="320" w:firstLine="440"/>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left="220" w:right="20" w:firstLine="440"/>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6" w:lineRule="exact"/>
        <w:rPr>
          <w:sz w:val="20"/>
          <w:szCs w:val="20"/>
          <w:color w:val="auto"/>
        </w:rPr>
      </w:pPr>
    </w:p>
    <w:p>
      <w:pPr>
        <w:ind w:left="220" w:right="100" w:firstLine="440"/>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2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142"/>
        </w:trPr>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26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91"/>
              </w:rPr>
              <w:t>6.25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44%-54%</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42%-55%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43%-55%</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42%-45%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gridSpan w:val="2"/>
            <w:shd w:val="clear" w:color="auto" w:fill="CCEEFF"/>
          </w:tcPr>
          <w:p>
            <w:pPr>
              <w:jc w:val="center"/>
              <w:ind w:left="1830"/>
              <w:spacing w:after="0"/>
              <w:rPr>
                <w:sz w:val="20"/>
                <w:szCs w:val="20"/>
                <w:color w:val="auto"/>
              </w:rPr>
            </w:pPr>
            <w:r>
              <w:rPr>
                <w:rFonts w:ascii="Arial" w:cs="Arial" w:eastAsia="Arial" w:hAnsi="Arial"/>
                <w:sz w:val="18"/>
                <w:szCs w:val="18"/>
                <w:color w:val="auto"/>
                <w:w w:val="90"/>
              </w:rPr>
              <w:t>1.14%-2.19%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1.73%-2.31%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1.76%-2.28%</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2.35%-2.93%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Dividend yield</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0%</w:t>
            </w:r>
          </w:p>
        </w:tc>
      </w:tr>
      <w:tr>
        <w:trPr>
          <w:trHeight w:val="350"/>
        </w:trPr>
        <w:tc>
          <w:tcPr>
            <w:tcW w:w="3440" w:type="dxa"/>
            <w:vAlign w:val="bottom"/>
          </w:tcPr>
          <w:p>
            <w:pPr>
              <w:spacing w:after="0"/>
              <w:rPr>
                <w:sz w:val="24"/>
                <w:szCs w:val="24"/>
                <w:color w:val="auto"/>
              </w:rPr>
            </w:pPr>
          </w:p>
        </w:tc>
        <w:tc>
          <w:tcPr>
            <w:tcW w:w="3360" w:type="dxa"/>
            <w:vAlign w:val="bottom"/>
            <w:gridSpan w:val="3"/>
          </w:tcPr>
          <w:p>
            <w:pPr>
              <w:ind w:left="1880"/>
              <w:spacing w:after="0"/>
              <w:rPr>
                <w:sz w:val="20"/>
                <w:szCs w:val="20"/>
                <w:color w:val="auto"/>
              </w:rPr>
            </w:pPr>
            <w:r>
              <w:rPr>
                <w:rFonts w:ascii="Arial" w:cs="Arial" w:eastAsia="Arial" w:hAnsi="Arial"/>
                <w:sz w:val="18"/>
                <w:szCs w:val="18"/>
                <w:color w:val="auto"/>
              </w:rPr>
              <w:t>F-34</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Non-Employee Stock-Based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years ended December 31, 2016 and 2017 and the six months ended June 30, 2017 and 2018, the Company granted 2,777, 666, 666</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(unaudited) and 693 (unaudited) stock options, respectively, to nonemployees, at an average exercise price of $9.72, $5.94, $5.94 (unaudited) and $4.68</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(unaudited) per share, respectively. The stock-based compensation expense was insignificant for the all periods presented.</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 Modification/Repricing</w:t>
      </w:r>
    </w:p>
    <w:p>
      <w:pPr>
        <w:spacing w:after="0" w:line="117" w:lineRule="exact"/>
        <w:rPr>
          <w:sz w:val="20"/>
          <w:szCs w:val="20"/>
          <w:color w:val="auto"/>
        </w:rPr>
      </w:pPr>
    </w:p>
    <w:p>
      <w:pPr>
        <w:ind w:left="220" w:right="100" w:firstLine="440"/>
        <w:spacing w:after="0" w:line="256" w:lineRule="auto"/>
        <w:rPr>
          <w:sz w:val="20"/>
          <w:szCs w:val="20"/>
          <w:color w:val="auto"/>
        </w:rPr>
      </w:pPr>
      <w:r>
        <w:rPr>
          <w:rFonts w:ascii="Arial" w:cs="Arial" w:eastAsia="Arial" w:hAnsi="Arial"/>
          <w:sz w:val="18"/>
          <w:szCs w:val="18"/>
          <w:color w:val="auto"/>
        </w:rPr>
        <w:t>In July 2016, the Company modified the terms of 575,742 vested and unvested stock option awards by reducing their exercise price from $7.92 – $9.72 to $4.32 per share. There was no change in any of the other terms of the option awards. The modification resulted in an incremental value of $0.4 million being allocated to the options, of which $0.1 million was recognized to expense immediately based on options that were vested at the time of the modification. The remaining incremental value of $0.3 million attributable to unvested shares at December 31, 2016 will be recognized over a weighted-average remaining term of 2.55 years.</w:t>
      </w:r>
    </w:p>
    <w:p>
      <w:pPr>
        <w:spacing w:after="0" w:line="191" w:lineRule="exact"/>
        <w:rPr>
          <w:sz w:val="20"/>
          <w:szCs w:val="20"/>
          <w:color w:val="auto"/>
        </w:rPr>
      </w:pPr>
    </w:p>
    <w:p>
      <w:pPr>
        <w:ind w:left="220" w:firstLine="440"/>
        <w:spacing w:after="0" w:line="296" w:lineRule="auto"/>
        <w:rPr>
          <w:sz w:val="20"/>
          <w:szCs w:val="20"/>
          <w:color w:val="auto"/>
        </w:rPr>
      </w:pPr>
      <w:r>
        <w:rPr>
          <w:rFonts w:ascii="Arial" w:cs="Arial" w:eastAsia="Arial" w:hAnsi="Arial"/>
          <w:sz w:val="16"/>
          <w:szCs w:val="16"/>
          <w:color w:val="auto"/>
        </w:rPr>
        <w:t>In December 2017, the Company modified the terms of 394,652 unvested stock option awards granted in March 2017, by reducing their exercise price from $5.94 to $4.68 per share. In addition, the vesting performance conditions for these options were removed and the vesting commencement date changed from the IPO date to September 2017. There were no other changes in any of the other terms of the option awards. Due to these options previously subject to performance conditions that were not deemed probable of occurring, the Company had not recognized any expense related to these grants. The modification resulted in total expense of $0.8 million that is recognized over the amended vesting period of forty-eight months.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left="220" w:right="80" w:firstLine="440"/>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loss before income taxes are as follows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(22,706)</w:t>
            </w:r>
          </w:p>
        </w:tc>
        <w:tc>
          <w:tcPr>
            <w:tcW w:w="12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27"/>
        </w:trPr>
        <w:tc>
          <w:tcPr>
            <w:tcW w:w="37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(20,589)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(23,028)</w:t>
            </w:r>
          </w:p>
        </w:tc>
      </w:tr>
      <w:tr>
        <w:trPr>
          <w:trHeight w:val="20"/>
        </w:trPr>
        <w:tc>
          <w:tcPr>
            <w:tcW w:w="37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760" w:type="dxa"/>
            <w:vAlign w:val="bottom"/>
          </w:tcPr>
          <w:p>
            <w:pPr>
              <w:spacing w:after="0"/>
              <w:rPr>
                <w:sz w:val="24"/>
                <w:szCs w:val="24"/>
                <w:color w:val="auto"/>
              </w:rPr>
            </w:pPr>
          </w:p>
        </w:tc>
        <w:tc>
          <w:tcPr>
            <w:tcW w:w="5240" w:type="dxa"/>
            <w:vAlign w:val="bottom"/>
            <w:gridSpan w:val="2"/>
          </w:tcPr>
          <w:p>
            <w:pPr>
              <w:jc w:val="right"/>
              <w:ind w:right="3250"/>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4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tax expense</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6,810</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480" w:type="dxa"/>
            <w:vAlign w:val="bottom"/>
            <w:gridSpan w:val="3"/>
          </w:tcPr>
          <w:p>
            <w:pPr>
              <w:jc w:val="right"/>
              <w:ind w:right="90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80"/>
              <w:spacing w:after="0"/>
              <w:rPr>
                <w:sz w:val="20"/>
                <w:szCs w:val="20"/>
                <w:color w:val="auto"/>
              </w:rPr>
            </w:pPr>
            <w:r>
              <w:rPr>
                <w:rFonts w:ascii="Arial" w:cs="Arial" w:eastAsia="Arial" w:hAnsi="Arial"/>
                <w:sz w:val="18"/>
                <w:szCs w:val="18"/>
                <w:color w:val="auto"/>
              </w:rPr>
              <w:t>Total deferred tax expense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7,751</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(7,751)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Net deferred tax expense</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20" w:type="dxa"/>
            <w:vAlign w:val="bottom"/>
            <w:gridSpan w:val="5"/>
          </w:tcPr>
          <w:p>
            <w:pPr>
              <w:jc w:val="right"/>
              <w:ind w:right="700"/>
              <w:spacing w:after="0"/>
              <w:rPr>
                <w:sz w:val="20"/>
                <w:szCs w:val="20"/>
                <w:color w:val="auto"/>
              </w:rPr>
            </w:pPr>
            <w:r>
              <w:rPr>
                <w:rFonts w:ascii="Arial" w:cs="Arial" w:eastAsia="Arial" w:hAnsi="Arial"/>
                <w:sz w:val="18"/>
                <w:szCs w:val="18"/>
                <w:color w:val="auto"/>
                <w:w w:val="95"/>
              </w:rPr>
              <w:t>Income tax expense differs from the amount computed by applying the statutory federal income tax rate due to the following:</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20" w:type="dxa"/>
            <w:vAlign w:val="bottom"/>
          </w:tcPr>
          <w:p>
            <w:pPr>
              <w:spacing w:after="0"/>
              <w:rPr>
                <w:sz w:val="18"/>
                <w:szCs w:val="18"/>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Measurement of deferred taxes as a result of tax reform</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18"/>
                <w:szCs w:val="18"/>
                <w:color w:val="auto"/>
              </w:rPr>
            </w:pPr>
          </w:p>
        </w:tc>
        <w:tc>
          <w:tcPr>
            <w:tcW w:w="1480" w:type="dxa"/>
            <w:vAlign w:val="bottom"/>
            <w:gridSpan w:val="3"/>
          </w:tcPr>
          <w:p>
            <w:pPr>
              <w:jc w:val="right"/>
              <w:ind w:right="8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8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presented below (in thousands):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09"/>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32,210</w:t>
            </w: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43,347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(43,347)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(35,835)</w:t>
            </w: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480" w:firstLine="440"/>
        <w:spacing w:after="0" w:line="277" w:lineRule="auto"/>
        <w:rPr>
          <w:sz w:val="20"/>
          <w:szCs w:val="20"/>
          <w:color w:val="auto"/>
        </w:rPr>
      </w:pPr>
      <w:r>
        <w:rPr>
          <w:rFonts w:ascii="Arial" w:cs="Arial" w:eastAsia="Arial" w:hAnsi="Arial"/>
          <w:sz w:val="18"/>
          <w:szCs w:val="18"/>
          <w:color w:val="auto"/>
        </w:rPr>
        <w:t>The Company has established a full valuation allowance against its deferred tax assets due to the uncertainty surrounding realization of such assets. The valuation allowance decreased by $7.5 million in the year ended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color w:val="auto"/>
        </w:rPr>
        <w:t>December 31, 2017, due to an increase in total deferred tax assets and a decrease in the deferred tax assets related to the reduction of the U.S. corporate income tax rate from the Tax Cuts and Jobs Act (“2017 Tax Act”).</w:t>
      </w:r>
    </w:p>
    <w:p>
      <w:pPr>
        <w:spacing w:after="0" w:line="170" w:lineRule="exact"/>
        <w:rPr>
          <w:sz w:val="20"/>
          <w:szCs w:val="20"/>
          <w:color w:val="auto"/>
        </w:rPr>
      </w:pPr>
    </w:p>
    <w:p>
      <w:pPr>
        <w:ind w:left="220" w:right="360" w:firstLine="440"/>
        <w:spacing w:after="0" w:line="263" w:lineRule="auto"/>
        <w:rPr>
          <w:sz w:val="20"/>
          <w:szCs w:val="20"/>
          <w:color w:val="auto"/>
        </w:rPr>
      </w:pPr>
      <w:r>
        <w:rPr>
          <w:rFonts w:ascii="Arial" w:cs="Arial" w:eastAsia="Arial" w:hAnsi="Arial"/>
          <w:sz w:val="18"/>
          <w:szCs w:val="18"/>
          <w:color w:val="auto"/>
        </w:rPr>
        <w:t>As of December 31, 2017, the Company had net operating loss (“NOL”) carryforwards of approximately $124.9 million and $101.7 million available to reduce future taxable income, if any, for federal and state income tax purposes, respectively. If not utilized, the Company’s federal NOL carryforward begins to expire in 2029, and the state NOL carryforward begins to expire in 2019.</w:t>
      </w:r>
    </w:p>
    <w:p>
      <w:pPr>
        <w:spacing w:after="0" w:line="183" w:lineRule="exact"/>
        <w:rPr>
          <w:sz w:val="20"/>
          <w:szCs w:val="20"/>
          <w:color w:val="auto"/>
        </w:rPr>
      </w:pPr>
    </w:p>
    <w:p>
      <w:pPr>
        <w:ind w:left="220" w:right="180" w:firstLine="440"/>
        <w:spacing w:after="0" w:line="263" w:lineRule="auto"/>
        <w:rPr>
          <w:sz w:val="20"/>
          <w:szCs w:val="20"/>
          <w:color w:val="auto"/>
        </w:rPr>
      </w:pPr>
      <w:r>
        <w:rPr>
          <w:rFonts w:ascii="Arial" w:cs="Arial" w:eastAsia="Arial" w:hAnsi="Arial"/>
          <w:sz w:val="18"/>
          <w:szCs w:val="18"/>
          <w:color w:val="auto"/>
        </w:rPr>
        <w:t>As of December 31, 2017, the Company had research credit carryforwards of approximately $1.6 million and $1.7 million available to reduce future taxable income, if any, for both federal and state income tax purposes, respectively. The federal research credits begin to expire in 2030, and the state research credits have no expiration date.</w:t>
      </w:r>
    </w:p>
    <w:p>
      <w:pPr>
        <w:spacing w:after="0" w:line="183" w:lineRule="exact"/>
        <w:rPr>
          <w:sz w:val="20"/>
          <w:szCs w:val="20"/>
          <w:color w:val="auto"/>
        </w:rPr>
      </w:pPr>
    </w:p>
    <w:p>
      <w:pPr>
        <w:ind w:left="220" w:right="360" w:firstLine="440"/>
        <w:spacing w:after="0" w:line="287" w:lineRule="auto"/>
        <w:rPr>
          <w:sz w:val="20"/>
          <w:szCs w:val="20"/>
          <w:color w:val="auto"/>
        </w:rPr>
      </w:pPr>
      <w:r>
        <w:rPr>
          <w:rFonts w:ascii="Arial" w:cs="Arial" w:eastAsia="Arial" w:hAnsi="Arial"/>
          <w:sz w:val="16"/>
          <w:szCs w:val="16"/>
          <w:color w:val="auto"/>
        </w:rPr>
        <w:t>Utilization of the Company’s NOL and tax credit carryforwards may be subject to a substantial annual limitation due to the ownership change limitations included in the Internal Revenue Code of 1986 (“Section 382”) and similar state provisions. The annual limitation may result in the expiration of NOL and credits before utilization. The Company has determined that it experienced Section 382 ownership changes in 2010 and</w:t>
      </w:r>
    </w:p>
    <w:p>
      <w:pPr>
        <w:spacing w:after="0" w:line="2" w:lineRule="exact"/>
        <w:rPr>
          <w:sz w:val="20"/>
          <w:szCs w:val="20"/>
          <w:color w:val="auto"/>
        </w:rPr>
      </w:pPr>
    </w:p>
    <w:p>
      <w:pPr>
        <w:ind w:left="220" w:right="140"/>
        <w:spacing w:after="0" w:line="260" w:lineRule="auto"/>
        <w:rPr>
          <w:sz w:val="20"/>
          <w:szCs w:val="20"/>
          <w:color w:val="auto"/>
        </w:rPr>
      </w:pPr>
      <w:r>
        <w:rPr>
          <w:rFonts w:ascii="Arial" w:cs="Arial" w:eastAsia="Arial" w:hAnsi="Arial"/>
          <w:sz w:val="18"/>
          <w:szCs w:val="18"/>
          <w:color w:val="auto"/>
        </w:rPr>
        <w:t>$1.4 million of its NOLs are limited. The Company does not expect any additional NOL carryforwards or its credits as of December 31, 2017 to expire as a result of Section 382.</w:t>
      </w:r>
    </w:p>
    <w:p>
      <w:pPr>
        <w:spacing w:after="0" w:line="185" w:lineRule="exact"/>
        <w:rPr>
          <w:sz w:val="20"/>
          <w:szCs w:val="20"/>
          <w:color w:val="auto"/>
        </w:rPr>
      </w:pPr>
    </w:p>
    <w:p>
      <w:pPr>
        <w:ind w:left="220" w:right="240" w:firstLine="440"/>
        <w:spacing w:after="0" w:line="311" w:lineRule="auto"/>
        <w:rPr>
          <w:sz w:val="20"/>
          <w:szCs w:val="20"/>
          <w:color w:val="auto"/>
        </w:rPr>
      </w:pPr>
      <w:r>
        <w:rPr>
          <w:rFonts w:ascii="Arial" w:cs="Arial" w:eastAsia="Arial" w:hAnsi="Arial"/>
          <w:sz w:val="16"/>
          <w:szCs w:val="16"/>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2016 and 2017 consisted of the following (in thousands):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as of January 1, 2016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right="620" w:firstLine="440"/>
        <w:spacing w:after="0" w:line="286"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accrued zero at December 31, 2016 and 2017 for payment of interest related to unrecognized tax benefits. None of the Company’s unrecognized tax benefits that, if recognized, would affect its effective tax rate at December 31, 2017.</w:t>
      </w:r>
    </w:p>
    <w:p>
      <w:pPr>
        <w:spacing w:after="0" w:line="165" w:lineRule="exact"/>
        <w:rPr>
          <w:sz w:val="20"/>
          <w:szCs w:val="20"/>
          <w:color w:val="auto"/>
        </w:rPr>
      </w:pPr>
    </w:p>
    <w:p>
      <w:pPr>
        <w:ind w:left="220" w:right="140" w:firstLine="440"/>
        <w:spacing w:after="0" w:line="277" w:lineRule="auto"/>
        <w:rPr>
          <w:sz w:val="20"/>
          <w:szCs w:val="20"/>
          <w:color w:val="auto"/>
        </w:rPr>
      </w:pPr>
      <w:r>
        <w:rPr>
          <w:rFonts w:ascii="Arial" w:cs="Arial" w:eastAsia="Arial" w:hAnsi="Arial"/>
          <w:sz w:val="18"/>
          <w:szCs w:val="18"/>
          <w:color w:val="auto"/>
        </w:rPr>
        <w:t>The Company currently has no federal or state tax examinations in progress nor has it had any federal or state examinations since inception. As a result of the Company’s NOL carryforwards, all of its tax years are subject to federal and state tax examinations.</w:t>
      </w:r>
    </w:p>
    <w:p>
      <w:pPr>
        <w:spacing w:after="0" w:line="170" w:lineRule="exact"/>
        <w:rPr>
          <w:sz w:val="20"/>
          <w:szCs w:val="20"/>
          <w:color w:val="auto"/>
        </w:rPr>
      </w:pPr>
    </w:p>
    <w:p>
      <w:pPr>
        <w:ind w:left="220" w:firstLine="440"/>
        <w:spacing w:after="0" w:line="272" w:lineRule="auto"/>
        <w:rPr>
          <w:sz w:val="20"/>
          <w:szCs w:val="20"/>
          <w:color w:val="auto"/>
        </w:rPr>
      </w:pPr>
      <w:r>
        <w:rPr>
          <w:rFonts w:ascii="Arial" w:cs="Arial" w:eastAsia="Arial" w:hAnsi="Arial"/>
          <w:sz w:val="17"/>
          <w:szCs w:val="17"/>
          <w:color w:val="auto"/>
        </w:rPr>
        <w:t>The Company is subject to the provisions of the ASC 740-10, Income Taxes, which requires that the effect on deferred tax assets and liabilities of a change in tax rates be recognized in the period the tax rate change was enacted. The carrying value of U.S. deferred taxes is determined by the enacted U.S. corporate income tax rate. Consequently, the reduction in the U.S. corporate income tax rate as a result of the United States enacted law commonly known as the 2017 Tax Act, which makes widespread changes to the Internal Revenue Code, impacts the carrying value of deferred tax assets. Under the new corporate income tax rate of 21% of the U.S. net deferred tax asset position decreased by approximately $15.8 million. Uncertainty regarding the impact of tax reform remains, as a result of factors including future regulatory and rulemaking processes, the prospects of additional corrective or supplemental legislation, potential trade or other litigation, and other factors.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220" w:right="40" w:firstLine="440"/>
        <w:spacing w:after="0" w:line="287" w:lineRule="auto"/>
        <w:rPr>
          <w:sz w:val="20"/>
          <w:szCs w:val="20"/>
          <w:color w:val="auto"/>
        </w:rPr>
      </w:pPr>
      <w:r>
        <w:rPr>
          <w:rFonts w:ascii="Arial" w:cs="Arial" w:eastAsia="Arial" w:hAnsi="Arial"/>
          <w:sz w:val="16"/>
          <w:szCs w:val="16"/>
          <w:color w:val="auto"/>
        </w:rPr>
        <w:t>In December 2017, the SEC staff issued Staff Accounting Bulletin No. 118 (“SAB 118”), which provides guidance for the tax effect of the 2017 Tax Act. SAB 118 provides a measurement period that should not extend beyond one year from the 2017 Tax Act’s enactment date for companies to complete the accounting under Accounting Standards Codification Topic 740, Income Taxes (“ASC 740”). In accordance with SAB 118, the Company must reflect the income tax effects of those aspects of the 2017 Tax Act for which the accounting under ASC 740 is complete. To the extent that its accounting for certain income tax effects of the 2017 Tax Act is incomplete, but the Company is able to determine a reasonable estimate, the Company must record a provisional estimate in its consolidated financial statements. If the Company cannot determine a provisional estimate to be included in its consolidated financial statements, the Company should continue to apply ASC 740 on the basis of the provisions of the tax laws that were in effect immediately before the enactment of the 2017 Tax Act. It is expected that the U.S. Treasury will issue regulations and other guidance on the application of certain provisions of the 2017 Tax Act. The Company will analyze that guidance and other necessary information to refine its estimates and complete its accounting for the tax effects of the 2017 Tax Act, as necessary. The Company considers the accounting of the deferred tax re-measurements to be complete. However, ongoing guidance and accounting interpretation are expected in the near term and the Company expects to complete its analysis within the measurement period in accordance with SAB 118.</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220" w:right="60" w:firstLine="440"/>
        <w:spacing w:after="0" w:line="275" w:lineRule="auto"/>
        <w:rPr>
          <w:sz w:val="20"/>
          <w:szCs w:val="20"/>
          <w:color w:val="auto"/>
        </w:rPr>
      </w:pPr>
      <w:r>
        <w:rPr>
          <w:rFonts w:ascii="Arial" w:cs="Arial" w:eastAsia="Arial" w:hAnsi="Arial"/>
          <w:sz w:val="17"/>
          <w:szCs w:val="17"/>
          <w:color w:val="auto"/>
        </w:rPr>
        <w:t>In March 2013, the Company granted a loan to its then current Chief Financial Officer to assist with the exercise of his stock option grants in the form of a full recourse promissory note with an aggregate principal amount of $0.2 million. The note is collateralized by the common stock issued upon the exercise of the stock options, as well as personal assets of the borrower. Interest under this note will accrue at the rate of 1.09% per annum. In November 2016, the loan amount was partially repaid in the amount of $0.1 million (including principal and interest). The remainder of the principal balance of this note, together with all accrued and unpaid interest to date, was fully paid in December 2017.</w:t>
      </w:r>
    </w:p>
    <w:p>
      <w:pPr>
        <w:spacing w:after="0" w:line="175" w:lineRule="exact"/>
        <w:rPr>
          <w:sz w:val="20"/>
          <w:szCs w:val="20"/>
          <w:color w:val="auto"/>
        </w:rPr>
      </w:pPr>
    </w:p>
    <w:p>
      <w:pPr>
        <w:ind w:left="220" w:right="40" w:firstLine="440"/>
        <w:spacing w:after="0" w:line="273" w:lineRule="auto"/>
        <w:rPr>
          <w:sz w:val="20"/>
          <w:szCs w:val="20"/>
          <w:color w:val="auto"/>
        </w:rPr>
      </w:pPr>
      <w:r>
        <w:rPr>
          <w:rFonts w:ascii="Arial" w:cs="Arial" w:eastAsia="Arial" w:hAnsi="Arial"/>
          <w:sz w:val="17"/>
          <w:szCs w:val="17"/>
          <w:color w:val="auto"/>
        </w:rPr>
        <w:t>In February 2014, the Company granted a loan to its Chief Executive Officer to assist with the exercise of his stock option grants in the form of a full recourse promissory note with an aggregate principal amount of $0.4 million.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Interest under this note will accrue at the rate of 1.97% per annum. The principal balance of this note, together with all accrued and unpaid interest to date, is due in February 2019.</w:t>
      </w:r>
    </w:p>
    <w:p>
      <w:pPr>
        <w:spacing w:after="0" w:line="177" w:lineRule="exact"/>
        <w:rPr>
          <w:sz w:val="20"/>
          <w:szCs w:val="20"/>
          <w:color w:val="auto"/>
        </w:rPr>
      </w:pPr>
    </w:p>
    <w:p>
      <w:pPr>
        <w:ind w:left="220" w:firstLine="440"/>
        <w:spacing w:after="0" w:line="256" w:lineRule="auto"/>
        <w:rPr>
          <w:sz w:val="20"/>
          <w:szCs w:val="20"/>
          <w:color w:val="auto"/>
        </w:rPr>
      </w:pPr>
      <w:r>
        <w:rPr>
          <w:rFonts w:ascii="Arial" w:cs="Arial" w:eastAsia="Arial" w:hAnsi="Arial"/>
          <w:sz w:val="18"/>
          <w:szCs w:val="18"/>
          <w:color w:val="auto"/>
        </w:rPr>
        <w:t>In March 2017, the Company forgave $0.2 million of principal and interest due on a promissory note from its Chief Executive Officer. In addition, the Board of Directors approved the forgiveness of the remaining 50% of the principal balance of the note upon the earlier of an IPO, change of control, or January 1, 2018. At the time of the forgiveness, all of the related stock options were fully vested. As a result, the Company has expensed the principal note balance of $0.4 million to stock-based compensation expense and accrued interest of $0.1 million to general and administrative expenses in the consolidated statement of operations.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right"/>
        <w:ind w:left="660" w:right="7840" w:hanging="450"/>
        <w:spacing w:after="0" w:line="424" w:lineRule="auto"/>
        <w:tabs>
          <w:tab w:leader="none" w:pos="49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spacing w:after="0" w:line="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computation of basic and diluted net loss per share (in thousands, except share and per share data):</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left="559"/>
              <w:spacing w:after="0" w:line="142" w:lineRule="exact"/>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(20,589)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08"/>
        </w:trPr>
        <w:tc>
          <w:tcPr>
            <w:tcW w:w="5500" w:type="dxa"/>
            <w:vAlign w:val="bottom"/>
          </w:tcPr>
          <w:p>
            <w:pPr>
              <w:spacing w:after="0"/>
              <w:rPr>
                <w:sz w:val="20"/>
                <w:szCs w:val="20"/>
                <w:color w:val="auto"/>
              </w:rPr>
            </w:pPr>
            <w:r>
              <w:rPr>
                <w:rFonts w:ascii="Arial" w:cs="Arial" w:eastAsia="Arial" w:hAnsi="Arial"/>
                <w:sz w:val="18"/>
                <w:szCs w:val="18"/>
                <w:color w:val="auto"/>
                <w:w w:val="94"/>
              </w:rPr>
              <w:t>Weighted-average shares used to compute basic and diluted net loss per</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3,314,198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3,467,096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08"/>
              <w:spacing w:after="0"/>
              <w:rPr>
                <w:sz w:val="20"/>
                <w:szCs w:val="20"/>
                <w:color w:val="auto"/>
              </w:rPr>
            </w:pPr>
            <w:r>
              <w:rPr>
                <w:rFonts w:ascii="Arial" w:cs="Arial" w:eastAsia="Arial" w:hAnsi="Arial"/>
                <w:sz w:val="18"/>
                <w:szCs w:val="18"/>
                <w:color w:val="auto"/>
                <w:w w:val="87"/>
              </w:rPr>
              <w:t>3,426,963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3,603,308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20" w:right="40" w:firstLine="440"/>
        <w:spacing w:after="0" w:line="277" w:lineRule="auto"/>
        <w:rPr>
          <w:sz w:val="20"/>
          <w:szCs w:val="20"/>
          <w:color w:val="auto"/>
        </w:rPr>
      </w:pPr>
      <w:r>
        <w:rPr>
          <w:rFonts w:ascii="Arial" w:cs="Arial" w:eastAsia="Arial" w:hAnsi="Arial"/>
          <w:sz w:val="18"/>
          <w:szCs w:val="18"/>
          <w:color w:val="auto"/>
        </w:rPr>
        <w:t>Unvested shares for the years ended December 31, 2016 and 2017 and the six months ended June 30, 2017 (unaudited) and 2018 (unaudited) were excluded from the weighted-average shares used to compute basic and diluted net loss per share.</w:t>
      </w:r>
    </w:p>
    <w:p>
      <w:pPr>
        <w:spacing w:after="0" w:line="170" w:lineRule="exact"/>
        <w:rPr>
          <w:sz w:val="20"/>
          <w:szCs w:val="20"/>
          <w:color w:val="auto"/>
        </w:rPr>
      </w:pPr>
    </w:p>
    <w:p>
      <w:pPr>
        <w:ind w:left="220" w:right="420" w:firstLine="440"/>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right"/>
              <w:ind w:right="653"/>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2,461,949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3,001,929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3,001,929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2,900,842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Shares subject to repurchase</w:t>
            </w:r>
          </w:p>
        </w:tc>
        <w:tc>
          <w:tcPr>
            <w:tcW w:w="3140" w:type="dxa"/>
            <w:vAlign w:val="bottom"/>
            <w:gridSpan w:val="3"/>
          </w:tcPr>
          <w:p>
            <w:pPr>
              <w:jc w:val="right"/>
              <w:ind w:right="280"/>
              <w:spacing w:after="0"/>
              <w:rPr>
                <w:sz w:val="20"/>
                <w:szCs w:val="20"/>
                <w:color w:val="auto"/>
              </w:rPr>
            </w:pPr>
            <w:r>
              <w:rPr>
                <w:rFonts w:ascii="Arial" w:cs="Arial" w:eastAsia="Arial" w:hAnsi="Arial"/>
                <w:sz w:val="18"/>
                <w:szCs w:val="18"/>
                <w:color w:val="auto"/>
              </w:rPr>
              <w:t>47,447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16,117</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34,177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64,107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3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11,490,776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12,066,654</w:t>
            </w:r>
          </w:p>
        </w:tc>
        <w:tc>
          <w:tcPr>
            <w:tcW w:w="13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12,066,654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12,066,654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3140" w:type="dxa"/>
            <w:vAlign w:val="bottom"/>
            <w:gridSpan w:val="3"/>
          </w:tcPr>
          <w:p>
            <w:pPr>
              <w:jc w:val="right"/>
              <w:ind w:right="280"/>
              <w:spacing w:after="0"/>
              <w:rPr>
                <w:sz w:val="20"/>
                <w:szCs w:val="20"/>
                <w:color w:val="auto"/>
              </w:rPr>
            </w:pPr>
            <w:r>
              <w:rPr>
                <w:rFonts w:ascii="Arial" w:cs="Arial" w:eastAsia="Arial" w:hAnsi="Arial"/>
                <w:sz w:val="18"/>
                <w:szCs w:val="18"/>
                <w:color w:val="auto"/>
              </w:rPr>
              <w:t>159,920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160,657</w:t>
            </w: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160,657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160,657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3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122,938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124,326</w:t>
            </w:r>
          </w:p>
        </w:tc>
        <w:tc>
          <w:tcPr>
            <w:tcW w:w="13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124,326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124,326</w:t>
            </w:r>
          </w:p>
        </w:tc>
      </w:tr>
      <w:tr>
        <w:trPr>
          <w:trHeight w:val="364"/>
        </w:trPr>
        <w:tc>
          <w:tcPr>
            <w:tcW w:w="4420" w:type="dxa"/>
            <w:vAlign w:val="bottom"/>
          </w:tcPr>
          <w:p>
            <w:pPr>
              <w:spacing w:after="0"/>
              <w:rPr>
                <w:sz w:val="24"/>
                <w:szCs w:val="24"/>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rPr>
              <w:t>F-39</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(23,039)</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4"/>
        </w:trPr>
        <w:tc>
          <w:tcPr>
            <w:tcW w:w="7940" w:type="dxa"/>
            <w:vAlign w:val="bottom"/>
            <w:gridSpan w:val="2"/>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3,467,096</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w w:val="84"/>
              </w:rPr>
              <w:t>3,603,308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reflect the assumed conversion of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11,991,682</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12,066,654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rPr>
              <w:t>Adjustment to reflect automatic net exercise of redeemable convertible preferred stock warrants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into common 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19,238</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weighted average common shares used to compute net loss per share, basic and</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preferred stock outstanding</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15,478,016</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15,689,200</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7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220" w:right="440" w:firstLine="440"/>
        <w:spacing w:after="0" w:line="277" w:lineRule="auto"/>
        <w:rPr>
          <w:sz w:val="20"/>
          <w:szCs w:val="20"/>
          <w:color w:val="auto"/>
        </w:rPr>
      </w:pPr>
      <w:r>
        <w:rPr>
          <w:rFonts w:ascii="Arial" w:cs="Arial" w:eastAsia="Arial" w:hAnsi="Arial"/>
          <w:sz w:val="18"/>
          <w:szCs w:val="18"/>
          <w:color w:val="auto"/>
        </w:rPr>
        <w:t>The consolidated financial statements reflect management’s evaluation of subsequent events through July 31, 2018, the date the consolidated financial statements were available to be issued.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Events Subsequent to Original Issuance of Consolidated Financial Statements (unaudited)</w:t>
      </w:r>
    </w:p>
    <w:p>
      <w:pPr>
        <w:spacing w:after="0" w:line="117" w:lineRule="exact"/>
        <w:rPr>
          <w:sz w:val="20"/>
          <w:szCs w:val="20"/>
          <w:color w:val="auto"/>
        </w:rPr>
      </w:pPr>
    </w:p>
    <w:p>
      <w:pPr>
        <w:ind w:left="220" w:right="480" w:firstLine="440"/>
        <w:spacing w:after="0" w:line="290" w:lineRule="auto"/>
        <w:rPr>
          <w:sz w:val="20"/>
          <w:szCs w:val="20"/>
          <w:color w:val="auto"/>
        </w:rPr>
      </w:pPr>
      <w:r>
        <w:rPr>
          <w:rFonts w:ascii="Arial" w:cs="Arial" w:eastAsia="Arial" w:hAnsi="Arial"/>
          <w:sz w:val="16"/>
          <w:szCs w:val="16"/>
          <w:color w:val="auto"/>
        </w:rPr>
        <w:t>In August 2018, the Company granted stock options to purchase 19,998 (unaudited) shares of common stock with an exercise price of $7.74 (unaudited) per share and a weighted-average grant date fair value of $3.42 (unaudited). In addition, in August 2018, the Company granted 37,036</w:t>
      </w:r>
    </w:p>
    <w:p>
      <w:pPr>
        <w:spacing w:after="0" w:line="1" w:lineRule="exact"/>
        <w:rPr>
          <w:sz w:val="20"/>
          <w:szCs w:val="20"/>
          <w:color w:val="auto"/>
        </w:rPr>
      </w:pPr>
    </w:p>
    <w:p>
      <w:pPr>
        <w:jc w:val="both"/>
        <w:ind w:left="220" w:right="20"/>
        <w:spacing w:after="0" w:line="302" w:lineRule="auto"/>
        <w:rPr>
          <w:sz w:val="20"/>
          <w:szCs w:val="20"/>
          <w:color w:val="auto"/>
        </w:rPr>
      </w:pPr>
      <w:r>
        <w:rPr>
          <w:rFonts w:ascii="Arial" w:cs="Arial" w:eastAsia="Arial" w:hAnsi="Arial"/>
          <w:sz w:val="16"/>
          <w:szCs w:val="16"/>
          <w:color w:val="auto"/>
        </w:rPr>
        <w:t>(unaudited) restricted stock units with a grant-date fair value of $7.74 (unaudited) per share. Fifty percent of these awards will vest on the first day of the first open trading window that occurs after the one-year anniversary of the closing of an IPO, and fifty percent will vest on the first day of the first open trading window that occurs after the two-year anniversary of the closing of an IPO, subject to continued service through each relevant vesting date.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8"/>
          <w:szCs w:val="28"/>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875030</wp:posOffset>
            </wp:positionV>
            <wp:extent cx="2569845" cy="10020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9845"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40" w:space="720"/>
            <w:col w:w="2760"/>
          </w:cols>
          <w:pgMar w:left="240" w:top="459" w:right="439" w:bottom="1440" w:gutter="0" w:footer="0" w:header="0"/>
          <w:type w:val="continuous"/>
        </w:sectPr>
      </w:pPr>
    </w:p>
    <w:p>
      <w:pPr>
        <w:spacing w:after="0" w:line="6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JMP Securities</w:t>
      </w:r>
    </w:p>
    <w:p>
      <w:pPr>
        <w:spacing w:after="0" w:line="200" w:lineRule="exact"/>
        <w:rPr>
          <w:sz w:val="20"/>
          <w:szCs w:val="20"/>
          <w:color w:val="auto"/>
        </w:rPr>
      </w:pPr>
    </w:p>
    <w:p>
      <w:pPr>
        <w:sectPr>
          <w:pgSz w:w="11900" w:h="16838" w:orient="portrait"/>
          <w:cols w:equalWidth="0" w:num="2">
            <w:col w:w="8860" w:space="720"/>
            <w:col w:w="16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2018</w:t>
      </w:r>
    </w:p>
    <w:p>
      <w:pPr>
        <w:sectPr>
          <w:pgSz w:w="11900" w:h="16838" w:orient="portrait"/>
          <w:cols w:equalWidth="0" w:num="1">
            <w:col w:w="11220"/>
          </w:cols>
          <w:pgMar w:left="240" w:top="459" w:right="4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20" w:right="220" w:firstLine="440"/>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0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Payable by us</w:t>
            </w:r>
          </w:p>
        </w:tc>
      </w:tr>
      <w:tr>
        <w:trPr>
          <w:trHeight w:val="209"/>
        </w:trPr>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16,025</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385,000</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Registrar and transfer agent fees and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246,430</w:t>
            </w:r>
          </w:p>
        </w:tc>
      </w:tr>
      <w:tr>
        <w:trPr>
          <w:trHeight w:val="27"/>
        </w:trPr>
        <w:tc>
          <w:tcPr>
            <w:tcW w:w="10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1,700,000</w:t>
            </w:r>
          </w:p>
        </w:tc>
      </w:tr>
      <w:tr>
        <w:trPr>
          <w:trHeight w:val="20"/>
        </w:trPr>
        <w:tc>
          <w:tcPr>
            <w:tcW w:w="10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6" w:lineRule="exact"/>
        <w:rPr>
          <w:sz w:val="20"/>
          <w:szCs w:val="20"/>
          <w:color w:val="auto"/>
        </w:rPr>
      </w:pPr>
    </w:p>
    <w:p>
      <w:pPr>
        <w:ind w:left="220" w:right="40" w:firstLine="440"/>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1" w:lineRule="exact"/>
        <w:rPr>
          <w:sz w:val="20"/>
          <w:szCs w:val="20"/>
          <w:color w:val="auto"/>
        </w:rPr>
      </w:pPr>
    </w:p>
    <w:p>
      <w:pPr>
        <w:ind w:left="1080" w:hanging="438"/>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1080" w:hanging="438"/>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right="420" w:hanging="438"/>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80" w:hanging="438"/>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left="220" w:right="120" w:firstLine="440"/>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83" w:lineRule="exact"/>
        <w:rPr>
          <w:sz w:val="20"/>
          <w:szCs w:val="20"/>
          <w:color w:val="auto"/>
        </w:rPr>
      </w:pPr>
    </w:p>
    <w:p>
      <w:pPr>
        <w:ind w:left="220" w:right="60" w:firstLine="440"/>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0"/>
        <w:spacing w:after="0" w:line="263" w:lineRule="auto"/>
        <w:rPr>
          <w:sz w:val="20"/>
          <w:szCs w:val="20"/>
          <w:color w:val="auto"/>
        </w:rPr>
      </w:pPr>
      <w:r>
        <w:rPr>
          <w:rFonts w:ascii="Arial" w:cs="Arial" w:eastAsia="Arial" w:hAnsi="Arial"/>
          <w:sz w:val="18"/>
          <w:szCs w:val="18"/>
          <w:color w:val="auto"/>
        </w:rPr>
        <w:t>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3" w:lineRule="exact"/>
        <w:rPr>
          <w:sz w:val="20"/>
          <w:szCs w:val="20"/>
          <w:color w:val="auto"/>
        </w:rPr>
      </w:pPr>
    </w:p>
    <w:p>
      <w:pPr>
        <w:ind w:left="220" w:right="180" w:firstLine="440"/>
        <w:spacing w:after="0" w:line="293" w:lineRule="auto"/>
        <w:rPr>
          <w:sz w:val="20"/>
          <w:szCs w:val="20"/>
          <w:color w:val="auto"/>
        </w:rPr>
      </w:pPr>
      <w:r>
        <w:rPr>
          <w:rFonts w:ascii="Arial" w:cs="Arial" w:eastAsia="Arial" w:hAnsi="Arial"/>
          <w:sz w:val="16"/>
          <w:szCs w:val="16"/>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3" w:lineRule="exact"/>
        <w:rPr>
          <w:sz w:val="20"/>
          <w:szCs w:val="20"/>
          <w:color w:val="auto"/>
        </w:rPr>
      </w:pPr>
    </w:p>
    <w:p>
      <w:pPr>
        <w:jc w:val="both"/>
        <w:ind w:left="220" w:right="260" w:firstLine="440"/>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10.19 to this registration statement provides for indemnification of certain of our stockholders against liabilities described in our IRA.</w:t>
      </w:r>
    </w:p>
    <w:p>
      <w:pPr>
        <w:spacing w:after="0" w:line="165" w:lineRule="exact"/>
        <w:rPr>
          <w:sz w:val="20"/>
          <w:szCs w:val="20"/>
          <w:color w:val="auto"/>
        </w:rPr>
      </w:pPr>
    </w:p>
    <w:p>
      <w:pPr>
        <w:ind w:left="220" w:right="12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2013 through September 30, 2018:</w:t>
      </w:r>
    </w:p>
    <w:p>
      <w:pPr>
        <w:spacing w:after="0" w:line="130" w:lineRule="exact"/>
        <w:rPr>
          <w:sz w:val="20"/>
          <w:szCs w:val="20"/>
          <w:color w:val="auto"/>
        </w:rPr>
      </w:pPr>
    </w:p>
    <w:p>
      <w:pPr>
        <w:jc w:val="both"/>
        <w:ind w:left="1080" w:hanging="324"/>
        <w:spacing w:after="0" w:line="311"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April 2014, we issued and sold an aggregate of 250,100 shares of our Series 5 preferred stock at $9.10 per share and warrants to purchase up to 54,917 shares of our Series 5 preferred stock with an exercise price of $9.10 per share to two accredited investor in connection with the conversion of outstanding convertible promissory notes plus accrued interest in the aggregate amount of $2,274,764.</w:t>
      </w:r>
    </w:p>
    <w:p>
      <w:pPr>
        <w:spacing w:after="0" w:line="53" w:lineRule="exact"/>
        <w:rPr>
          <w:rFonts w:ascii="Arial" w:cs="Arial" w:eastAsia="Arial" w:hAnsi="Arial"/>
          <w:sz w:val="16"/>
          <w:szCs w:val="16"/>
          <w:color w:val="auto"/>
        </w:rPr>
      </w:pPr>
    </w:p>
    <w:p>
      <w:pPr>
        <w:ind w:left="1080" w:right="60" w:hanging="3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From April 2014 to June 2015, we issued and sold an aggregate of 3,319,274 shares of our Series 6 preferred stock at $16.47 per share to 31 accredited investors for an aggregate consideration of approximately $54,674,733.</w:t>
      </w:r>
    </w:p>
    <w:p>
      <w:pPr>
        <w:spacing w:after="0" w:line="75" w:lineRule="exact"/>
        <w:rPr>
          <w:rFonts w:ascii="Arial" w:cs="Arial" w:eastAsia="Arial" w:hAnsi="Arial"/>
          <w:sz w:val="18"/>
          <w:szCs w:val="18"/>
          <w:color w:val="auto"/>
        </w:rPr>
      </w:pPr>
    </w:p>
    <w:p>
      <w:pPr>
        <w:ind w:left="1080" w:right="60" w:hanging="324"/>
        <w:spacing w:after="0" w:line="293"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connection with the Loan and Security Agreement we entered into with Silicon Valley Bank, or SVB, on July 22, 2013, we issued to each of SVB and Westriver Mezzanine Loans, LLC, or Westriver, a warrant to purchase, in the aggregate, 101,010 shares of our common stock with an exercise price of $3.96 per share. As of June 30, 2018, the warrants were exercisable for an aggregate of 101,010 shares of common stock with an exercise price of $3.96 per share until their expiration on July 22, 2023. In addition, we issued to SVB a warrant to purchase 21,989 shares of our Series 5 preferred stock with an exercise price of $9.10 per share. As of June 30, 2018, the warrant was exercisable for an aggregate of 21,989 shares of Series 5 preferred stock at an exercise price of $9.10 per share until their expiration on July 22, 2023.</w:t>
      </w:r>
    </w:p>
    <w:p>
      <w:pPr>
        <w:spacing w:after="0" w:line="68" w:lineRule="exact"/>
        <w:rPr>
          <w:rFonts w:ascii="Arial" w:cs="Arial" w:eastAsia="Arial" w:hAnsi="Arial"/>
          <w:sz w:val="16"/>
          <w:szCs w:val="16"/>
          <w:color w:val="auto"/>
        </w:rPr>
      </w:pPr>
    </w:p>
    <w:p>
      <w:pPr>
        <w:ind w:left="1080" w:right="40" w:hanging="324"/>
        <w:spacing w:after="0" w:line="255"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connection with the Amended and Restated Loan and Security Agreement we entered into with SVB, on November 26, 2014, we issued to each of SVB and Westriver, a warrant to purchase, in the aggregate, 21,928 shares of our common stock with an exercise price of $3.42 per share. As of June 30, 2018, the warrants were exercisable for an aggregate of 21,928 shares of common stock with an exercise price of $3.42 per share until their expiration on November 26, 2024. In addition, we issued to SVB, a warrant to purchase 6,310 shares of our Series 6 preferred stock with an exercise price of $16.47 per share. As of June 30, 2018, the warrant was exercisable for an aggregate of 6,310 shares of</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Series 6 preferred stock with an exercise price of $16.47 per share until their expiration on November 26, 2024.</w:t>
      </w:r>
    </w:p>
    <w:p>
      <w:pPr>
        <w:spacing w:after="0" w:line="130" w:lineRule="exact"/>
        <w:rPr>
          <w:sz w:val="20"/>
          <w:szCs w:val="20"/>
          <w:color w:val="auto"/>
        </w:rPr>
      </w:pPr>
    </w:p>
    <w:p>
      <w:pPr>
        <w:ind w:left="1080" w:hanging="324"/>
        <w:spacing w:after="0" w:line="286"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connection with the Loan and Security Agreement, dated October 20, 2015, we entered into with Oxford Finance LLC, or Oxford, and SVB, we issued to each of Oxford and SVB a warrant to purchase, in aggregate (i) 39,339 shares of Series 6 preferred stock with an exercise price of $16.47 per share in October 2015, (ii) 24,283 shares of Series 6 preferred stock with an exercise price of $16.47 per shares in November 2015 and (iii) 9,712 shares of Series 7 preferred stock with an exercise price of $10.03 per share in December 2016. As of</w:t>
      </w:r>
    </w:p>
    <w:p>
      <w:pPr>
        <w:ind w:left="1080" w:right="40"/>
        <w:spacing w:after="0" w:line="253" w:lineRule="auto"/>
        <w:rPr>
          <w:rFonts w:ascii="Arial" w:cs="Arial" w:eastAsia="Arial" w:hAnsi="Arial"/>
          <w:sz w:val="16"/>
          <w:szCs w:val="16"/>
          <w:color w:val="auto"/>
        </w:rPr>
      </w:pPr>
      <w:r>
        <w:rPr>
          <w:rFonts w:ascii="Arial" w:cs="Arial" w:eastAsia="Arial" w:hAnsi="Arial"/>
          <w:sz w:val="18"/>
          <w:szCs w:val="18"/>
          <w:color w:val="auto"/>
        </w:rPr>
        <w:t>June 30, 2018, the above warrants were exercisable for an aggregate of (i) 41,650 shares of our common stock with an exercise price of $16.47 per share until their expiration on October 20, 2025, (ii) 25,709 shares of our common stock with an exercise price of $16.47 per share until their expiration on November 9, 2025 and (iii) 9,712 shares of our common stock with an exercise price of $10.03 per share until their expiration on December 22, 2026, respectively.</w:t>
      </w:r>
    </w:p>
    <w:p>
      <w:pPr>
        <w:spacing w:after="0" w:line="97" w:lineRule="exact"/>
        <w:rPr>
          <w:rFonts w:ascii="Arial" w:cs="Arial" w:eastAsia="Arial" w:hAnsi="Arial"/>
          <w:sz w:val="16"/>
          <w:szCs w:val="16"/>
          <w:color w:val="auto"/>
        </w:rPr>
      </w:pPr>
    </w:p>
    <w:p>
      <w:pPr>
        <w:ind w:left="1080" w:right="240" w:hanging="3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June 2016 to March 2017, we issued and sold an aggregate of 2,580,404 shares of Series 7 preferred stock at $10.03 per share to 21 accredited investors for an aggregate consideration of approximately $25,889,819.</w:t>
      </w:r>
    </w:p>
    <w:p>
      <w:pPr>
        <w:spacing w:after="0" w:line="75" w:lineRule="exact"/>
        <w:rPr>
          <w:rFonts w:ascii="Arial" w:cs="Arial" w:eastAsia="Arial" w:hAnsi="Arial"/>
          <w:sz w:val="18"/>
          <w:szCs w:val="18"/>
          <w:color w:val="auto"/>
        </w:rPr>
      </w:pPr>
    </w:p>
    <w:p>
      <w:pPr>
        <w:ind w:left="1080" w:right="100" w:hanging="3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March 1, 2017, we issued a warrant to purchase 1,388 shares of our common stock with an exercise price of $5.94 per share to a former consultant.</w:t>
      </w:r>
    </w:p>
    <w:p>
      <w:pPr>
        <w:spacing w:after="0" w:line="75" w:lineRule="exact"/>
        <w:rPr>
          <w:rFonts w:ascii="Arial" w:cs="Arial" w:eastAsia="Arial" w:hAnsi="Arial"/>
          <w:sz w:val="18"/>
          <w:szCs w:val="18"/>
          <w:color w:val="auto"/>
        </w:rPr>
      </w:pPr>
    </w:p>
    <w:p>
      <w:pPr>
        <w:ind w:left="1080" w:hanging="324"/>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August 2018, we granted restricted stock units for an aggregate of 37,036 shares of our common stock outside of the 2008 Stock Plan.</w:t>
      </w:r>
    </w:p>
    <w:p>
      <w:pPr>
        <w:spacing w:after="0" w:line="153" w:lineRule="exact"/>
        <w:rPr>
          <w:rFonts w:ascii="Arial" w:cs="Arial" w:eastAsia="Arial" w:hAnsi="Arial"/>
          <w:sz w:val="16"/>
          <w:szCs w:val="16"/>
          <w:color w:val="auto"/>
        </w:rPr>
      </w:pPr>
    </w:p>
    <w:p>
      <w:pPr>
        <w:ind w:left="1080" w:right="60" w:hanging="3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Under our 2008 Stock Plan, we granted options to purchase an aggregate of 7,507,473 shares of our common stock with per share exercise prices ranging from $0.063 to $9.72. Of these, options to purchase (i) 2,640,295 shares have been exercised, (ii) 2,155,548 shares have been cancelled or expired without being exercised and (iii) 2,711,630 shares remain outstanding.</w:t>
      </w:r>
    </w:p>
    <w:p>
      <w:pPr>
        <w:spacing w:after="0" w:line="183" w:lineRule="exact"/>
        <w:rPr>
          <w:sz w:val="20"/>
          <w:szCs w:val="20"/>
          <w:color w:val="auto"/>
        </w:rPr>
      </w:pPr>
    </w:p>
    <w:p>
      <w:pPr>
        <w:ind w:left="220" w:right="380" w:firstLine="440"/>
        <w:spacing w:after="0" w:line="34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30" w:lineRule="exact"/>
        <w:rPr>
          <w:sz w:val="20"/>
          <w:szCs w:val="20"/>
          <w:color w:val="auto"/>
        </w:rPr>
      </w:pPr>
    </w:p>
    <w:p>
      <w:pPr>
        <w:ind w:left="1080" w:right="40" w:hanging="324"/>
        <w:spacing w:after="0" w:line="254"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transactions set forth in paragraphs (1) through (8)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98" w:lineRule="exact"/>
        <w:rPr>
          <w:rFonts w:ascii="Arial" w:cs="Arial" w:eastAsia="Arial" w:hAnsi="Arial"/>
          <w:sz w:val="18"/>
          <w:szCs w:val="18"/>
          <w:color w:val="auto"/>
        </w:rPr>
      </w:pPr>
    </w:p>
    <w:p>
      <w:pPr>
        <w:ind w:left="1080" w:right="80" w:hanging="324"/>
        <w:spacing w:after="0" w:line="255"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transactions set forth in paragraph (9)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 Exhibits.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220" w:type="dxa"/>
            <w:vAlign w:val="bottom"/>
            <w:gridSpan w:val="15"/>
          </w:tcPr>
          <w:p>
            <w:pPr>
              <w:spacing w:after="0"/>
              <w:rPr>
                <w:sz w:val="14"/>
                <w:szCs w:val="14"/>
                <w:color w:val="auto"/>
              </w:rPr>
            </w:pPr>
          </w:p>
        </w:tc>
      </w:tr>
      <w:tr>
        <w:trPr>
          <w:trHeight w:val="277"/>
        </w:trPr>
        <w:tc>
          <w:tcPr>
            <w:tcW w:w="700" w:type="dxa"/>
            <w:vAlign w:val="bottom"/>
          </w:tcPr>
          <w:p>
            <w:pPr>
              <w:ind w:left="8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2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Form of Underwriting Agreement.</w:t>
            </w:r>
          </w:p>
        </w:tc>
        <w:tc>
          <w:tcPr>
            <w:tcW w:w="6760" w:type="dxa"/>
            <w:vAlign w:val="bottom"/>
            <w:gridSpan w:val="22"/>
          </w:tcPr>
          <w:p>
            <w:pPr>
              <w:spacing w:after="0"/>
              <w:rPr>
                <w:sz w:val="24"/>
                <w:szCs w:val="24"/>
                <w:color w:val="auto"/>
              </w:rPr>
            </w:pPr>
          </w:p>
        </w:tc>
      </w:tr>
      <w:tr>
        <w:trPr>
          <w:trHeight w:val="304"/>
        </w:trPr>
        <w:tc>
          <w:tcPr>
            <w:tcW w:w="700" w:type="dxa"/>
            <w:vAlign w:val="bottom"/>
          </w:tcPr>
          <w:p>
            <w:pPr>
              <w:ind w:left="80"/>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4"/>
                <w:szCs w:val="24"/>
                <w:color w:val="auto"/>
              </w:rPr>
            </w:pPr>
          </w:p>
        </w:tc>
        <w:tc>
          <w:tcPr>
            <w:tcW w:w="9260" w:type="dxa"/>
            <w:vAlign w:val="bottom"/>
            <w:gridSpan w:val="25"/>
          </w:tcPr>
          <w:p>
            <w:pPr>
              <w:spacing w:after="0"/>
              <w:rPr>
                <w:sz w:val="20"/>
                <w:szCs w:val="20"/>
                <w:color w:val="auto"/>
              </w:rPr>
            </w:pPr>
            <w:r>
              <w:rPr>
                <w:rFonts w:ascii="Arial" w:cs="Arial" w:eastAsia="Arial" w:hAnsi="Arial"/>
                <w:sz w:val="18"/>
                <w:szCs w:val="18"/>
                <w:color w:val="0000EE"/>
              </w:rPr>
              <w:t>Restated Certificate of Incorporation of Registrant, as amended.</w:t>
            </w: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700" w:type="dxa"/>
            <w:vAlign w:val="bottom"/>
          </w:tcPr>
          <w:p>
            <w:pPr>
              <w:ind w:left="8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4"/>
                <w:szCs w:val="24"/>
                <w:color w:val="auto"/>
              </w:rPr>
            </w:pPr>
          </w:p>
        </w:tc>
        <w:tc>
          <w:tcPr>
            <w:tcW w:w="85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1"/>
              </w:rPr>
              <w:t>Form of Amended and Restated Certificate of Incorporation of Registrant, to be effective upon closing of this offering.</w:t>
            </w:r>
          </w:p>
        </w:tc>
        <w:tc>
          <w:tcPr>
            <w:tcW w:w="700" w:type="dxa"/>
            <w:vAlign w:val="bottom"/>
            <w:gridSpan w:val="3"/>
          </w:tcPr>
          <w:p>
            <w:pPr>
              <w:spacing w:after="0"/>
              <w:rPr>
                <w:sz w:val="24"/>
                <w:szCs w:val="24"/>
                <w:color w:val="auto"/>
              </w:rPr>
            </w:pPr>
          </w:p>
        </w:tc>
      </w:tr>
      <w:tr>
        <w:trPr>
          <w:trHeight w:val="304"/>
        </w:trPr>
        <w:tc>
          <w:tcPr>
            <w:tcW w:w="700" w:type="dxa"/>
            <w:vAlign w:val="bottom"/>
          </w:tcPr>
          <w:p>
            <w:pPr>
              <w:ind w:left="80"/>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24"/>
                <w:szCs w:val="24"/>
                <w:color w:val="auto"/>
              </w:rPr>
            </w:pPr>
          </w:p>
        </w:tc>
        <w:tc>
          <w:tcPr>
            <w:tcW w:w="3860" w:type="dxa"/>
            <w:vAlign w:val="bottom"/>
            <w:tcBorders>
              <w:bottom w:val="single" w:sz="8" w:color="0000EE"/>
            </w:tcBorders>
            <w:gridSpan w:val="7"/>
          </w:tcPr>
          <w:p>
            <w:pPr>
              <w:spacing w:after="0"/>
              <w:rPr>
                <w:rFonts w:ascii="Arial" w:cs="Arial" w:eastAsia="Arial" w:hAnsi="Arial"/>
                <w:sz w:val="18"/>
                <w:szCs w:val="18"/>
                <w:color w:val="0000EE"/>
                <w:w w:val="89"/>
              </w:rPr>
            </w:pPr>
            <w:hyperlink r:id="rId295">
              <w:r>
                <w:rPr>
                  <w:rFonts w:ascii="Arial" w:cs="Arial" w:eastAsia="Arial" w:hAnsi="Arial"/>
                  <w:sz w:val="18"/>
                  <w:szCs w:val="18"/>
                  <w:color w:val="0000EE"/>
                  <w:w w:val="89"/>
                </w:rPr>
                <w:t>Second Amended and Restated Bylaws of Registrant.</w:t>
              </w:r>
            </w:hyperlink>
          </w:p>
        </w:tc>
        <w:tc>
          <w:tcPr>
            <w:tcW w:w="5400" w:type="dxa"/>
            <w:vAlign w:val="bottom"/>
            <w:gridSpan w:val="18"/>
          </w:tcPr>
          <w:p>
            <w:pPr>
              <w:spacing w:after="0"/>
              <w:rPr>
                <w:sz w:val="24"/>
                <w:szCs w:val="24"/>
                <w:color w:val="auto"/>
              </w:rPr>
            </w:pPr>
          </w:p>
        </w:tc>
      </w:tr>
      <w:tr>
        <w:trPr>
          <w:trHeight w:val="304"/>
        </w:trPr>
        <w:tc>
          <w:tcPr>
            <w:tcW w:w="700" w:type="dxa"/>
            <w:vAlign w:val="bottom"/>
          </w:tcPr>
          <w:p>
            <w:pPr>
              <w:ind w:left="80"/>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24"/>
                <w:szCs w:val="24"/>
                <w:color w:val="auto"/>
              </w:rPr>
            </w:pPr>
          </w:p>
        </w:tc>
        <w:tc>
          <w:tcPr>
            <w:tcW w:w="71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Form of Amended and Restated Bylaws of Registrant, to be effective upon closing of this offering.</w:t>
            </w:r>
          </w:p>
        </w:tc>
        <w:tc>
          <w:tcPr>
            <w:tcW w:w="2140" w:type="dxa"/>
            <w:vAlign w:val="bottom"/>
            <w:gridSpan w:val="9"/>
          </w:tcPr>
          <w:p>
            <w:pPr>
              <w:spacing w:after="0"/>
              <w:rPr>
                <w:sz w:val="24"/>
                <w:szCs w:val="24"/>
                <w:color w:val="auto"/>
              </w:rPr>
            </w:pPr>
          </w:p>
        </w:tc>
      </w:tr>
      <w:tr>
        <w:trPr>
          <w:trHeight w:val="304"/>
        </w:trPr>
        <w:tc>
          <w:tcPr>
            <w:tcW w:w="700" w:type="dxa"/>
            <w:vAlign w:val="bottom"/>
          </w:tcPr>
          <w:p>
            <w:pPr>
              <w:ind w:left="8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35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Form of Registrant’s Common Stock Certificate.</w:t>
            </w:r>
          </w:p>
        </w:tc>
        <w:tc>
          <w:tcPr>
            <w:tcW w:w="5740" w:type="dxa"/>
            <w:vAlign w:val="bottom"/>
            <w:gridSpan w:val="19"/>
          </w:tcPr>
          <w:p>
            <w:pPr>
              <w:spacing w:after="0"/>
              <w:rPr>
                <w:sz w:val="24"/>
                <w:szCs w:val="24"/>
                <w:color w:val="auto"/>
              </w:rPr>
            </w:pPr>
          </w:p>
        </w:tc>
      </w:tr>
      <w:tr>
        <w:trPr>
          <w:trHeight w:val="304"/>
        </w:trPr>
        <w:tc>
          <w:tcPr>
            <w:tcW w:w="700" w:type="dxa"/>
            <w:vAlign w:val="bottom"/>
          </w:tcPr>
          <w:p>
            <w:pPr>
              <w:ind w:left="8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9260" w:type="dxa"/>
            <w:vAlign w:val="bottom"/>
            <w:gridSpan w:val="25"/>
          </w:tcPr>
          <w:p>
            <w:pPr>
              <w:spacing w:after="0"/>
              <w:rPr>
                <w:sz w:val="20"/>
                <w:szCs w:val="20"/>
                <w:color w:val="auto"/>
              </w:rPr>
            </w:pPr>
            <w:r>
              <w:rPr>
                <w:rFonts w:ascii="Arial" w:cs="Arial" w:eastAsia="Arial" w:hAnsi="Arial"/>
                <w:sz w:val="18"/>
                <w:szCs w:val="18"/>
                <w:color w:val="0000EE"/>
              </w:rPr>
              <w:t>Opinion of Cooley LLP.</w:t>
            </w: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8"/>
                <w:szCs w:val="18"/>
                <w:color w:val="0000EE"/>
              </w:rPr>
            </w:pPr>
            <w:hyperlink r:id="rId296">
              <w:r>
                <w:rPr>
                  <w:rFonts w:ascii="Arial" w:cs="Arial" w:eastAsia="Arial" w:hAnsi="Arial"/>
                  <w:sz w:val="18"/>
                  <w:szCs w:val="18"/>
                  <w:color w:val="0000EE"/>
                </w:rPr>
                <w:t>Form of Indemnity Agreement between the Registrant and each of its directors and executive officers.</w:t>
              </w:r>
            </w:hyperlink>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24"/>
                <w:szCs w:val="24"/>
                <w:color w:val="auto"/>
              </w:rPr>
            </w:pPr>
          </w:p>
        </w:tc>
        <w:tc>
          <w:tcPr>
            <w:tcW w:w="73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2008 Stock Plan and forms of agreements thereunder.</w:t>
            </w:r>
          </w:p>
        </w:tc>
        <w:tc>
          <w:tcPr>
            <w:tcW w:w="1920" w:type="dxa"/>
            <w:vAlign w:val="bottom"/>
            <w:gridSpan w:val="8"/>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2018 Equity Incentive Plan.</w:t>
            </w:r>
          </w:p>
        </w:tc>
        <w:tc>
          <w:tcPr>
            <w:tcW w:w="1840" w:type="dxa"/>
            <w:vAlign w:val="bottom"/>
            <w:tcBorders>
              <w:top w:val="single" w:sz="8" w:color="0000EE"/>
            </w:tcBorders>
            <w:gridSpan w:val="5"/>
          </w:tcPr>
          <w:p>
            <w:pPr>
              <w:spacing w:after="0"/>
              <w:rPr>
                <w:sz w:val="24"/>
                <w:szCs w:val="24"/>
                <w:color w:val="auto"/>
              </w:rPr>
            </w:pPr>
          </w:p>
        </w:tc>
        <w:tc>
          <w:tcPr>
            <w:tcW w:w="5400" w:type="dxa"/>
            <w:vAlign w:val="bottom"/>
            <w:gridSpan w:val="18"/>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4"/>
                <w:szCs w:val="24"/>
                <w:color w:val="auto"/>
              </w:rPr>
            </w:pPr>
          </w:p>
        </w:tc>
        <w:tc>
          <w:tcPr>
            <w:tcW w:w="85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Forms of Stock Option Grant Notice, Option Agreement and Notice of Exercise under the 2018 Equity Incentive Plan.</w:t>
            </w:r>
          </w:p>
        </w:tc>
        <w:tc>
          <w:tcPr>
            <w:tcW w:w="720" w:type="dxa"/>
            <w:vAlign w:val="bottom"/>
            <w:gridSpan w:val="4"/>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940" w:type="dxa"/>
            <w:vAlign w:val="bottom"/>
          </w:tcPr>
          <w:p>
            <w:pPr>
              <w:spacing w:after="0"/>
              <w:rPr>
                <w:sz w:val="24"/>
                <w:szCs w:val="24"/>
                <w:color w:val="auto"/>
              </w:rPr>
            </w:pPr>
          </w:p>
        </w:tc>
        <w:tc>
          <w:tcPr>
            <w:tcW w:w="92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1"/>
              </w:rPr>
              <w:t>Forms of Restricted Stock Unit Grant Notice and Restricted Stock Unit Award Agreement under the 2018 Equity Incentive Plan.</w:t>
            </w: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940" w:type="dxa"/>
            <w:vAlign w:val="bottom"/>
          </w:tcPr>
          <w:p>
            <w:pPr>
              <w:spacing w:after="0"/>
              <w:rPr>
                <w:sz w:val="24"/>
                <w:szCs w:val="24"/>
                <w:color w:val="auto"/>
              </w:rPr>
            </w:pPr>
          </w:p>
        </w:tc>
        <w:tc>
          <w:tcPr>
            <w:tcW w:w="9260" w:type="dxa"/>
            <w:vAlign w:val="bottom"/>
            <w:gridSpan w:val="25"/>
          </w:tcPr>
          <w:p>
            <w:pPr>
              <w:spacing w:after="0"/>
              <w:rPr>
                <w:sz w:val="20"/>
                <w:szCs w:val="20"/>
                <w:color w:val="auto"/>
              </w:rPr>
            </w:pPr>
            <w:r>
              <w:rPr>
                <w:rFonts w:ascii="Arial" w:cs="Arial" w:eastAsia="Arial" w:hAnsi="Arial"/>
                <w:sz w:val="18"/>
                <w:szCs w:val="18"/>
                <w:color w:val="0000EE"/>
              </w:rPr>
              <w:t>2018 Employee Stock Purchase Plan.</w:t>
            </w: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9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8"/>
                <w:szCs w:val="18"/>
                <w:color w:val="0000EE"/>
                <w:w w:val="96"/>
              </w:rPr>
            </w:pPr>
            <w:hyperlink r:id="rId297">
              <w:r>
                <w:rPr>
                  <w:rFonts w:ascii="Arial" w:cs="Arial" w:eastAsia="Arial" w:hAnsi="Arial"/>
                  <w:sz w:val="18"/>
                  <w:szCs w:val="18"/>
                  <w:color w:val="0000EE"/>
                  <w:w w:val="96"/>
                </w:rPr>
                <w:t>Quality and Manufacturing Agreement, dated April 18, 2016, between the Registrant and Orchid MPS Holdings, LLC and</w:t>
              </w:r>
            </w:hyperlink>
          </w:p>
        </w:tc>
      </w:tr>
      <w:tr>
        <w:trPr>
          <w:trHeight w:val="196"/>
        </w:trPr>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97">
              <w:r>
                <w:rPr>
                  <w:rFonts w:ascii="Arial" w:cs="Arial" w:eastAsia="Arial" w:hAnsi="Arial"/>
                  <w:sz w:val="18"/>
                  <w:szCs w:val="18"/>
                  <w:color w:val="0000EE"/>
                  <w:w w:val="90"/>
                </w:rPr>
                <w:t>Addendum No. 1 dated March 1, 2017.</w:t>
              </w:r>
            </w:hyperlink>
          </w:p>
        </w:tc>
        <w:tc>
          <w:tcPr>
            <w:tcW w:w="6020" w:type="dxa"/>
            <w:vAlign w:val="bottom"/>
            <w:tcBorders>
              <w:top w:val="single" w:sz="8" w:color="0000EE"/>
            </w:tcBorders>
            <w:gridSpan w:val="19"/>
          </w:tcPr>
          <w:p>
            <w:pPr>
              <w:spacing w:after="0"/>
              <w:rPr>
                <w:sz w:val="17"/>
                <w:szCs w:val="17"/>
                <w:color w:val="auto"/>
              </w:rPr>
            </w:pPr>
          </w:p>
        </w:tc>
        <w:tc>
          <w:tcPr>
            <w:tcW w:w="400" w:type="dxa"/>
            <w:vAlign w:val="bottom"/>
          </w:tcPr>
          <w:p>
            <w:pPr>
              <w:spacing w:after="0"/>
              <w:rPr>
                <w:sz w:val="17"/>
                <w:szCs w:val="17"/>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940" w:type="dxa"/>
            <w:vAlign w:val="bottom"/>
          </w:tcPr>
          <w:p>
            <w:pPr>
              <w:spacing w:after="0"/>
              <w:rPr>
                <w:sz w:val="24"/>
                <w:szCs w:val="24"/>
                <w:color w:val="auto"/>
              </w:rPr>
            </w:pPr>
          </w:p>
        </w:tc>
        <w:tc>
          <w:tcPr>
            <w:tcW w:w="8580" w:type="dxa"/>
            <w:vAlign w:val="bottom"/>
            <w:tcBorders>
              <w:bottom w:val="single" w:sz="8" w:color="0000EE"/>
            </w:tcBorders>
            <w:gridSpan w:val="23"/>
          </w:tcPr>
          <w:p>
            <w:pPr>
              <w:spacing w:after="0"/>
              <w:rPr>
                <w:rFonts w:ascii="Arial" w:cs="Arial" w:eastAsia="Arial" w:hAnsi="Arial"/>
                <w:sz w:val="18"/>
                <w:szCs w:val="18"/>
                <w:color w:val="0000EE"/>
                <w:w w:val="90"/>
              </w:rPr>
            </w:pPr>
            <w:hyperlink r:id="rId298">
              <w:r>
                <w:rPr>
                  <w:rFonts w:ascii="Arial" w:cs="Arial" w:eastAsia="Arial" w:hAnsi="Arial"/>
                  <w:sz w:val="18"/>
                  <w:szCs w:val="18"/>
                  <w:color w:val="0000EE"/>
                  <w:w w:val="90"/>
                </w:rPr>
                <w:t>Manufacturing, Quality and Supply Agreement, dated January 31, 2017, between the Registrant and rms Company and</w:t>
              </w:r>
            </w:hyperlink>
          </w:p>
        </w:tc>
        <w:tc>
          <w:tcPr>
            <w:tcW w:w="68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60" w:type="dxa"/>
            <w:vAlign w:val="bottom"/>
            <w:gridSpan w:val="25"/>
          </w:tcPr>
          <w:p>
            <w:pPr>
              <w:spacing w:after="0" w:line="196" w:lineRule="exact"/>
              <w:rPr>
                <w:rFonts w:ascii="Arial" w:cs="Arial" w:eastAsia="Arial" w:hAnsi="Arial"/>
                <w:sz w:val="18"/>
                <w:szCs w:val="18"/>
                <w:color w:val="0000EE"/>
              </w:rPr>
            </w:pPr>
            <w:hyperlink r:id="rId298">
              <w:r>
                <w:rPr>
                  <w:rFonts w:ascii="Arial" w:cs="Arial" w:eastAsia="Arial" w:hAnsi="Arial"/>
                  <w:sz w:val="18"/>
                  <w:szCs w:val="18"/>
                  <w:color w:val="0000EE"/>
                </w:rPr>
                <w:t>Addendum No. 1 dated July 7, 2017.</w:t>
              </w:r>
            </w:hyperlink>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9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8"/>
                <w:szCs w:val="18"/>
                <w:color w:val="0000EE"/>
              </w:rPr>
            </w:pPr>
            <w:hyperlink r:id="rId299">
              <w:r>
                <w:rPr>
                  <w:rFonts w:ascii="Arial" w:cs="Arial" w:eastAsia="Arial" w:hAnsi="Arial"/>
                  <w:sz w:val="18"/>
                  <w:szCs w:val="18"/>
                  <w:color w:val="0000EE"/>
                </w:rPr>
                <w:t>Offer Letter Agreement, dated December 15, 2009, between the Registrant and Jeffrey W. Dunn.</w:t>
              </w:r>
            </w:hyperlink>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20" w:type="dxa"/>
            <w:vAlign w:val="bottom"/>
            <w:gridSpan w:val="11"/>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9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8"/>
                <w:szCs w:val="18"/>
                <w:color w:val="0000EE"/>
              </w:rPr>
            </w:pPr>
            <w:hyperlink r:id="rId300">
              <w:r>
                <w:rPr>
                  <w:rFonts w:ascii="Arial" w:cs="Arial" w:eastAsia="Arial" w:hAnsi="Arial"/>
                  <w:sz w:val="18"/>
                  <w:szCs w:val="18"/>
                  <w:color w:val="0000EE"/>
                </w:rPr>
                <w:t>Offer Letter Agreement, dated February 19, 2015, between the Registrant and Michael A. Pisetsky</w:t>
              </w:r>
            </w:hyperlink>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20" w:type="dxa"/>
            <w:vAlign w:val="bottom"/>
            <w:gridSpan w:val="11"/>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940" w:type="dxa"/>
            <w:vAlign w:val="bottom"/>
          </w:tcPr>
          <w:p>
            <w:pPr>
              <w:spacing w:after="0"/>
              <w:rPr>
                <w:sz w:val="24"/>
                <w:szCs w:val="24"/>
                <w:color w:val="auto"/>
              </w:rPr>
            </w:pPr>
          </w:p>
        </w:tc>
        <w:tc>
          <w:tcPr>
            <w:tcW w:w="8580" w:type="dxa"/>
            <w:vAlign w:val="bottom"/>
            <w:tcBorders>
              <w:bottom w:val="single" w:sz="8" w:color="0000EE"/>
            </w:tcBorders>
            <w:gridSpan w:val="23"/>
          </w:tcPr>
          <w:p>
            <w:pPr>
              <w:spacing w:after="0"/>
              <w:rPr>
                <w:rFonts w:ascii="Arial" w:cs="Arial" w:eastAsia="Arial" w:hAnsi="Arial"/>
                <w:sz w:val="18"/>
                <w:szCs w:val="18"/>
                <w:color w:val="0000EE"/>
                <w:w w:val="89"/>
              </w:rPr>
            </w:pPr>
            <w:hyperlink r:id="rId301">
              <w:r>
                <w:rPr>
                  <w:rFonts w:ascii="Arial" w:cs="Arial" w:eastAsia="Arial" w:hAnsi="Arial"/>
                  <w:sz w:val="18"/>
                  <w:szCs w:val="18"/>
                  <w:color w:val="0000EE"/>
                  <w:w w:val="89"/>
                </w:rPr>
                <w:t>Letter Regarding Change to Employment Terms, dated June 20, 2016, between the Registrant and Michael A. Pisetsky.</w:t>
              </w:r>
            </w:hyperlink>
          </w:p>
        </w:tc>
        <w:tc>
          <w:tcPr>
            <w:tcW w:w="680" w:type="dxa"/>
            <w:vAlign w:val="bottom"/>
            <w:gridSpan w:val="2"/>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940" w:type="dxa"/>
            <w:vAlign w:val="bottom"/>
          </w:tcPr>
          <w:p>
            <w:pPr>
              <w:spacing w:after="0"/>
              <w:rPr>
                <w:sz w:val="24"/>
                <w:szCs w:val="24"/>
                <w:color w:val="auto"/>
              </w:rPr>
            </w:pPr>
          </w:p>
        </w:tc>
        <w:tc>
          <w:tcPr>
            <w:tcW w:w="6420" w:type="dxa"/>
            <w:vAlign w:val="bottom"/>
            <w:tcBorders>
              <w:bottom w:val="single" w:sz="8" w:color="0000EE"/>
            </w:tcBorders>
            <w:gridSpan w:val="11"/>
          </w:tcPr>
          <w:p>
            <w:pPr>
              <w:spacing w:after="0"/>
              <w:rPr>
                <w:rFonts w:ascii="Arial" w:cs="Arial" w:eastAsia="Arial" w:hAnsi="Arial"/>
                <w:sz w:val="18"/>
                <w:szCs w:val="18"/>
                <w:color w:val="0000EE"/>
                <w:w w:val="90"/>
              </w:rPr>
            </w:pPr>
            <w:hyperlink r:id="rId302">
              <w:r>
                <w:rPr>
                  <w:rFonts w:ascii="Arial" w:cs="Arial" w:eastAsia="Arial" w:hAnsi="Arial"/>
                  <w:sz w:val="18"/>
                  <w:szCs w:val="18"/>
                  <w:color w:val="0000EE"/>
                  <w:w w:val="90"/>
                </w:rPr>
                <w:t>Offer Letter Agreement, dated April 27, 2015, between the Registrant and Laura Francis.</w:t>
              </w:r>
            </w:hyperlink>
          </w:p>
        </w:tc>
        <w:tc>
          <w:tcPr>
            <w:tcW w:w="2840" w:type="dxa"/>
            <w:vAlign w:val="bottom"/>
            <w:gridSpan w:val="14"/>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940" w:type="dxa"/>
            <w:vAlign w:val="bottom"/>
          </w:tcPr>
          <w:p>
            <w:pPr>
              <w:spacing w:after="0"/>
              <w:rPr>
                <w:sz w:val="24"/>
                <w:szCs w:val="24"/>
                <w:color w:val="auto"/>
              </w:rPr>
            </w:pPr>
          </w:p>
        </w:tc>
        <w:tc>
          <w:tcPr>
            <w:tcW w:w="8020" w:type="dxa"/>
            <w:vAlign w:val="bottom"/>
            <w:tcBorders>
              <w:bottom w:val="single" w:sz="8" w:color="0000EE"/>
            </w:tcBorders>
            <w:gridSpan w:val="19"/>
          </w:tcPr>
          <w:p>
            <w:pPr>
              <w:spacing w:after="0"/>
              <w:rPr>
                <w:rFonts w:ascii="Arial" w:cs="Arial" w:eastAsia="Arial" w:hAnsi="Arial"/>
                <w:sz w:val="18"/>
                <w:szCs w:val="18"/>
                <w:color w:val="0000EE"/>
                <w:w w:val="89"/>
              </w:rPr>
            </w:pPr>
            <w:hyperlink r:id="rId303">
              <w:r>
                <w:rPr>
                  <w:rFonts w:ascii="Arial" w:cs="Arial" w:eastAsia="Arial" w:hAnsi="Arial"/>
                  <w:sz w:val="18"/>
                  <w:szCs w:val="18"/>
                  <w:color w:val="0000EE"/>
                  <w:w w:val="89"/>
                </w:rPr>
                <w:t>Severance and Change in Control Agreement dated March 15, 2016, between the Registrant and Laura Francis.</w:t>
              </w:r>
            </w:hyperlink>
          </w:p>
        </w:tc>
        <w:tc>
          <w:tcPr>
            <w:tcW w:w="1240" w:type="dxa"/>
            <w:vAlign w:val="bottom"/>
            <w:gridSpan w:val="6"/>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94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18"/>
                <w:szCs w:val="18"/>
                <w:color w:val="0000EE"/>
                <w:w w:val="89"/>
              </w:rPr>
            </w:pPr>
            <w:hyperlink r:id="rId304">
              <w:r>
                <w:rPr>
                  <w:rFonts w:ascii="Arial" w:cs="Arial" w:eastAsia="Arial" w:hAnsi="Arial"/>
                  <w:sz w:val="18"/>
                  <w:szCs w:val="18"/>
                  <w:color w:val="0000EE"/>
                  <w:w w:val="89"/>
                </w:rPr>
                <w:t>Amended and Restated Letter Agreement, dated March 1, 2017, between the Registrant and Laura Francis.</w:t>
              </w:r>
            </w:hyperlink>
          </w:p>
        </w:tc>
        <w:tc>
          <w:tcPr>
            <w:tcW w:w="1560" w:type="dxa"/>
            <w:vAlign w:val="bottom"/>
            <w:gridSpan w:val="7"/>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940" w:type="dxa"/>
            <w:vAlign w:val="bottom"/>
          </w:tcPr>
          <w:p>
            <w:pPr>
              <w:spacing w:after="0"/>
              <w:rPr>
                <w:sz w:val="24"/>
                <w:szCs w:val="24"/>
                <w:color w:val="auto"/>
              </w:rPr>
            </w:pPr>
          </w:p>
        </w:tc>
        <w:tc>
          <w:tcPr>
            <w:tcW w:w="7100" w:type="dxa"/>
            <w:vAlign w:val="bottom"/>
            <w:tcBorders>
              <w:bottom w:val="single" w:sz="8" w:color="0000EE"/>
            </w:tcBorders>
            <w:gridSpan w:val="15"/>
          </w:tcPr>
          <w:p>
            <w:pPr>
              <w:spacing w:after="0"/>
              <w:rPr>
                <w:rFonts w:ascii="Arial" w:cs="Arial" w:eastAsia="Arial" w:hAnsi="Arial"/>
                <w:sz w:val="18"/>
                <w:szCs w:val="18"/>
                <w:color w:val="0000EE"/>
                <w:w w:val="90"/>
              </w:rPr>
            </w:pPr>
            <w:hyperlink r:id="rId305">
              <w:r>
                <w:rPr>
                  <w:rFonts w:ascii="Arial" w:cs="Arial" w:eastAsia="Arial" w:hAnsi="Arial"/>
                  <w:sz w:val="18"/>
                  <w:szCs w:val="18"/>
                  <w:color w:val="0000EE"/>
                  <w:w w:val="90"/>
                </w:rPr>
                <w:t>Offer Letter Agreement, dated February 7, 2012, between the Registrant and W. Carlton Reckling.</w:t>
              </w:r>
            </w:hyperlink>
          </w:p>
        </w:tc>
        <w:tc>
          <w:tcPr>
            <w:tcW w:w="2160" w:type="dxa"/>
            <w:vAlign w:val="bottom"/>
            <w:gridSpan w:val="10"/>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940" w:type="dxa"/>
            <w:vAlign w:val="bottom"/>
          </w:tcPr>
          <w:p>
            <w:pPr>
              <w:spacing w:after="0"/>
              <w:rPr>
                <w:sz w:val="24"/>
                <w:szCs w:val="24"/>
                <w:color w:val="auto"/>
              </w:rPr>
            </w:pPr>
          </w:p>
        </w:tc>
        <w:tc>
          <w:tcPr>
            <w:tcW w:w="9260" w:type="dxa"/>
            <w:vAlign w:val="bottom"/>
            <w:gridSpan w:val="25"/>
          </w:tcPr>
          <w:p>
            <w:pPr>
              <w:spacing w:after="0"/>
              <w:rPr>
                <w:rFonts w:ascii="Arial" w:cs="Arial" w:eastAsia="Arial" w:hAnsi="Arial"/>
                <w:sz w:val="18"/>
                <w:szCs w:val="18"/>
                <w:color w:val="0000EE"/>
                <w:w w:val="97"/>
              </w:rPr>
            </w:pPr>
            <w:hyperlink r:id="rId306">
              <w:r>
                <w:rPr>
                  <w:rFonts w:ascii="Arial" w:cs="Arial" w:eastAsia="Arial" w:hAnsi="Arial"/>
                  <w:sz w:val="18"/>
                  <w:szCs w:val="18"/>
                  <w:color w:val="0000EE"/>
                  <w:w w:val="97"/>
                </w:rPr>
                <w:t>Severance and Change in Control Agreement, dated March 15, 2016, between the Registrant and W. Carlton Reckling.</w:t>
              </w:r>
            </w:hyperlink>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940" w:type="dxa"/>
            <w:vAlign w:val="bottom"/>
          </w:tcPr>
          <w:p>
            <w:pPr>
              <w:spacing w:after="0"/>
              <w:rPr>
                <w:sz w:val="24"/>
                <w:szCs w:val="24"/>
                <w:color w:val="auto"/>
              </w:rPr>
            </w:pPr>
          </w:p>
        </w:tc>
        <w:tc>
          <w:tcPr>
            <w:tcW w:w="8540" w:type="dxa"/>
            <w:vAlign w:val="bottom"/>
            <w:tcBorders>
              <w:top w:val="single" w:sz="8" w:color="0000EE"/>
            </w:tcBorders>
            <w:gridSpan w:val="21"/>
          </w:tcPr>
          <w:p>
            <w:pPr>
              <w:spacing w:after="0"/>
              <w:rPr>
                <w:rFonts w:ascii="Arial" w:cs="Arial" w:eastAsia="Arial" w:hAnsi="Arial"/>
                <w:sz w:val="18"/>
                <w:szCs w:val="18"/>
                <w:color w:val="0000EE"/>
              </w:rPr>
            </w:pPr>
            <w:hyperlink r:id="rId307">
              <w:r>
                <w:rPr>
                  <w:rFonts w:ascii="Arial" w:cs="Arial" w:eastAsia="Arial" w:hAnsi="Arial"/>
                  <w:sz w:val="18"/>
                  <w:szCs w:val="18"/>
                  <w:color w:val="0000EE"/>
                </w:rPr>
                <w:t>Letter Agreement, dated January 18, 2017, between the Registrant and W. Carlton Reckling.</w:t>
              </w:r>
            </w:hyperlink>
          </w:p>
        </w:tc>
        <w:tc>
          <w:tcPr>
            <w:tcW w:w="720" w:type="dxa"/>
            <w:vAlign w:val="bottom"/>
            <w:gridSpan w:val="4"/>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gridSpan w:val="1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940" w:type="dxa"/>
            <w:vAlign w:val="bottom"/>
          </w:tcPr>
          <w:p>
            <w:pPr>
              <w:spacing w:after="0"/>
              <w:rPr>
                <w:sz w:val="24"/>
                <w:szCs w:val="24"/>
                <w:color w:val="auto"/>
              </w:rPr>
            </w:pPr>
          </w:p>
        </w:tc>
        <w:tc>
          <w:tcPr>
            <w:tcW w:w="6840" w:type="dxa"/>
            <w:vAlign w:val="bottom"/>
            <w:tcBorders>
              <w:bottom w:val="single" w:sz="8" w:color="0000EE"/>
            </w:tcBorders>
            <w:gridSpan w:val="13"/>
          </w:tcPr>
          <w:p>
            <w:pPr>
              <w:spacing w:after="0"/>
              <w:rPr>
                <w:rFonts w:ascii="Arial" w:cs="Arial" w:eastAsia="Arial" w:hAnsi="Arial"/>
                <w:sz w:val="18"/>
                <w:szCs w:val="18"/>
                <w:color w:val="0000EE"/>
                <w:w w:val="90"/>
              </w:rPr>
            </w:pPr>
            <w:hyperlink r:id="rId308">
              <w:r>
                <w:rPr>
                  <w:rFonts w:ascii="Arial" w:cs="Arial" w:eastAsia="Arial" w:hAnsi="Arial"/>
                  <w:sz w:val="18"/>
                  <w:szCs w:val="18"/>
                  <w:color w:val="0000EE"/>
                  <w:w w:val="90"/>
                </w:rPr>
                <w:t>Offer Letter Agreement, dated December 16, 2010, between the Registrant and Scott A. Yerby.</w:t>
              </w:r>
            </w:hyperlink>
          </w:p>
        </w:tc>
        <w:tc>
          <w:tcPr>
            <w:tcW w:w="2420" w:type="dxa"/>
            <w:vAlign w:val="bottom"/>
            <w:gridSpan w:val="12"/>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940" w:type="dxa"/>
            <w:vAlign w:val="bottom"/>
          </w:tcPr>
          <w:p>
            <w:pPr>
              <w:spacing w:after="0"/>
              <w:rPr>
                <w:sz w:val="24"/>
                <w:szCs w:val="24"/>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89"/>
              </w:rPr>
            </w:pPr>
            <w:hyperlink r:id="rId309">
              <w:r>
                <w:rPr>
                  <w:rFonts w:ascii="Arial" w:cs="Arial" w:eastAsia="Arial" w:hAnsi="Arial"/>
                  <w:sz w:val="18"/>
                  <w:szCs w:val="18"/>
                  <w:color w:val="0000EE"/>
                  <w:w w:val="89"/>
                </w:rPr>
                <w:t>Severance and Change in Control Agreement dated March 15, 2016, between the Registrant and Scott A. Yerby.</w:t>
              </w:r>
            </w:hyperlink>
          </w:p>
        </w:tc>
        <w:tc>
          <w:tcPr>
            <w:tcW w:w="1180" w:type="dxa"/>
            <w:vAlign w:val="bottom"/>
            <w:gridSpan w:val="5"/>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940" w:type="dxa"/>
            <w:vAlign w:val="bottom"/>
          </w:tcPr>
          <w:p>
            <w:pPr>
              <w:spacing w:after="0"/>
              <w:rPr>
                <w:sz w:val="24"/>
                <w:szCs w:val="24"/>
                <w:color w:val="auto"/>
              </w:rPr>
            </w:pPr>
          </w:p>
        </w:tc>
        <w:tc>
          <w:tcPr>
            <w:tcW w:w="6960" w:type="dxa"/>
            <w:vAlign w:val="bottom"/>
            <w:tcBorders>
              <w:bottom w:val="single" w:sz="8" w:color="0000EE"/>
            </w:tcBorders>
            <w:gridSpan w:val="14"/>
          </w:tcPr>
          <w:p>
            <w:pPr>
              <w:spacing w:after="0"/>
              <w:rPr>
                <w:rFonts w:ascii="Arial" w:cs="Arial" w:eastAsia="Arial" w:hAnsi="Arial"/>
                <w:sz w:val="18"/>
                <w:szCs w:val="18"/>
                <w:color w:val="0000EE"/>
                <w:w w:val="90"/>
              </w:rPr>
            </w:pPr>
            <w:hyperlink r:id="rId310">
              <w:r>
                <w:rPr>
                  <w:rFonts w:ascii="Arial" w:cs="Arial" w:eastAsia="Arial" w:hAnsi="Arial"/>
                  <w:sz w:val="18"/>
                  <w:szCs w:val="18"/>
                  <w:color w:val="0000EE"/>
                  <w:w w:val="90"/>
                </w:rPr>
                <w:t>Offer Letter Agreement, dated June 19, 2016, between the Registrant and Anthony J. Recupero.</w:t>
              </w:r>
            </w:hyperlink>
          </w:p>
        </w:tc>
        <w:tc>
          <w:tcPr>
            <w:tcW w:w="2300" w:type="dxa"/>
            <w:vAlign w:val="bottom"/>
            <w:gridSpan w:val="11"/>
          </w:tcPr>
          <w:p>
            <w:pPr>
              <w:spacing w:after="0"/>
              <w:rPr>
                <w:sz w:val="24"/>
                <w:szCs w:val="24"/>
                <w:color w:val="auto"/>
              </w:rPr>
            </w:pPr>
          </w:p>
        </w:tc>
      </w:tr>
      <w:tr>
        <w:trPr>
          <w:trHeight w:val="385"/>
        </w:trPr>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40" w:type="dxa"/>
            <w:vAlign w:val="bottom"/>
            <w:gridSpan w:val="19"/>
          </w:tcPr>
          <w:p>
            <w:pPr>
              <w:ind w:left="20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120"/>
          </w:cols>
          <w:pgMar w:left="240" w:top="459"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200" w:type="dxa"/>
            <w:vAlign w:val="bottom"/>
            <w:gridSpan w:val="13"/>
          </w:tcPr>
          <w:p>
            <w:pPr>
              <w:spacing w:after="0"/>
              <w:rPr>
                <w:sz w:val="14"/>
                <w:szCs w:val="14"/>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8"/>
              </w:rPr>
              <w:t>Amended and Restated Investors’ Rights Agreement, dated June 2, 2016, by and among the Registrant and the parties thereto, as</w:t>
            </w:r>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1"/>
          </w:tcPr>
          <w:p>
            <w:pPr>
              <w:spacing w:after="0" w:line="196" w:lineRule="exact"/>
              <w:rPr>
                <w:sz w:val="20"/>
                <w:szCs w:val="20"/>
                <w:color w:val="auto"/>
              </w:rPr>
            </w:pPr>
            <w:r>
              <w:rPr>
                <w:rFonts w:ascii="Arial" w:cs="Arial" w:eastAsia="Arial" w:hAnsi="Arial"/>
                <w:sz w:val="18"/>
                <w:szCs w:val="18"/>
                <w:color w:val="0000EE"/>
              </w:rPr>
              <w:t>amended on October 4, 2018.</w:t>
            </w:r>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80" w:type="dxa"/>
            <w:vAlign w:val="bottom"/>
            <w:tcBorders>
              <w:bottom w:val="single" w:sz="8" w:color="0000EE"/>
            </w:tcBorders>
            <w:gridSpan w:val="21"/>
          </w:tcPr>
          <w:p>
            <w:pPr>
              <w:spacing w:after="0"/>
              <w:rPr>
                <w:rFonts w:ascii="Arial" w:cs="Arial" w:eastAsia="Arial" w:hAnsi="Arial"/>
                <w:sz w:val="18"/>
                <w:szCs w:val="18"/>
                <w:color w:val="0000EE"/>
                <w:w w:val="89"/>
              </w:rPr>
            </w:pPr>
            <w:hyperlink r:id="rId312">
              <w:r>
                <w:rPr>
                  <w:rFonts w:ascii="Arial" w:cs="Arial" w:eastAsia="Arial" w:hAnsi="Arial"/>
                  <w:sz w:val="18"/>
                  <w:szCs w:val="18"/>
                  <w:color w:val="0000EE"/>
                  <w:w w:val="89"/>
                </w:rPr>
                <w:t>Loan Agreement, dated October 13, 2017, between the Registrant and Biopharma Credit Investments IV Sub LP, as amended on</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1"/>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June 15, 2018.</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80" w:type="dxa"/>
            <w:vAlign w:val="bottom"/>
            <w:gridSpan w:val="21"/>
          </w:tcPr>
          <w:p>
            <w:pPr>
              <w:spacing w:after="0"/>
              <w:rPr>
                <w:rFonts w:ascii="Arial" w:cs="Arial" w:eastAsia="Arial" w:hAnsi="Arial"/>
                <w:sz w:val="18"/>
                <w:szCs w:val="18"/>
                <w:color w:val="0000EE"/>
                <w:w w:val="94"/>
              </w:rPr>
            </w:pPr>
            <w:hyperlink r:id="rId313">
              <w:r>
                <w:rPr>
                  <w:rFonts w:ascii="Arial" w:cs="Arial" w:eastAsia="Arial" w:hAnsi="Arial"/>
                  <w:sz w:val="18"/>
                  <w:szCs w:val="18"/>
                  <w:color w:val="0000EE"/>
                  <w:w w:val="94"/>
                </w:rPr>
                <w:t>Office Lease Agreement, dated February 2, 2018, between the Registrant and Bixby SPE Finance 11, LLC, as amended on</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313">
              <w:r>
                <w:rPr>
                  <w:rFonts w:ascii="Arial" w:cs="Arial" w:eastAsia="Arial" w:hAnsi="Arial"/>
                  <w:sz w:val="18"/>
                  <w:szCs w:val="18"/>
                  <w:color w:val="0000EE"/>
                  <w:w w:val="93"/>
                </w:rPr>
                <w:t>April 16, 2018.</w:t>
              </w:r>
            </w:hyperlink>
          </w:p>
        </w:tc>
        <w:tc>
          <w:tcPr>
            <w:tcW w:w="7760" w:type="dxa"/>
            <w:vAlign w:val="bottom"/>
            <w:tcBorders>
              <w:top w:val="single" w:sz="8" w:color="0000EE"/>
            </w:tcBorders>
            <w:gridSpan w:val="17"/>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r:id="rId314">
              <w:r>
                <w:rPr>
                  <w:rFonts w:ascii="Arial" w:cs="Arial" w:eastAsia="Arial" w:hAnsi="Arial"/>
                  <w:sz w:val="18"/>
                  <w:szCs w:val="18"/>
                  <w:color w:val="0000EE"/>
                  <w:w w:val="90"/>
                </w:rPr>
                <w:t>Form of Warrant to Purchase Common Stock issued to Westriver Mezzanine Loans, LLC.</w:t>
              </w:r>
            </w:hyperlink>
          </w:p>
        </w:tc>
        <w:tc>
          <w:tcPr>
            <w:tcW w:w="2820" w:type="dxa"/>
            <w:vAlign w:val="bottom"/>
            <w:gridSpan w:val="7"/>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Borders>
              <w:bottom w:val="single" w:sz="8" w:color="0000EE"/>
            </w:tcBorders>
            <w:gridSpan w:val="9"/>
          </w:tcPr>
          <w:p>
            <w:pPr>
              <w:spacing w:after="0"/>
              <w:rPr>
                <w:rFonts w:ascii="Arial" w:cs="Arial" w:eastAsia="Arial" w:hAnsi="Arial"/>
                <w:sz w:val="18"/>
                <w:szCs w:val="18"/>
                <w:color w:val="0000EE"/>
                <w:w w:val="90"/>
              </w:rPr>
            </w:pPr>
            <w:hyperlink r:id="rId315">
              <w:r>
                <w:rPr>
                  <w:rFonts w:ascii="Arial" w:cs="Arial" w:eastAsia="Arial" w:hAnsi="Arial"/>
                  <w:sz w:val="18"/>
                  <w:szCs w:val="18"/>
                  <w:color w:val="0000EE"/>
                  <w:w w:val="90"/>
                </w:rPr>
                <w:t>Form of Warrant to Purchase Common Stock issued to Silicon Valley Bank.</w:t>
              </w:r>
            </w:hyperlink>
          </w:p>
        </w:tc>
        <w:tc>
          <w:tcPr>
            <w:tcW w:w="3820" w:type="dxa"/>
            <w:vAlign w:val="bottom"/>
            <w:gridSpan w:val="12"/>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Borders>
              <w:bottom w:val="single" w:sz="8" w:color="0000EE"/>
            </w:tcBorders>
            <w:gridSpan w:val="15"/>
          </w:tcPr>
          <w:p>
            <w:pPr>
              <w:spacing w:after="0"/>
              <w:rPr>
                <w:rFonts w:ascii="Arial" w:cs="Arial" w:eastAsia="Arial" w:hAnsi="Arial"/>
                <w:sz w:val="18"/>
                <w:szCs w:val="18"/>
                <w:color w:val="0000EE"/>
                <w:w w:val="89"/>
              </w:rPr>
            </w:pPr>
            <w:hyperlink r:id="rId316">
              <w:r>
                <w:rPr>
                  <w:rFonts w:ascii="Arial" w:cs="Arial" w:eastAsia="Arial" w:hAnsi="Arial"/>
                  <w:sz w:val="18"/>
                  <w:szCs w:val="18"/>
                  <w:color w:val="0000EE"/>
                  <w:w w:val="89"/>
                </w:rPr>
                <w:t>Warrant to Purchase Series 5 Preferred Stock issued to Silicon Valley Bank dated July 17, 2013.</w:t>
              </w:r>
            </w:hyperlink>
          </w:p>
        </w:tc>
        <w:tc>
          <w:tcPr>
            <w:tcW w:w="2380" w:type="dxa"/>
            <w:vAlign w:val="bottom"/>
            <w:gridSpan w:val="6"/>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60" w:type="dxa"/>
            <w:vAlign w:val="bottom"/>
            <w:tcBorders>
              <w:bottom w:val="single" w:sz="8" w:color="0000EE"/>
            </w:tcBorders>
            <w:gridSpan w:val="17"/>
          </w:tcPr>
          <w:p>
            <w:pPr>
              <w:spacing w:after="0"/>
              <w:rPr>
                <w:rFonts w:ascii="Arial" w:cs="Arial" w:eastAsia="Arial" w:hAnsi="Arial"/>
                <w:sz w:val="18"/>
                <w:szCs w:val="18"/>
                <w:color w:val="0000EE"/>
                <w:w w:val="89"/>
              </w:rPr>
            </w:pPr>
            <w:hyperlink r:id="rId317">
              <w:r>
                <w:rPr>
                  <w:rFonts w:ascii="Arial" w:cs="Arial" w:eastAsia="Arial" w:hAnsi="Arial"/>
                  <w:sz w:val="18"/>
                  <w:szCs w:val="18"/>
                  <w:color w:val="0000EE"/>
                  <w:w w:val="89"/>
                </w:rPr>
                <w:t>Warrant to Purchase Series 6 Preferred Stock issued to Silicon Valley Bank dated November 26, 2014.</w:t>
              </w:r>
            </w:hyperlink>
          </w:p>
        </w:tc>
        <w:tc>
          <w:tcPr>
            <w:tcW w:w="1920" w:type="dxa"/>
            <w:vAlign w:val="bottom"/>
            <w:gridSpan w:val="4"/>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tcBorders>
              <w:bottom w:val="single" w:sz="8" w:color="0000EE"/>
            </w:tcBorders>
            <w:gridSpan w:val="11"/>
          </w:tcPr>
          <w:p>
            <w:pPr>
              <w:spacing w:after="0"/>
              <w:rPr>
                <w:rFonts w:ascii="Arial" w:cs="Arial" w:eastAsia="Arial" w:hAnsi="Arial"/>
                <w:sz w:val="18"/>
                <w:szCs w:val="18"/>
                <w:color w:val="0000EE"/>
                <w:w w:val="90"/>
              </w:rPr>
            </w:pPr>
            <w:hyperlink r:id="rId318">
              <w:r>
                <w:rPr>
                  <w:rFonts w:ascii="Arial" w:cs="Arial" w:eastAsia="Arial" w:hAnsi="Arial"/>
                  <w:sz w:val="18"/>
                  <w:szCs w:val="18"/>
                  <w:color w:val="0000EE"/>
                  <w:w w:val="90"/>
                </w:rPr>
                <w:t>Form of Warrant to Purchase Series 6 Preferred Stock issued to Silicon Valley Bank.</w:t>
              </w:r>
            </w:hyperlink>
          </w:p>
        </w:tc>
        <w:tc>
          <w:tcPr>
            <w:tcW w:w="3200" w:type="dxa"/>
            <w:vAlign w:val="bottom"/>
            <w:gridSpan w:val="10"/>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tcBorders>
              <w:bottom w:val="single" w:sz="8" w:color="0000EE"/>
            </w:tcBorders>
            <w:gridSpan w:val="12"/>
          </w:tcPr>
          <w:p>
            <w:pPr>
              <w:spacing w:after="0"/>
              <w:rPr>
                <w:rFonts w:ascii="Arial" w:cs="Arial" w:eastAsia="Arial" w:hAnsi="Arial"/>
                <w:sz w:val="18"/>
                <w:szCs w:val="18"/>
                <w:color w:val="0000EE"/>
                <w:w w:val="90"/>
              </w:rPr>
            </w:pPr>
            <w:hyperlink r:id="rId319">
              <w:r>
                <w:rPr>
                  <w:rFonts w:ascii="Arial" w:cs="Arial" w:eastAsia="Arial" w:hAnsi="Arial"/>
                  <w:sz w:val="18"/>
                  <w:szCs w:val="18"/>
                  <w:color w:val="0000EE"/>
                  <w:w w:val="90"/>
                </w:rPr>
                <w:t>Form of Warrant to Purchase Series 6 Preferred Stock issued to Oxford Finance, LLC.</w:t>
              </w:r>
            </w:hyperlink>
          </w:p>
        </w:tc>
        <w:tc>
          <w:tcPr>
            <w:tcW w:w="3080" w:type="dxa"/>
            <w:vAlign w:val="bottom"/>
            <w:gridSpan w:val="9"/>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60" w:type="dxa"/>
            <w:vAlign w:val="bottom"/>
            <w:tcBorders>
              <w:bottom w:val="single" w:sz="8" w:color="0000EE"/>
            </w:tcBorders>
            <w:gridSpan w:val="18"/>
          </w:tcPr>
          <w:p>
            <w:pPr>
              <w:spacing w:after="0"/>
              <w:rPr>
                <w:rFonts w:ascii="Arial" w:cs="Arial" w:eastAsia="Arial" w:hAnsi="Arial"/>
                <w:sz w:val="18"/>
                <w:szCs w:val="18"/>
                <w:color w:val="0000EE"/>
                <w:w w:val="89"/>
              </w:rPr>
            </w:pPr>
            <w:hyperlink r:id="rId320">
              <w:r>
                <w:rPr>
                  <w:rFonts w:ascii="Arial" w:cs="Arial" w:eastAsia="Arial" w:hAnsi="Arial"/>
                  <w:sz w:val="18"/>
                  <w:szCs w:val="18"/>
                  <w:color w:val="0000EE"/>
                  <w:w w:val="89"/>
                </w:rPr>
                <w:t>Warrant to Purchase Series 7 Preferred Stock issued to Oxford Finance, LLC dated December 22, 2016.</w:t>
              </w:r>
            </w:hyperlink>
          </w:p>
        </w:tc>
        <w:tc>
          <w:tcPr>
            <w:tcW w:w="1820" w:type="dxa"/>
            <w:vAlign w:val="bottom"/>
            <w:gridSpan w:val="3"/>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40" w:type="dxa"/>
            <w:vAlign w:val="bottom"/>
            <w:tcBorders>
              <w:bottom w:val="single" w:sz="8" w:color="0000EE"/>
            </w:tcBorders>
            <w:gridSpan w:val="16"/>
          </w:tcPr>
          <w:p>
            <w:pPr>
              <w:spacing w:after="0"/>
              <w:rPr>
                <w:rFonts w:ascii="Arial" w:cs="Arial" w:eastAsia="Arial" w:hAnsi="Arial"/>
                <w:sz w:val="18"/>
                <w:szCs w:val="18"/>
                <w:color w:val="0000EE"/>
                <w:w w:val="89"/>
              </w:rPr>
            </w:pPr>
            <w:hyperlink r:id="rId321">
              <w:r>
                <w:rPr>
                  <w:rFonts w:ascii="Arial" w:cs="Arial" w:eastAsia="Arial" w:hAnsi="Arial"/>
                  <w:sz w:val="18"/>
                  <w:szCs w:val="18"/>
                  <w:color w:val="0000EE"/>
                  <w:w w:val="89"/>
                </w:rPr>
                <w:t>Warrant to Purchase Series 7 Preferred Stock issued to Silicon Valley Bank dated December 22, 2016.</w:t>
              </w:r>
            </w:hyperlink>
          </w:p>
        </w:tc>
        <w:tc>
          <w:tcPr>
            <w:tcW w:w="1940" w:type="dxa"/>
            <w:vAlign w:val="bottom"/>
            <w:gridSpan w:val="5"/>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80" w:type="dxa"/>
            <w:vAlign w:val="bottom"/>
            <w:gridSpan w:val="21"/>
          </w:tcPr>
          <w:p>
            <w:pPr>
              <w:spacing w:after="0"/>
              <w:rPr>
                <w:rFonts w:ascii="Arial" w:cs="Arial" w:eastAsia="Arial" w:hAnsi="Arial"/>
                <w:sz w:val="18"/>
                <w:szCs w:val="18"/>
                <w:color w:val="0000EE"/>
              </w:rPr>
            </w:pPr>
            <w:hyperlink r:id="rId322">
              <w:r>
                <w:rPr>
                  <w:rFonts w:ascii="Arial" w:cs="Arial" w:eastAsia="Arial" w:hAnsi="Arial"/>
                  <w:sz w:val="18"/>
                  <w:szCs w:val="18"/>
                  <w:color w:val="0000EE"/>
                </w:rPr>
                <w:t>Form of Restricted Stock Unit Grant Notice and Award Agreement.</w:t>
              </w:r>
            </w:hyperlink>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323">
              <w:r>
                <w:rPr>
                  <w:rFonts w:ascii="Arial" w:cs="Arial" w:eastAsia="Arial" w:hAnsi="Arial"/>
                  <w:sz w:val="18"/>
                  <w:szCs w:val="18"/>
                  <w:color w:val="0000EE"/>
                  <w:w w:val="91"/>
                </w:rPr>
                <w:t>List of Subsidiaries of Registrant.</w:t>
              </w:r>
            </w:hyperlink>
          </w:p>
        </w:tc>
        <w:tc>
          <w:tcPr>
            <w:tcW w:w="2440" w:type="dxa"/>
            <w:vAlign w:val="bottom"/>
            <w:tcBorders>
              <w:top w:val="single" w:sz="8" w:color="0000EE"/>
            </w:tcBorders>
            <w:gridSpan w:val="3"/>
          </w:tcPr>
          <w:p>
            <w:pPr>
              <w:spacing w:after="0"/>
              <w:rPr>
                <w:sz w:val="24"/>
                <w:szCs w:val="24"/>
                <w:color w:val="auto"/>
              </w:rPr>
            </w:pPr>
          </w:p>
        </w:tc>
        <w:tc>
          <w:tcPr>
            <w:tcW w:w="4420" w:type="dxa"/>
            <w:vAlign w:val="bottom"/>
            <w:gridSpan w:val="14"/>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Arial" w:cs="Arial" w:eastAsia="Arial" w:hAnsi="Arial"/>
                <w:sz w:val="18"/>
                <w:szCs w:val="18"/>
                <w:color w:val="0000EE"/>
              </w:rPr>
              <w:t>Consent of Cooley LLP (contained in Exhibit 5.1).</w:t>
            </w:r>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w:t>
            </w: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0" w:type="dxa"/>
            <w:vAlign w:val="bottom"/>
            <w:tcBorders>
              <w:top w:val="single" w:sz="8" w:color="0000EE"/>
            </w:tcBorders>
            <w:gridSpan w:val="13"/>
          </w:tcPr>
          <w:p>
            <w:pPr>
              <w:spacing w:after="0"/>
              <w:rPr>
                <w:rFonts w:ascii="Arial" w:cs="Arial" w:eastAsia="Arial" w:hAnsi="Arial"/>
                <w:sz w:val="18"/>
                <w:szCs w:val="18"/>
                <w:color w:val="0000EE"/>
                <w:w w:val="98"/>
              </w:rPr>
            </w:pPr>
            <w:hyperlink r:id="rId324">
              <w:r>
                <w:rPr>
                  <w:rFonts w:ascii="Arial" w:cs="Arial" w:eastAsia="Arial" w:hAnsi="Arial"/>
                  <w:sz w:val="18"/>
                  <w:szCs w:val="18"/>
                  <w:color w:val="0000EE"/>
                  <w:w w:val="98"/>
                </w:rPr>
                <w:t>Power of Attorney (contained in the signature page to this registration statement).</w:t>
              </w:r>
            </w:hyperlink>
          </w:p>
        </w:tc>
        <w:tc>
          <w:tcPr>
            <w:tcW w:w="2880" w:type="dxa"/>
            <w:vAlign w:val="bottom"/>
            <w:gridSpan w:val="8"/>
          </w:tcPr>
          <w:p>
            <w:pPr>
              <w:spacing w:after="0"/>
              <w:rPr>
                <w:sz w:val="24"/>
                <w:szCs w:val="24"/>
                <w:color w:val="auto"/>
              </w:rPr>
            </w:pPr>
          </w:p>
        </w:tc>
      </w:tr>
      <w:tr>
        <w:trPr>
          <w:trHeight w:val="155"/>
        </w:trPr>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22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134" w:lineRule="exact"/>
        <w:rPr>
          <w:sz w:val="20"/>
          <w:szCs w:val="20"/>
          <w:color w:val="auto"/>
        </w:rPr>
      </w:pPr>
    </w:p>
    <w:p>
      <w:pPr>
        <w:ind w:left="640" w:hanging="430"/>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40" w:hanging="430"/>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40" w:right="280" w:hanging="430"/>
        <w:spacing w:after="0" w:line="260"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76" w:lineRule="exact"/>
        <w:rPr>
          <w:rFonts w:ascii="Arial" w:cs="Arial" w:eastAsia="Arial" w:hAnsi="Arial"/>
          <w:sz w:val="18"/>
          <w:szCs w:val="18"/>
          <w:color w:val="auto"/>
        </w:rPr>
      </w:pPr>
    </w:p>
    <w:p>
      <w:pPr>
        <w:ind w:left="660" w:right="580" w:firstLine="413"/>
        <w:spacing w:after="0" w:line="277" w:lineRule="auto"/>
        <w:tabs>
          <w:tab w:leader="none" w:pos="1337" w:val="left"/>
        </w:tabs>
        <w:numPr>
          <w:ilvl w:val="1"/>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 which is incorporated herein by reference.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20" w:firstLine="440"/>
        <w:spacing w:after="0" w:line="307"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7" w:lineRule="exact"/>
        <w:rPr>
          <w:sz w:val="20"/>
          <w:szCs w:val="20"/>
          <w:color w:val="auto"/>
        </w:rPr>
      </w:pPr>
    </w:p>
    <w:p>
      <w:pPr>
        <w:ind w:left="220" w:right="140" w:firstLine="440"/>
        <w:spacing w:after="0" w:line="293"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w:t>
      </w:r>
    </w:p>
    <w:p>
      <w:pPr>
        <w:spacing w:after="0" w:line="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240" w:top="460"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color w:val="auto"/>
        </w:rPr>
        <w:t>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660" w:right="20" w:firstLine="413"/>
        <w:spacing w:after="0" w:line="290" w:lineRule="auto"/>
        <w:tabs>
          <w:tab w:leader="none" w:pos="133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w:t>
      </w:r>
    </w:p>
    <w:p>
      <w:pPr>
        <w:spacing w:after="0" w:line="1" w:lineRule="exact"/>
        <w:rPr>
          <w:rFonts w:ascii="Arial" w:cs="Arial" w:eastAsia="Arial" w:hAnsi="Arial"/>
          <w:sz w:val="16"/>
          <w:szCs w:val="16"/>
          <w:color w:val="auto"/>
        </w:rPr>
      </w:pPr>
    </w:p>
    <w:p>
      <w:pPr>
        <w:ind w:left="900" w:hanging="250"/>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3" w:lineRule="exact"/>
        <w:rPr>
          <w:rFonts w:ascii="Arial" w:cs="Arial" w:eastAsia="Arial" w:hAnsi="Arial"/>
          <w:sz w:val="17"/>
          <w:szCs w:val="17"/>
          <w:color w:val="auto"/>
        </w:rPr>
      </w:pPr>
    </w:p>
    <w:p>
      <w:pPr>
        <w:jc w:val="both"/>
        <w:ind w:left="660" w:firstLine="413"/>
        <w:spacing w:after="0" w:line="263" w:lineRule="auto"/>
        <w:tabs>
          <w:tab w:leader="none" w:pos="133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240" w:top="459" w:right="5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1">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20" w:right="4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1 to Registration Statement to be signed on its behalf by the undersigned, thereunto duly authorized, in the City of Santa Clara, State of California, on the 5th day of October, 2018.</w:t>
      </w:r>
    </w:p>
    <w:p>
      <w:pPr>
        <w:spacing w:after="0" w:line="21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/s/  Jeffrey W. Dunn</w:t>
            </w:r>
          </w:p>
        </w:tc>
      </w:tr>
      <w:tr>
        <w:trPr>
          <w:trHeight w:val="208"/>
        </w:trPr>
        <w:tc>
          <w:tcPr>
            <w:tcW w:w="360" w:type="dxa"/>
            <w:vAlign w:val="bottom"/>
          </w:tcPr>
          <w:p>
            <w:pPr>
              <w:spacing w:after="0"/>
              <w:rPr>
                <w:sz w:val="18"/>
                <w:szCs w:val="18"/>
                <w:color w:val="auto"/>
              </w:rPr>
            </w:pPr>
          </w:p>
        </w:tc>
        <w:tc>
          <w:tcPr>
            <w:tcW w:w="4040" w:type="dxa"/>
            <w:vAlign w:val="bottom"/>
          </w:tcPr>
          <w:p>
            <w:pPr>
              <w:jc w:val="right"/>
              <w:ind w:right="1330"/>
              <w:spacing w:after="0"/>
              <w:rPr>
                <w:sz w:val="20"/>
                <w:szCs w:val="20"/>
                <w:color w:val="auto"/>
              </w:rPr>
            </w:pPr>
            <w:r>
              <w:rPr>
                <w:rFonts w:ascii="Arial" w:cs="Arial" w:eastAsia="Arial" w:hAnsi="Arial"/>
                <w:sz w:val="18"/>
                <w:szCs w:val="18"/>
                <w:color w:val="auto"/>
              </w:rPr>
              <w:t>Jeffrey W. Dunn</w:t>
            </w:r>
          </w:p>
        </w:tc>
      </w:tr>
      <w:tr>
        <w:trPr>
          <w:trHeight w:val="230"/>
        </w:trPr>
        <w:tc>
          <w:tcPr>
            <w:tcW w:w="360" w:type="dxa"/>
            <w:vAlign w:val="bottom"/>
          </w:tcPr>
          <w:p>
            <w:pPr>
              <w:spacing w:after="0"/>
              <w:rPr>
                <w:sz w:val="20"/>
                <w:szCs w:val="20"/>
                <w:color w:val="auto"/>
              </w:rPr>
            </w:pPr>
          </w:p>
        </w:tc>
        <w:tc>
          <w:tcPr>
            <w:tcW w:w="4040" w:type="dxa"/>
            <w:vAlign w:val="bottom"/>
          </w:tcPr>
          <w:p>
            <w:pPr>
              <w:jc w:val="right"/>
              <w:ind w:right="55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20" w:right="1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Amendment No. 1 to Registration Statement has been signed by the following persons on behalf of the registrant and in the capacities and on the dates indicated.</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800" w:type="dxa"/>
            <w:vAlign w:val="bottom"/>
          </w:tcPr>
          <w:p>
            <w:pPr>
              <w:spacing w:after="0"/>
              <w:rPr>
                <w:sz w:val="14"/>
                <w:szCs w:val="14"/>
                <w:color w:val="auto"/>
              </w:rPr>
            </w:pPr>
          </w:p>
        </w:tc>
        <w:tc>
          <w:tcPr>
            <w:tcW w:w="174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16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73"/>
              </w:rPr>
              <w:t>/s/</w:t>
            </w:r>
          </w:p>
        </w:tc>
        <w:tc>
          <w:tcPr>
            <w:tcW w:w="322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1"/>
              </w:rPr>
              <w:t>Jeffrey W. Dunn</w:t>
            </w: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w:t>
            </w:r>
            <w:r>
              <w:rPr>
                <w:rFonts w:ascii="Arial" w:cs="Arial" w:eastAsia="Arial" w:hAnsi="Arial"/>
                <w:sz w:val="18"/>
                <w:szCs w:val="18"/>
                <w:i w:val="1"/>
                <w:iCs w:val="1"/>
                <w:color w:val="auto"/>
              </w:rPr>
              <w:t>Principal</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181"/>
        </w:trPr>
        <w:tc>
          <w:tcPr>
            <w:tcW w:w="1660" w:type="dxa"/>
            <w:vAlign w:val="bottom"/>
          </w:tcPr>
          <w:p>
            <w:pPr>
              <w:spacing w:after="0"/>
              <w:rPr>
                <w:sz w:val="15"/>
                <w:szCs w:val="15"/>
                <w:color w:val="auto"/>
              </w:rPr>
            </w:pPr>
          </w:p>
        </w:tc>
        <w:tc>
          <w:tcPr>
            <w:tcW w:w="3220" w:type="dxa"/>
            <w:vAlign w:val="bottom"/>
            <w:gridSpan w:val="3"/>
          </w:tcPr>
          <w:p>
            <w:pPr>
              <w:jc w:val="center"/>
              <w:ind w:right="1660"/>
              <w:spacing w:after="0" w:line="182" w:lineRule="exact"/>
              <w:rPr>
                <w:sz w:val="20"/>
                <w:szCs w:val="20"/>
                <w:color w:val="auto"/>
              </w:rPr>
            </w:pPr>
            <w:r>
              <w:rPr>
                <w:rFonts w:ascii="Arial" w:cs="Arial" w:eastAsia="Arial" w:hAnsi="Arial"/>
                <w:sz w:val="18"/>
                <w:szCs w:val="18"/>
                <w:color w:val="auto"/>
                <w:w w:val="92"/>
              </w:rPr>
              <w:t>Jeffrey W. Dunn</w:t>
            </w:r>
          </w:p>
        </w:tc>
        <w:tc>
          <w:tcPr>
            <w:tcW w:w="3960" w:type="dxa"/>
            <w:vAlign w:val="bottom"/>
            <w:gridSpan w:val="3"/>
          </w:tcPr>
          <w:p>
            <w:pPr>
              <w:ind w:left="120"/>
              <w:spacing w:after="0" w:line="182" w:lineRule="exact"/>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and</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0"/>
        </w:trPr>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Chairman</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83"/>
              </w:rPr>
              <w:t>/s/</w:t>
            </w:r>
          </w:p>
        </w:tc>
        <w:tc>
          <w:tcPr>
            <w:tcW w:w="322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2"/>
              </w:rPr>
              <w:t>Laura A. Francis</w:t>
            </w: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1660" w:type="dxa"/>
            <w:vAlign w:val="bottom"/>
          </w:tcPr>
          <w:p>
            <w:pPr>
              <w:spacing w:after="0"/>
              <w:rPr>
                <w:sz w:val="19"/>
                <w:szCs w:val="19"/>
                <w:color w:val="auto"/>
              </w:rPr>
            </w:pPr>
          </w:p>
        </w:tc>
        <w:tc>
          <w:tcPr>
            <w:tcW w:w="322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Laura A. Francis</w:t>
            </w:r>
          </w:p>
        </w:tc>
        <w:tc>
          <w:tcPr>
            <w:tcW w:w="3960" w:type="dxa"/>
            <w:vAlign w:val="bottom"/>
            <w:gridSpan w:val="3"/>
          </w:tcPr>
          <w:p>
            <w:pPr>
              <w:ind w:left="120"/>
              <w:spacing w:after="0"/>
              <w:rPr>
                <w:sz w:val="20"/>
                <w:szCs w:val="20"/>
                <w:color w:val="auto"/>
              </w:rPr>
            </w:pPr>
            <w:r>
              <w:rPr>
                <w:rFonts w:ascii="Arial" w:cs="Arial" w:eastAsia="Arial" w:hAnsi="Arial"/>
                <w:sz w:val="18"/>
                <w:szCs w:val="18"/>
                <w:i w:val="1"/>
                <w:iCs w:val="1"/>
                <w:color w:val="auto"/>
              </w:rPr>
              <w:t>Financial and Accounting Officer</w:t>
            </w: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4880" w:type="dxa"/>
            <w:vAlign w:val="bottom"/>
            <w:gridSpan w:val="4"/>
          </w:tcPr>
          <w:p>
            <w:pPr>
              <w:jc w:val="center"/>
              <w:spacing w:after="0"/>
              <w:rPr>
                <w:sz w:val="20"/>
                <w:szCs w:val="20"/>
                <w:color w:val="auto"/>
              </w:rPr>
            </w:pPr>
            <w:r>
              <w:rPr>
                <w:rFonts w:ascii="Arial" w:cs="Arial" w:eastAsia="Arial" w:hAnsi="Arial"/>
                <w:sz w:val="18"/>
                <w:szCs w:val="18"/>
                <w:color w:val="auto"/>
                <w:w w:val="92"/>
              </w:rPr>
              <w:t>David P. Bonita, M.D.</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1660" w:type="dxa"/>
            <w:vAlign w:val="bottom"/>
          </w:tcPr>
          <w:p>
            <w:pPr>
              <w:spacing w:after="0"/>
              <w:rPr>
                <w:sz w:val="19"/>
                <w:szCs w:val="19"/>
                <w:color w:val="auto"/>
              </w:rPr>
            </w:pPr>
          </w:p>
        </w:tc>
        <w:tc>
          <w:tcPr>
            <w:tcW w:w="3220" w:type="dxa"/>
            <w:vAlign w:val="bottom"/>
            <w:gridSpan w:val="3"/>
          </w:tcPr>
          <w:p>
            <w:pPr>
              <w:jc w:val="center"/>
              <w:ind w:right="1660"/>
              <w:spacing w:after="0"/>
              <w:rPr>
                <w:sz w:val="20"/>
                <w:szCs w:val="20"/>
                <w:color w:val="auto"/>
              </w:rPr>
            </w:pPr>
            <w:r>
              <w:rPr>
                <w:rFonts w:ascii="Arial" w:cs="Arial" w:eastAsia="Arial" w:hAnsi="Arial"/>
                <w:sz w:val="18"/>
                <w:szCs w:val="18"/>
                <w:color w:val="auto"/>
                <w:w w:val="91"/>
              </w:rPr>
              <w:t>Timothy E. Davis, Jr.</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4880" w:type="dxa"/>
            <w:vAlign w:val="bottom"/>
            <w:gridSpan w:val="4"/>
          </w:tcPr>
          <w:p>
            <w:pPr>
              <w:jc w:val="center"/>
              <w:spacing w:after="0"/>
              <w:rPr>
                <w:sz w:val="20"/>
                <w:szCs w:val="20"/>
                <w:color w:val="auto"/>
              </w:rPr>
            </w:pPr>
            <w:r>
              <w:rPr>
                <w:rFonts w:ascii="Arial" w:cs="Arial" w:eastAsia="Arial" w:hAnsi="Arial"/>
                <w:sz w:val="18"/>
                <w:szCs w:val="18"/>
                <w:color w:val="auto"/>
                <w:w w:val="92"/>
              </w:rPr>
              <w:t>John G. Freund, M.D.</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1660" w:type="dxa"/>
            <w:vAlign w:val="bottom"/>
          </w:tcPr>
          <w:p>
            <w:pPr>
              <w:spacing w:after="0"/>
              <w:rPr>
                <w:sz w:val="19"/>
                <w:szCs w:val="19"/>
                <w:color w:val="auto"/>
              </w:rPr>
            </w:pPr>
          </w:p>
        </w:tc>
        <w:tc>
          <w:tcPr>
            <w:tcW w:w="3220" w:type="dxa"/>
            <w:vAlign w:val="bottom"/>
            <w:gridSpan w:val="3"/>
          </w:tcPr>
          <w:p>
            <w:pPr>
              <w:jc w:val="center"/>
              <w:ind w:right="1660"/>
              <w:spacing w:after="0"/>
              <w:rPr>
                <w:sz w:val="20"/>
                <w:szCs w:val="20"/>
                <w:color w:val="auto"/>
              </w:rPr>
            </w:pPr>
            <w:r>
              <w:rPr>
                <w:rFonts w:ascii="Arial" w:cs="Arial" w:eastAsia="Arial" w:hAnsi="Arial"/>
                <w:sz w:val="18"/>
                <w:szCs w:val="18"/>
                <w:color w:val="auto"/>
                <w:w w:val="94"/>
              </w:rPr>
              <w:t>Gregory K. Hinckley</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1660" w:type="dxa"/>
            <w:vAlign w:val="bottom"/>
          </w:tcPr>
          <w:p>
            <w:pPr>
              <w:spacing w:after="0"/>
              <w:rPr>
                <w:sz w:val="19"/>
                <w:szCs w:val="19"/>
                <w:color w:val="auto"/>
              </w:rPr>
            </w:pPr>
          </w:p>
        </w:tc>
        <w:tc>
          <w:tcPr>
            <w:tcW w:w="3220" w:type="dxa"/>
            <w:vAlign w:val="bottom"/>
            <w:gridSpan w:val="3"/>
          </w:tcPr>
          <w:p>
            <w:pPr>
              <w:jc w:val="center"/>
              <w:ind w:right="1660"/>
              <w:spacing w:after="0"/>
              <w:rPr>
                <w:sz w:val="20"/>
                <w:szCs w:val="20"/>
                <w:color w:val="auto"/>
              </w:rPr>
            </w:pPr>
            <w:r>
              <w:rPr>
                <w:rFonts w:ascii="Arial" w:cs="Arial" w:eastAsia="Arial" w:hAnsi="Arial"/>
                <w:sz w:val="18"/>
                <w:szCs w:val="18"/>
                <w:color w:val="auto"/>
                <w:w w:val="97"/>
              </w:rPr>
              <w:t>Karen A. Licitra</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488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Mark A. Reiley, M.D.</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1660" w:type="dxa"/>
            <w:vAlign w:val="bottom"/>
          </w:tcPr>
          <w:p>
            <w:pPr>
              <w:spacing w:after="0"/>
              <w:rPr>
                <w:sz w:val="19"/>
                <w:szCs w:val="19"/>
                <w:color w:val="auto"/>
              </w:rPr>
            </w:pPr>
          </w:p>
        </w:tc>
        <w:tc>
          <w:tcPr>
            <w:tcW w:w="322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Timothy B. Petersen</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51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spacing w:after="0"/>
              <w:rPr>
                <w:sz w:val="24"/>
                <w:szCs w:val="24"/>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492"/>
              <w:spacing w:after="0"/>
              <w:rPr>
                <w:sz w:val="20"/>
                <w:szCs w:val="20"/>
                <w:color w:val="auto"/>
              </w:rPr>
            </w:pPr>
            <w:r>
              <w:rPr>
                <w:rFonts w:ascii="Arial" w:cs="Arial" w:eastAsia="Arial" w:hAnsi="Arial"/>
                <w:sz w:val="18"/>
                <w:szCs w:val="18"/>
                <w:color w:val="auto"/>
                <w:w w:val="89"/>
              </w:rPr>
              <w:t>October 5, 2018</w:t>
            </w:r>
          </w:p>
        </w:tc>
      </w:tr>
      <w:tr>
        <w:trPr>
          <w:trHeight w:val="224"/>
        </w:trPr>
        <w:tc>
          <w:tcPr>
            <w:tcW w:w="1660" w:type="dxa"/>
            <w:vAlign w:val="bottom"/>
          </w:tcPr>
          <w:p>
            <w:pPr>
              <w:spacing w:after="0"/>
              <w:rPr>
                <w:sz w:val="19"/>
                <w:szCs w:val="19"/>
                <w:color w:val="auto"/>
              </w:rPr>
            </w:pPr>
          </w:p>
        </w:tc>
        <w:tc>
          <w:tcPr>
            <w:tcW w:w="3220" w:type="dxa"/>
            <w:vAlign w:val="bottom"/>
            <w:gridSpan w:val="3"/>
          </w:tcPr>
          <w:p>
            <w:pPr>
              <w:jc w:val="center"/>
              <w:ind w:right="1660"/>
              <w:spacing w:after="0"/>
              <w:rPr>
                <w:sz w:val="20"/>
                <w:szCs w:val="20"/>
                <w:color w:val="auto"/>
              </w:rPr>
            </w:pPr>
            <w:r>
              <w:rPr>
                <w:rFonts w:ascii="Arial" w:cs="Arial" w:eastAsia="Arial" w:hAnsi="Arial"/>
                <w:sz w:val="18"/>
                <w:szCs w:val="18"/>
                <w:color w:val="auto"/>
                <w:w w:val="91"/>
              </w:rPr>
              <w:t>Keith C. Valentine</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14605</wp:posOffset>
            </wp:positionV>
            <wp:extent cx="25355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Jeffrey W. Dunn</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Attorney-in-Fact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20"/>
          </w:cols>
          <w:pgMar w:left="240" w:top="459" w:right="4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340" w:hanging="218"/>
        <w:spacing w:after="0"/>
        <w:tabs>
          <w:tab w:leader="none" w:pos="5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4" w:lineRule="exact"/>
        <w:rPr>
          <w:rFonts w:ascii="Arial" w:cs="Arial" w:eastAsia="Arial" w:hAnsi="Arial"/>
          <w:sz w:val="18"/>
          <w:szCs w:val="18"/>
          <w:b w:val="1"/>
          <w:bCs w:val="1"/>
          <w:color w:val="auto"/>
        </w:rPr>
      </w:pPr>
    </w:p>
    <w:p>
      <w:pPr>
        <w:ind w:left="4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000"/>
          </w:cols>
          <w:pgMar w:left="460" w:top="121" w:right="439" w:bottom="1440" w:gutter="0" w:footer="0" w:header="0"/>
        </w:sectPr>
      </w:pPr>
    </w:p>
    <w:bookmarkStart w:id="229" w:name="page230"/>
    <w:bookmarkEnd w:id="229"/>
    <w:p>
      <w:pPr>
        <w:ind w:left="8220"/>
        <w:spacing w:after="0"/>
        <w:tabs>
          <w:tab w:leader="none" w:pos="8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sz w:val="20"/>
          <w:szCs w:val="20"/>
          <w:color w:val="auto"/>
        </w:rPr>
        <w:tab/>
      </w:r>
      <w:r>
        <w:rPr>
          <w:rFonts w:ascii="Arial" w:cs="Arial" w:eastAsia="Arial" w:hAnsi="Arial"/>
          <w:sz w:val="16"/>
          <w:szCs w:val="16"/>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SI-BONE,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which Morgan Stanley &amp; Co. LLC and Merrill Lynch, Pierce, Fenner &amp; Smith Incorporated are acting as representatives (collectively, the “</w:t>
      </w:r>
      <w:r>
        <w:rPr>
          <w:rFonts w:ascii="Arial" w:cs="Arial" w:eastAsia="Arial" w:hAnsi="Arial"/>
          <w:sz w:val="17"/>
          <w:szCs w:val="17"/>
          <w:b w:val="1"/>
          <w:bCs w:val="1"/>
          <w:color w:val="auto"/>
        </w:rPr>
        <w:t>Representatives</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an aggregate of [ ] shares of its common stock, par value $.0001 per share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an additional [ ] shares of its common stock, par value $.0001 per share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Representatives shall have determined to exercise, on behalf of the Underwriters, the right to purchase such shares of common stock granted to the Underwriters in Section 2.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common stock, par value $.0001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(File No. 333-227445),</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including a prospectus, relating to the Shares. The registration statement as amended at the time it becomes effective, including the information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be part of the registration statement at the time of effectiveness pursuant to Rule 430A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first made available to the Underwriters by the Company to meet requests of purchasers pursuant to Rule 173 under the Securities Act) 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pursuant to Rule 462(b) under the Securities Act (the “</w:t>
      </w:r>
      <w:r>
        <w:rPr>
          <w:rFonts w:ascii="Arial" w:cs="Arial" w:eastAsia="Arial" w:hAnsi="Arial"/>
          <w:sz w:val="16"/>
          <w:szCs w:val="16"/>
          <w:b w:val="1"/>
          <w:bCs w:val="1"/>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w:t>
      </w:r>
      <w:r>
        <w:rPr>
          <w:rFonts w:ascii="Arial" w:cs="Arial" w:eastAsia="Arial" w:hAnsi="Arial"/>
          <w:sz w:val="18"/>
          <w:szCs w:val="18"/>
          <w:color w:val="auto"/>
        </w:rPr>
        <w:t>” shall be deemed to include such Rule 462 Registration Statement.</w:t>
      </w:r>
    </w:p>
    <w:p>
      <w:pPr>
        <w:sectPr>
          <w:pgSz w:w="11900" w:h="16838" w:orient="portrait"/>
          <w:cols w:equalWidth="0" w:num="1">
            <w:col w:w="10900"/>
          </w:cols>
          <w:pgMar w:left="460" w:top="274" w:right="539" w:bottom="1440" w:gutter="0" w:footer="0" w:header="0"/>
        </w:sectPr>
      </w:pPr>
    </w:p>
    <w:bookmarkStart w:id="230" w:name="page231"/>
    <w:bookmarkEnd w:id="230"/>
    <w:p>
      <w:pPr>
        <w:ind w:left="10" w:right="340" w:firstLine="4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preliminary prospectus together with the documents and pricing information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restriction to any person. As used herein, the terms “Registration Statement,” “preliminary prospectus,” “Time of Sale Prospectus” and “Prospectus” shall include the documents, if any, incorporated by reference therein as of the date hereof.</w:t>
      </w:r>
    </w:p>
    <w:p>
      <w:pPr>
        <w:spacing w:after="0" w:line="175" w:lineRule="exact"/>
        <w:rPr>
          <w:sz w:val="20"/>
          <w:szCs w:val="20"/>
          <w:color w:val="auto"/>
        </w:rPr>
      </w:pPr>
    </w:p>
    <w:p>
      <w:pPr>
        <w:jc w:val="center"/>
        <w:ind w:right="1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each of the Underwriters that:</w:t>
      </w:r>
    </w:p>
    <w:p>
      <w:pPr>
        <w:spacing w:after="0" w:line="128" w:lineRule="exact"/>
        <w:rPr>
          <w:sz w:val="20"/>
          <w:szCs w:val="20"/>
          <w:color w:val="auto"/>
        </w:rPr>
      </w:pPr>
    </w:p>
    <w:p>
      <w:pPr>
        <w:ind w:left="10" w:right="100" w:firstLine="430"/>
        <w:spacing w:after="0" w:line="277" w:lineRule="auto"/>
        <w:tabs>
          <w:tab w:leader="none" w:pos="69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169" w:lineRule="exact"/>
        <w:rPr>
          <w:rFonts w:ascii="Arial" w:cs="Arial" w:eastAsia="Arial" w:hAnsi="Arial"/>
          <w:sz w:val="18"/>
          <w:szCs w:val="18"/>
          <w:color w:val="auto"/>
        </w:rPr>
      </w:pPr>
    </w:p>
    <w:p>
      <w:pPr>
        <w:ind w:left="10" w:right="20" w:firstLine="430"/>
        <w:spacing w:after="0" w:line="283" w:lineRule="auto"/>
        <w:tabs>
          <w:tab w:leader="none" w:pos="70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w:t>
      </w:r>
    </w:p>
    <w:p>
      <w:pPr>
        <w:spacing w:after="0" w:line="3" w:lineRule="exact"/>
        <w:rPr>
          <w:rFonts w:ascii="Arial" w:cs="Arial" w:eastAsia="Arial" w:hAnsi="Arial"/>
          <w:sz w:val="16"/>
          <w:szCs w:val="16"/>
          <w:color w:val="auto"/>
        </w:rPr>
      </w:pPr>
    </w:p>
    <w:p>
      <w:pPr>
        <w:ind w:left="10" w:right="80" w:hanging="10"/>
        <w:spacing w:after="0" w:line="291" w:lineRule="auto"/>
        <w:tabs>
          <w:tab w:leader="none" w:pos="26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Prospectus, as of its date, does not contain and, as amended or supplemented, if applicable, will not contain, as of its date and as of the Closing Date (as defined in Section 4),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65" w:lineRule="exact"/>
        <w:rPr>
          <w:rFonts w:ascii="Arial" w:cs="Arial" w:eastAsia="Arial" w:hAnsi="Arial"/>
          <w:sz w:val="16"/>
          <w:szCs w:val="16"/>
          <w:color w:val="auto"/>
        </w:rPr>
      </w:pPr>
    </w:p>
    <w:p>
      <w:pPr>
        <w:ind w:left="10" w:firstLine="430"/>
        <w:spacing w:after="0" w:line="290" w:lineRule="auto"/>
        <w:tabs>
          <w:tab w:leader="none" w:pos="694"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as of the date of such filing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9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70"/>
          </w:cols>
          <w:pgMar w:left="450" w:top="270" w:right="479" w:bottom="1440" w:gutter="0" w:footer="0" w:header="0"/>
        </w:sectPr>
      </w:pPr>
    </w:p>
    <w:bookmarkStart w:id="231" w:name="page232"/>
    <w:bookmarkEnd w:id="231"/>
    <w:p>
      <w:pPr>
        <w:ind w:firstLine="430"/>
        <w:spacing w:after="0" w:line="254"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been duly incorporated, is validly existing as a corporation in good standing under the laws of the State of Delaware, has the corporate power and authority to own or lease its property and to conduct its business as described in the Time of Sale Prospectus and to enter into and perform its obligations under this Agreement,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business, properties, management, financial position, stockholders’ equity, results of operations or prospects of the Company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its subsidiaries, taken as a whole, or on the performance by the Company of its obligations under this Agreement or to consummate the transactions contemplated by Time of Sale Prospectus.</w:t>
      </w:r>
    </w:p>
    <w:p>
      <w:pPr>
        <w:spacing w:after="0" w:line="190" w:lineRule="exact"/>
        <w:rPr>
          <w:rFonts w:ascii="Arial" w:cs="Arial" w:eastAsia="Arial" w:hAnsi="Arial"/>
          <w:sz w:val="18"/>
          <w:szCs w:val="18"/>
          <w:color w:val="auto"/>
        </w:rPr>
      </w:pPr>
    </w:p>
    <w:p>
      <w:pPr>
        <w:ind w:right="20" w:firstLine="430"/>
        <w:spacing w:after="0" w:line="270" w:lineRule="auto"/>
        <w:tabs>
          <w:tab w:leader="none" w:pos="68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subsidiary of the Company has been duly organized, is validly existing and in good standing under the laws of the jurisdiction of its organization (to the extent the concept of good standing or an equivalent concept is applicable under the laws of such jurisdiction), has the corporate or other organizational power and authority to own, lease and operate its property and to conduct its business as described in the Time of Sale Prospectus and is duly qualified to transact business and is in good standing in each jurisdiction (to the extent the concept of good standing or an equivalent concept is applicable under the laws of such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equity securities of each subsidiary of the Company have been duly and validly authorized and issued, are fully paid and non-assessable (to the extent that such concepts are applicable in such jurisdiction) and are owned directly or indirectly by the Company, free and clear of all liens, encumbrances, equities or claims.</w:t>
      </w:r>
    </w:p>
    <w:p>
      <w:pPr>
        <w:spacing w:after="0" w:line="179" w:lineRule="exact"/>
        <w:rPr>
          <w:rFonts w:ascii="Arial" w:cs="Arial" w:eastAsia="Arial" w:hAnsi="Arial"/>
          <w:sz w:val="17"/>
          <w:szCs w:val="17"/>
          <w:color w:val="auto"/>
        </w:rPr>
      </w:pPr>
    </w:p>
    <w:p>
      <w:pPr>
        <w:ind w:right="220" w:firstLine="430"/>
        <w:spacing w:after="0" w:line="301" w:lineRule="auto"/>
        <w:tabs>
          <w:tab w:leader="none" w:pos="66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PricewaterhouseCoopers LLP, which has expressed an opinion with respect to the financial statements of the Company and its subsidiaries filed with the Commission as a part of the Registration Statement, and included in each of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56" w:lineRule="exact"/>
        <w:rPr>
          <w:rFonts w:ascii="Arial" w:cs="Arial" w:eastAsia="Arial" w:hAnsi="Arial"/>
          <w:sz w:val="16"/>
          <w:szCs w:val="16"/>
          <w:color w:val="auto"/>
        </w:rPr>
      </w:pPr>
    </w:p>
    <w:p>
      <w:pPr>
        <w:ind w:right="20" w:firstLine="430"/>
        <w:spacing w:after="0" w:line="253"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the Time of Sale Prospectus and the Prospectus, together with the related schedules and notes, present fairly in all material respects the financial position of the Company and its subsidiaries at the dates indicated and the statement of comprehensive loss, stockholders’ equity and cash flows of the Company and its subsidiaries for the periods specified; said financial statements have been prepared in conformity with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applied on a consistent basis throughout the periods involved. The selected financial data and the summary financial information included in the Registration Statement, the Time of Sale Prospectus and the Prospectus present fairly the information shown therein and have been compiled on a basis consistent with that of the audited financial statements included therein. Except as included therein, no historical financial statements or supporting schedules are required to be included in the Registration Statement, the Time of Sale Prospectus or the Prospectus under the Securities Act or any applicable rules and regulations of the Commission thereunder.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32" w:name="page233"/>
    <w:bookmarkEnd w:id="232"/>
    <w:p>
      <w:pPr>
        <w:ind w:left="690" w:hanging="250"/>
        <w:spacing w:after="0"/>
        <w:tabs>
          <w:tab w:leader="none" w:pos="690"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authorized, executed and delivered by the Company.</w:t>
      </w:r>
    </w:p>
    <w:p>
      <w:pPr>
        <w:spacing w:after="0" w:line="224" w:lineRule="exact"/>
        <w:rPr>
          <w:rFonts w:ascii="Arial" w:cs="Arial" w:eastAsia="Arial" w:hAnsi="Arial"/>
          <w:sz w:val="18"/>
          <w:szCs w:val="18"/>
          <w:color w:val="auto"/>
        </w:rPr>
      </w:pPr>
    </w:p>
    <w:p>
      <w:pPr>
        <w:ind w:left="10" w:firstLine="430"/>
        <w:spacing w:after="0" w:line="277" w:lineRule="auto"/>
        <w:tabs>
          <w:tab w:leader="none" w:pos="66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in all material respects to the description thereof contained in each of the Time of Sale Prospectus and the Prospectus.</w:t>
      </w:r>
    </w:p>
    <w:p>
      <w:pPr>
        <w:spacing w:after="0" w:line="169" w:lineRule="exact"/>
        <w:rPr>
          <w:rFonts w:ascii="Arial" w:cs="Arial" w:eastAsia="Arial" w:hAnsi="Arial"/>
          <w:sz w:val="18"/>
          <w:szCs w:val="18"/>
          <w:color w:val="auto"/>
        </w:rPr>
      </w:pPr>
    </w:p>
    <w:p>
      <w:pPr>
        <w:ind w:left="10" w:right="180" w:firstLine="430"/>
        <w:spacing w:after="0" w:line="277" w:lineRule="auto"/>
        <w:tabs>
          <w:tab w:leader="none" w:pos="66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169" w:lineRule="exact"/>
        <w:rPr>
          <w:rFonts w:ascii="Arial" w:cs="Arial" w:eastAsia="Arial" w:hAnsi="Arial"/>
          <w:sz w:val="18"/>
          <w:szCs w:val="18"/>
          <w:color w:val="auto"/>
        </w:rPr>
      </w:pPr>
    </w:p>
    <w:p>
      <w:pPr>
        <w:ind w:left="10" w:firstLine="430"/>
        <w:spacing w:after="0" w:line="307" w:lineRule="auto"/>
        <w:tabs>
          <w:tab w:leader="none" w:pos="70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w:t>
      </w:r>
    </w:p>
    <w:p>
      <w:pPr>
        <w:spacing w:after="0" w:line="147" w:lineRule="exact"/>
        <w:rPr>
          <w:rFonts w:ascii="Arial" w:cs="Arial" w:eastAsia="Arial" w:hAnsi="Arial"/>
          <w:sz w:val="17"/>
          <w:szCs w:val="17"/>
          <w:color w:val="auto"/>
        </w:rPr>
      </w:pPr>
    </w:p>
    <w:p>
      <w:pPr>
        <w:ind w:left="10" w:firstLine="430"/>
        <w:spacing w:after="0" w:line="271" w:lineRule="auto"/>
        <w:tabs>
          <w:tab w:leader="none" w:pos="66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None of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any of the Company or its subsidiaries is a party or by which it or any of them may be bound or to which any of the properties or assets of the Company or its subsidiaries is subject, or (iii) in violation of any law, statute, rule, regulation, judgment, order, writ or decree of any arbitrator, court, governmental body, regulatory body, administrative agency or other authority, body or agency having jurisdiction over the Company, any of its subsidiaries or any of their respective properties, assets or operations (each, a “</w:t>
      </w:r>
      <w:r>
        <w:rPr>
          <w:rFonts w:ascii="Arial" w:cs="Arial" w:eastAsia="Arial" w:hAnsi="Arial"/>
          <w:sz w:val="17"/>
          <w:szCs w:val="17"/>
          <w:b w:val="1"/>
          <w:bCs w:val="1"/>
          <w:color w:val="auto"/>
        </w:rPr>
        <w:t>Governmental Entity</w:t>
      </w:r>
      <w:r>
        <w:rPr>
          <w:rFonts w:ascii="Arial" w:cs="Arial" w:eastAsia="Arial" w:hAnsi="Arial"/>
          <w:sz w:val="17"/>
          <w:szCs w:val="17"/>
          <w:color w:val="auto"/>
        </w:rPr>
        <w:t>”), except with respect to clauses (ii) and (iii) for such violations and defaults that would not, individually or in the aggregate, reasonably be expected to result in a Material Adverse Effect.</w:t>
      </w:r>
    </w:p>
    <w:p>
      <w:pPr>
        <w:spacing w:after="0" w:line="176" w:lineRule="exact"/>
        <w:rPr>
          <w:rFonts w:ascii="Arial" w:cs="Arial" w:eastAsia="Arial" w:hAnsi="Arial"/>
          <w:sz w:val="17"/>
          <w:szCs w:val="17"/>
          <w:color w:val="auto"/>
        </w:rPr>
      </w:pPr>
    </w:p>
    <w:p>
      <w:pPr>
        <w:jc w:val="both"/>
        <w:ind w:left="10" w:right="20" w:firstLine="430"/>
        <w:spacing w:after="0" w:line="286" w:lineRule="auto"/>
        <w:tabs>
          <w:tab w:leader="none" w:pos="75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has been duly authorized by all necessary corporate action and does not and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Entity, except that in the case of clauses (i), (iii) and</w:t>
      </w:r>
    </w:p>
    <w:p>
      <w:pPr>
        <w:ind w:left="10" w:right="60" w:hanging="10"/>
        <w:spacing w:after="0" w:line="273" w:lineRule="auto"/>
        <w:tabs>
          <w:tab w:leader="none" w:pos="31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as would not, individually or in the aggregate, have a Material Adverse Effect on the Company; and no consent, approval, authorization or order of, or qualification with, or filing with, any Governmental Entity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offer and sale of the Shares.</w:t>
      </w:r>
    </w:p>
    <w:p>
      <w:pPr>
        <w:spacing w:after="0" w:line="10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70"/>
          </w:cols>
          <w:pgMar w:left="450" w:top="274" w:right="479" w:bottom="1440" w:gutter="0" w:footer="0" w:header="0"/>
        </w:sectPr>
      </w:pPr>
    </w:p>
    <w:bookmarkStart w:id="233" w:name="page234"/>
    <w:bookmarkEnd w:id="233"/>
    <w:p>
      <w:pPr>
        <w:ind w:right="60" w:firstLine="430"/>
        <w:spacing w:after="0" w:line="263"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82" w:lineRule="exact"/>
        <w:rPr>
          <w:rFonts w:ascii="Arial" w:cs="Arial" w:eastAsia="Arial" w:hAnsi="Arial"/>
          <w:sz w:val="18"/>
          <w:szCs w:val="18"/>
          <w:color w:val="auto"/>
        </w:rPr>
      </w:pPr>
    </w:p>
    <w:p>
      <w:pPr>
        <w:ind w:right="20" w:firstLine="430"/>
        <w:spacing w:after="0" w:line="272" w:lineRule="auto"/>
        <w:tabs>
          <w:tab w:leader="none" w:pos="6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(ii) that are required to be described in the Registration Statement or the Prospectus and are not so described in all material respects; and there are no statutes, regulations, contracts or other documents to which the Company is subject or by which the Company is bound that are required to be described in the Registration Statement or the Prospectus or to be filed as exhibits to the Registration Statement that are not described in all material respects or filed as required.</w:t>
      </w:r>
    </w:p>
    <w:p>
      <w:pPr>
        <w:spacing w:after="0" w:line="175" w:lineRule="exact"/>
        <w:rPr>
          <w:rFonts w:ascii="Arial" w:cs="Arial" w:eastAsia="Arial" w:hAnsi="Arial"/>
          <w:sz w:val="17"/>
          <w:szCs w:val="17"/>
          <w:color w:val="auto"/>
        </w:rPr>
      </w:pPr>
    </w:p>
    <w:p>
      <w:pPr>
        <w:ind w:right="540" w:firstLine="430"/>
        <w:spacing w:after="0" w:line="263"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2" w:lineRule="exact"/>
        <w:rPr>
          <w:rFonts w:ascii="Arial" w:cs="Arial" w:eastAsia="Arial" w:hAnsi="Arial"/>
          <w:sz w:val="18"/>
          <w:szCs w:val="18"/>
          <w:color w:val="auto"/>
        </w:rPr>
      </w:pPr>
    </w:p>
    <w:p>
      <w:pPr>
        <w:ind w:firstLine="430"/>
        <w:spacing w:after="0" w:line="341" w:lineRule="auto"/>
        <w:tabs>
          <w:tab w:leader="none" w:pos="69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24" w:lineRule="exact"/>
        <w:rPr>
          <w:rFonts w:ascii="Arial" w:cs="Arial" w:eastAsia="Arial" w:hAnsi="Arial"/>
          <w:sz w:val="16"/>
          <w:szCs w:val="16"/>
          <w:color w:val="auto"/>
        </w:rPr>
      </w:pPr>
    </w:p>
    <w:p>
      <w:pPr>
        <w:ind w:right="120" w:firstLine="430"/>
        <w:spacing w:after="0" w:line="254" w:lineRule="auto"/>
        <w:tabs>
          <w:tab w:leader="none" w:pos="6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spacing w:after="0" w:line="193" w:lineRule="exact"/>
        <w:rPr>
          <w:rFonts w:ascii="Arial" w:cs="Arial" w:eastAsia="Arial" w:hAnsi="Arial"/>
          <w:sz w:val="18"/>
          <w:szCs w:val="18"/>
          <w:color w:val="auto"/>
        </w:rPr>
      </w:pPr>
    </w:p>
    <w:p>
      <w:pPr>
        <w:jc w:val="both"/>
        <w:ind w:right="340" w:firstLine="430"/>
        <w:spacing w:after="0" w:line="259" w:lineRule="auto"/>
        <w:tabs>
          <w:tab w:leader="none" w:pos="67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234" w:name="page235"/>
    <w:bookmarkEnd w:id="234"/>
    <w:p>
      <w:pPr>
        <w:ind w:right="140" w:firstLine="430"/>
        <w:spacing w:after="0" w:line="259"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such as have been duly waived or complied with in connection with the issuance and sale of the Shares contemplated hereby.</w:t>
      </w:r>
    </w:p>
    <w:p>
      <w:pPr>
        <w:spacing w:after="0" w:line="185" w:lineRule="exact"/>
        <w:rPr>
          <w:rFonts w:ascii="Arial" w:cs="Arial" w:eastAsia="Arial" w:hAnsi="Arial"/>
          <w:sz w:val="18"/>
          <w:szCs w:val="18"/>
          <w:color w:val="auto"/>
        </w:rPr>
      </w:pPr>
    </w:p>
    <w:p>
      <w:pPr>
        <w:ind w:firstLine="430"/>
        <w:spacing w:after="0" w:line="269" w:lineRule="auto"/>
        <w:tabs>
          <w:tab w:leader="none" w:pos="69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nor any director or officer, nor, to the Company’s knowledge, any controlled affiliate of the Company or any employee, agent or representative of the Company or of any of its subsidiaries or affiliates, has taken or will take any action in furtherance of an offer, payment, promise to pay, or authorization or approval of the payment or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to any person in violation of any applicable anti-corruption laws; (ii); and the Company and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79" w:lineRule="exact"/>
        <w:rPr>
          <w:rFonts w:ascii="Arial" w:cs="Arial" w:eastAsia="Arial" w:hAnsi="Arial"/>
          <w:sz w:val="17"/>
          <w:szCs w:val="17"/>
          <w:color w:val="auto"/>
        </w:rPr>
      </w:pPr>
    </w:p>
    <w:p>
      <w:pPr>
        <w:ind w:firstLine="430"/>
        <w:spacing w:after="0" w:line="291"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with respect to the Anti-Money Laundering Laws is pending or, to the knowledge of the Company, threatened.</w:t>
      </w:r>
    </w:p>
    <w:p>
      <w:pPr>
        <w:spacing w:after="0" w:line="165" w:lineRule="exact"/>
        <w:rPr>
          <w:rFonts w:ascii="Arial" w:cs="Arial" w:eastAsia="Arial" w:hAnsi="Arial"/>
          <w:sz w:val="16"/>
          <w:szCs w:val="16"/>
          <w:color w:val="auto"/>
        </w:rPr>
      </w:pPr>
    </w:p>
    <w:p>
      <w:pPr>
        <w:ind w:right="460" w:firstLine="430"/>
        <w:spacing w:after="0" w:line="263" w:lineRule="auto"/>
        <w:tabs>
          <w:tab w:leader="none" w:pos="7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or officer thereof, nor, to the Company’s knowledge, any employee, agent, controlled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74" w:lineRule="exact"/>
        <w:rPr>
          <w:rFonts w:ascii="Arial" w:cs="Arial" w:eastAsia="Arial" w:hAnsi="Arial"/>
          <w:sz w:val="18"/>
          <w:szCs w:val="18"/>
          <w:color w:val="auto"/>
        </w:rPr>
      </w:pPr>
    </w:p>
    <w:p>
      <w:pPr>
        <w:ind w:left="880" w:right="140" w:firstLine="396"/>
        <w:spacing w:after="0" w:line="263" w:lineRule="auto"/>
        <w:tabs>
          <w:tab w:leader="none" w:pos="157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235" w:name="page236"/>
    <w:bookmarkEnd w:id="235"/>
    <w:p>
      <w:pPr>
        <w:ind w:left="840" w:firstLine="396"/>
        <w:spacing w:after="0" w:line="277" w:lineRule="auto"/>
        <w:tabs>
          <w:tab w:leader="none" w:pos="1530" w:val="left"/>
        </w:tabs>
        <w:numPr>
          <w:ilvl w:val="2"/>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located, organized or resident in a country or territory that is the subject of Sanctions (including, without limitation, Crimea, Cuba, Iran, North Korea, Sudan and Syria).</w:t>
      </w:r>
    </w:p>
    <w:p>
      <w:pPr>
        <w:spacing w:after="0" w:line="61" w:lineRule="exact"/>
        <w:rPr>
          <w:rFonts w:ascii="Arial" w:cs="Arial" w:eastAsia="Arial" w:hAnsi="Arial"/>
          <w:sz w:val="18"/>
          <w:szCs w:val="18"/>
          <w:color w:val="auto"/>
        </w:rPr>
      </w:pPr>
    </w:p>
    <w:p>
      <w:pPr>
        <w:ind w:left="400" w:right="460" w:firstLine="413"/>
        <w:spacing w:after="0" w:line="277" w:lineRule="auto"/>
        <w:tabs>
          <w:tab w:leader="none" w:pos="108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1" w:lineRule="exact"/>
        <w:rPr>
          <w:rFonts w:ascii="Arial" w:cs="Arial" w:eastAsia="Arial" w:hAnsi="Arial"/>
          <w:sz w:val="18"/>
          <w:szCs w:val="18"/>
          <w:color w:val="auto"/>
        </w:rPr>
      </w:pPr>
    </w:p>
    <w:p>
      <w:pPr>
        <w:ind w:left="840" w:right="120" w:firstLine="396"/>
        <w:spacing w:after="0" w:line="277" w:lineRule="auto"/>
        <w:tabs>
          <w:tab w:leader="none" w:pos="1539"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w:t>
      </w:r>
    </w:p>
    <w:p>
      <w:pPr>
        <w:spacing w:after="0" w:line="61" w:lineRule="exact"/>
        <w:rPr>
          <w:rFonts w:ascii="Arial" w:cs="Arial" w:eastAsia="Arial" w:hAnsi="Arial"/>
          <w:sz w:val="18"/>
          <w:szCs w:val="18"/>
          <w:color w:val="auto"/>
        </w:rPr>
      </w:pPr>
    </w:p>
    <w:p>
      <w:pPr>
        <w:ind w:left="840" w:right="120" w:firstLine="396"/>
        <w:spacing w:after="0" w:line="277" w:lineRule="auto"/>
        <w:tabs>
          <w:tab w:leader="none" w:pos="153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in or involving a country or territory which at the time of such funding is the subject of comprehensive country-wide or territory-wide Sanctions, other than Cuba or Iran; or</w:t>
      </w:r>
    </w:p>
    <w:p>
      <w:pPr>
        <w:spacing w:after="0" w:line="61" w:lineRule="exact"/>
        <w:rPr>
          <w:rFonts w:ascii="Arial" w:cs="Arial" w:eastAsia="Arial" w:hAnsi="Arial"/>
          <w:sz w:val="18"/>
          <w:szCs w:val="18"/>
          <w:color w:val="auto"/>
        </w:rPr>
      </w:pPr>
    </w:p>
    <w:p>
      <w:pPr>
        <w:ind w:left="840" w:right="180" w:firstLine="396"/>
        <w:spacing w:after="0" w:line="277" w:lineRule="auto"/>
        <w:tabs>
          <w:tab w:leader="none" w:pos="153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1" w:lineRule="exact"/>
        <w:rPr>
          <w:rFonts w:ascii="Arial" w:cs="Arial" w:eastAsia="Arial" w:hAnsi="Arial"/>
          <w:sz w:val="18"/>
          <w:szCs w:val="18"/>
          <w:color w:val="auto"/>
        </w:rPr>
      </w:pPr>
    </w:p>
    <w:p>
      <w:pPr>
        <w:ind w:left="400" w:right="80" w:firstLine="413"/>
        <w:spacing w:after="0" w:line="263" w:lineRule="auto"/>
        <w:tabs>
          <w:tab w:leader="none" w:pos="113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4" w:lineRule="exact"/>
        <w:rPr>
          <w:rFonts w:ascii="Arial" w:cs="Arial" w:eastAsia="Arial" w:hAnsi="Arial"/>
          <w:sz w:val="18"/>
          <w:szCs w:val="18"/>
          <w:color w:val="auto"/>
        </w:rPr>
      </w:pPr>
    </w:p>
    <w:p>
      <w:pPr>
        <w:ind w:left="400" w:right="340" w:firstLine="413"/>
        <w:spacing w:after="0" w:line="263" w:lineRule="auto"/>
        <w:tabs>
          <w:tab w:leader="none" w:pos="112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represents and covenants that, regardless of Sanctions, it will not, directly or indirectly, use the proceeds of the transaction, or lend, contribute or otherwise make available such proceeds to any subsidiary, joint venture partner or other Person, to fund any activities of or business in or involving Cuba or Iran.</w:t>
      </w:r>
    </w:p>
    <w:p>
      <w:pPr>
        <w:spacing w:after="0" w:line="182" w:lineRule="exact"/>
        <w:rPr>
          <w:rFonts w:ascii="Arial" w:cs="Arial" w:eastAsia="Arial" w:hAnsi="Arial"/>
          <w:sz w:val="18"/>
          <w:szCs w:val="18"/>
          <w:color w:val="auto"/>
        </w:rPr>
      </w:pPr>
    </w:p>
    <w:p>
      <w:pPr>
        <w:ind w:left="-40" w:right="20" w:firstLine="430"/>
        <w:spacing w:after="0" w:line="288" w:lineRule="auto"/>
        <w:tabs>
          <w:tab w:leader="none" w:pos="6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(except for acquisitions of capital stock by the Company pursuant to agreements that permit the Company to repurchase such shares upon the applicable party’s termination of service to the Company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equity compensation plans described in the Time of Sale Prospectus), short-term debt or long-term debt of the Company and its subsidiaries, taken as a whole, except in each case as described in each of the Registration Statement, the Time of Sale Prospectus and the Prospectus,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500" w:top="274" w:right="479" w:bottom="1440" w:gutter="0" w:footer="0" w:header="0"/>
        </w:sectPr>
      </w:pPr>
    </w:p>
    <w:bookmarkStart w:id="236" w:name="page237"/>
    <w:bookmarkEnd w:id="236"/>
    <w:p>
      <w:pPr>
        <w:ind w:firstLine="430"/>
        <w:spacing w:after="0" w:line="291" w:lineRule="auto"/>
        <w:tabs>
          <w:tab w:leader="none" w:pos="695"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in any material respect;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165" w:lineRule="exact"/>
        <w:rPr>
          <w:rFonts w:ascii="Arial" w:cs="Arial" w:eastAsia="Arial" w:hAnsi="Arial"/>
          <w:sz w:val="16"/>
          <w:szCs w:val="16"/>
          <w:color w:val="auto"/>
        </w:rPr>
      </w:pPr>
    </w:p>
    <w:p>
      <w:pPr>
        <w:ind w:firstLine="430"/>
        <w:spacing w:after="0" w:line="284" w:lineRule="auto"/>
        <w:tabs>
          <w:tab w:leader="none" w:pos="68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Time of Sale Prospectus or the Prospectus, the Company and its subsidiaries owns, possesses or licenses, or can acquire on commercially reasonable terms, valid and enforceable rights to use all patents, patent rights, licenses, inventions, copyrights, know-how (including trade secrets and other unpatented and/or unpatentable proprietary or confidential information, systems or procedures), trademarks, service marks, trade names, domain names and other intellectual property (including all registrations and applications for registration of any of the foregoing, as applicable)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currently employed by them in connection with, or necessary for, the business as currently operated by them, except where the failure to own, possess, license, have the right to use or the ability to acquire any of the foregoing would not result, individually or in the aggregate, in a Material Adverse Effect on the Company and its subsidiaries, taken as a whole. The Company has not received any notice of any claim, action, suit or proceeding (i) alleging infringement, misappropriation or other violation of, or conflict with, any Intellectual Property rights of others or (ii) challenging the validity, enforceability or scope of, or the rights of the Company and/or its subsidiaries in or to, any Intellectual Property owned by or licensed to the Company or its subsidiaries, in each case which action, suit, proceeding or claim, individually or in the aggregate, if the subject of an unfavorable decision, ruling or finding, would reasonably be expected to have a Material Adverse Effect on the Company and its subsidiaries, taken as a whole, and the Company is unaware of any facts that provide a reasonable basis for any such claim, action, suit or proceeding described in the immediately preceding clause (i) or (ii), which would individually or in the aggregate, reasonably be expected to have a Material Adverse Effect on the Company and its subsidiaries, taken as a whole. Except as would not, individually or in the aggregate, reasonably be expected to have a Material Adverse Effect on the Company and its subsidiaries, taken as a whole, the Company has taken reasonable steps in accordance with customary industry practice to maintain the confidentiality of all Intellectual Property, the value of which to the Company and its subsidiaries is contingent upon maintaining the confidentiality thereof. Each agreement pursuant to which the Company or its subsidiaries obtains any license or other rights to any Intellectual Property is a valid and binding agreement of the Company or its subsidiaries, as applicable, and is in full force and effect, and none of the Company or its subsidiaries or, to the knowledge of the Company, any other party thereto is in default or breach under any terms of any such agreement and, to the knowledge of the Company, no event or circumstance has occurred that, with notice or lapse of time or both, would constitute any event of default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237" w:name="page238"/>
    <w:bookmarkEnd w:id="237"/>
    <w:p>
      <w:pPr>
        <w:jc w:val="both"/>
        <w:ind w:left="-40" w:right="100" w:firstLine="430"/>
        <w:spacing w:after="0" w:line="263" w:lineRule="auto"/>
        <w:tabs>
          <w:tab w:leader="none" w:pos="724"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statistical and market-related data included in the Registration Statement, the Time of Sale Prospectus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82" w:lineRule="exact"/>
        <w:rPr>
          <w:rFonts w:ascii="Arial" w:cs="Arial" w:eastAsia="Arial" w:hAnsi="Arial"/>
          <w:sz w:val="18"/>
          <w:szCs w:val="18"/>
          <w:color w:val="auto"/>
        </w:rPr>
      </w:pPr>
    </w:p>
    <w:p>
      <w:pPr>
        <w:ind w:left="-40" w:right="120" w:firstLine="430"/>
        <w:spacing w:after="0" w:line="269" w:lineRule="auto"/>
        <w:tabs>
          <w:tab w:leader="none" w:pos="74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Time of Sale Prospectus and the Prospectus, there is no currently pending action, suit, proceeding, inquiry or investigation before or brought by any Governmental Entity (including, without limitation, any action, suit, proceeding, inquiry or investigation before or brought by the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the European Commission, any competent authorities of the Member States of the European Economic Area (collectively, the “</w:t>
      </w:r>
      <w:r>
        <w:rPr>
          <w:rFonts w:ascii="Arial" w:cs="Arial" w:eastAsia="Arial" w:hAnsi="Arial"/>
          <w:sz w:val="17"/>
          <w:szCs w:val="17"/>
          <w:b w:val="1"/>
          <w:bCs w:val="1"/>
          <w:color w:val="auto"/>
        </w:rPr>
        <w:t>EEA</w:t>
      </w:r>
      <w:r>
        <w:rPr>
          <w:rFonts w:ascii="Arial" w:cs="Arial" w:eastAsia="Arial" w:hAnsi="Arial"/>
          <w:sz w:val="17"/>
          <w:szCs w:val="17"/>
          <w:color w:val="auto"/>
        </w:rPr>
        <w:t>”) or any other Health Regulatory Agency (as defined below)), or any notified body now pending or, to the knowledge of the Company, threatened, against or affecting the Company or any of its subsidiaries, which would reasonably be expected to result in a Material Adverse Effect on the Company and its subsidiaries, taken as a whole; and the aggregate of all pending legal or governmental proceedings to which the Company or any of its subsidiaries is a party or of which any of their respective properties or assets is the subject which are not described in the Registration Statement, the Time of Sale Prospectus and the Prospectus, including ordinary routine litigation incidental to the business, would not reasonably be expected to result in a Material Adverse Effect on the Company and its subsidiaries, taken as a whole.</w:t>
      </w:r>
    </w:p>
    <w:p>
      <w:pPr>
        <w:spacing w:after="0" w:line="183" w:lineRule="exact"/>
        <w:rPr>
          <w:rFonts w:ascii="Arial" w:cs="Arial" w:eastAsia="Arial" w:hAnsi="Arial"/>
          <w:sz w:val="17"/>
          <w:szCs w:val="17"/>
          <w:color w:val="auto"/>
        </w:rPr>
      </w:pPr>
    </w:p>
    <w:p>
      <w:pPr>
        <w:ind w:left="-40" w:firstLine="430"/>
        <w:spacing w:after="0" w:line="288" w:lineRule="auto"/>
        <w:tabs>
          <w:tab w:leader="none" w:pos="72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of the Company and its subsidiaries has submitted and possesses, or qualifies for applicable exemptions to, such valid and current registrations, listings, approvals, clearances, licenses, certificates, CE Certificates of Conformity, authorizations or permits and supplements or amendments thereto (collectively, “</w:t>
      </w:r>
      <w:r>
        <w:rPr>
          <w:rFonts w:ascii="Arial" w:cs="Arial" w:eastAsia="Arial" w:hAnsi="Arial"/>
          <w:sz w:val="16"/>
          <w:szCs w:val="16"/>
          <w:b w:val="1"/>
          <w:bCs w:val="1"/>
          <w:color w:val="auto"/>
        </w:rPr>
        <w:t>Health Care Authorizations</w:t>
      </w:r>
      <w:r>
        <w:rPr>
          <w:rFonts w:ascii="Arial" w:cs="Arial" w:eastAsia="Arial" w:hAnsi="Arial"/>
          <w:sz w:val="16"/>
          <w:szCs w:val="16"/>
          <w:color w:val="auto"/>
        </w:rPr>
        <w:t>”) issued or required by the appropriate local, state, federal, national, supranational or foreign regulatory agencies, bodies, notified bodies, or self-regulating organizations (collectively, “</w:t>
      </w:r>
      <w:r>
        <w:rPr>
          <w:rFonts w:ascii="Arial" w:cs="Arial" w:eastAsia="Arial" w:hAnsi="Arial"/>
          <w:sz w:val="16"/>
          <w:szCs w:val="16"/>
          <w:b w:val="1"/>
          <w:bCs w:val="1"/>
          <w:color w:val="auto"/>
        </w:rPr>
        <w:t>Health Regulatory Agencies</w:t>
      </w:r>
      <w:r>
        <w:rPr>
          <w:rFonts w:ascii="Arial" w:cs="Arial" w:eastAsia="Arial" w:hAnsi="Arial"/>
          <w:sz w:val="16"/>
          <w:szCs w:val="16"/>
          <w:color w:val="auto"/>
        </w:rPr>
        <w:t>”) necessary to conduct its business as described in the Registration Statement, the Time of Sale Prospectus and the Prospectus, including, without limitation, all such Health Care Authorizations required by the FDA, the Department of Health and Human Services, the European Commission, any competent authorities of the Member States of the EEA or any other Health Regulatory Agencies engaged in the regulation of medical devices, except where failure to obtain such Health Care Authorizations would not, individually or in the aggregate, be reasonably likely to have a Material Adverse Effect on the Company and its subsidiaries, taken as a whole. None of the Company nor its subsidiaries has received any notice of proceedings relating to the revocation or modification of, or non-compliance with, any such Health Care Authorization.</w:t>
      </w:r>
    </w:p>
    <w:p>
      <w:pPr>
        <w:spacing w:after="0" w:line="166" w:lineRule="exact"/>
        <w:rPr>
          <w:rFonts w:ascii="Arial" w:cs="Arial" w:eastAsia="Arial" w:hAnsi="Arial"/>
          <w:sz w:val="16"/>
          <w:szCs w:val="16"/>
          <w:color w:val="auto"/>
        </w:rPr>
      </w:pPr>
    </w:p>
    <w:p>
      <w:pPr>
        <w:ind w:left="-40" w:right="40" w:firstLine="430"/>
        <w:spacing w:after="0" w:line="296" w:lineRule="auto"/>
        <w:tabs>
          <w:tab w:leader="none" w:pos="74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To the Company’s knowledge, each of the Company and its subsidiaries is, and has been, in compliance with all applicable Health Care Laws, and has not engaged in activities which are, as applicable, cause for false claims liability, civil penalties, or mandatory or permissive exclusion from Medicare, Medicaid or any other local, state, federal, national or similar foreign health care program, except where Company’s activities or failure to comply with all applicable Health Care Laws would not, individually or in the aggregate, be reasonably likely to have a Material Adverse Effect on the Company and its subsidiaries, taken as a whole; (ii) none of the Company or its subsidiaries has received any written notice of adverse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500" w:top="274" w:right="479" w:bottom="1440" w:gutter="0" w:footer="0" w:header="0"/>
        </w:sectPr>
      </w:pPr>
    </w:p>
    <w:bookmarkStart w:id="238" w:name="page239"/>
    <w:bookmarkEnd w:id="238"/>
    <w:p>
      <w:pPr>
        <w:ind w:left="10"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warning letter, untitled letter or other correspondence or notice from the FDA, the European Commission, any competent authorities of the Member States of the EEA or any other Health Regulatory Agency, or any other court or arbitrator, alleging or asserting material noncompliance with the Health Care Laws; (iii) the Company and its subsidiaries, and, to the Company’s knowledge, their respective directors, officers, employees or agents, are and have been in compliance with the applicable Health Care Laws, except where failure to comply with all applicable Health Care Laws would not, individually or in the aggregate, be reasonably likely to have a Material Adverse Effect on the Company and its subsidiaries, taken as a whole;</w:t>
      </w:r>
    </w:p>
    <w:p>
      <w:pPr>
        <w:spacing w:after="0" w:line="1" w:lineRule="exact"/>
        <w:rPr>
          <w:sz w:val="20"/>
          <w:szCs w:val="20"/>
          <w:color w:val="auto"/>
        </w:rPr>
      </w:pPr>
    </w:p>
    <w:p>
      <w:pPr>
        <w:ind w:left="10" w:hanging="10"/>
        <w:spacing w:after="0" w:line="283" w:lineRule="auto"/>
        <w:tabs>
          <w:tab w:leader="none" w:pos="31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Prospectus and the Prospectus, none of the Company or its subsidiaries has received written notice of any ongoing claim, action, suit, proceeding, hearing, enforcement, investigation, arbitration or other action from any Health Regulatory Agency, court, arbitrator or third party alleging that any product operation or activity is in violation of any Health Care Laws or has any knowledge that any such Health Regulatory Agency or third party is considering any such claim, litigation, arbitration, action, suit, investigation or proceeding; (v) none of the Company or its subsidiaries has received written notice that the FDA, any competent authorities of the Member States of the EEA or any other Health Regulatory Agency has taken, is taking or intends to take action to limit, suspend, modify or revoke any applicable Health Care Authorization or has any knowledge that any such Health Regulatory Agency is considering such action; (vi) each of the Company and its subsidiaries has filed, obtained, maintained or submitted all reports, documents, forms, notices, applications, records, claims, submissions and supplements or amendments as required by the FDA, any competent authorities of the Member States of the EEA or any other Health Care Laws and that all such reports, documents, forms, notices, applications, records, claims, submissions and supplements or amendments were complete, correct and not misleading on the date filed (or were corrected or supplemented by a subsequent submission), except where failure to file, obtain, maintain or submit such reports, documents, forms, notices, applications, records, claims, submissions and supplements or amendments would not, individually or in the aggregate, be reasonably likely to have a Material Adverse Effect on the Company and its subsidiaries, taken as a whole; (vii) none of the Company or its subsidiaries has,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w:t>
      </w:r>
      <w:r>
        <w:rPr>
          <w:rFonts w:ascii="Arial" w:cs="Arial" w:eastAsia="Arial" w:hAnsi="Arial"/>
          <w:sz w:val="16"/>
          <w:szCs w:val="16"/>
          <w:b w:val="1"/>
          <w:bCs w:val="1"/>
          <w:color w:val="auto"/>
        </w:rPr>
        <w:t>Safety Notices</w:t>
      </w:r>
      <w:r>
        <w:rPr>
          <w:rFonts w:ascii="Arial" w:cs="Arial" w:eastAsia="Arial" w:hAnsi="Arial"/>
          <w:sz w:val="16"/>
          <w:szCs w:val="16"/>
          <w:color w:val="auto"/>
        </w:rPr>
        <w:t>”) and, to the Company’s knowledge, no third party has initiated or conducted any such notice or action; (viii) the Company is not aware of any Safety Notices with respect to any of the Company’s products or services, which would be reasonably likely to result in (A) a material change in labeling of any of the Company’s products, or (B) a termination or suspension of marketing or testing of any of the Company’s products; and (ix) none of the Company, any of its directors or officers, or to the Company’s knowledge, any of the Company’s employees or agents is or has been debarred, suspended or excluded from participation in any U.S. federal health care program or human research study or trial or equivalent foreign program, or has been convicted of any crime that would result in a debarment, suspension or exclusion from any foreign, federal or state government health care program or human research study or trial. For purposes of this Agreement, “</w:t>
      </w:r>
      <w:r>
        <w:rPr>
          <w:rFonts w:ascii="Arial" w:cs="Arial" w:eastAsia="Arial" w:hAnsi="Arial"/>
          <w:sz w:val="16"/>
          <w:szCs w:val="16"/>
          <w:b w:val="1"/>
          <w:bCs w:val="1"/>
          <w:color w:val="auto"/>
        </w:rPr>
        <w:t>Health</w:t>
      </w:r>
      <w:r>
        <w:rPr>
          <w:rFonts w:ascii="Arial" w:cs="Arial" w:eastAsia="Arial" w:hAnsi="Arial"/>
          <w:sz w:val="16"/>
          <w:szCs w:val="16"/>
          <w:color w:val="auto"/>
        </w:rPr>
        <w:t xml:space="preserve"> </w:t>
      </w:r>
      <w:r>
        <w:rPr>
          <w:rFonts w:ascii="Arial" w:cs="Arial" w:eastAsia="Arial" w:hAnsi="Arial"/>
          <w:sz w:val="16"/>
          <w:szCs w:val="16"/>
          <w:b w:val="1"/>
          <w:bCs w:val="1"/>
          <w:color w:val="auto"/>
        </w:rPr>
        <w:t>Care Laws</w:t>
      </w:r>
      <w:r>
        <w:rPr>
          <w:rFonts w:ascii="Arial" w:cs="Arial" w:eastAsia="Arial" w:hAnsi="Arial"/>
          <w:sz w:val="16"/>
          <w:szCs w:val="16"/>
          <w:color w:val="auto"/>
        </w:rPr>
        <w:t>” means all health care laws applicable to the Company and necessary for the Company to conduct the business now operated or as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conducted by it as described in the Registration Statement, the Time of Sale Prospectus and the Prospectus, including, but not limited to: the</w:t>
      </w:r>
    </w:p>
    <w:p>
      <w:pPr>
        <w:spacing w:after="0" w:line="10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10"/>
          </w:cols>
          <w:pgMar w:left="450" w:top="274" w:right="439" w:bottom="1440" w:gutter="0" w:footer="0" w:header="0"/>
        </w:sectPr>
      </w:pPr>
    </w:p>
    <w:bookmarkStart w:id="239" w:name="page240"/>
    <w:bookmarkEnd w:id="239"/>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Food, Drug, and Cosmetic Act, the Anti-Kickback Statute (42 U.S.C. Section 1320a-7b(b)), the Civil Monetary Penalties Law (42 U.S.C. § 1320a-7a), the Physician Payments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Arial" w:cs="Arial" w:eastAsia="Arial" w:hAnsi="Arial"/>
          <w:sz w:val="17"/>
          <w:szCs w:val="17"/>
          <w:b w:val="1"/>
          <w:bCs w:val="1"/>
          <w:color w:val="auto"/>
        </w:rPr>
        <w:t>HIPAA</w:t>
      </w:r>
      <w:r>
        <w:rPr>
          <w:rFonts w:ascii="Arial" w:cs="Arial" w:eastAsia="Arial" w:hAnsi="Arial"/>
          <w:sz w:val="17"/>
          <w:szCs w:val="17"/>
          <w:color w:val="auto"/>
        </w:rPr>
        <w:t>”) (42 U.S.C. Section 1320d et seq.), the exclusions law (42 U.S.C. § 1320a-7), HIPAA, as amended by the Health Information Technology for Economic and Clinical Health Act (42 U.S.C. Section 17921 et seq.), Medicare (Title XVIII of the Social Security Act), Medicaid (Title XIX of the Social Security Act), any and all other applicable comparable local, state, federal, national, supranational and foreign health care laws and the regulations promulgated pursuant to such laws, each as amended from time to time.</w:t>
      </w:r>
    </w:p>
    <w:p>
      <w:pPr>
        <w:spacing w:after="0" w:line="177" w:lineRule="exact"/>
        <w:rPr>
          <w:sz w:val="20"/>
          <w:szCs w:val="20"/>
          <w:color w:val="auto"/>
        </w:rPr>
      </w:pPr>
    </w:p>
    <w:p>
      <w:pPr>
        <w:ind w:right="20" w:firstLine="430"/>
        <w:spacing w:after="0" w:line="285" w:lineRule="auto"/>
        <w:tabs>
          <w:tab w:leader="none" w:pos="76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 The research studies and trials conducted by or on behalf of, or sponsored by, the Company, or in which the Company has participated, that are described in the Registration Statement, the Time of Sale Prospectus or the Prospectus, or the results of which are referred to in the Registration Statement, the Time of Sale Prospectus or the Prospectus, as applicable, were and, if still pending, are being, conducted in accordance with applicable law, standard medical and experimental protocols, procedures and controls pursuant to, where applicable, accepted professional and scientific standards for products or product candidates comparable to those being developed by the Company; (ii) the descriptions of the results of such studies and trials contained in the Registration Statement, the Time of Sale Prospectus or the Prospectus do not contain any misstatement of a material fact or omit to state a material fact necessary to make such statements not misleading; (iii) the Company has no knowledge of any research studies or trials not described in the Time of Sale Prospectus and the Prospectus the results of which reasonably call into question in any material respect the results of the research studies and trials described in the Registration Statement, the Time of Sale Prospectus or Prospectus; (iv) the Company has not received any written notices or correspondence from the FDA, the European Commission, any competent authorities of the Member States of the EEA or any Health Regulatory Agency or any institutional review board or comparable authority requiring or threatening the premature termination, suspension, material modification or clinical hold of any research studies or trials conducted by or on behalf of, or sponsored by, the Company or in which the Company has participated that are described in the Registration Statement, the Time of Sale Prospectus or the Prospectus, and there are no reasonable grounds for the same; and (v) there has not been any violation of applicable law or regulation by the Company in its product development efforts, submissions or reports to the FDA, the European Commission, any competent authorities of the Member States of the EEA or any other Health Regulatory Agency that could reasonably be expected to require investigation, corrective action or result in enforcement action which would reasonably be likely to have a Material Adverse Effect on the Company and its subsidiaries, taken as a whole.</w:t>
      </w:r>
    </w:p>
    <w:p>
      <w:pPr>
        <w:spacing w:after="0" w:line="170" w:lineRule="exact"/>
        <w:rPr>
          <w:rFonts w:ascii="Arial" w:cs="Arial" w:eastAsia="Arial" w:hAnsi="Arial"/>
          <w:sz w:val="16"/>
          <w:szCs w:val="16"/>
          <w:color w:val="auto"/>
        </w:rPr>
      </w:pPr>
    </w:p>
    <w:p>
      <w:pPr>
        <w:ind w:firstLine="430"/>
        <w:spacing w:after="0" w:line="286" w:lineRule="auto"/>
        <w:tabs>
          <w:tab w:leader="none" w:pos="72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manufacture of the Company’s products by or on behalf of the Company is being conducted in compliance with all applicable Health Care Laws, including, without limitation, the FDA’s current good manufacturing practice regulations at 21 CFR Part 820, and, to the extent applicable, the respective counterparts thereof promulgated by the EU, European Commission, any competent authorities of the Member States of the EEA or other Health Regulatory Agencies, except where the failure to so be in compliance would reasonably likely to have a Material Adverse Effect on the Company and its subsidiaries, taken as a whole. The Company has not had any manufacturing site (whether owned by the Company or that of a third party manufacturer for the Company’s products) subject to an FDA, European Commission, any competent authorities of the Member States of the EEA or other Health Regulatory Agency shutdown or import or export prohibition, nor received any FDA, European Commission, any competent authorities of the Member States of the EEA or other Health Regulatory Agency “warning letters,” or “untitled letters” requests to make material changes to the Company’s products, processes or operations, or similar correspondence or notice from the FDA, the European Commission, any competent authorities of the Member States of the EEA or other Health Regulatory Agency alleging or asserting material noncompliance with any applicable Health Care Laws, other than those that have been satisfactorily addressed and/or closed with the FDA, the European Commission, any competent authorities of the Member States of the EEA or other Health Regulatory Agency. To the knowledge of the Company, none of the FDA, the European Commission, any competent authorities of the Member States of the EEA or any other Health Regulatory Agency is considering such action.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240" w:name="page241"/>
    <w:bookmarkEnd w:id="240"/>
    <w:p>
      <w:pPr>
        <w:ind w:left="-40" w:right="40" w:firstLine="430"/>
        <w:spacing w:after="0" w:line="296" w:lineRule="auto"/>
        <w:tabs>
          <w:tab w:leader="none" w:pos="7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taken all necessary actions to ensure that, upon the effectiveness of the Registration Statement, it will be in compliance with all provisions of the Sarbanes-Oxley Act of 2002 and all rules and regulations promulgated thereunder or implementing the provisions thereof (the “</w:t>
      </w:r>
      <w:r>
        <w:rPr>
          <w:rFonts w:ascii="Arial" w:cs="Arial" w:eastAsia="Arial" w:hAnsi="Arial"/>
          <w:sz w:val="16"/>
          <w:szCs w:val="16"/>
          <w:b w:val="1"/>
          <w:bCs w:val="1"/>
          <w:color w:val="auto"/>
        </w:rPr>
        <w:t>Sarbanes-Oxley Act</w:t>
      </w:r>
      <w:r>
        <w:rPr>
          <w:rFonts w:ascii="Arial" w:cs="Arial" w:eastAsia="Arial" w:hAnsi="Arial"/>
          <w:sz w:val="16"/>
          <w:szCs w:val="16"/>
          <w:color w:val="auto"/>
        </w:rPr>
        <w:t>”) that are then in effect and with which the Company is required to comply as of the effectiveness of the Registration Statement, and is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160" w:lineRule="exact"/>
        <w:rPr>
          <w:rFonts w:ascii="Arial" w:cs="Arial" w:eastAsia="Arial" w:hAnsi="Arial"/>
          <w:sz w:val="16"/>
          <w:szCs w:val="16"/>
          <w:color w:val="auto"/>
        </w:rPr>
      </w:pPr>
    </w:p>
    <w:p>
      <w:pPr>
        <w:ind w:left="-40" w:right="140" w:firstLine="430"/>
        <w:spacing w:after="0" w:line="311" w:lineRule="auto"/>
        <w:tabs>
          <w:tab w:leader="none" w:pos="7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 on the Company and its subsidiaries, taken as a whole.</w:t>
      </w:r>
    </w:p>
    <w:p>
      <w:pPr>
        <w:spacing w:after="0" w:line="148" w:lineRule="exact"/>
        <w:rPr>
          <w:rFonts w:ascii="Arial" w:cs="Arial" w:eastAsia="Arial" w:hAnsi="Arial"/>
          <w:sz w:val="16"/>
          <w:szCs w:val="16"/>
          <w:color w:val="auto"/>
        </w:rPr>
      </w:pPr>
    </w:p>
    <w:p>
      <w:pPr>
        <w:ind w:left="-40" w:right="80" w:firstLine="430"/>
        <w:spacing w:after="0" w:line="273" w:lineRule="auto"/>
        <w:tabs>
          <w:tab w:leader="none" w:pos="66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176" w:lineRule="exact"/>
        <w:rPr>
          <w:rFonts w:ascii="Arial" w:cs="Arial" w:eastAsia="Arial" w:hAnsi="Arial"/>
          <w:sz w:val="17"/>
          <w:szCs w:val="17"/>
          <w:color w:val="auto"/>
        </w:rPr>
      </w:pPr>
    </w:p>
    <w:p>
      <w:pPr>
        <w:ind w:left="-40" w:firstLine="430"/>
        <w:spacing w:after="0" w:line="293" w:lineRule="auto"/>
        <w:tabs>
          <w:tab w:leader="none" w:pos="66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and its subsidiaries possess all certificates, authorizations and permits issued by the appropriate federal, state or foreign regulatory authorities necessary to conduct their respective businesses, except where the failure to obtain such certificates, authorizations and permits would not, individually or in the aggregate, be reasonably likely to have a Material Adverse Effect on the Company and its subsidiaries, taken as a whole,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 on the Company and its subsidiaries, taken as a whole, except as described in the Time of Sale Prospectus.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500" w:top="274" w:right="499" w:bottom="1440" w:gutter="0" w:footer="0" w:header="0"/>
        </w:sectPr>
      </w:pPr>
    </w:p>
    <w:bookmarkStart w:id="241" w:name="page242"/>
    <w:bookmarkEnd w:id="241"/>
    <w:p>
      <w:pPr>
        <w:ind w:left="10" w:right="160" w:firstLine="430"/>
        <w:spacing w:after="0" w:line="284" w:lineRule="auto"/>
        <w:tabs>
          <w:tab w:leader="none" w:pos="794" w:val="left"/>
        </w:tabs>
        <w:numPr>
          <w:ilvl w:val="1"/>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w:t>
      </w:r>
    </w:p>
    <w:p>
      <w:pPr>
        <w:spacing w:after="0" w:line="3" w:lineRule="exact"/>
        <w:rPr>
          <w:rFonts w:ascii="Arial" w:cs="Arial" w:eastAsia="Arial" w:hAnsi="Arial"/>
          <w:sz w:val="16"/>
          <w:szCs w:val="16"/>
          <w:color w:val="auto"/>
        </w:rPr>
      </w:pPr>
    </w:p>
    <w:p>
      <w:pPr>
        <w:ind w:left="10" w:right="400" w:hanging="10"/>
        <w:spacing w:after="0" w:line="260" w:lineRule="auto"/>
        <w:tabs>
          <w:tab w:leader="none" w:pos="27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change in the Company’s internal control over financial reporting that has materially affected, or is reasonably likely to materially affect, the Company’s internal control over financial reporting.</w:t>
      </w:r>
    </w:p>
    <w:p>
      <w:pPr>
        <w:spacing w:after="0" w:line="184" w:lineRule="exact"/>
        <w:rPr>
          <w:rFonts w:ascii="Arial" w:cs="Arial" w:eastAsia="Arial" w:hAnsi="Arial"/>
          <w:sz w:val="18"/>
          <w:szCs w:val="18"/>
          <w:color w:val="auto"/>
        </w:rPr>
      </w:pPr>
    </w:p>
    <w:p>
      <w:pPr>
        <w:ind w:left="10" w:right="80" w:firstLine="430"/>
        <w:spacing w:after="0" w:line="259" w:lineRule="auto"/>
        <w:tabs>
          <w:tab w:leader="none" w:pos="71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or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5" w:lineRule="exact"/>
        <w:rPr>
          <w:rFonts w:ascii="Arial" w:cs="Arial" w:eastAsia="Arial" w:hAnsi="Arial"/>
          <w:sz w:val="18"/>
          <w:szCs w:val="18"/>
          <w:color w:val="auto"/>
        </w:rPr>
      </w:pPr>
    </w:p>
    <w:p>
      <w:pPr>
        <w:ind w:left="10" w:firstLine="430"/>
        <w:spacing w:after="0" w:line="291" w:lineRule="auto"/>
        <w:tabs>
          <w:tab w:leader="none" w:pos="89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or have requested extensions thereof and have paid all taxes required to be paid thereon or pursuant to any assessment (except for cases in which the failure to file or pay would not have a Material Adverse Effect on the Company and its subsidiaries, taken as a whole, or, except as currently being contested in good faith and for which adequate reserves required by U.S. GAAP have been established),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165" w:lineRule="exact"/>
        <w:rPr>
          <w:rFonts w:ascii="Arial" w:cs="Arial" w:eastAsia="Arial" w:hAnsi="Arial"/>
          <w:sz w:val="16"/>
          <w:szCs w:val="16"/>
          <w:color w:val="auto"/>
        </w:rPr>
      </w:pPr>
    </w:p>
    <w:p>
      <w:pPr>
        <w:ind w:left="10" w:right="60" w:firstLine="430"/>
        <w:spacing w:after="0" w:line="256" w:lineRule="auto"/>
        <w:tabs>
          <w:tab w:leader="none" w:pos="79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0"/>
          </w:cols>
          <w:pgMar w:left="450" w:top="274" w:right="459" w:bottom="1440" w:gutter="0" w:footer="0" w:header="0"/>
        </w:sectPr>
      </w:pPr>
    </w:p>
    <w:bookmarkStart w:id="242" w:name="page243"/>
    <w:bookmarkEnd w:id="242"/>
    <w:p>
      <w:pPr>
        <w:ind w:right="60" w:firstLine="430"/>
        <w:spacing w:after="0" w:line="254" w:lineRule="auto"/>
        <w:tabs>
          <w:tab w:leader="none" w:pos="7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93" w:lineRule="exact"/>
        <w:rPr>
          <w:rFonts w:ascii="Arial" w:cs="Arial" w:eastAsia="Arial" w:hAnsi="Arial"/>
          <w:sz w:val="18"/>
          <w:szCs w:val="18"/>
          <w:color w:val="auto"/>
        </w:rPr>
      </w:pPr>
    </w:p>
    <w:p>
      <w:pPr>
        <w:ind w:firstLine="430"/>
        <w:spacing w:after="0" w:line="256" w:lineRule="auto"/>
        <w:tabs>
          <w:tab w:leader="none" w:pos="7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91" w:lineRule="exact"/>
        <w:rPr>
          <w:rFonts w:ascii="Arial" w:cs="Arial" w:eastAsia="Arial" w:hAnsi="Arial"/>
          <w:sz w:val="18"/>
          <w:szCs w:val="18"/>
          <w:color w:val="auto"/>
        </w:rPr>
      </w:pPr>
    </w:p>
    <w:p>
      <w:pPr>
        <w:ind w:right="60" w:firstLine="430"/>
        <w:spacing w:after="0" w:line="268" w:lineRule="auto"/>
        <w:tabs>
          <w:tab w:leader="none" w:pos="78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Except as described in the Time of Sale Prospectus or the Registration Statement,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Arial" w:cs="Arial" w:eastAsia="Arial" w:hAnsi="Arial"/>
          <w:sz w:val="17"/>
          <w:szCs w:val="17"/>
          <w:b w:val="1"/>
          <w:bCs w:val="1"/>
          <w:color w:val="auto"/>
        </w:rPr>
        <w:t>IT Systems and Data</w:t>
      </w:r>
      <w:r>
        <w:rPr>
          <w:rFonts w:ascii="Arial" w:cs="Arial" w:eastAsia="Arial" w:hAnsi="Arial"/>
          <w:sz w:val="17"/>
          <w:szCs w:val="17"/>
          <w:color w:val="auto"/>
        </w:rPr>
        <w:t>”), except for those that have been remedied without material cost or liability;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as a whole,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Governmental Entity, internal policies and contractual obligations relating to the privacy and security of IT Systems and Data and to the protection of such IT Systems and Data from unauthorized use, access, misappropriation or modification.</w:t>
      </w:r>
    </w:p>
    <w:p>
      <w:pPr>
        <w:spacing w:after="0" w:line="184" w:lineRule="exact"/>
        <w:rPr>
          <w:rFonts w:ascii="Arial" w:cs="Arial" w:eastAsia="Arial" w:hAnsi="Arial"/>
          <w:sz w:val="17"/>
          <w:szCs w:val="17"/>
          <w:color w:val="auto"/>
        </w:rPr>
      </w:pPr>
    </w:p>
    <w:p>
      <w:pPr>
        <w:ind w:right="140" w:firstLine="430"/>
        <w:spacing w:after="0" w:line="277" w:lineRule="auto"/>
        <w:tabs>
          <w:tab w:leader="none" w:pos="72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There are no debt securities or preferred stock issued, or guaranteed by, the Company or any of its subsidiaries that are rated by a “nationally recognized statistical rating organization,” as such term is defined in Section 3(a)(62) of the Exchange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243" w:name="page244"/>
    <w:bookmarkEnd w:id="243"/>
    <w:p>
      <w:pPr>
        <w:ind w:firstLine="430"/>
        <w:spacing w:after="0" w:line="311" w:lineRule="auto"/>
        <w:tabs>
          <w:tab w:leader="none" w:pos="620"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to Sell and Purchase</w:t>
      </w:r>
      <w:r>
        <w:rPr>
          <w:rFonts w:ascii="Arial" w:cs="Arial" w:eastAsia="Arial" w:hAnsi="Arial"/>
          <w:sz w:val="16"/>
          <w:szCs w:val="16"/>
          <w:color w:val="auto"/>
        </w:rPr>
        <w:t>. The Company hereby agrees to issue and sell to the several Underwriters, and each Underwriter,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of the representations and warranties herein contained, but subject to the conditions hereinafter stated, agrees, severally and not jointly, to purchase from the Company at $[ ]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the number of Firm Shares set forth opposite its name in Schedule I hereto.</w:t>
      </w:r>
    </w:p>
    <w:p>
      <w:pPr>
        <w:spacing w:after="0" w:line="148" w:lineRule="exact"/>
        <w:rPr>
          <w:sz w:val="20"/>
          <w:szCs w:val="20"/>
          <w:color w:val="auto"/>
        </w:rPr>
      </w:pPr>
    </w:p>
    <w:p>
      <w:pPr>
        <w:ind w:right="100" w:firstLine="440"/>
        <w:spacing w:after="0" w:line="285"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issue and sell to the Underwriters the Additional Shares, and the Underwriters shall have the right to purchase, severally and not jointly, up to [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2" w:lineRule="exact"/>
        <w:rPr>
          <w:sz w:val="20"/>
          <w:szCs w:val="20"/>
          <w:color w:val="auto"/>
        </w:rPr>
      </w:pPr>
    </w:p>
    <w:p>
      <w:pPr>
        <w:ind w:right="120" w:firstLine="430"/>
        <w:spacing w:after="0" w:line="290" w:lineRule="auto"/>
        <w:tabs>
          <w:tab w:leader="none" w:pos="62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you that the Underwriters propose to make a public offering of their respective portions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Shares as soon after the Registration Statement and this Agreement have become effective as in your judgment is advisable. The Company is</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further advised by you that the Shares are to be offered to the public initially at $[ ] per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you at a price that represents a concession not in excess of $[ ] per share under the Public Offering Price, and that any Underwriter may allow, and such dealers may reallow, a concession, not in excess of $[ ] per share, to any Underwriter or to certain other dealers.</w:t>
      </w:r>
    </w:p>
    <w:p>
      <w:pPr>
        <w:spacing w:after="0" w:line="15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Firm Shares shall be made to the Company in Federal or other funds immediately available in New York City against delivery of such Firm Shares for the respective accounts of the several Underwriters at 10:00 a.m., New York City time, on [ ], 2018, or at such other time on the same or such other date, not later than [ ], 2018, as shall be designated in writing by you.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 2018, as shall be designated in writing by you.</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244" w:name="page245"/>
    <w:bookmarkEnd w:id="244"/>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175" w:lineRule="exact"/>
        <w:rPr>
          <w:sz w:val="20"/>
          <w:szCs w:val="20"/>
          <w:color w:val="auto"/>
        </w:rPr>
      </w:pPr>
    </w:p>
    <w:p>
      <w:pPr>
        <w:ind w:firstLine="430"/>
        <w:spacing w:after="0" w:line="263" w:lineRule="auto"/>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Shares on the Closing Date are subject to the condition that the Registration Statement shall have become effective not later than [ ] (New York City time) on the date hereof.</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right="80" w:firstLine="430"/>
        <w:spacing w:after="0" w:line="301" w:lineRule="auto"/>
        <w:tabs>
          <w:tab w:leader="none" w:pos="68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Closing Date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56" w:lineRule="exact"/>
        <w:rPr>
          <w:rFonts w:ascii="Arial" w:cs="Arial" w:eastAsia="Arial" w:hAnsi="Arial"/>
          <w:sz w:val="16"/>
          <w:szCs w:val="16"/>
          <w:color w:val="auto"/>
        </w:rPr>
      </w:pPr>
    </w:p>
    <w:p>
      <w:pPr>
        <w:ind w:right="80" w:firstLine="430"/>
        <w:spacing w:after="0" w:line="259"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set forth in Section 5(a)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225" w:lineRule="exact"/>
        <w:rPr>
          <w:sz w:val="20"/>
          <w:szCs w:val="20"/>
          <w:color w:val="auto"/>
        </w:rPr>
      </w:pPr>
    </w:p>
    <w:p>
      <w:pPr>
        <w:jc w:val="both"/>
        <w:ind w:right="200" w:firstLine="430"/>
        <w:spacing w:after="0" w:line="263" w:lineRule="auto"/>
        <w:tabs>
          <w:tab w:leader="none" w:pos="68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a negative assurance letter of Cooley LLP, outside counsel for the Company, dated the Closing Date, in form and substance reasonably satisfactory to the Representatives, together with signed or reproduced copies of such letter for each of the other Underwriters.</w:t>
      </w:r>
    </w:p>
    <w:p>
      <w:pPr>
        <w:spacing w:after="0" w:line="182" w:lineRule="exact"/>
        <w:rPr>
          <w:rFonts w:ascii="Arial" w:cs="Arial" w:eastAsia="Arial" w:hAnsi="Arial"/>
          <w:sz w:val="18"/>
          <w:szCs w:val="18"/>
          <w:color w:val="auto"/>
        </w:rPr>
      </w:pPr>
    </w:p>
    <w:p>
      <w:pPr>
        <w:ind w:right="300" w:firstLine="430"/>
        <w:spacing w:after="0" w:line="286" w:lineRule="auto"/>
        <w:tabs>
          <w:tab w:leader="none" w:pos="69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dated the Closing Date of (x) Shay Glenn LLP, intellectual property counsel for the Company and (y) Hogan Lovells US LLP, regulatory counsel for the Company, in each case, in form and substance reasonably satisfactory to the Representatives, together with signed or reproduced copies of such letter for each of the other Underwriters.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60" w:top="274" w:right="519" w:bottom="1440" w:gutter="0" w:footer="0" w:header="0"/>
        </w:sectPr>
      </w:pPr>
    </w:p>
    <w:bookmarkStart w:id="245" w:name="page246"/>
    <w:bookmarkEnd w:id="245"/>
    <w:p>
      <w:pPr>
        <w:ind w:right="40" w:firstLine="430"/>
        <w:spacing w:after="0" w:line="307" w:lineRule="auto"/>
        <w:tabs>
          <w:tab w:leader="none" w:pos="685"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Underwriters shall have received on the Closing Date an opinion and negative assurances letter of Latham &amp; Watkins LLP, counsel for the Underwriters, dated the Closing Date, in the form mutually agreed upon between the Underwriters and Latham &amp; Watkins LLP.</w:t>
      </w:r>
    </w:p>
    <w:p>
      <w:pPr>
        <w:spacing w:after="0" w:line="147" w:lineRule="exact"/>
        <w:rPr>
          <w:rFonts w:ascii="Arial" w:cs="Arial" w:eastAsia="Arial" w:hAnsi="Arial"/>
          <w:sz w:val="17"/>
          <w:szCs w:val="17"/>
          <w:color w:val="auto"/>
        </w:rPr>
      </w:pPr>
    </w:p>
    <w:p>
      <w:pPr>
        <w:ind w:right="60" w:firstLine="430"/>
        <w:spacing w:after="0" w:line="296" w:lineRule="auto"/>
        <w:tabs>
          <w:tab w:leader="none" w:pos="66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reasonably satisfactory to the Representatives, from PricewaterhouseCoopers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letter delivered on the Closing Date shall use a “cut-off date” not earlier than the date hereof.</w:t>
      </w:r>
    </w:p>
    <w:p>
      <w:pPr>
        <w:spacing w:after="0" w:line="160" w:lineRule="exact"/>
        <w:rPr>
          <w:rFonts w:ascii="Arial" w:cs="Arial" w:eastAsia="Arial" w:hAnsi="Arial"/>
          <w:sz w:val="16"/>
          <w:szCs w:val="16"/>
          <w:color w:val="auto"/>
        </w:rPr>
      </w:pPr>
    </w:p>
    <w:p>
      <w:pPr>
        <w:ind w:firstLine="430"/>
        <w:spacing w:after="0" w:line="263"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you and certain stockholders,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82" w:lineRule="exact"/>
        <w:rPr>
          <w:rFonts w:ascii="Arial" w:cs="Arial" w:eastAsia="Arial" w:hAnsi="Arial"/>
          <w:sz w:val="18"/>
          <w:szCs w:val="18"/>
          <w:color w:val="auto"/>
        </w:rPr>
      </w:pPr>
    </w:p>
    <w:p>
      <w:pPr>
        <w:ind w:left="680" w:hanging="250"/>
        <w:spacing w:after="0"/>
        <w:tabs>
          <w:tab w:leader="none" w:pos="6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On the Closing Date, the Shares shall have been approved for listing on the Nasdaq Global Market, subject only to official notice of issuance.</w:t>
      </w:r>
    </w:p>
    <w:p>
      <w:pPr>
        <w:spacing w:after="0" w:line="247" w:lineRule="exact"/>
        <w:rPr>
          <w:rFonts w:ascii="Arial" w:cs="Arial" w:eastAsia="Arial" w:hAnsi="Arial"/>
          <w:sz w:val="16"/>
          <w:szCs w:val="16"/>
          <w:color w:val="auto"/>
        </w:rPr>
      </w:pPr>
    </w:p>
    <w:p>
      <w:pPr>
        <w:ind w:right="660" w:firstLine="430"/>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FINRA has confirmed that it has not raised any objection with respect to the fairness and reasonableness of the underwriting terms and arrangements relating to the offering of the Shares.</w:t>
      </w:r>
    </w:p>
    <w:p>
      <w:pPr>
        <w:spacing w:after="0" w:line="169" w:lineRule="exact"/>
        <w:rPr>
          <w:rFonts w:ascii="Arial" w:cs="Arial" w:eastAsia="Arial" w:hAnsi="Arial"/>
          <w:sz w:val="18"/>
          <w:szCs w:val="18"/>
          <w:color w:val="auto"/>
        </w:rPr>
      </w:pPr>
    </w:p>
    <w:p>
      <w:pPr>
        <w:ind w:right="180" w:firstLine="430"/>
        <w:spacing w:after="0" w:line="307" w:lineRule="auto"/>
        <w:tabs>
          <w:tab w:leader="none" w:pos="6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Underwriters shall have received, on each of the date hereof and the Closing Date, a certificate dated the date hereof or the Closing Date, as the case may be, in form and substance satisfactory to the Representatives, from the Chief Financial Officer of the Company.</w:t>
      </w:r>
    </w:p>
    <w:p>
      <w:pPr>
        <w:spacing w:after="0" w:line="147" w:lineRule="exact"/>
        <w:rPr>
          <w:rFonts w:ascii="Arial" w:cs="Arial" w:eastAsia="Arial" w:hAnsi="Arial"/>
          <w:sz w:val="17"/>
          <w:szCs w:val="17"/>
          <w:color w:val="auto"/>
        </w:rPr>
      </w:pPr>
    </w:p>
    <w:p>
      <w:pPr>
        <w:ind w:right="540" w:firstLine="430"/>
        <w:spacing w:after="0" w:line="277"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you on the applicable Option Closing Date of the following:</w:t>
      </w:r>
    </w:p>
    <w:p>
      <w:pPr>
        <w:spacing w:after="0" w:line="61" w:lineRule="exact"/>
        <w:rPr>
          <w:rFonts w:ascii="Arial" w:cs="Arial" w:eastAsia="Arial" w:hAnsi="Arial"/>
          <w:sz w:val="18"/>
          <w:szCs w:val="18"/>
          <w:color w:val="auto"/>
        </w:rPr>
      </w:pPr>
    </w:p>
    <w:p>
      <w:pPr>
        <w:ind w:left="440" w:right="160" w:firstLine="413"/>
        <w:spacing w:after="0" w:line="277" w:lineRule="auto"/>
        <w:tabs>
          <w:tab w:leader="none" w:pos="107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61" w:lineRule="exact"/>
        <w:rPr>
          <w:rFonts w:ascii="Arial" w:cs="Arial" w:eastAsia="Arial" w:hAnsi="Arial"/>
          <w:sz w:val="18"/>
          <w:szCs w:val="18"/>
          <w:color w:val="auto"/>
        </w:rPr>
      </w:pPr>
    </w:p>
    <w:p>
      <w:pPr>
        <w:ind w:left="440" w:right="80" w:firstLine="413"/>
        <w:spacing w:after="0" w:line="263" w:lineRule="auto"/>
        <w:tabs>
          <w:tab w:leader="none" w:pos="112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 opinion and negative assurance letter of Cooley LLP,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74" w:lineRule="exact"/>
        <w:rPr>
          <w:rFonts w:ascii="Arial" w:cs="Arial" w:eastAsia="Arial" w:hAnsi="Arial"/>
          <w:sz w:val="18"/>
          <w:szCs w:val="18"/>
          <w:color w:val="auto"/>
        </w:rPr>
      </w:pPr>
    </w:p>
    <w:p>
      <w:pPr>
        <w:ind w:left="440" w:right="320" w:firstLine="413"/>
        <w:spacing w:after="0" w:line="263" w:lineRule="auto"/>
        <w:tabs>
          <w:tab w:leader="none" w:pos="117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 opinion, dated the Closing Date of (x) Shay Glenn LLP, intellectual property counsel for the Company and (y) Hogan Lovells US LLP, regulatory counsel for the Company, in each case, relating to the Additional Shares to be purchased on such Option Closing Date and otherwise to the same effect as the opinion required by Section 5(d) 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4" w:right="439" w:bottom="1440" w:gutter="0" w:footer="0" w:header="0"/>
        </w:sectPr>
      </w:pPr>
    </w:p>
    <w:bookmarkStart w:id="246" w:name="page247"/>
    <w:bookmarkEnd w:id="246"/>
    <w:p>
      <w:pPr>
        <w:jc w:val="both"/>
        <w:ind w:left="440" w:right="520" w:firstLine="413"/>
        <w:spacing w:after="0" w:line="263" w:lineRule="auto"/>
        <w:tabs>
          <w:tab w:leader="none" w:pos="1167"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and negative assurance letter of Latham &amp; Watkins LLP, counsel for the Underwriters, dated the Option Closing Date, relating to the Additional Shares to be purchased on such Option Closing Date and otherwise to the same effect as the opinion and negative assurance letter required by Section 5(e) hereof;</w:t>
      </w:r>
    </w:p>
    <w:p>
      <w:pPr>
        <w:spacing w:after="0" w:line="74" w:lineRule="exact"/>
        <w:rPr>
          <w:rFonts w:ascii="Arial" w:cs="Arial" w:eastAsia="Arial" w:hAnsi="Arial"/>
          <w:sz w:val="18"/>
          <w:szCs w:val="18"/>
          <w:color w:val="auto"/>
        </w:rPr>
      </w:pPr>
    </w:p>
    <w:p>
      <w:pPr>
        <w:ind w:left="440" w:right="20" w:firstLine="413"/>
        <w:spacing w:after="0" w:line="259" w:lineRule="auto"/>
        <w:tabs>
          <w:tab w:leader="none" w:pos="111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reasonably satisfactory to the Representatives, from PricewaterhouseCoopers LLP, independent registered public accountants,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7" w:lineRule="exact"/>
        <w:rPr>
          <w:rFonts w:ascii="Arial" w:cs="Arial" w:eastAsia="Arial" w:hAnsi="Arial"/>
          <w:sz w:val="18"/>
          <w:szCs w:val="18"/>
          <w:color w:val="auto"/>
        </w:rPr>
      </w:pPr>
    </w:p>
    <w:p>
      <w:pPr>
        <w:ind w:left="440" w:right="140" w:firstLine="413"/>
        <w:spacing w:after="0" w:line="277" w:lineRule="auto"/>
        <w:tabs>
          <w:tab w:leader="none" w:pos="116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certificate dated the Option Closing Date, in form and substance satisfactory to the Representatives, from the Chief Financial Officer of the Company.</w:t>
      </w:r>
    </w:p>
    <w:p>
      <w:pPr>
        <w:spacing w:after="0" w:line="170" w:lineRule="exact"/>
        <w:rPr>
          <w:sz w:val="20"/>
          <w:szCs w:val="20"/>
          <w:color w:val="auto"/>
        </w:rPr>
      </w:pPr>
    </w:p>
    <w:p>
      <w:pPr>
        <w:ind w:right="100" w:firstLine="430"/>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other documents as you may reasonably request with respect to the good standing of the Company, the due authorization and issuance of the Additional Shares to be sold on such Option Closing Date and other matters related to the issuance of such Additional Shares shall have been delivered to you.</w:t>
      </w:r>
    </w:p>
    <w:p>
      <w:pPr>
        <w:spacing w:after="0" w:line="183"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With respect to Sections 5(c) and 5(k)(ii) above, Cooley LLP, and with respect to Sections 5(e) and 5(k)(iv) above,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sz w:val="20"/>
          <w:szCs w:val="20"/>
          <w:color w:val="auto"/>
        </w:rPr>
      </w:pPr>
    </w:p>
    <w:p>
      <w:pPr>
        <w:ind w:right="100" w:firstLine="430"/>
        <w:spacing w:after="0" w:line="256"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furnish to you, without charge, four signed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you may reasonably request.</w:t>
      </w:r>
    </w:p>
    <w:p>
      <w:pPr>
        <w:spacing w:after="0" w:line="191" w:lineRule="exact"/>
        <w:rPr>
          <w:rFonts w:ascii="Arial" w:cs="Arial" w:eastAsia="Arial" w:hAnsi="Arial"/>
          <w:sz w:val="18"/>
          <w:szCs w:val="18"/>
          <w:color w:val="auto"/>
        </w:rPr>
      </w:pPr>
    </w:p>
    <w:p>
      <w:pPr>
        <w:ind w:firstLine="430"/>
        <w:spacing w:after="0" w:line="311"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247" w:name="page248"/>
    <w:bookmarkEnd w:id="247"/>
    <w:p>
      <w:pPr>
        <w:ind w:right="280" w:firstLine="430"/>
        <w:spacing w:after="0" w:line="277"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furnish to you a copy of each proposed free writing prospectus to be prepared by or on behalf of, used by, or referred to by the Company and not to use or refer to any proposed free writing prospectus to which you reasonably object.</w:t>
      </w:r>
    </w:p>
    <w:p>
      <w:pPr>
        <w:spacing w:after="0" w:line="169" w:lineRule="exact"/>
        <w:rPr>
          <w:rFonts w:ascii="Arial" w:cs="Arial" w:eastAsia="Arial" w:hAnsi="Arial"/>
          <w:sz w:val="18"/>
          <w:szCs w:val="18"/>
          <w:color w:val="auto"/>
        </w:rPr>
      </w:pPr>
    </w:p>
    <w:p>
      <w:pPr>
        <w:ind w:right="40" w:firstLine="430"/>
        <w:spacing w:after="0" w:line="263"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2" w:lineRule="exact"/>
        <w:rPr>
          <w:rFonts w:ascii="Arial" w:cs="Arial" w:eastAsia="Arial" w:hAnsi="Arial"/>
          <w:sz w:val="18"/>
          <w:szCs w:val="18"/>
          <w:color w:val="auto"/>
        </w:rPr>
      </w:pPr>
    </w:p>
    <w:p>
      <w:pPr>
        <w:ind w:right="60" w:firstLine="430"/>
        <w:spacing w:after="0" w:line="269" w:lineRule="auto"/>
        <w:tabs>
          <w:tab w:leader="none" w:pos="68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3" w:lineRule="exact"/>
        <w:rPr>
          <w:rFonts w:ascii="Arial" w:cs="Arial" w:eastAsia="Arial" w:hAnsi="Arial"/>
          <w:sz w:val="17"/>
          <w:szCs w:val="17"/>
          <w:color w:val="auto"/>
        </w:rPr>
      </w:pPr>
    </w:p>
    <w:p>
      <w:pPr>
        <w:ind w:firstLine="430"/>
        <w:spacing w:after="0" w:line="288" w:lineRule="auto"/>
        <w:tabs>
          <w:tab w:leader="none" w:pos="66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66" w:lineRule="exact"/>
        <w:rPr>
          <w:rFonts w:ascii="Arial" w:cs="Arial" w:eastAsia="Arial" w:hAnsi="Arial"/>
          <w:sz w:val="16"/>
          <w:szCs w:val="16"/>
          <w:color w:val="auto"/>
        </w:rPr>
      </w:pPr>
    </w:p>
    <w:p>
      <w:pPr>
        <w:ind w:right="160" w:firstLine="430"/>
        <w:spacing w:after="0" w:line="279"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During the period when a Prospectus relating to the Shares is (or, but for the exception afforded by Rule 172, would be) required to be delivered under the Securities Act, to file all documents required to be filed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within the time periods required by the Exchange Act and the regulations thereunder. Additionally, the Company shall report the use of proceeds from the issuance of the Shares as may be required under Rule 463 under the Securities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60" w:top="274" w:right="439" w:bottom="1440" w:gutter="0" w:footer="0" w:header="0"/>
        </w:sectPr>
      </w:pPr>
    </w:p>
    <w:bookmarkStart w:id="248" w:name="page249"/>
    <w:bookmarkEnd w:id="248"/>
    <w:p>
      <w:pPr>
        <w:ind w:right="500" w:firstLine="430"/>
        <w:spacing w:after="0" w:line="277"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use the net proceeds received by it from the sale of the Shares in the manner specified in the Registration Statement, the Time of Sale Prospectus and the Prospectus under “Use of Proceeds.”</w:t>
      </w:r>
    </w:p>
    <w:p>
      <w:pPr>
        <w:spacing w:after="0" w:line="169" w:lineRule="exact"/>
        <w:rPr>
          <w:rFonts w:ascii="Arial" w:cs="Arial" w:eastAsia="Arial" w:hAnsi="Arial"/>
          <w:sz w:val="18"/>
          <w:szCs w:val="18"/>
          <w:color w:val="auto"/>
        </w:rPr>
      </w:pPr>
    </w:p>
    <w:p>
      <w:pPr>
        <w:ind w:left="640" w:hanging="210"/>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use its best efforts to effect and maintain the listing of the Common Stock (including the Shares) on the Nasdaq Global Market.</w:t>
      </w:r>
    </w:p>
    <w:p>
      <w:pPr>
        <w:spacing w:after="0" w:line="224" w:lineRule="exact"/>
        <w:rPr>
          <w:rFonts w:ascii="Arial" w:cs="Arial" w:eastAsia="Arial" w:hAnsi="Arial"/>
          <w:sz w:val="18"/>
          <w:szCs w:val="18"/>
          <w:color w:val="auto"/>
        </w:rPr>
      </w:pPr>
    </w:p>
    <w:p>
      <w:pPr>
        <w:jc w:val="both"/>
        <w:ind w:right="80" w:firstLine="430"/>
        <w:spacing w:after="0" w:line="286" w:lineRule="auto"/>
        <w:tabs>
          <w:tab w:leader="none" w:pos="6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endeavor to qualify the Shares for offer and sale under the securities or Blue Sky laws of such jurisdictions as you shall reasonably request, provided, however,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164" w:lineRule="exact"/>
        <w:rPr>
          <w:rFonts w:ascii="Arial" w:cs="Arial" w:eastAsia="Arial" w:hAnsi="Arial"/>
          <w:sz w:val="17"/>
          <w:szCs w:val="17"/>
          <w:color w:val="auto"/>
        </w:rPr>
      </w:pPr>
    </w:p>
    <w:p>
      <w:pPr>
        <w:jc w:val="both"/>
        <w:ind w:right="160" w:firstLine="430"/>
        <w:spacing w:after="0" w:line="286" w:lineRule="auto"/>
        <w:tabs>
          <w:tab w:leader="none" w:pos="6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64" w:lineRule="exact"/>
        <w:rPr>
          <w:rFonts w:ascii="Arial" w:cs="Arial" w:eastAsia="Arial" w:hAnsi="Arial"/>
          <w:sz w:val="17"/>
          <w:szCs w:val="17"/>
          <w:color w:val="auto"/>
        </w:rPr>
      </w:pPr>
    </w:p>
    <w:p>
      <w:pPr>
        <w:ind w:right="140" w:firstLine="430"/>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this Section 6).</w:t>
      </w:r>
    </w:p>
    <w:p>
      <w:pPr>
        <w:spacing w:after="0" w:line="182" w:lineRule="exact"/>
        <w:rPr>
          <w:rFonts w:ascii="Arial" w:cs="Arial" w:eastAsia="Arial" w:hAnsi="Arial"/>
          <w:sz w:val="18"/>
          <w:szCs w:val="18"/>
          <w:color w:val="auto"/>
        </w:rPr>
      </w:pPr>
    </w:p>
    <w:p>
      <w:pPr>
        <w:ind w:right="120" w:firstLine="430"/>
        <w:spacing w:after="0" w:line="275" w:lineRule="auto"/>
        <w:tabs>
          <w:tab w:leader="none" w:pos="74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5" w:lineRule="exact"/>
        <w:rPr>
          <w:rFonts w:ascii="Arial" w:cs="Arial" w:eastAsia="Arial" w:hAnsi="Arial"/>
          <w:sz w:val="17"/>
          <w:szCs w:val="17"/>
          <w:color w:val="auto"/>
        </w:rPr>
      </w:pPr>
    </w:p>
    <w:p>
      <w:pPr>
        <w:ind w:right="400" w:firstLine="430"/>
        <w:spacing w:after="0" w:line="259"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Company will deliver to each Underwriter (or its agent), on the date of execution of this Agreement, a properly completed and executed Certification Regarding Beneficial Owners of Legal Entity Customers in a form reasonably acceptable to the Underwriters,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5" w:lineRule="exact"/>
        <w:rPr>
          <w:rFonts w:ascii="Arial" w:cs="Arial" w:eastAsia="Arial" w:hAnsi="Arial"/>
          <w:sz w:val="18"/>
          <w:szCs w:val="18"/>
          <w:color w:val="auto"/>
        </w:rPr>
      </w:pPr>
    </w:p>
    <w:p>
      <w:pPr>
        <w:ind w:firstLine="430"/>
        <w:spacing w:after="0" w:line="283"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6(h) hereof, including filing fees and the reasonable fees and disbursements of counsel for the Underwriters in connection with such qualification and in connection with the Blue Sky or Legal Investment memorandum, provided, that the amount of such fees and disbursements of counsel to be paid shall not exceed $5,000 (excluding any filing fees), (iv) all filing fees and the reasonable fees and disbursements of counsel to the Underwriters incurred in connection with the review and qualification of the offering of the Shares by FINRA, provided, that the amount of such fees and disbursements of counsel to be paid shall not exceed $30,000 (excluding any filing fees),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Underwriters agreeing to pay for the other 50%),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60" w:top="274" w:right="439" w:bottom="1440" w:gutter="0" w:footer="0" w:header="0"/>
        </w:sectPr>
      </w:pPr>
    </w:p>
    <w:bookmarkStart w:id="249" w:name="page250"/>
    <w:bookmarkEnd w:id="249"/>
    <w:p>
      <w:pPr>
        <w:ind w:left="10" w:right="40" w:firstLine="430"/>
        <w:spacing w:after="0" w:line="286" w:lineRule="auto"/>
        <w:tabs>
          <w:tab w:leader="none" w:pos="705" w:val="left"/>
        </w:tabs>
        <w:numPr>
          <w:ilvl w:val="1"/>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agrees that, without the prior written consent of the Representatives on behalf of the Underwriters, it will not, during the period ending on and including the 180th day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ind w:left="10" w:right="40" w:hanging="10"/>
        <w:spacing w:after="0" w:line="281" w:lineRule="auto"/>
        <w:tabs>
          <w:tab w:leader="none" w:pos="26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restrictions shall not apply to (a) the Shares to be sold hereunder,</w:t>
      </w:r>
    </w:p>
    <w:p>
      <w:pPr>
        <w:spacing w:after="0" w:line="1" w:lineRule="exact"/>
        <w:rPr>
          <w:rFonts w:ascii="Arial" w:cs="Arial" w:eastAsia="Arial" w:hAnsi="Arial"/>
          <w:sz w:val="16"/>
          <w:szCs w:val="16"/>
          <w:color w:val="auto"/>
        </w:rPr>
      </w:pPr>
    </w:p>
    <w:p>
      <w:pPr>
        <w:ind w:left="1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(b) the issuance by the Company of shares of Common Stock upon the exercise (including net exercise) of an option or warrant or the conversion of a security outstanding on the date hereof and disclosed in the Time of Sale Prospectus, (c) the issuance by the Company of shares of, or options to purchase shares of, Common Stock or restricted stock units (including the Common Stock issued upon the settlement or exercise thereof) to employees, officers, directors, advisors or consultants of the Company pursuant to employee benefit plans described in the Time of Sale Prospectus and Prospectus, provided that, prior to the issuance of any such shares or the grant of any such options or restricted stock units, the Company shall cause each recipient of such grant or issuance to execute and deliver a “lock up” agreement, substantially in the form of Exhibit A hereto, (d) the filing by the Company of registration statements on Form S-8 with respect to the employee benefit plans described in the Time of Sale Prospectus, (e) the sale or issuance of or entry into an agreement to sell or issue shares of Common Stock in connection with the Company’s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recipient of shares of Common Stock or securities convertible into or exercisable for Common Stock pursuant to this clause (e) shall execute a lock-up agreement substantially in the form of Exhibit A hereto.</w:t>
      </w:r>
    </w:p>
    <w:p>
      <w:pPr>
        <w:spacing w:after="0" w:line="100"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90"/>
          </w:cols>
          <w:pgMar w:left="450" w:top="274" w:right="459" w:bottom="1440" w:gutter="0" w:footer="0" w:header="0"/>
        </w:sectPr>
      </w:pPr>
    </w:p>
    <w:bookmarkStart w:id="250" w:name="page251"/>
    <w:bookmarkEnd w:id="250"/>
    <w:p>
      <w:pPr>
        <w:ind w:firstLine="430"/>
        <w:spacing w:after="0" w:line="301" w:lineRule="auto"/>
        <w:tabs>
          <w:tab w:leader="none" w:pos="6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Representatives, in their discretion, agree to release or waive the restrictions set forth in a lock-up letter described in Section 5(g)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56" w:lineRule="exact"/>
        <w:rPr>
          <w:rFonts w:ascii="Arial" w:cs="Arial" w:eastAsia="Arial" w:hAnsi="Arial"/>
          <w:sz w:val="16"/>
          <w:szCs w:val="16"/>
          <w:color w:val="auto"/>
        </w:rPr>
      </w:pPr>
    </w:p>
    <w:p>
      <w:pPr>
        <w:ind w:right="240" w:firstLine="430"/>
        <w:spacing w:after="0" w:line="259" w:lineRule="auto"/>
        <w:tabs>
          <w:tab w:leader="none" w:pos="6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in a form reasonably acceptable to the Underwriters,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6" w:lineRule="exact"/>
        <w:rPr>
          <w:sz w:val="20"/>
          <w:szCs w:val="20"/>
          <w:color w:val="auto"/>
        </w:rPr>
      </w:pPr>
    </w:p>
    <w:p>
      <w:pPr>
        <w:ind w:right="360" w:firstLine="430"/>
        <w:spacing w:after="0" w:line="286" w:lineRule="auto"/>
        <w:tabs>
          <w:tab w:leader="none" w:pos="620"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covenants with the Company not to take any action that would result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60" w:top="274" w:right="439" w:bottom="1440" w:gutter="0" w:footer="0" w:header="0"/>
        </w:sectPr>
      </w:pPr>
    </w:p>
    <w:bookmarkStart w:id="251" w:name="page252"/>
    <w:bookmarkEnd w:id="251"/>
    <w:p>
      <w:pPr>
        <w:ind w:firstLine="430"/>
        <w:spacing w:after="0" w:line="287" w:lineRule="auto"/>
        <w:tabs>
          <w:tab w:leader="none" w:pos="620"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and Contribution</w:t>
      </w:r>
      <w:r>
        <w:rPr>
          <w:rFonts w:ascii="Arial" w:cs="Arial" w:eastAsia="Arial" w:hAnsi="Arial"/>
          <w:sz w:val="16"/>
          <w:szCs w:val="16"/>
          <w:color w:val="auto"/>
        </w:rPr>
        <w:t>. (a) The Company agrees to indemnify and hold harmless each Underwriter, the directors, officers,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agents of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the Prospectus or any amendment or supplement thereto, or any Written Testing-the-Waters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66" w:lineRule="exact"/>
        <w:rPr>
          <w:sz w:val="20"/>
          <w:szCs w:val="20"/>
          <w:color w:val="auto"/>
        </w:rPr>
      </w:pPr>
    </w:p>
    <w:p>
      <w:pPr>
        <w:ind w:right="80" w:firstLine="430"/>
        <w:spacing w:after="0" w:line="287"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w:t>
      </w:r>
    </w:p>
    <w:p>
      <w:pPr>
        <w:spacing w:after="0" w:line="169" w:lineRule="exact"/>
        <w:rPr>
          <w:rFonts w:ascii="Arial" w:cs="Arial" w:eastAsia="Arial" w:hAnsi="Arial"/>
          <w:sz w:val="16"/>
          <w:szCs w:val="16"/>
          <w:color w:val="auto"/>
        </w:rPr>
      </w:pPr>
    </w:p>
    <w:p>
      <w:pPr>
        <w:ind w:right="100" w:firstLine="430"/>
        <w:spacing w:after="0" w:line="311" w:lineRule="auto"/>
        <w:tabs>
          <w:tab w:leader="none" w:pos="6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4" w:right="439" w:bottom="1440" w:gutter="0" w:footer="0" w:header="0"/>
        </w:sectPr>
      </w:pPr>
    </w:p>
    <w:bookmarkStart w:id="252" w:name="page253"/>
    <w:bookmarkEnd w:id="25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such indemnified parties and that all such fees and expenses shall be reimbursed as they are incurred, and (ii) the fees and expenses of more than one separate firm (in addition to any local counsel) for the Company, its directors, its officers who sign the Registration Statement and each person, if any, who controls the Company within the meaning of either such Section. In the case of parties indemnified pursuant to Section 8(a), such separate firm shall be designated in writing by the Representatives. In the case of parties indemnified pursuant to Section 8(b), such separate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69" w:lineRule="exact"/>
        <w:rPr>
          <w:sz w:val="20"/>
          <w:szCs w:val="20"/>
          <w:color w:val="auto"/>
        </w:rPr>
      </w:pPr>
    </w:p>
    <w:p>
      <w:pPr>
        <w:ind w:right="40" w:firstLine="430"/>
        <w:spacing w:after="0" w:line="285"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253" w:name="page254"/>
    <w:bookmarkEnd w:id="253"/>
    <w:p>
      <w:pPr>
        <w:ind w:left="-40" w:firstLine="430"/>
        <w:spacing w:after="0" w:line="269" w:lineRule="auto"/>
        <w:tabs>
          <w:tab w:leader="none" w:pos="645"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allocation (even if the Underwriters were treated as one entity for such purpose) or by any other method of allocation that does not take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9" w:lineRule="exact"/>
        <w:rPr>
          <w:rFonts w:ascii="Arial" w:cs="Arial" w:eastAsia="Arial" w:hAnsi="Arial"/>
          <w:sz w:val="17"/>
          <w:szCs w:val="17"/>
          <w:color w:val="auto"/>
        </w:rPr>
      </w:pPr>
    </w:p>
    <w:p>
      <w:pPr>
        <w:jc w:val="both"/>
        <w:ind w:left="-40" w:firstLine="430"/>
        <w:spacing w:after="0" w:line="279" w:lineRule="auto"/>
        <w:tabs>
          <w:tab w:leader="none" w:pos="62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500" w:top="274" w:right="479" w:bottom="1440" w:gutter="0" w:footer="0" w:header="0"/>
        </w:sectPr>
      </w:pPr>
    </w:p>
    <w:bookmarkStart w:id="254" w:name="page255"/>
    <w:bookmarkEnd w:id="254"/>
    <w:p>
      <w:pPr>
        <w:ind w:left="10" w:firstLine="430"/>
        <w:spacing w:after="0" w:line="270" w:lineRule="auto"/>
        <w:tabs>
          <w:tab w:leader="none" w:pos="630"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7"/>
          <w:szCs w:val="17"/>
          <w:color w:val="auto"/>
        </w:rPr>
        <w:t>. The Underwriters may terminate this Agreement by notice given by you to the Company, if after the execution and delivery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prior to the Closing Date (i) trading generally shall have been suspended or materially limited on, or by, as the case may be, any of the New York Stock Exchange, the NYSE MKT,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79" w:lineRule="exact"/>
        <w:rPr>
          <w:rFonts w:ascii="Arial" w:cs="Arial" w:eastAsia="Arial" w:hAnsi="Arial"/>
          <w:sz w:val="17"/>
          <w:szCs w:val="17"/>
          <w:color w:val="auto"/>
        </w:rPr>
      </w:pPr>
    </w:p>
    <w:p>
      <w:pPr>
        <w:ind w:left="710" w:hanging="270"/>
        <w:spacing w:after="0"/>
        <w:tabs>
          <w:tab w:leader="none" w:pos="710"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left="10" w:firstLine="440"/>
        <w:spacing w:after="0" w:line="282"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w:t>
      </w:r>
    </w:p>
    <w:p>
      <w:pPr>
        <w:spacing w:after="0" w:line="9" w:lineRule="exact"/>
        <w:rPr>
          <w:sz w:val="20"/>
          <w:szCs w:val="20"/>
          <w:color w:val="auto"/>
        </w:rPr>
      </w:pPr>
    </w:p>
    <w:p>
      <w:pPr>
        <w:ind w:left="10" w:right="200" w:hanging="10"/>
        <w:spacing w:after="0" w:line="253" w:lineRule="auto"/>
        <w:tabs>
          <w:tab w:leader="none" w:pos="2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2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70"/>
          </w:cols>
          <w:pgMar w:left="450" w:top="274" w:right="479" w:bottom="1440" w:gutter="0" w:footer="0" w:header="0"/>
        </w:sectPr>
      </w:pPr>
    </w:p>
    <w:bookmarkStart w:id="255" w:name="page256"/>
    <w:bookmarkEnd w:id="255"/>
    <w:p>
      <w:pPr>
        <w:jc w:val="both"/>
        <w:ind w:left="10"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(which, for purposes of this Section 10, shall not include termination by the Underwriters under items (i), (iii), (iv) or (v) of Section 9), then</w:t>
      </w:r>
    </w:p>
    <w:p>
      <w:pPr>
        <w:spacing w:after="0" w:line="2" w:lineRule="exact"/>
        <w:rPr>
          <w:sz w:val="20"/>
          <w:szCs w:val="20"/>
          <w:color w:val="auto"/>
        </w:rPr>
      </w:pPr>
    </w:p>
    <w:p>
      <w:pPr>
        <w:ind w:left="10" w:right="20" w:hanging="10"/>
        <w:spacing w:after="0" w:line="288" w:lineRule="auto"/>
        <w:tabs>
          <w:tab w:leader="none" w:pos="25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prior to the Closing Date,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or (b) after the Closing Date but prior to any Option Closing Date with respect to the purchase of any Additional Shares pursuant to a notice delivered by the Representatives to the Company under Section 2 hereof,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proposed purchase of any such Additional Shares pursuant to this Agreement or the offering contemplated hereunder.</w:t>
      </w:r>
    </w:p>
    <w:p>
      <w:pPr>
        <w:spacing w:after="0" w:line="166" w:lineRule="exact"/>
        <w:rPr>
          <w:rFonts w:ascii="Arial" w:cs="Arial" w:eastAsia="Arial" w:hAnsi="Arial"/>
          <w:sz w:val="16"/>
          <w:szCs w:val="16"/>
          <w:color w:val="auto"/>
        </w:rPr>
      </w:pPr>
    </w:p>
    <w:p>
      <w:pPr>
        <w:ind w:left="10" w:right="20" w:firstLine="430"/>
        <w:spacing w:after="0" w:line="259" w:lineRule="auto"/>
        <w:tabs>
          <w:tab w:leader="none" w:pos="713"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Shares, represents the entire agreement between the Company, on the one hand, and the Underwriters, on the other, with respect to the preparation of any preliminary prospectus, the Time of Sale Prospectus, the Prospectus, the conduct of the offering, and the purchase and sale of the Shares.</w:t>
      </w:r>
    </w:p>
    <w:p>
      <w:pPr>
        <w:spacing w:after="0" w:line="186" w:lineRule="exact"/>
        <w:rPr>
          <w:sz w:val="20"/>
          <w:szCs w:val="20"/>
          <w:color w:val="auto"/>
        </w:rPr>
      </w:pPr>
    </w:p>
    <w:p>
      <w:pPr>
        <w:ind w:left="10" w:right="120" w:firstLine="430"/>
        <w:spacing w:after="0" w:line="275" w:lineRule="auto"/>
        <w:tabs>
          <w:tab w:leader="none" w:pos="70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75" w:lineRule="exact"/>
        <w:rPr>
          <w:sz w:val="20"/>
          <w:szCs w:val="20"/>
          <w:color w:val="auto"/>
        </w:rPr>
      </w:pPr>
    </w:p>
    <w:p>
      <w:pPr>
        <w:ind w:left="10" w:right="300" w:firstLine="430"/>
        <w:spacing w:after="0" w:line="277" w:lineRule="auto"/>
        <w:tabs>
          <w:tab w:leader="none" w:pos="72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69" w:lineRule="exact"/>
        <w:rPr>
          <w:rFonts w:ascii="Arial" w:cs="Arial" w:eastAsia="Arial" w:hAnsi="Arial"/>
          <w:sz w:val="18"/>
          <w:szCs w:val="18"/>
          <w:color w:val="auto"/>
        </w:rPr>
      </w:pPr>
    </w:p>
    <w:p>
      <w:pPr>
        <w:ind w:left="10" w:firstLine="430"/>
        <w:spacing w:after="0" w:line="270" w:lineRule="auto"/>
        <w:tabs>
          <w:tab w:leader="none" w:pos="720"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internal laws of the State of New York. The Company irrevocably submits to the non-exclusive jurisdiction of any New York State or United States Federal court sitting in The City of New York over any suit, action or proceeding arising out of or relating to this Agreement, the Prospectus, the Registration Statement or the offering of the Shares (each, a “</w:t>
      </w:r>
      <w:r>
        <w:rPr>
          <w:rFonts w:ascii="Arial" w:cs="Arial" w:eastAsia="Arial" w:hAnsi="Arial"/>
          <w:sz w:val="17"/>
          <w:szCs w:val="17"/>
          <w:b w:val="1"/>
          <w:bCs w:val="1"/>
          <w:color w:val="auto"/>
        </w:rPr>
        <w:t>Related Proceeding</w:t>
      </w:r>
      <w:r>
        <w:rPr>
          <w:rFonts w:ascii="Arial" w:cs="Arial" w:eastAsia="Arial" w:hAnsi="Arial"/>
          <w:sz w:val="17"/>
          <w:szCs w:val="17"/>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10"/>
          </w:cols>
          <w:pgMar w:left="450" w:top="274" w:right="439" w:bottom="1440" w:gutter="0" w:footer="0" w:header="0"/>
        </w:sectPr>
      </w:pPr>
    </w:p>
    <w:bookmarkStart w:id="256" w:name="page257"/>
    <w:bookmarkEnd w:id="256"/>
    <w:p>
      <w:pPr>
        <w:ind w:left="-20" w:right="20" w:firstLine="430"/>
        <w:spacing w:after="0" w:line="277" w:lineRule="auto"/>
        <w:tabs>
          <w:tab w:leader="none" w:pos="69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69" w:lineRule="exact"/>
        <w:rPr>
          <w:rFonts w:ascii="Arial" w:cs="Arial" w:eastAsia="Arial" w:hAnsi="Arial"/>
          <w:sz w:val="18"/>
          <w:szCs w:val="18"/>
          <w:color w:val="auto"/>
        </w:rPr>
      </w:pPr>
    </w:p>
    <w:p>
      <w:pPr>
        <w:ind w:left="-20" w:firstLine="430"/>
        <w:spacing w:after="0" w:line="256" w:lineRule="auto"/>
        <w:tabs>
          <w:tab w:leader="none" w:pos="69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communications hereunder shall be in writing and effective only upon receipt and if to the Underwriters shall be delivered, mailed</w:t>
      </w:r>
      <w:r>
        <w:rPr>
          <w:rFonts w:ascii="Arial" w:cs="Arial" w:eastAsia="Arial" w:hAnsi="Arial"/>
          <w:sz w:val="18"/>
          <w:szCs w:val="18"/>
          <w:i w:val="1"/>
          <w:iCs w:val="1"/>
          <w:color w:val="auto"/>
        </w:rPr>
        <w:t xml:space="preserve"> </w:t>
      </w:r>
      <w:r>
        <w:rPr>
          <w:rFonts w:ascii="Arial" w:cs="Arial" w:eastAsia="Arial" w:hAnsi="Arial"/>
          <w:sz w:val="18"/>
          <w:szCs w:val="18"/>
          <w:color w:val="auto"/>
        </w:rPr>
        <w:t>or sent to you in care of Morgan Stanley &amp; Co. LLC, 1585 Broadway, New York, New York 10036, Attention: Equity Syndicate Desk, with a copy to the Legal Department; and in care of Merrill Lynch, Pierce, Fenner &amp; Smith Incorporated, One Bryant Park, New York, New York 10036, Attention Syndicate Department (facsimile (646) 855-3073), with a copy to ECM Legal (facsimile (212) 230-8730); if to the Company shall be delivered, mailed or sent to 471 El Camino Real, Suite 101, Santa Clara, California 95050.</w:t>
      </w:r>
    </w:p>
    <w:p>
      <w:pPr>
        <w:spacing w:after="0" w:line="21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14605</wp:posOffset>
            </wp:positionV>
            <wp:extent cx="25609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80" w:top="274" w:right="4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14605</wp:posOffset>
            </wp:positionV>
            <wp:extent cx="25952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14605</wp:posOffset>
            </wp:positionV>
            <wp:extent cx="25952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999"/>
          </w:cols>
          <w:pgMar w:left="460" w:top="274"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Underwriter</w:t>
            </w:r>
          </w:p>
        </w:tc>
        <w:tc>
          <w:tcPr>
            <w:tcW w:w="3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Number of Firm Shares</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 Be Purchased</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94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880"/>
              <w:spacing w:after="0"/>
              <w:rPr>
                <w:sz w:val="20"/>
                <w:szCs w:val="20"/>
                <w:color w:val="auto"/>
              </w:rPr>
            </w:pPr>
            <w:r>
              <w:rPr>
                <w:rFonts w:ascii="Arial" w:cs="Arial" w:eastAsia="Arial" w:hAnsi="Arial"/>
                <w:sz w:val="18"/>
                <w:szCs w:val="18"/>
                <w:color w:val="auto"/>
              </w:rPr>
              <w:t>Incorporated</w:t>
            </w:r>
          </w:p>
        </w:tc>
        <w:tc>
          <w:tcPr>
            <w:tcW w:w="5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5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JMP Securities LLC</w:t>
            </w:r>
          </w:p>
        </w:tc>
        <w:tc>
          <w:tcPr>
            <w:tcW w:w="4540" w:type="dxa"/>
            <w:vAlign w:val="bottom"/>
            <w:gridSpan w:val="2"/>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54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5860" w:type="dxa"/>
            <w:vAlign w:val="bottom"/>
            <w:gridSpan w:val="3"/>
          </w:tcPr>
          <w:p>
            <w:pPr>
              <w:jc w:val="right"/>
              <w:ind w:right="5117"/>
              <w:spacing w:after="0"/>
              <w:rPr>
                <w:sz w:val="20"/>
                <w:szCs w:val="20"/>
                <w:color w:val="auto"/>
              </w:rPr>
            </w:pPr>
            <w:r>
              <w:rPr>
                <w:rFonts w:ascii="Arial" w:cs="Arial" w:eastAsia="Arial" w:hAnsi="Arial"/>
                <w:sz w:val="18"/>
                <w:szCs w:val="18"/>
                <w:color w:val="auto"/>
              </w:rPr>
              <w:t>I-1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60" w:top="270" w:right="4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30" w:hanging="430"/>
        <w:spacing w:after="0"/>
        <w:tabs>
          <w:tab w:leader="none" w:pos="43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Preliminary Prospectus issued [date]</w:t>
      </w:r>
    </w:p>
    <w:p>
      <w:pPr>
        <w:spacing w:after="0" w:line="130" w:lineRule="exact"/>
        <w:rPr>
          <w:rFonts w:ascii="Arial" w:cs="Arial" w:eastAsia="Arial" w:hAnsi="Arial"/>
          <w:sz w:val="18"/>
          <w:szCs w:val="18"/>
          <w:color w:val="auto"/>
        </w:rPr>
      </w:pPr>
    </w:p>
    <w:p>
      <w:pPr>
        <w:ind w:left="430" w:hanging="430"/>
        <w:spacing w:after="0"/>
        <w:tabs>
          <w:tab w:leader="none" w:pos="43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[identify all free writing prospectuses filed by the Company under Rule 433(d) of the Securities Act]</w:t>
      </w:r>
    </w:p>
    <w:p>
      <w:pPr>
        <w:spacing w:after="0" w:line="130" w:lineRule="exact"/>
        <w:rPr>
          <w:rFonts w:ascii="Arial" w:cs="Arial" w:eastAsia="Arial" w:hAnsi="Arial"/>
          <w:sz w:val="18"/>
          <w:szCs w:val="18"/>
          <w:color w:val="auto"/>
        </w:rPr>
      </w:pPr>
    </w:p>
    <w:p>
      <w:pPr>
        <w:ind w:left="430" w:right="180" w:hanging="430"/>
        <w:spacing w:after="0" w:line="277" w:lineRule="auto"/>
        <w:tabs>
          <w:tab w:leader="none" w:pos="43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[free writing prospectus containing a description of terms that does not reflect final terms, if the Time of Sale Prospectus does not include a final term sheet]</w:t>
      </w:r>
    </w:p>
    <w:p>
      <w:pPr>
        <w:spacing w:after="0" w:line="75" w:lineRule="exact"/>
        <w:rPr>
          <w:rFonts w:ascii="Arial" w:cs="Arial" w:eastAsia="Arial" w:hAnsi="Arial"/>
          <w:sz w:val="18"/>
          <w:szCs w:val="18"/>
          <w:color w:val="auto"/>
        </w:rPr>
      </w:pPr>
    </w:p>
    <w:p>
      <w:pPr>
        <w:ind w:left="430" w:right="240" w:hanging="430"/>
        <w:spacing w:after="0" w:line="277" w:lineRule="auto"/>
        <w:tabs>
          <w:tab w:leader="none" w:pos="43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10"/>
          </w:cols>
          <w:pgMar w:left="450" w:top="270" w:right="4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5850"/>
        <w:spacing w:after="0"/>
        <w:rPr>
          <w:sz w:val="20"/>
          <w:szCs w:val="20"/>
          <w:color w:val="auto"/>
        </w:rPr>
      </w:pPr>
      <w:r>
        <w:rPr>
          <w:rFonts w:ascii="Arial" w:cs="Arial" w:eastAsia="Arial" w:hAnsi="Arial"/>
          <w:sz w:val="18"/>
          <w:szCs w:val="18"/>
          <w:color w:val="auto"/>
        </w:rPr>
        <w:t>_________________, 2018</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10"/>
        <w:spacing w:after="0"/>
        <w:tabs>
          <w:tab w:leader="none" w:pos="369"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Morgan Stanley &amp; Co. LLC</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New York, NY 10036</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Merrill Lynch, Pierce, Fenner &amp; Smith Incorporated</w:t>
      </w:r>
    </w:p>
    <w:p>
      <w:pPr>
        <w:spacing w:after="0" w:line="23" w:lineRule="exact"/>
        <w:rPr>
          <w:sz w:val="20"/>
          <w:szCs w:val="20"/>
          <w:color w:val="auto"/>
        </w:rPr>
      </w:pPr>
    </w:p>
    <w:p>
      <w:pPr>
        <w:ind w:left="10"/>
        <w:spacing w:after="0"/>
        <w:tabs>
          <w:tab w:leader="none" w:pos="369"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Merrill Lynch, Pierce, Fenner &amp; Smith</w:t>
      </w:r>
    </w:p>
    <w:p>
      <w:pPr>
        <w:spacing w:after="0" w:line="9" w:lineRule="exact"/>
        <w:rPr>
          <w:sz w:val="20"/>
          <w:szCs w:val="20"/>
          <w:color w:val="auto"/>
        </w:rPr>
      </w:pPr>
    </w:p>
    <w:p>
      <w:pPr>
        <w:ind w:left="139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New York, New York 10036</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7"/>
          <w:szCs w:val="17"/>
          <w:color w:val="auto"/>
        </w:rPr>
        <w:t>The undersigned understands that Morgan Stanley &amp; Co. LLC (“</w:t>
      </w:r>
      <w:r>
        <w:rPr>
          <w:rFonts w:ascii="Arial" w:cs="Arial" w:eastAsia="Arial" w:hAnsi="Arial"/>
          <w:sz w:val="17"/>
          <w:szCs w:val="17"/>
          <w:b w:val="1"/>
          <w:bCs w:val="1"/>
          <w:i w:val="1"/>
          <w:iCs w:val="1"/>
          <w:color w:val="auto"/>
        </w:rPr>
        <w:t>Morgan Stanley</w:t>
      </w:r>
      <w:r>
        <w:rPr>
          <w:rFonts w:ascii="Arial" w:cs="Arial" w:eastAsia="Arial" w:hAnsi="Arial"/>
          <w:sz w:val="17"/>
          <w:szCs w:val="17"/>
          <w:color w:val="auto"/>
        </w:rPr>
        <w:t>”) and Merrill Lynch, Pierce, Fenner &amp; Smith Incorporated</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Merrill Lynch</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with SI-BONE, Inc., a Delaware corporation (the</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 by the several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including Morgan Stanley and</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Merrill Lynch,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common stock (par value $0.0001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210" w:lineRule="exact"/>
        <w:rPr>
          <w:sz w:val="20"/>
          <w:szCs w:val="20"/>
          <w:color w:val="auto"/>
        </w:rPr>
      </w:pPr>
    </w:p>
    <w:p>
      <w:pPr>
        <w:ind w:left="10" w:right="20" w:firstLine="440"/>
        <w:spacing w:after="0" w:line="283"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Morgan Stanley and Merrill Lynch on behalf of the Underwriters, it will not, during the period commencing on the date hereof and ending 180 days after the date of the final prospectus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w:t>
      </w:r>
    </w:p>
    <w:p>
      <w:pPr>
        <w:spacing w:after="0" w:line="5" w:lineRule="exact"/>
        <w:rPr>
          <w:sz w:val="20"/>
          <w:szCs w:val="20"/>
          <w:color w:val="auto"/>
        </w:rPr>
      </w:pPr>
    </w:p>
    <w:p>
      <w:pPr>
        <w:ind w:left="250" w:hanging="250"/>
        <w:spacing w:after="0"/>
        <w:tabs>
          <w:tab w:leader="none" w:pos="25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or (2) above is to be settled by delivery of Common Stock or such other securities, in cash or otherwise. The foregoing sentence shall not apply to:</w:t>
      </w:r>
    </w:p>
    <w:p>
      <w:pPr>
        <w:spacing w:after="0" w:line="233" w:lineRule="exact"/>
        <w:rPr>
          <w:rFonts w:ascii="Arial" w:cs="Arial" w:eastAsia="Arial" w:hAnsi="Arial"/>
          <w:sz w:val="16"/>
          <w:szCs w:val="16"/>
          <w:color w:val="auto"/>
        </w:rPr>
      </w:pPr>
    </w:p>
    <w:p>
      <w:pPr>
        <w:ind w:left="10" w:right="120" w:firstLine="430"/>
        <w:spacing w:after="0" w:line="290" w:lineRule="auto"/>
        <w:tabs>
          <w:tab w:leader="none" w:pos="704"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transactions relating to shares of Common Stock or other securities acquired (i) in open market transactions after the completion of the Public Offering or (ii) except in the case where the undersigned is an officer or director of the Company, in the Public Offering, provided that in each case</w:t>
      </w:r>
    </w:p>
    <w:p>
      <w:pPr>
        <w:spacing w:after="0" w:line="1" w:lineRule="exact"/>
        <w:rPr>
          <w:rFonts w:ascii="Arial" w:cs="Arial" w:eastAsia="Arial" w:hAnsi="Arial"/>
          <w:sz w:val="16"/>
          <w:szCs w:val="16"/>
          <w:b w:val="1"/>
          <w:bCs w:val="1"/>
          <w:color w:val="auto"/>
        </w:rPr>
      </w:pPr>
    </w:p>
    <w:p>
      <w:pPr>
        <w:ind w:left="10" w:right="60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(i) and (ii) above no filing under Section 16(a) of the Exchange Act shall be required or shall be voluntarily made during the Restricted Period in connection with subsequent sales of Common Stock or other securities acquired in such open market transactions or in the Public Offering;</w:t>
      </w:r>
    </w:p>
    <w:p>
      <w:pPr>
        <w:spacing w:after="0" w:line="70"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10"/>
          </w:cols>
          <w:pgMar w:left="450" w:top="270" w:right="439" w:bottom="1440" w:gutter="0" w:footer="0" w:header="0"/>
        </w:sectPr>
      </w:pPr>
    </w:p>
    <w:bookmarkStart w:id="261" w:name="page262"/>
    <w:bookmarkEnd w:id="261"/>
    <w:p>
      <w:pPr>
        <w:ind w:left="710" w:hanging="270"/>
        <w:spacing w:after="0"/>
        <w:tabs>
          <w:tab w:leader="none" w:pos="710" w:val="left"/>
        </w:tabs>
        <w:numPr>
          <w:ilvl w:val="1"/>
          <w:numId w:val="18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b w:val="1"/>
          <w:bCs w:val="1"/>
          <w:color w:val="auto"/>
        </w:rPr>
      </w:pPr>
    </w:p>
    <w:p>
      <w:pPr>
        <w:ind w:left="270" w:hanging="270"/>
        <w:spacing w:after="0"/>
        <w:tabs>
          <w:tab w:leader="none" w:pos="27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 an immediate family member or a trust for the direct or indirect benefit of the undersigned or such immediate family member of the undersigned,</w:t>
      </w:r>
    </w:p>
    <w:p>
      <w:pPr>
        <w:spacing w:after="0" w:line="31" w:lineRule="exact"/>
        <w:rPr>
          <w:rFonts w:ascii="Arial" w:cs="Arial" w:eastAsia="Arial" w:hAnsi="Arial"/>
          <w:sz w:val="16"/>
          <w:szCs w:val="16"/>
          <w:color w:val="auto"/>
        </w:rPr>
      </w:pPr>
    </w:p>
    <w:p>
      <w:pPr>
        <w:ind w:left="10" w:right="120" w:hanging="10"/>
        <w:spacing w:after="0" w:line="269" w:lineRule="auto"/>
        <w:tabs>
          <w:tab w:leader="none" w:pos="32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 any corporation, partnership, limited liability company, investment fund or other entity controlled or managed, or under common control or management by the undersigned or the immediate family of the undersigned, or (iv) by will, other testamentary document or intestate succession to the legal representative, heir, beneficiary or a member of the immediate family of the undersigned, provided that in the case of any transfer or distribution pursuant to this clause (b), (i) each distributee or transferee shall sign and deliver a lock-up letter substantially in the form of this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81" w:lineRule="exact"/>
        <w:rPr>
          <w:rFonts w:ascii="Arial" w:cs="Arial" w:eastAsia="Arial" w:hAnsi="Arial"/>
          <w:sz w:val="17"/>
          <w:szCs w:val="17"/>
          <w:color w:val="auto"/>
        </w:rPr>
      </w:pPr>
    </w:p>
    <w:p>
      <w:pPr>
        <w:ind w:left="10" w:right="120" w:firstLine="430"/>
        <w:spacing w:after="0" w:line="256" w:lineRule="auto"/>
        <w:tabs>
          <w:tab w:leader="none" w:pos="694"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distributions or transfers of shares of Common Stock or any security convertible into or exercisable or exchangeable for Common Stock to general or limited partners, members or stockholders of the undersigned, provided that in the case of any transfer or distribution pursuant to this clause (c), (i) each distributee or transferee shall sign and deliver a lock-up letter substantially in the form of this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91" w:lineRule="exact"/>
        <w:rPr>
          <w:rFonts w:ascii="Arial" w:cs="Arial" w:eastAsia="Arial" w:hAnsi="Arial"/>
          <w:sz w:val="18"/>
          <w:szCs w:val="18"/>
          <w:b w:val="1"/>
          <w:bCs w:val="1"/>
          <w:color w:val="auto"/>
        </w:rPr>
      </w:pPr>
    </w:p>
    <w:p>
      <w:pPr>
        <w:ind w:left="710" w:hanging="270"/>
        <w:spacing w:after="0"/>
        <w:tabs>
          <w:tab w:leader="none" w:pos="710" w:val="left"/>
        </w:tabs>
        <w:numPr>
          <w:ilvl w:val="1"/>
          <w:numId w:val="189"/>
        </w:numPr>
        <w:rPr>
          <w:rFonts w:ascii="Arial" w:cs="Arial" w:eastAsia="Arial" w:hAnsi="Arial"/>
          <w:sz w:val="16"/>
          <w:szCs w:val="16"/>
          <w:b w:val="1"/>
          <w:bCs w:val="1"/>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46" w:lineRule="exact"/>
        <w:rPr>
          <w:rFonts w:ascii="Arial" w:cs="Arial" w:eastAsia="Arial" w:hAnsi="Arial"/>
          <w:sz w:val="16"/>
          <w:szCs w:val="16"/>
          <w:b w:val="1"/>
          <w:bCs w:val="1"/>
          <w:color w:val="auto"/>
        </w:rPr>
      </w:pPr>
    </w:p>
    <w:p>
      <w:pPr>
        <w:jc w:val="both"/>
        <w:ind w:left="10" w:hanging="10"/>
        <w:spacing w:after="0" w:line="253" w:lineRule="auto"/>
        <w:tabs>
          <w:tab w:leader="none" w:pos="22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91" w:lineRule="exact"/>
        <w:rPr>
          <w:rFonts w:ascii="Arial" w:cs="Arial" w:eastAsia="Arial" w:hAnsi="Arial"/>
          <w:sz w:val="18"/>
          <w:szCs w:val="18"/>
          <w:color w:val="auto"/>
        </w:rPr>
      </w:pPr>
    </w:p>
    <w:p>
      <w:pPr>
        <w:ind w:left="10" w:right="100" w:firstLine="430"/>
        <w:spacing w:after="0" w:line="255" w:lineRule="auto"/>
        <w:tabs>
          <w:tab w:leader="none" w:pos="694"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the exercise of options to purchase shares of Common Stock granted under any stock incentive plan or stock purchase plan of the Company described in the registration statement related to the Public Offering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the Prospectus, provided that (i) the underlying shares shall continue to be subject to the restrictions on transfer set forth in this agreement and (ii) any filing under Section 16 of the Exchange Act made during the Restricted Period shall clearly indicate that (A) the filing relates to the circumstances described above and (B) no securities were sold by the undersigned, and (iii) the undersigned does not otherwise voluntarily effect any other public filing or report regarding such transfers during the Restricted Period;</w:t>
      </w:r>
    </w:p>
    <w:p>
      <w:pPr>
        <w:spacing w:after="0" w:line="191" w:lineRule="exact"/>
        <w:rPr>
          <w:rFonts w:ascii="Arial" w:cs="Arial" w:eastAsia="Arial" w:hAnsi="Arial"/>
          <w:sz w:val="18"/>
          <w:szCs w:val="18"/>
          <w:b w:val="1"/>
          <w:bCs w:val="1"/>
          <w:color w:val="auto"/>
        </w:rPr>
      </w:pPr>
    </w:p>
    <w:p>
      <w:pPr>
        <w:ind w:left="10" w:right="140" w:firstLine="430"/>
        <w:spacing w:after="0" w:line="290" w:lineRule="auto"/>
        <w:tabs>
          <w:tab w:leader="none" w:pos="674" w:val="left"/>
        </w:tabs>
        <w:numPr>
          <w:ilvl w:val="1"/>
          <w:numId w:val="190"/>
        </w:numPr>
        <w:rPr>
          <w:rFonts w:ascii="Arial" w:cs="Arial" w:eastAsia="Arial" w:hAnsi="Arial"/>
          <w:sz w:val="16"/>
          <w:szCs w:val="16"/>
          <w:b w:val="1"/>
          <w:bCs w:val="1"/>
          <w:color w:val="auto"/>
        </w:rPr>
      </w:pPr>
      <w:r>
        <w:rPr>
          <w:rFonts w:ascii="Arial" w:cs="Arial" w:eastAsia="Arial" w:hAnsi="Arial"/>
          <w:sz w:val="16"/>
          <w:szCs w:val="16"/>
          <w:color w:val="auto"/>
        </w:rPr>
        <w:t>(i) the receipt by the undersigned from the Company of shares of Common Stock upon (A) the exercise or settlement of options or restricted stock units granted under a stock incentive plan or other equity award plan, which plan is described in the Registration Statement and the Prospectus or</w:t>
      </w:r>
    </w:p>
    <w:p>
      <w:pPr>
        <w:spacing w:after="0" w:line="1" w:lineRule="exact"/>
        <w:rPr>
          <w:rFonts w:ascii="Arial" w:cs="Arial" w:eastAsia="Arial" w:hAnsi="Arial"/>
          <w:sz w:val="16"/>
          <w:szCs w:val="16"/>
          <w:b w:val="1"/>
          <w:bCs w:val="1"/>
          <w:color w:val="auto"/>
        </w:rPr>
      </w:pPr>
    </w:p>
    <w:p>
      <w:pPr>
        <w:ind w:left="10" w:right="100"/>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(B) the exercise of warrants outstanding and which are described in the Registration Statement and the Prospectus, or (ii) the transfer of shares of Common Stock or any securities convertible into Common Stock to the Company upon a vesting or settlement event of the Company’s securities or upon the exercise of options or warrants to purchase the Company’s securities on a “cashless” or “net exercise” basis to the extent permitted by the instruments representing such options or warrants (and any transfer to the Company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the Company and the Company’s cancellation of all or a portion thereof to pay the exercise price and/or withholding tax and remittance obligations, provided that (1) in the case of (i), the shares received upon exercise or settlement of the option, restricted stock unit, or warrant are subject to the terms of this letter and (2) to the extent a filing under Section 16 of the Exchange Act is required to made during the Restricted Period as a result of transfers in this section (f), it shall clearly indicate that (A) the filing relates to the circumstances described above and (B) no securities were sold by the undersigned in the open market, and (3) the undersigned does not otherwise voluntarily effect any other public filing or report regarding such transfers during the Restricted Period;</w:t>
      </w:r>
    </w:p>
    <w:p>
      <w:pPr>
        <w:spacing w:after="0" w:line="11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10"/>
          </w:cols>
          <w:pgMar w:left="450" w:top="274" w:right="439" w:bottom="1440" w:gutter="0" w:footer="0" w:header="0"/>
        </w:sectPr>
      </w:pPr>
    </w:p>
    <w:bookmarkStart w:id="262" w:name="page263"/>
    <w:bookmarkEnd w:id="262"/>
    <w:p>
      <w:pPr>
        <w:ind w:left="10" w:right="40" w:firstLine="430"/>
        <w:spacing w:after="0" w:line="255" w:lineRule="auto"/>
        <w:tabs>
          <w:tab w:leader="none" w:pos="704"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 of shares of Common Stock or any security convertible into or exercisable or exchangeable for Common Stock to the Company pursuant to agreements under which the Company has the option to repurchase such shares or a right of first refusal with respect to transfers of such shares, provided that (1) to the extent a filing under Section 16 of the Exchange Act is required to made during the Restricted Period as a result of transfers in this section (g), it shall clearly indicate that (A) the filing relates to the circumstances described above and (B) no securities were sold by the undersigned in the open market, and (2) the undersigned does not otherwise voluntarily effect any other public filing or report regarding such transfers during the Restricted Period;</w:t>
      </w:r>
    </w:p>
    <w:p>
      <w:pPr>
        <w:spacing w:after="0" w:line="191" w:lineRule="exact"/>
        <w:rPr>
          <w:rFonts w:ascii="Arial" w:cs="Arial" w:eastAsia="Arial" w:hAnsi="Arial"/>
          <w:sz w:val="18"/>
          <w:szCs w:val="18"/>
          <w:b w:val="1"/>
          <w:bCs w:val="1"/>
          <w:color w:val="auto"/>
        </w:rPr>
      </w:pPr>
    </w:p>
    <w:p>
      <w:pPr>
        <w:ind w:left="10" w:right="600" w:firstLine="430"/>
        <w:spacing w:after="0" w:line="277" w:lineRule="auto"/>
        <w:tabs>
          <w:tab w:leader="none" w:pos="715"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the transfer of shares of Common Stock or any security convertible into or exercisable or exchangeable for Common Stock that occurs pursuant to a qualified domestic order or in connection with a divorce settlement, provided that</w:t>
      </w:r>
    </w:p>
    <w:p>
      <w:pPr>
        <w:spacing w:after="0" w:line="169" w:lineRule="exact"/>
        <w:rPr>
          <w:rFonts w:ascii="Arial" w:cs="Arial" w:eastAsia="Arial" w:hAnsi="Arial"/>
          <w:sz w:val="18"/>
          <w:szCs w:val="18"/>
          <w:b w:val="1"/>
          <w:bCs w:val="1"/>
          <w:color w:val="auto"/>
        </w:rPr>
      </w:pPr>
    </w:p>
    <w:p>
      <w:pPr>
        <w:ind w:left="10" w:firstLine="430"/>
        <w:spacing w:after="0" w:line="290" w:lineRule="auto"/>
        <w:tabs>
          <w:tab w:leader="none" w:pos="665" w:val="left"/>
        </w:tabs>
        <w:numPr>
          <w:ilvl w:val="1"/>
          <w:numId w:val="191"/>
        </w:numPr>
        <w:rPr>
          <w:rFonts w:ascii="Arial" w:cs="Arial" w:eastAsia="Arial" w:hAnsi="Arial"/>
          <w:sz w:val="16"/>
          <w:szCs w:val="16"/>
          <w:b w:val="1"/>
          <w:bCs w:val="1"/>
          <w:color w:val="auto"/>
        </w:rPr>
      </w:pPr>
      <w:r>
        <w:rPr>
          <w:rFonts w:ascii="Arial" w:cs="Arial" w:eastAsia="Arial" w:hAnsi="Arial"/>
          <w:sz w:val="16"/>
          <w:szCs w:val="16"/>
          <w:color w:val="auto"/>
        </w:rPr>
        <w:t>each transferee shall sign and deliver a lock-up letter substantially in the form of this letter, (ii) any filing under Section 16 of the Exchange Act made during the Restricted Period shall clearly indicate in the footnotes thereto that (A) the filing relates to the circumstances described above and</w:t>
      </w:r>
    </w:p>
    <w:p>
      <w:pPr>
        <w:spacing w:after="0" w:line="1" w:lineRule="exact"/>
        <w:rPr>
          <w:rFonts w:ascii="Arial" w:cs="Arial" w:eastAsia="Arial" w:hAnsi="Arial"/>
          <w:sz w:val="16"/>
          <w:szCs w:val="16"/>
          <w:b w:val="1"/>
          <w:bCs w:val="1"/>
          <w:color w:val="auto"/>
        </w:rPr>
      </w:pPr>
    </w:p>
    <w:p>
      <w:pPr>
        <w:ind w:left="10" w:right="60" w:hanging="10"/>
        <w:spacing w:after="0" w:line="260" w:lineRule="auto"/>
        <w:tabs>
          <w:tab w:leader="none" w:pos="29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securities were sold by the undersigned, and (iii) the undersigned does not otherwise voluntarily effect any other public filing or report regarding such transfers during the Restricted Period;</w:t>
      </w:r>
    </w:p>
    <w:p>
      <w:pPr>
        <w:spacing w:after="0" w:line="184" w:lineRule="exact"/>
        <w:rPr>
          <w:rFonts w:ascii="Arial" w:cs="Arial" w:eastAsia="Arial" w:hAnsi="Arial"/>
          <w:sz w:val="18"/>
          <w:szCs w:val="18"/>
          <w:color w:val="auto"/>
        </w:rPr>
      </w:pPr>
    </w:p>
    <w:p>
      <w:pPr>
        <w:ind w:left="10" w:right="120" w:firstLine="430"/>
        <w:spacing w:after="0" w:line="277" w:lineRule="auto"/>
        <w:tabs>
          <w:tab w:leader="none" w:pos="674"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the conversion of the outstanding preferred stock of the Company into shares of Common Stock of the Company, provided that such shares of Common Stock remain subject to the terms of this letter; or</w:t>
      </w:r>
    </w:p>
    <w:p>
      <w:pPr>
        <w:spacing w:after="0" w:line="169" w:lineRule="exact"/>
        <w:rPr>
          <w:rFonts w:ascii="Arial" w:cs="Arial" w:eastAsia="Arial" w:hAnsi="Arial"/>
          <w:sz w:val="18"/>
          <w:szCs w:val="18"/>
          <w:b w:val="1"/>
          <w:bCs w:val="1"/>
          <w:color w:val="auto"/>
        </w:rPr>
      </w:pPr>
    </w:p>
    <w:p>
      <w:pPr>
        <w:ind w:left="710" w:hanging="270"/>
        <w:spacing w:after="0"/>
        <w:tabs>
          <w:tab w:leader="none" w:pos="710"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the sale of shares of Common Stock to the Underwriters by the undersigned pursuant to the Underwriting Agreement.</w:t>
      </w:r>
    </w:p>
    <w:p>
      <w:pPr>
        <w:spacing w:after="0" w:line="225" w:lineRule="exact"/>
        <w:rPr>
          <w:sz w:val="20"/>
          <w:szCs w:val="20"/>
          <w:color w:val="auto"/>
        </w:rPr>
      </w:pPr>
    </w:p>
    <w:p>
      <w:pPr>
        <w:ind w:left="10" w:right="80" w:firstLine="440"/>
        <w:spacing w:after="0" w:line="277" w:lineRule="auto"/>
        <w:rPr>
          <w:sz w:val="20"/>
          <w:szCs w:val="20"/>
          <w:color w:val="auto"/>
        </w:rPr>
      </w:pPr>
      <w:r>
        <w:rPr>
          <w:rFonts w:ascii="Arial" w:cs="Arial" w:eastAsia="Arial" w:hAnsi="Arial"/>
          <w:sz w:val="18"/>
          <w:szCs w:val="18"/>
          <w:color w:val="auto"/>
        </w:rPr>
        <w:t>As used herein, “immediate family” shall mean the spouse, domestic partner, lineal descendant, father, mother, brother, sister, or any other person with whom the undersigned has a relationship by blood, marriage or adoption not more remote than first cousin.</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90"/>
          </w:cols>
          <w:pgMar w:left="450" w:top="274" w:right="459" w:bottom="1440" w:gutter="0" w:footer="0" w:header="0"/>
        </w:sectPr>
      </w:pPr>
    </w:p>
    <w:bookmarkStart w:id="263" w:name="page264"/>
    <w:bookmarkEnd w:id="263"/>
    <w:p>
      <w:pPr>
        <w:ind w:right="20"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undersigned agrees that, without the prior written consent of Morgan Stanley and Merrill Lynch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9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Shares the undersigned may purchase in the offering.</w:t>
      </w:r>
    </w:p>
    <w:p>
      <w:pPr>
        <w:spacing w:after="0" w:line="170"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If the undersigned is an officer or director of the Company, (i) each of Morgan Stanley and Merrill Lynch agrees that, at least three business days before the effective date of any release or waiver of the foregoing restrictions in connection with a transfer of shares of Common Stock, Morgan Stanley and Merrill Lynch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Morgan Stanley and Merrill Lynch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This letter shall automatically terminate upon the earliest to occur, if any, of (a) the date the Company advises Morgan Stanley and Merrill Lynch, in writing, prior to the execution of the Underwriting Agreement, that it has determined not to proceed with the Public Offering, (b) the date of the termination of the Underwriting Agreement if prior to the closing of the Public Offering or (c) December 31, 2018 if, and only if, the Public Offering of the Shares has not been completed by such date.</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60" w:top="274" w:right="459" w:bottom="1440" w:gutter="0" w:footer="0" w:header="0"/>
        </w:sectPr>
      </w:pPr>
    </w:p>
    <w:bookmarkStart w:id="264" w:name="page265"/>
    <w:bookmarkEnd w:id="264"/>
    <w:p>
      <w:pPr>
        <w:ind w:firstLine="44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7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288925</wp:posOffset>
            </wp:positionV>
            <wp:extent cx="27927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288925</wp:posOffset>
            </wp:positionV>
            <wp:extent cx="27927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-1905</wp:posOffset>
            </wp:positionV>
            <wp:extent cx="23126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0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-1905</wp:posOffset>
            </wp:positionV>
            <wp:extent cx="23126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231267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245745</wp:posOffset>
            </wp:positionV>
            <wp:extent cx="23126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60"/>
          </w:cols>
          <w:pgMar w:left="460" w:top="274" w:right="47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20" w:type="dxa"/>
            <w:vAlign w:val="bottom"/>
            <w:gridSpan w:val="6"/>
          </w:tcPr>
          <w:p>
            <w:pPr>
              <w:jc w:val="right"/>
              <w:ind w:right="180"/>
              <w:spacing w:after="0"/>
              <w:rPr>
                <w:sz w:val="20"/>
                <w:szCs w:val="20"/>
                <w:color w:val="auto"/>
              </w:rPr>
            </w:pPr>
            <w:r>
              <w:rPr>
                <w:rFonts w:ascii="Arial" w:cs="Arial" w:eastAsia="Arial" w:hAnsi="Arial"/>
                <w:sz w:val="18"/>
                <w:szCs w:val="18"/>
                <w:color w:val="auto"/>
              </w:rPr>
              <w:t>, 20</w:t>
            </w:r>
          </w:p>
        </w:tc>
      </w:tr>
      <w:tr>
        <w:trPr>
          <w:trHeight w:val="438"/>
        </w:trPr>
        <w:tc>
          <w:tcPr>
            <w:tcW w:w="5600" w:type="dxa"/>
            <w:vAlign w:val="bottom"/>
          </w:tcPr>
          <w:p>
            <w:pPr>
              <w:spacing w:after="0"/>
              <w:rPr>
                <w:sz w:val="20"/>
                <w:szCs w:val="20"/>
                <w:color w:val="auto"/>
              </w:rPr>
            </w:pPr>
            <w:r>
              <w:rPr>
                <w:rFonts w:ascii="Arial" w:cs="Arial" w:eastAsia="Arial" w:hAnsi="Arial"/>
                <w:sz w:val="18"/>
                <w:szCs w:val="18"/>
                <w:color w:val="auto"/>
              </w:rPr>
              <w:t>[Name and Address of</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Officer or Director</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Requesting Waiver]</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Dear Mr./Ms. [Name]: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3"/>
        </w:trPr>
        <w:tc>
          <w:tcPr>
            <w:tcW w:w="8180" w:type="dxa"/>
            <w:vAlign w:val="bottom"/>
            <w:gridSpan w:val="9"/>
          </w:tcPr>
          <w:p>
            <w:pPr>
              <w:ind w:left="440"/>
              <w:spacing w:after="0"/>
              <w:rPr>
                <w:sz w:val="20"/>
                <w:szCs w:val="20"/>
                <w:color w:val="auto"/>
              </w:rPr>
            </w:pPr>
            <w:r>
              <w:rPr>
                <w:rFonts w:ascii="Arial" w:cs="Arial" w:eastAsia="Arial" w:hAnsi="Arial"/>
                <w:sz w:val="18"/>
                <w:szCs w:val="18"/>
                <w:color w:val="auto"/>
                <w:w w:val="93"/>
              </w:rPr>
              <w:t>This letter is being delivered to you in connection with the offering by SI-BONE, Inc. (the “</w:t>
            </w:r>
            <w:r>
              <w:rPr>
                <w:rFonts w:ascii="Arial" w:cs="Arial" w:eastAsia="Arial" w:hAnsi="Arial"/>
                <w:sz w:val="18"/>
                <w:szCs w:val="18"/>
                <w:b w:val="1"/>
                <w:bCs w:val="1"/>
                <w:color w:val="auto"/>
                <w:w w:val="93"/>
              </w:rPr>
              <w:t>Company</w:t>
            </w:r>
            <w:r>
              <w:rPr>
                <w:rFonts w:ascii="Arial" w:cs="Arial" w:eastAsia="Arial" w:hAnsi="Arial"/>
                <w:sz w:val="18"/>
                <w:szCs w:val="18"/>
                <w:color w:val="auto"/>
                <w:w w:val="93"/>
              </w:rPr>
              <w:t>”) of</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gridSpan w:val="4"/>
          </w:tcPr>
          <w:p>
            <w:pPr>
              <w:jc w:val="right"/>
              <w:ind w:right="180"/>
              <w:spacing w:after="0"/>
              <w:rPr>
                <w:sz w:val="20"/>
                <w:szCs w:val="20"/>
                <w:color w:val="auto"/>
              </w:rPr>
            </w:pPr>
            <w:r>
              <w:rPr>
                <w:rFonts w:ascii="Arial" w:cs="Arial" w:eastAsia="Arial" w:hAnsi="Arial"/>
                <w:sz w:val="18"/>
                <w:szCs w:val="18"/>
                <w:color w:val="auto"/>
                <w:w w:val="89"/>
              </w:rPr>
              <w:t>shares of common stock, par</w:t>
            </w:r>
          </w:p>
        </w:tc>
      </w:tr>
      <w:tr>
        <w:trPr>
          <w:trHeight w:val="196"/>
        </w:trPr>
        <w:tc>
          <w:tcPr>
            <w:tcW w:w="6780" w:type="dxa"/>
            <w:vAlign w:val="bottom"/>
            <w:gridSpan w:val="5"/>
          </w:tcPr>
          <w:p>
            <w:pPr>
              <w:spacing w:after="0" w:line="196" w:lineRule="exact"/>
              <w:rPr>
                <w:sz w:val="20"/>
                <w:szCs w:val="20"/>
                <w:color w:val="auto"/>
              </w:rPr>
            </w:pPr>
            <w:r>
              <w:rPr>
                <w:rFonts w:ascii="Arial" w:cs="Arial" w:eastAsia="Arial" w:hAnsi="Arial"/>
                <w:sz w:val="18"/>
                <w:szCs w:val="18"/>
                <w:color w:val="auto"/>
                <w:w w:val="90"/>
              </w:rPr>
              <w:t>value $0.0001 per share (the “</w:t>
            </w:r>
            <w:r>
              <w:rPr>
                <w:rFonts w:ascii="Arial" w:cs="Arial" w:eastAsia="Arial" w:hAnsi="Arial"/>
                <w:sz w:val="18"/>
                <w:szCs w:val="18"/>
                <w:b w:val="1"/>
                <w:bCs w:val="1"/>
                <w:color w:val="auto"/>
                <w:w w:val="90"/>
              </w:rPr>
              <w:t>Common Stock</w:t>
            </w:r>
            <w:r>
              <w:rPr>
                <w:rFonts w:ascii="Arial" w:cs="Arial" w:eastAsia="Arial" w:hAnsi="Arial"/>
                <w:sz w:val="18"/>
                <w:szCs w:val="18"/>
                <w:color w:val="auto"/>
                <w:w w:val="90"/>
              </w:rPr>
              <w:t>”), of the Company and the lock-up letter dated</w:t>
            </w:r>
          </w:p>
        </w:tc>
        <w:tc>
          <w:tcPr>
            <w:tcW w:w="540" w:type="dxa"/>
            <w:vAlign w:val="bottom"/>
          </w:tcPr>
          <w:p>
            <w:pPr>
              <w:spacing w:after="0"/>
              <w:rPr>
                <w:sz w:val="17"/>
                <w:szCs w:val="17"/>
                <w:color w:val="auto"/>
              </w:rPr>
            </w:pPr>
          </w:p>
        </w:tc>
        <w:tc>
          <w:tcPr>
            <w:tcW w:w="3680" w:type="dxa"/>
            <w:vAlign w:val="bottom"/>
            <w:gridSpan w:val="9"/>
          </w:tcPr>
          <w:p>
            <w:pPr>
              <w:jc w:val="right"/>
              <w:ind w:right="20"/>
              <w:spacing w:after="0" w:line="196" w:lineRule="exact"/>
              <w:rPr>
                <w:sz w:val="20"/>
                <w:szCs w:val="20"/>
                <w:color w:val="auto"/>
              </w:rPr>
            </w:pPr>
            <w:r>
              <w:rPr>
                <w:rFonts w:ascii="Arial" w:cs="Arial" w:eastAsia="Arial" w:hAnsi="Arial"/>
                <w:sz w:val="18"/>
                <w:szCs w:val="18"/>
                <w:color w:val="auto"/>
                <w:w w:val="94"/>
              </w:rPr>
              <w:t>, 20   (the “</w:t>
            </w:r>
            <w:r>
              <w:rPr>
                <w:rFonts w:ascii="Arial" w:cs="Arial" w:eastAsia="Arial" w:hAnsi="Arial"/>
                <w:sz w:val="18"/>
                <w:szCs w:val="18"/>
                <w:b w:val="1"/>
                <w:bCs w:val="1"/>
                <w:color w:val="auto"/>
                <w:w w:val="94"/>
              </w:rPr>
              <w:t>Lock-up Letter</w:t>
            </w:r>
            <w:r>
              <w:rPr>
                <w:rFonts w:ascii="Arial" w:cs="Arial" w:eastAsia="Arial" w:hAnsi="Arial"/>
                <w:sz w:val="18"/>
                <w:szCs w:val="18"/>
                <w:color w:val="auto"/>
                <w:w w:val="94"/>
              </w:rPr>
              <w:t>”), executed by you in</w:t>
            </w:r>
          </w:p>
        </w:tc>
      </w:tr>
      <w:tr>
        <w:trPr>
          <w:trHeight w:val="20"/>
        </w:trPr>
        <w:tc>
          <w:tcPr>
            <w:tcW w:w="5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w w:val="91"/>
              </w:rPr>
              <w:t>connection with such offering, and your request for a [waiver] [release] dated</w:t>
            </w:r>
          </w:p>
        </w:tc>
        <w:tc>
          <w:tcPr>
            <w:tcW w:w="540" w:type="dxa"/>
            <w:vAlign w:val="bottom"/>
          </w:tcPr>
          <w:p>
            <w:pPr>
              <w:spacing w:after="0"/>
              <w:rPr>
                <w:sz w:val="17"/>
                <w:szCs w:val="17"/>
                <w:color w:val="auto"/>
              </w:rPr>
            </w:pPr>
          </w:p>
        </w:tc>
        <w:tc>
          <w:tcPr>
            <w:tcW w:w="2040" w:type="dxa"/>
            <w:vAlign w:val="bottom"/>
            <w:gridSpan w:val="7"/>
          </w:tcPr>
          <w:p>
            <w:pPr>
              <w:spacing w:after="0" w:line="196" w:lineRule="exact"/>
              <w:rPr>
                <w:sz w:val="20"/>
                <w:szCs w:val="20"/>
                <w:color w:val="auto"/>
              </w:rPr>
            </w:pPr>
            <w:r>
              <w:rPr>
                <w:rFonts w:ascii="Arial" w:cs="Arial" w:eastAsia="Arial" w:hAnsi="Arial"/>
                <w:sz w:val="18"/>
                <w:szCs w:val="18"/>
                <w:color w:val="auto"/>
              </w:rPr>
              <w:t>, 20  , with respect to</w:t>
            </w:r>
          </w:p>
        </w:tc>
        <w:tc>
          <w:tcPr>
            <w:tcW w:w="140" w:type="dxa"/>
            <w:vAlign w:val="bottom"/>
          </w:tcPr>
          <w:p>
            <w:pPr>
              <w:spacing w:after="0"/>
              <w:rPr>
                <w:sz w:val="17"/>
                <w:szCs w:val="17"/>
                <w:color w:val="auto"/>
              </w:rPr>
            </w:pPr>
          </w:p>
        </w:tc>
        <w:tc>
          <w:tcPr>
            <w:tcW w:w="2680" w:type="dxa"/>
            <w:vAlign w:val="bottom"/>
            <w:gridSpan w:val="5"/>
          </w:tcPr>
          <w:p>
            <w:pPr>
              <w:jc w:val="right"/>
              <w:ind w:right="500"/>
              <w:spacing w:after="0" w:line="196" w:lineRule="exact"/>
              <w:rPr>
                <w:sz w:val="20"/>
                <w:szCs w:val="20"/>
                <w:color w:val="auto"/>
              </w:rPr>
            </w:pPr>
            <w:r>
              <w:rPr>
                <w:rFonts w:ascii="Arial" w:cs="Arial" w:eastAsia="Arial" w:hAnsi="Arial"/>
                <w:sz w:val="18"/>
                <w:szCs w:val="18"/>
                <w:color w:val="auto"/>
                <w:w w:val="90"/>
              </w:rPr>
              <w:t>shares of Common Stock (the</w:t>
            </w:r>
          </w:p>
        </w:tc>
      </w:tr>
      <w:tr>
        <w:trPr>
          <w:trHeight w:val="236"/>
        </w:trPr>
        <w:tc>
          <w:tcPr>
            <w:tcW w:w="5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w:t>
            </w:r>
          </w:p>
        </w:tc>
        <w:tc>
          <w:tcPr>
            <w:tcW w:w="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Morgan Stanley &amp; Co. LLC and Merrill Lynch, Pierce, Fenner &amp; Smith Incorporated hereby agree to [waive] [release] the transfer restrictions set</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forth in the Lock-up Letter, but only with respect to the Shares, effective , 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-318135</wp:posOffset>
            </wp:positionV>
            <wp:extent cx="3422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34226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-318135</wp:posOffset>
            </wp:positionV>
            <wp:extent cx="1143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Incorporated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00"/>
          </w:cols>
          <w:pgMar w:left="460" w:top="270" w:right="439" w:bottom="1440" w:gutter="0" w:footer="0" w:header="0"/>
        </w:sectPr>
      </w:pPr>
    </w:p>
    <w:bookmarkStart w:id="266" w:name="page267"/>
    <w:bookmarkEnd w:id="266"/>
    <w:p>
      <w:pPr>
        <w:ind w:left="66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Acting severally on behalf of themselves and the several</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Underwriters named in Schedule I hereto</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14605</wp:posOffset>
            </wp:positionV>
            <wp:extent cx="26123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660"/>
          </w:cols>
          <w:pgMar w:left="460" w:top="274" w:right="779" w:bottom="1440" w:gutter="0" w:footer="0" w:header="0"/>
        </w:sectPr>
      </w:pPr>
    </w:p>
    <w:bookmarkStart w:id="267" w:name="page268"/>
    <w:bookmarkEnd w:id="267"/>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SI-BONE,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and Merrill Lynch, Pierce, Fenner &amp; Smith Incorporated, the joint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7"/>
          </w:tcPr>
          <w:p>
            <w:pPr>
              <w:spacing w:after="0"/>
              <w:rPr>
                <w:sz w:val="20"/>
                <w:szCs w:val="20"/>
                <w:color w:val="auto"/>
              </w:rPr>
            </w:pPr>
            <w:r>
              <w:rPr>
                <w:rFonts w:ascii="Arial" w:cs="Arial" w:eastAsia="Arial" w:hAnsi="Arial"/>
                <w:sz w:val="18"/>
                <w:szCs w:val="18"/>
                <w:color w:val="auto"/>
                <w:w w:val="90"/>
              </w:rPr>
              <w:t>book-running managers in the Company’s recent public sale of</w:t>
            </w:r>
          </w:p>
        </w:tc>
        <w:tc>
          <w:tcPr>
            <w:tcW w:w="540" w:type="dxa"/>
            <w:vAlign w:val="bottom"/>
            <w:tcBorders>
              <w:bottom w:val="single" w:sz="8" w:color="auto"/>
            </w:tcBorders>
          </w:tcPr>
          <w:p>
            <w:pPr>
              <w:spacing w:after="0"/>
              <w:rPr>
                <w:sz w:val="17"/>
                <w:szCs w:val="17"/>
                <w:color w:val="auto"/>
              </w:rPr>
            </w:pPr>
          </w:p>
        </w:tc>
        <w:tc>
          <w:tcPr>
            <w:tcW w:w="5640" w:type="dxa"/>
            <w:vAlign w:val="bottom"/>
          </w:tcPr>
          <w:p>
            <w:pPr>
              <w:ind w:left="40"/>
              <w:spacing w:after="0"/>
              <w:rPr>
                <w:sz w:val="20"/>
                <w:szCs w:val="20"/>
                <w:color w:val="auto"/>
              </w:rPr>
            </w:pPr>
            <w:r>
              <w:rPr>
                <w:rFonts w:ascii="Arial" w:cs="Arial" w:eastAsia="Arial" w:hAnsi="Arial"/>
                <w:sz w:val="18"/>
                <w:szCs w:val="18"/>
                <w:color w:val="auto"/>
                <w:w w:val="95"/>
              </w:rPr>
              <w:t>shares of common stock are [waiving][releasing] a lock-up restriction with</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88"/>
              </w:rPr>
              <w:t>respect to</w:t>
            </w:r>
          </w:p>
        </w:tc>
        <w:tc>
          <w:tcPr>
            <w:tcW w:w="540" w:type="dxa"/>
            <w:vAlign w:val="bottom"/>
            <w:tcBorders>
              <w:bottom w:val="single" w:sz="8" w:color="auto"/>
            </w:tcBorders>
          </w:tcPr>
          <w:p>
            <w:pPr>
              <w:spacing w:after="0"/>
              <w:rPr>
                <w:sz w:val="17"/>
                <w:szCs w:val="17"/>
                <w:color w:val="auto"/>
              </w:rPr>
            </w:pPr>
          </w:p>
        </w:tc>
        <w:tc>
          <w:tcPr>
            <w:tcW w:w="9480" w:type="dxa"/>
            <w:vAlign w:val="bottom"/>
            <w:gridSpan w:val="7"/>
          </w:tcPr>
          <w:p>
            <w:pPr>
              <w:ind w:left="60"/>
              <w:spacing w:after="0" w:line="196" w:lineRule="exact"/>
              <w:rPr>
                <w:sz w:val="20"/>
                <w:szCs w:val="20"/>
                <w:color w:val="auto"/>
              </w:rPr>
            </w:pPr>
            <w:r>
              <w:rPr>
                <w:rFonts w:ascii="Arial" w:cs="Arial" w:eastAsia="Arial" w:hAnsi="Arial"/>
                <w:sz w:val="18"/>
                <w:szCs w:val="18"/>
                <w:color w:val="auto"/>
                <w:w w:val="91"/>
              </w:rPr>
              <w:t>shares of the Company’s common stock held by [certain officers or directors] [an officer or director] of the Company. The [waiver]</w:t>
            </w:r>
          </w:p>
        </w:tc>
      </w:tr>
      <w:tr>
        <w:trPr>
          <w:trHeight w:val="196"/>
        </w:trPr>
        <w:tc>
          <w:tcPr>
            <w:tcW w:w="2000" w:type="dxa"/>
            <w:vAlign w:val="bottom"/>
            <w:gridSpan w:val="3"/>
          </w:tcPr>
          <w:p>
            <w:pPr>
              <w:spacing w:after="0" w:line="196" w:lineRule="exact"/>
              <w:rPr>
                <w:sz w:val="20"/>
                <w:szCs w:val="20"/>
                <w:color w:val="auto"/>
              </w:rPr>
            </w:pPr>
            <w:r>
              <w:rPr>
                <w:rFonts w:ascii="Arial" w:cs="Arial" w:eastAsia="Arial" w:hAnsi="Arial"/>
                <w:sz w:val="18"/>
                <w:szCs w:val="18"/>
                <w:color w:val="auto"/>
                <w:w w:val="93"/>
              </w:rPr>
              <w:t>[release] will take effect on</w:t>
            </w:r>
          </w:p>
        </w:tc>
        <w:tc>
          <w:tcPr>
            <w:tcW w:w="540" w:type="dxa"/>
            <w:vAlign w:val="bottom"/>
          </w:tcPr>
          <w:p>
            <w:pPr>
              <w:spacing w:after="0"/>
              <w:rPr>
                <w:sz w:val="17"/>
                <w:szCs w:val="17"/>
                <w:color w:val="auto"/>
              </w:rPr>
            </w:pPr>
          </w:p>
        </w:tc>
        <w:tc>
          <w:tcPr>
            <w:tcW w:w="8200" w:type="dxa"/>
            <w:vAlign w:val="bottom"/>
            <w:gridSpan w:val="5"/>
          </w:tcPr>
          <w:p>
            <w:pPr>
              <w:spacing w:after="0" w:line="196" w:lineRule="exact"/>
              <w:rPr>
                <w:sz w:val="20"/>
                <w:szCs w:val="20"/>
                <w:color w:val="auto"/>
              </w:rPr>
            </w:pPr>
            <w:r>
              <w:rPr>
                <w:rFonts w:ascii="Arial" w:cs="Arial" w:eastAsia="Arial" w:hAnsi="Arial"/>
                <w:sz w:val="18"/>
                <w:szCs w:val="18"/>
                <w:color w:val="auto"/>
              </w:rPr>
              <w:t>, 20   , and the shares may be sold on or after such date.</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840"/>
          </w:cols>
          <w:pgMar w:left="460" w:top="270" w:right="59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6" w:lineRule="exact"/>
        <w:rPr>
          <w:sz w:val="20"/>
          <w:szCs w:val="20"/>
          <w:color w:val="auto"/>
        </w:rPr>
      </w:pPr>
    </w:p>
    <w:p>
      <w:pPr>
        <w:ind w:right="100" w:firstLine="880"/>
        <w:spacing w:after="0" w:line="281" w:lineRule="auto"/>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 a corporation organized and existing under and by virtue of the provisions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117" w:lineRule="exact"/>
        <w:rPr>
          <w:sz w:val="20"/>
          <w:szCs w:val="20"/>
          <w:color w:val="auto"/>
        </w:rPr>
      </w:pPr>
    </w:p>
    <w:p>
      <w:pPr>
        <w:ind w:right="140" w:firstLine="880"/>
        <w:spacing w:after="0" w:line="281"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w:t>
      </w:r>
      <w:r>
        <w:rPr>
          <w:rFonts w:ascii="Arial" w:cs="Arial" w:eastAsia="Arial" w:hAnsi="Arial"/>
          <w:sz w:val="18"/>
          <w:szCs w:val="18"/>
          <w:b w:val="1"/>
          <w:bCs w:val="1"/>
          <w:color w:val="auto"/>
        </w:rPr>
        <w:t xml:space="preserve"> SI-BONE, INC. </w:t>
      </w:r>
      <w:r>
        <w:rPr>
          <w:rFonts w:ascii="Arial" w:cs="Arial" w:eastAsia="Arial" w:hAnsi="Arial"/>
          <w:sz w:val="18"/>
          <w:szCs w:val="18"/>
          <w:color w:val="auto"/>
        </w:rPr>
        <w:t>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March 18, 2008 under the name SI-BONE Inc.</w:t>
      </w:r>
    </w:p>
    <w:p>
      <w:pPr>
        <w:spacing w:after="0" w:line="163" w:lineRule="exact"/>
        <w:rPr>
          <w:sz w:val="20"/>
          <w:szCs w:val="20"/>
          <w:color w:val="auto"/>
        </w:rPr>
      </w:pPr>
    </w:p>
    <w:p>
      <w:pPr>
        <w:ind w:right="40" w:firstLine="880"/>
        <w:spacing w:after="0" w:line="260"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duly adopted resolutions proposing to amend and restate the Restated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this corporation is SI-BONE,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540" w:firstLine="880"/>
        <w:spacing w:after="0" w:line="277" w:lineRule="auto"/>
        <w:rPr>
          <w:sz w:val="20"/>
          <w:szCs w:val="20"/>
          <w:color w:val="auto"/>
        </w:rPr>
      </w:pPr>
      <w:r>
        <w:rPr>
          <w:rFonts w:ascii="Arial" w:cs="Arial" w:eastAsia="Arial" w:hAnsi="Arial"/>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w:t>
      </w:r>
    </w:p>
    <w:p>
      <w:pPr>
        <w:sectPr>
          <w:pgSz w:w="11900" w:h="16838" w:orient="portrait"/>
          <w:cols w:equalWidth="0" w:num="1">
            <w:col w:w="11000"/>
          </w:cols>
          <w:pgMar w:left="460" w:top="121" w:right="4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u w:val="single" w:color="auto"/>
          <w:color w:val="auto"/>
        </w:rPr>
        <w:t>Authorization of Stock</w:t>
      </w:r>
      <w:r>
        <w:rPr>
          <w:rFonts w:ascii="Arial" w:cs="Arial" w:eastAsia="Arial" w:hAnsi="Arial"/>
          <w:sz w:val="17"/>
          <w:szCs w:val="17"/>
          <w:color w:val="auto"/>
        </w:rPr>
        <w:t>. This corporation is authorized to issue two classes of stock to be designated, respectively, common stock and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 total number of shares that this corporation is authorized to issue is 31,438,082. The total number of shares of common stock authorized to be issued is 19,333,333, par value $0.0001 per share (the “Common Stock”), of which 6,000,000 shares are designated as “Series 1 Common Stock” and 13,333,333 shares are designated as “Series 2 Common Stock”. The total number of shares of preferred stock authorized to be issued is 12,104,749, par value $0.0001 per share (the “Preferred Stock”), of which 245,096 shares are designated as “Series 1 Preferred Stock”, 709,617 shares are designated as “Series 2 Preferred Stock”, 498,958 shares are designated as “Series 3 Preferred Stock”, 2,509,047 shares are designated as “Series 4 Preferred Stock”, 2,086,138 shares are designated as “Series 5 Preferred Stock”, 3,389,227 are designated as “Series 6 Preferred Stock” and 2,666,666 are designated as “Series 7 Preferred Stock”.</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Upon the acceptance of this Amended and Restated Certificate of Incorporation (this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for filing with the Secretary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 of the State of Delaware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02" w:lineRule="exact"/>
        <w:rPr>
          <w:sz w:val="20"/>
          <w:szCs w:val="20"/>
          <w:color w:val="auto"/>
        </w:rPr>
      </w:pPr>
    </w:p>
    <w:p>
      <w:pPr>
        <w:ind w:firstLine="871"/>
        <w:spacing w:after="0" w:line="273" w:lineRule="auto"/>
        <w:tabs>
          <w:tab w:leader="none" w:pos="1060"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Each 18 shares of Series 1 Common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1 Common Stock. All shares of Series 1 Common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1 Common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firstLine="871"/>
        <w:spacing w:after="0" w:line="273" w:lineRule="auto"/>
        <w:tabs>
          <w:tab w:leader="none" w:pos="1060"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Each 18 shares of Series 2 Common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2 Common Stock. All shares of Series 2 Common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2 Common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firstLine="871"/>
        <w:spacing w:after="0" w:line="273" w:lineRule="auto"/>
        <w:tabs>
          <w:tab w:leader="none" w:pos="1060"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Each 18 shares of Series 1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1 Preferred Stock. All shares of Series 1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1 Preferred Stock (after giving effect to the foregoing reverse stock split) as determined by the Company’s Board of Directors.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0" w:right="459" w:bottom="1440" w:gutter="0" w:footer="0" w:header="0"/>
        </w:sectPr>
      </w:pPr>
    </w:p>
    <w:bookmarkStart w:id="270" w:name="page271"/>
    <w:bookmarkEnd w:id="270"/>
    <w:p>
      <w:pPr>
        <w:ind w:firstLine="871"/>
        <w:spacing w:after="0" w:line="273" w:lineRule="auto"/>
        <w:tabs>
          <w:tab w:leader="none" w:pos="1060"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18 shares of Series 2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2 Preferred Stock. All shares of Series 2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2 Preferred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firstLine="871"/>
        <w:spacing w:after="0" w:line="273" w:lineRule="auto"/>
        <w:tabs>
          <w:tab w:leader="none" w:pos="1060"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Each 18 shares of Series 3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3 Preferred Stock. All shares of Series 3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3 Preferred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firstLine="871"/>
        <w:spacing w:after="0" w:line="273" w:lineRule="auto"/>
        <w:tabs>
          <w:tab w:leader="none" w:pos="1060"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Each 18 shares of Series 4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4 Preferred Stock. All shares of Series 4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4 Preferred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firstLine="871"/>
        <w:spacing w:after="0" w:line="273" w:lineRule="auto"/>
        <w:tabs>
          <w:tab w:leader="none" w:pos="1060"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Each 18 shares of Series 5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5 Preferred Stock. All shares of Series 5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5 Preferred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firstLine="871"/>
        <w:spacing w:after="0" w:line="273" w:lineRule="auto"/>
        <w:tabs>
          <w:tab w:leader="none" w:pos="1060"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Each 18 shares of Series 6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6 Preferred Stock. All shares of Series 6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6 Preferred Stock (after giving effect to the foregoing reverse stock split) as determined by the Company’s Board of Directors.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71" w:name="page272"/>
    <w:bookmarkEnd w:id="271"/>
    <w:p>
      <w:pPr>
        <w:ind w:firstLine="871"/>
        <w:spacing w:after="0" w:line="273" w:lineRule="auto"/>
        <w:tabs>
          <w:tab w:leader="none" w:pos="1060" w:val="left"/>
        </w:tabs>
        <w:numPr>
          <w:ilvl w:val="1"/>
          <w:numId w:val="19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18 shares of Series 7 Preferred Stock issued and outstanding shall, automatically and without any action on the part of the respective holders thereof and whether or not the certificates representing such shares are surrendered to the Company or its transfer agent, be combined and converted into 1 share of Series 7 Preferred Stock. All shares of Series 7 Preferred Stock (including fractions thereof) held by a holder thereof shall be aggregated into the maximum number of resulting whole shares. For any remaining fraction of a share, the Company shall, in lieu of issuing a fractional share, pay cash to such holder equal to the product of such fraction multiplied by the fair market value of one share of Series 7 Preferred Stock (after giving effect to the foregoing reverse stock split) as determined by the Company’s Board of Directors.</w:t>
      </w:r>
    </w:p>
    <w:p>
      <w:pPr>
        <w:spacing w:after="0" w:line="176" w:lineRule="exact"/>
        <w:rPr>
          <w:rFonts w:ascii="Arial" w:cs="Arial" w:eastAsia="Arial" w:hAnsi="Arial"/>
          <w:sz w:val="17"/>
          <w:szCs w:val="17"/>
          <w:b w:val="1"/>
          <w:bCs w:val="1"/>
          <w:color w:val="auto"/>
        </w:rPr>
      </w:pPr>
    </w:p>
    <w:p>
      <w:pPr>
        <w:ind w:right="240" w:firstLine="430"/>
        <w:spacing w:after="0" w:line="307" w:lineRule="auto"/>
        <w:tabs>
          <w:tab w:leader="none" w:pos="660" w:val="left"/>
        </w:tabs>
        <w:numPr>
          <w:ilvl w:val="0"/>
          <w:numId w:val="196"/>
        </w:numPr>
        <w:rPr>
          <w:rFonts w:ascii="Arial" w:cs="Arial" w:eastAsia="Arial" w:hAnsi="Arial"/>
          <w:sz w:val="17"/>
          <w:szCs w:val="17"/>
          <w:b w:val="1"/>
          <w:bCs w:val="1"/>
          <w:color w:val="auto"/>
        </w:rPr>
      </w:pPr>
      <w:r>
        <w:rPr>
          <w:rFonts w:ascii="Arial" w:cs="Arial" w:eastAsia="Arial" w:hAnsi="Arial"/>
          <w:sz w:val="17"/>
          <w:szCs w:val="17"/>
          <w:color w:val="auto"/>
        </w:rPr>
        <w:t>The splits made pursuant to subsections 1-9 above are referred to herein as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Unless otherwise specifically noted in this Restated Certificate, all share numbers and prices per share have been adjusted to reflect the Reverse Stock Split.</w:t>
      </w:r>
    </w:p>
    <w:p>
      <w:pPr>
        <w:spacing w:after="0" w:line="147" w:lineRule="exact"/>
        <w:rPr>
          <w:rFonts w:ascii="Arial" w:cs="Arial" w:eastAsia="Arial" w:hAnsi="Arial"/>
          <w:sz w:val="17"/>
          <w:szCs w:val="17"/>
          <w:b w:val="1"/>
          <w:bCs w:val="1"/>
          <w:color w:val="auto"/>
        </w:rPr>
      </w:pPr>
    </w:p>
    <w:p>
      <w:pPr>
        <w:ind w:right="460" w:firstLine="430"/>
        <w:spacing w:after="0" w:line="277" w:lineRule="auto"/>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Rights, Preferences and Restrictions of Preferred Stock. The rights, preferences, privileges and restrictions granted to and imposed on the Preferred Stock are as set forth below in this Article IV(B).</w:t>
      </w:r>
    </w:p>
    <w:p>
      <w:pPr>
        <w:spacing w:after="0" w:line="169" w:lineRule="exact"/>
        <w:rPr>
          <w:rFonts w:ascii="Arial" w:cs="Arial" w:eastAsia="Arial" w:hAnsi="Arial"/>
          <w:sz w:val="18"/>
          <w:szCs w:val="18"/>
          <w:b w:val="1"/>
          <w:bCs w:val="1"/>
          <w:color w:val="auto"/>
        </w:rPr>
      </w:pPr>
    </w:p>
    <w:p>
      <w:pPr>
        <w:ind w:left="1060" w:hanging="189"/>
        <w:spacing w:after="0"/>
        <w:tabs>
          <w:tab w:leader="none" w:pos="1060" w:val="left"/>
        </w:tabs>
        <w:numPr>
          <w:ilvl w:val="1"/>
          <w:numId w:val="196"/>
        </w:numPr>
        <w:rPr>
          <w:rFonts w:ascii="Arial" w:cs="Arial" w:eastAsia="Arial" w:hAnsi="Arial"/>
          <w:sz w:val="18"/>
          <w:szCs w:val="18"/>
          <w:b w:val="1"/>
          <w:bCs w:val="1"/>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right="20" w:firstLine="1421"/>
        <w:spacing w:after="0" w:line="287" w:lineRule="auto"/>
        <w:tabs>
          <w:tab w:leader="none" w:pos="1685" w:val="left"/>
        </w:tabs>
        <w:numPr>
          <w:ilvl w:val="2"/>
          <w:numId w:val="196"/>
        </w:numPr>
        <w:rPr>
          <w:rFonts w:ascii="Arial" w:cs="Arial" w:eastAsia="Arial" w:hAnsi="Arial"/>
          <w:sz w:val="16"/>
          <w:szCs w:val="16"/>
          <w:b w:val="1"/>
          <w:bCs w:val="1"/>
          <w:color w:val="auto"/>
        </w:rPr>
      </w:pPr>
      <w:r>
        <w:rPr>
          <w:rFonts w:ascii="Arial" w:cs="Arial" w:eastAsia="Arial" w:hAnsi="Arial"/>
          <w:sz w:val="16"/>
          <w:szCs w:val="16"/>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the Board of Directors. Such dividends shall not be cumulative. The holders of the outstanding Preferred Stock can waive any dividend preference that such holders shall be entitled to receive under this Section 1 upon the affirmative vote or written consent of the holders of a majority of the shares of Preferred Stock then outstanding (voting together as a single class and not as separate series, and on an as-converted basis). For purposes of this subsection 1(a), “</w:t>
      </w:r>
      <w:r>
        <w:rPr>
          <w:rFonts w:ascii="Arial" w:cs="Arial" w:eastAsia="Arial" w:hAnsi="Arial"/>
          <w:sz w:val="16"/>
          <w:szCs w:val="16"/>
          <w:b w:val="1"/>
          <w:bCs w:val="1"/>
          <w:i w:val="1"/>
          <w:iCs w:val="1"/>
          <w:color w:val="auto"/>
        </w:rPr>
        <w:t>Dividend Rate</w:t>
      </w:r>
      <w:r>
        <w:rPr>
          <w:rFonts w:ascii="Arial" w:cs="Arial" w:eastAsia="Arial" w:hAnsi="Arial"/>
          <w:sz w:val="16"/>
          <w:szCs w:val="16"/>
          <w:color w:val="auto"/>
        </w:rPr>
        <w:t>” shall mean $0.050112 per annum for each share of Series 1 Preferred Stock, $0.171360 per annum for each share of Series 2 Preferred Stock, $0.4608 per annum for each share of Series 3 Preferred Stock, $0.504 per annum for each share of Series 4 Preferred Stock, $0.72774 per annum for each share of Series 5 Preferred Stock, $1.317744 per annum for each share of Series 6 Preferred Stock and $0.802656 per annum for each share of Series 7 Preferred Stock (each as adjusted for any stock splits, stock dividends, combinations, subdivisions, recapitalizations or the like with respect to such shares after the Effective Time).</w:t>
      </w:r>
    </w:p>
    <w:p>
      <w:pPr>
        <w:spacing w:after="0" w:line="169" w:lineRule="exact"/>
        <w:rPr>
          <w:rFonts w:ascii="Arial" w:cs="Arial" w:eastAsia="Arial" w:hAnsi="Arial"/>
          <w:sz w:val="16"/>
          <w:szCs w:val="16"/>
          <w:b w:val="1"/>
          <w:bCs w:val="1"/>
          <w:color w:val="auto"/>
        </w:rPr>
      </w:pPr>
    </w:p>
    <w:p>
      <w:pPr>
        <w:ind w:right="280" w:firstLine="1421"/>
        <w:spacing w:after="0" w:line="263" w:lineRule="auto"/>
        <w:tabs>
          <w:tab w:leader="none" w:pos="1696" w:val="left"/>
        </w:tabs>
        <w:numPr>
          <w:ilvl w:val="2"/>
          <w:numId w:val="196"/>
        </w:numPr>
        <w:rPr>
          <w:rFonts w:ascii="Arial" w:cs="Arial" w:eastAsia="Arial" w:hAnsi="Arial"/>
          <w:sz w:val="18"/>
          <w:szCs w:val="18"/>
          <w:b w:val="1"/>
          <w:bCs w:val="1"/>
          <w:color w:val="auto"/>
        </w:rPr>
      </w:pPr>
      <w:r>
        <w:rPr>
          <w:rFonts w:ascii="Arial" w:cs="Arial" w:eastAsia="Arial" w:hAnsi="Arial"/>
          <w:sz w:val="18"/>
          <w:szCs w:val="18"/>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72" w:name="page273"/>
    <w:bookmarkEnd w:id="272"/>
    <w:p>
      <w:pPr>
        <w:ind w:left="1040" w:hanging="189"/>
        <w:spacing w:after="0"/>
        <w:tabs>
          <w:tab w:leader="none" w:pos="1040" w:val="left"/>
        </w:tabs>
        <w:numPr>
          <w:ilvl w:val="0"/>
          <w:numId w:val="197"/>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Liquidation Preference</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20" w:right="20" w:firstLine="1421"/>
        <w:spacing w:after="0" w:line="287" w:lineRule="auto"/>
        <w:tabs>
          <w:tab w:leader="none" w:pos="1665"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In the event of any Liquidation Event (as defined below), either voluntary or involuntary, the holders of each series of Preferred Stock shall be entitled to receive, prior and in preference to any distribution of the proceeds of such Liquidation Event (the “</w:t>
      </w:r>
      <w:r>
        <w:rPr>
          <w:rFonts w:ascii="Arial" w:cs="Arial" w:eastAsia="Arial" w:hAnsi="Arial"/>
          <w:sz w:val="16"/>
          <w:szCs w:val="16"/>
          <w:b w:val="1"/>
          <w:bCs w:val="1"/>
          <w:i w:val="1"/>
          <w:iCs w:val="1"/>
          <w:color w:val="auto"/>
        </w:rPr>
        <w:t>Proceeds</w:t>
      </w:r>
      <w:r>
        <w:rPr>
          <w:rFonts w:ascii="Arial" w:cs="Arial" w:eastAsia="Arial" w:hAnsi="Arial"/>
          <w:sz w:val="16"/>
          <w:szCs w:val="16"/>
          <w:color w:val="auto"/>
        </w:rPr>
        <w:t>”) to the holders of Common Stock by reason of their ownership thereof, an amount per share equal to the sum of the applicable Original Issue Price (as defined below) for such series of Preferred Stock, plus declared but unpaid dividends on such share. If, upon the occurrence of any Liquidation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on a pari passu, equal priority basis. For purposes of this Restated Certificate of Incorporation,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shall mean $0.6264 per share for each share of the Series 1 Preferred Stock, $2.142 per share for each share of the Series 2 Preferred Stock, $5.76 per share for each share of the Series 3 Preferred Stock, $6.30 per share for each share of the Series 4 Preferred Stock, $9.0954 per share for each share of the Series 5 Preferred Stock, $16.4718 per share for each share of the Series 6 Preferred Stock and $10.0332 per share for each share of the Series 7 Preferred Stock (in each case, as adjusted for any stock splits, stock dividends, combinations, subdivisions, recapitalizations or the like with respect to such series of Preferred Stock after the Effective Time).</w:t>
      </w:r>
    </w:p>
    <w:p>
      <w:pPr>
        <w:spacing w:after="0" w:line="165" w:lineRule="exact"/>
        <w:rPr>
          <w:rFonts w:ascii="Arial" w:cs="Arial" w:eastAsia="Arial" w:hAnsi="Arial"/>
          <w:sz w:val="16"/>
          <w:szCs w:val="16"/>
          <w:b w:val="1"/>
          <w:bCs w:val="1"/>
          <w:color w:val="auto"/>
        </w:rPr>
      </w:pPr>
    </w:p>
    <w:p>
      <w:pPr>
        <w:ind w:left="-20" w:firstLine="1421"/>
        <w:spacing w:after="0" w:line="269" w:lineRule="auto"/>
        <w:tabs>
          <w:tab w:leader="none" w:pos="1676" w:val="left"/>
        </w:tabs>
        <w:numPr>
          <w:ilvl w:val="1"/>
          <w:numId w:val="197"/>
        </w:numPr>
        <w:rPr>
          <w:rFonts w:ascii="Arial" w:cs="Arial" w:eastAsia="Arial" w:hAnsi="Arial"/>
          <w:sz w:val="17"/>
          <w:szCs w:val="17"/>
          <w:b w:val="1"/>
          <w:bCs w:val="1"/>
          <w:color w:val="auto"/>
        </w:rPr>
      </w:pPr>
      <w:r>
        <w:rPr>
          <w:rFonts w:ascii="Arial" w:cs="Arial" w:eastAsia="Arial" w:hAnsi="Arial"/>
          <w:sz w:val="17"/>
          <w:szCs w:val="17"/>
          <w:color w:val="auto"/>
        </w:rPr>
        <w:t>Upon the completion of the distribution required by subsection (a) of this Section 2, the remaining Proceeds available for distribution to stockholders shall be distributed among the holders of Series 7 Preferred Stock, Series 6 Preferred Stock, Series 5 Preferred Stock, Series 4 Preferred Stock and Common Stock pro rata based on the number of shares of Common Stock held by each (assuming full conversion of all such Preferred Stock) until, with respect to the Series 6 Preferred Stock, Series 5 Preferred Stock and Series 4 Preferred Stock, such holders shall have received the Participation Cap (as defined below); thereafter, if Proceeds remain, the holders of the Series 7 Preferred Stock and Common Stock of this corporation shall receive all of the remaining Proceeds pro rata based on the number of shares of Common Stock held by each (assuming full conversion of all such Series 7 Preferred Stock). For purposes of this Restated Certificate of Incorporation, “</w:t>
      </w:r>
      <w:r>
        <w:rPr>
          <w:rFonts w:ascii="Arial" w:cs="Arial" w:eastAsia="Arial" w:hAnsi="Arial"/>
          <w:sz w:val="17"/>
          <w:szCs w:val="17"/>
          <w:b w:val="1"/>
          <w:bCs w:val="1"/>
          <w:i w:val="1"/>
          <w:iCs w:val="1"/>
          <w:color w:val="auto"/>
        </w:rPr>
        <w:t>Participation Cap</w:t>
      </w:r>
      <w:r>
        <w:rPr>
          <w:rFonts w:ascii="Arial" w:cs="Arial" w:eastAsia="Arial" w:hAnsi="Arial"/>
          <w:sz w:val="17"/>
          <w:szCs w:val="17"/>
          <w:color w:val="auto"/>
        </w:rPr>
        <w:t>” shall mean $32.9436 for the Series 6 Preferred Stock, shall mean $18.1908 for the Series 5 Preferred Stock and shall mean $12.60 for the Series 4 Preferred Stock (each as adjusted for any stock splits, stock dividends, combinations, subdivisions, recapitalizations or the like with respect to such series of Preferred Stock after the Effective Time), which includes amounts paid pursuant to subsection (a) of this Section 2.</w:t>
      </w:r>
    </w:p>
    <w:p>
      <w:pPr>
        <w:spacing w:after="0" w:line="183" w:lineRule="exact"/>
        <w:rPr>
          <w:rFonts w:ascii="Arial" w:cs="Arial" w:eastAsia="Arial" w:hAnsi="Arial"/>
          <w:sz w:val="17"/>
          <w:szCs w:val="17"/>
          <w:b w:val="1"/>
          <w:bCs w:val="1"/>
          <w:color w:val="auto"/>
        </w:rPr>
      </w:pPr>
    </w:p>
    <w:p>
      <w:pPr>
        <w:ind w:left="-20" w:firstLine="1421"/>
        <w:spacing w:after="0" w:line="291" w:lineRule="auto"/>
        <w:tabs>
          <w:tab w:leader="none" w:pos="1655" w:val="left"/>
        </w:tabs>
        <w:numPr>
          <w:ilvl w:val="1"/>
          <w:numId w:val="197"/>
        </w:numPr>
        <w:rPr>
          <w:rFonts w:ascii="Arial" w:cs="Arial" w:eastAsia="Arial" w:hAnsi="Arial"/>
          <w:sz w:val="16"/>
          <w:szCs w:val="16"/>
          <w:b w:val="1"/>
          <w:bCs w:val="1"/>
          <w:color w:val="auto"/>
        </w:rPr>
      </w:pPr>
      <w:r>
        <w:rPr>
          <w:rFonts w:ascii="Arial" w:cs="Arial" w:eastAsia="Arial" w:hAnsi="Arial"/>
          <w:sz w:val="16"/>
          <w:szCs w:val="16"/>
          <w:color w:val="auto"/>
        </w:rPr>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4" w:right="459" w:bottom="1440" w:gutter="0" w:footer="0" w:header="0"/>
        </w:sectPr>
      </w:pPr>
    </w:p>
    <w:bookmarkStart w:id="273" w:name="page274"/>
    <w:bookmarkEnd w:id="273"/>
    <w:p>
      <w:pPr>
        <w:ind w:left="10" w:right="120" w:firstLine="1421"/>
        <w:spacing w:after="0" w:line="286" w:lineRule="auto"/>
        <w:tabs>
          <w:tab w:leader="none" w:pos="1705" w:val="left"/>
        </w:tabs>
        <w:numPr>
          <w:ilvl w:val="1"/>
          <w:numId w:val="19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 Liquidation Event, if any portion of the consideration payable to the stockholders of the Corporation is placed into escrow and/or is payable to the stockholders of this corporation subject to contingencies (such consideration collectively referred to herein as “</w:t>
      </w:r>
      <w:r>
        <w:rPr>
          <w:rFonts w:ascii="Arial" w:cs="Arial" w:eastAsia="Arial" w:hAnsi="Arial"/>
          <w:sz w:val="16"/>
          <w:szCs w:val="16"/>
          <w:b w:val="1"/>
          <w:bCs w:val="1"/>
          <w:i w:val="1"/>
          <w:iCs w:val="1"/>
          <w:color w:val="auto"/>
        </w:rPr>
        <w:t>Contingent Consideration</w:t>
      </w:r>
      <w:r>
        <w:rPr>
          <w:rFonts w:ascii="Arial" w:cs="Arial" w:eastAsia="Arial" w:hAnsi="Arial"/>
          <w:sz w:val="16"/>
          <w:szCs w:val="16"/>
          <w:color w:val="auto"/>
        </w:rPr>
        <w:t>”), the definitive agreement with respect to Liquidation Event shall provide that (i) the portion of such consideration that is not placed in escrow and not subject to any contingencies (the “</w:t>
      </w:r>
      <w:r>
        <w:rPr>
          <w:rFonts w:ascii="Arial" w:cs="Arial" w:eastAsia="Arial" w:hAnsi="Arial"/>
          <w:sz w:val="16"/>
          <w:szCs w:val="16"/>
          <w:b w:val="1"/>
          <w:bCs w:val="1"/>
          <w:i w:val="1"/>
          <w:iCs w:val="1"/>
          <w:color w:val="auto"/>
        </w:rPr>
        <w:t>Initial Consideration</w:t>
      </w:r>
      <w:r>
        <w:rPr>
          <w:rFonts w:ascii="Arial" w:cs="Arial" w:eastAsia="Arial" w:hAnsi="Arial"/>
          <w:sz w:val="16"/>
          <w:szCs w:val="16"/>
          <w:color w:val="auto"/>
        </w:rPr>
        <w:t>”) shall be allocated among the holders of capital stock of the Corporation in accordance with Sections 2(a) and 2(b) as if the Initial Consideration were the only consideration payable in connection with such Liquidation Event, after taking into account the application of Section 2(c), and (ii) any Contingent Consideration which becomes payable to the stockholders of the Corporation shall be allocated among the holders of capital stock of the Corporation in accordance with Sections 2(a) and 2(b) after taking into account (x) the previous payment of (1) the Initial Consideration and (2) any other Contingent Consideration as part of the same transaction and (y) the application of Section 2(c). For the avoidance of doubt, holders of the Preferred Stock shall not be deemed to have converted such Preferred Stock into Common Stock pursuant to Section 2(c) until such time such holders of Preferred Stock actually receive as a result of such deemed conversion an amount greater than the amount to which such holders of Preferred Stock would otherwise be entitled pursuant to Sections 2(a) and 2(b) above had the Preferred Stock had not been converted to Common Stock; provided that for the purposes of the application of Section 2(c), the value of the Initial Consideration and any Contingent Consideration shall be determined at the time such Initial Consideration or Contingent Consideration, as applicable, are to be legally distributed to this corporation’s stockholders as a result of such Liquidation Event.</w:t>
      </w:r>
    </w:p>
    <w:p>
      <w:pPr>
        <w:spacing w:after="0" w:line="164" w:lineRule="exact"/>
        <w:rPr>
          <w:rFonts w:ascii="Arial" w:cs="Arial" w:eastAsia="Arial" w:hAnsi="Arial"/>
          <w:sz w:val="16"/>
          <w:szCs w:val="16"/>
          <w:b w:val="1"/>
          <w:bCs w:val="1"/>
          <w:color w:val="auto"/>
        </w:rPr>
      </w:pPr>
    </w:p>
    <w:p>
      <w:pPr>
        <w:ind w:left="10" w:firstLine="1421"/>
        <w:spacing w:after="0" w:line="284" w:lineRule="auto"/>
        <w:tabs>
          <w:tab w:leader="none" w:pos="1685"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 </w:t>
      </w:r>
      <w:r>
        <w:rPr>
          <w:rFonts w:ascii="Arial" w:cs="Arial" w:eastAsia="Arial" w:hAnsi="Arial"/>
          <w:sz w:val="16"/>
          <w:szCs w:val="16"/>
          <w:color w:val="auto"/>
        </w:rPr>
        <w:t>For purposes of this Section 2,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shall include (A) the closing of the sale, lease, transfer,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or other disposition of all or substantially all of this corporation’s assets, in a single transaction or series of related transactions, by this corporation or any subsidiary or subsidiaries of this corporation, of all or substantially all the assets of this corporation and its subsidiaries taken as a whole (or, if substantially all of the assets of this corporation and its subsidiaries taken as a whole are held by one or more subsidiaries, the sale or disposition (whether by consolidation, merger, conversion or otherwise) of such subsidiaries of this corporation or all or substantially all of the assets of such subsidiaries), except where such sale, lease, transfer, exclusive license or other disposition is made to this corporation or one or more wholly owned subsidiaries of this corporation, (B) the consummation of a merger, consolidation or acquisition in which (x) this corporation is a constituent party or</w:t>
      </w:r>
    </w:p>
    <w:p>
      <w:pPr>
        <w:spacing w:after="0" w:line="5" w:lineRule="exact"/>
        <w:rPr>
          <w:rFonts w:ascii="Arial" w:cs="Arial" w:eastAsia="Arial" w:hAnsi="Arial"/>
          <w:sz w:val="16"/>
          <w:szCs w:val="16"/>
          <w:b w:val="1"/>
          <w:bCs w:val="1"/>
          <w:color w:val="auto"/>
        </w:rPr>
      </w:pPr>
    </w:p>
    <w:p>
      <w:pPr>
        <w:ind w:left="10" w:right="160" w:hanging="10"/>
        <w:spacing w:after="0" w:line="281" w:lineRule="auto"/>
        <w:tabs>
          <w:tab w:leader="none" w:pos="26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subsidiary of this corporation is a constituent party and this corporation issues shares of its capital stock pursuant to such merger, consolidation or acquisition (except a merger, consolidation or acquisition involving this corporation or a subsidiary in which the capital stock of this corporation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w:t>
      </w:r>
    </w:p>
    <w:p>
      <w:pPr>
        <w:spacing w:after="0" w:line="1"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8"/>
          <w:szCs w:val="18"/>
          <w:color w:val="auto"/>
        </w:rPr>
        <w:t>(1) the surviving or resulting corporation or (2) if the</w:t>
      </w:r>
    </w:p>
    <w:p>
      <w:pPr>
        <w:spacing w:after="0" w:line="14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10"/>
          </w:cols>
          <w:pgMar w:left="450" w:top="274" w:right="439" w:bottom="1440" w:gutter="0" w:footer="0" w:header="0"/>
        </w:sectPr>
      </w:pPr>
    </w:p>
    <w:bookmarkStart w:id="274" w:name="page275"/>
    <w:bookmarkEnd w:id="274"/>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surviving or resulting corporation is a wholly owned subsidiary of another corporation immediately following such merger, consolidation or acquisition, the parent corporation of such surviving or resulting corporation); (C) any transaction or series of related transactions to which this corporation is a party in which in excess of fifty percent (50%) of this corporation’s voting power is transferred; provided that a Liquidation Event shall not include any transaction or series of related transactions principally for bona fide equity financing purposes in which cash is received by this corporation or any successor or indebtedness of this corporation is cancelled or converted or a combination thereof occurs,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the holders of at least a majority of the voting power (as determined in accordance with subsection (5)(a) below) of all then outstanding Preferred Stock (voting together as a single class and not as separate series, and on an as-converted basis).</w:t>
      </w:r>
    </w:p>
    <w:p>
      <w:pPr>
        <w:spacing w:after="0" w:line="199" w:lineRule="exact"/>
        <w:rPr>
          <w:sz w:val="20"/>
          <w:szCs w:val="20"/>
          <w:color w:val="auto"/>
        </w:rPr>
      </w:pPr>
    </w:p>
    <w:p>
      <w:pPr>
        <w:ind w:right="200" w:firstLine="1862"/>
        <w:spacing w:after="0" w:line="277" w:lineRule="auto"/>
        <w:tabs>
          <w:tab w:leader="none" w:pos="2136"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In any Liquidation Event, if Proceeds received by this corporation or its stockholders is other than cash, its value will be deemed its fair market value. Any securities shall be valued as follows:</w:t>
      </w:r>
    </w:p>
    <w:p>
      <w:pPr>
        <w:spacing w:after="0" w:line="61" w:lineRule="exact"/>
        <w:rPr>
          <w:rFonts w:ascii="Arial" w:cs="Arial" w:eastAsia="Arial" w:hAnsi="Arial"/>
          <w:sz w:val="18"/>
          <w:szCs w:val="18"/>
          <w:b w:val="1"/>
          <w:bCs w:val="1"/>
          <w:color w:val="auto"/>
        </w:rPr>
      </w:pPr>
    </w:p>
    <w:p>
      <w:pPr>
        <w:ind w:left="2600" w:hanging="298"/>
        <w:spacing w:after="0"/>
        <w:tabs>
          <w:tab w:leader="none" w:pos="2600" w:val="left"/>
        </w:tabs>
        <w:numPr>
          <w:ilvl w:val="1"/>
          <w:numId w:val="200"/>
        </w:numPr>
        <w:rPr>
          <w:rFonts w:ascii="Arial" w:cs="Arial" w:eastAsia="Arial" w:hAnsi="Arial"/>
          <w:sz w:val="16"/>
          <w:szCs w:val="16"/>
          <w:b w:val="1"/>
          <w:bCs w:val="1"/>
          <w:color w:val="auto"/>
        </w:rPr>
      </w:pPr>
      <w:r>
        <w:rPr>
          <w:rFonts w:ascii="Arial" w:cs="Arial" w:eastAsia="Arial" w:hAnsi="Arial"/>
          <w:sz w:val="16"/>
          <w:szCs w:val="16"/>
          <w:color w:val="auto"/>
        </w:rPr>
        <w:t>Securities not subject to investment letter or other similar restrictions on free marketability which are not covered by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clause (B) below:</w:t>
      </w:r>
    </w:p>
    <w:p>
      <w:pPr>
        <w:spacing w:after="0" w:line="210" w:lineRule="exact"/>
        <w:rPr>
          <w:rFonts w:ascii="Arial" w:cs="Arial" w:eastAsia="Arial" w:hAnsi="Arial"/>
          <w:sz w:val="16"/>
          <w:szCs w:val="16"/>
          <w:b w:val="1"/>
          <w:bCs w:val="1"/>
          <w:color w:val="auto"/>
        </w:rPr>
      </w:pPr>
    </w:p>
    <w:p>
      <w:pPr>
        <w:ind w:right="300" w:firstLine="2852"/>
        <w:spacing w:after="0" w:line="263" w:lineRule="auto"/>
        <w:tabs>
          <w:tab w:leader="none" w:pos="3116" w:val="left"/>
        </w:tabs>
        <w:numPr>
          <w:ilvl w:val="2"/>
          <w:numId w:val="200"/>
        </w:numPr>
        <w:rPr>
          <w:rFonts w:ascii="Arial" w:cs="Arial" w:eastAsia="Arial" w:hAnsi="Arial"/>
          <w:sz w:val="18"/>
          <w:szCs w:val="18"/>
          <w:b w:val="1"/>
          <w:bCs w:val="1"/>
          <w:color w:val="auto"/>
        </w:rPr>
      </w:pPr>
      <w:r>
        <w:rPr>
          <w:rFonts w:ascii="Arial" w:cs="Arial" w:eastAsia="Arial" w:hAnsi="Arial"/>
          <w:sz w:val="18"/>
          <w:szCs w:val="18"/>
          <w:color w:val="auto"/>
        </w:rPr>
        <w:t>If traded on a securities exchange, the value shall be deemed to be the average of the closing prices of the securities on such exchange or system over the twenty (20) trading-day period ending three (3) trading days prior to the closing of the Liquidation Event;</w:t>
      </w:r>
    </w:p>
    <w:p>
      <w:pPr>
        <w:spacing w:after="0" w:line="182" w:lineRule="exact"/>
        <w:rPr>
          <w:rFonts w:ascii="Arial" w:cs="Arial" w:eastAsia="Arial" w:hAnsi="Arial"/>
          <w:sz w:val="18"/>
          <w:szCs w:val="18"/>
          <w:b w:val="1"/>
          <w:bCs w:val="1"/>
          <w:color w:val="auto"/>
        </w:rPr>
      </w:pPr>
    </w:p>
    <w:p>
      <w:pPr>
        <w:ind w:right="120" w:firstLine="2852"/>
        <w:spacing w:after="0" w:line="341" w:lineRule="auto"/>
        <w:tabs>
          <w:tab w:leader="none" w:pos="3116" w:val="left"/>
        </w:tabs>
        <w:numPr>
          <w:ilvl w:val="2"/>
          <w:numId w:val="200"/>
        </w:numPr>
        <w:rPr>
          <w:rFonts w:ascii="Arial" w:cs="Arial" w:eastAsia="Arial" w:hAnsi="Arial"/>
          <w:sz w:val="16"/>
          <w:szCs w:val="16"/>
          <w:b w:val="1"/>
          <w:bCs w:val="1"/>
          <w:color w:val="auto"/>
        </w:rPr>
      </w:pPr>
      <w:r>
        <w:rPr>
          <w:rFonts w:ascii="Arial" w:cs="Arial" w:eastAsia="Arial" w:hAnsi="Arial"/>
          <w:sz w:val="16"/>
          <w:szCs w:val="16"/>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24" w:lineRule="exact"/>
        <w:rPr>
          <w:rFonts w:ascii="Arial" w:cs="Arial" w:eastAsia="Arial" w:hAnsi="Arial"/>
          <w:sz w:val="16"/>
          <w:szCs w:val="16"/>
          <w:b w:val="1"/>
          <w:bCs w:val="1"/>
          <w:color w:val="auto"/>
        </w:rPr>
      </w:pPr>
    </w:p>
    <w:p>
      <w:pPr>
        <w:ind w:right="20" w:firstLine="2852"/>
        <w:spacing w:after="0" w:line="311" w:lineRule="auto"/>
        <w:tabs>
          <w:tab w:leader="none" w:pos="3116" w:val="left"/>
        </w:tabs>
        <w:numPr>
          <w:ilvl w:val="2"/>
          <w:numId w:val="200"/>
        </w:numPr>
        <w:rPr>
          <w:rFonts w:ascii="Arial" w:cs="Arial" w:eastAsia="Arial" w:hAnsi="Arial"/>
          <w:sz w:val="16"/>
          <w:szCs w:val="16"/>
          <w:b w:val="1"/>
          <w:bCs w:val="1"/>
          <w:color w:val="auto"/>
        </w:rPr>
      </w:pPr>
      <w:r>
        <w:rPr>
          <w:rFonts w:ascii="Arial" w:cs="Arial" w:eastAsia="Arial" w:hAnsi="Arial"/>
          <w:sz w:val="16"/>
          <w:szCs w:val="16"/>
          <w:color w:val="auto"/>
        </w:rPr>
        <w:t>If there is no active public market, the value shall be the fair market value thereof, as mutually determined by this corporation and the holders of at least a majority of the voting power (as determined in accordance with subsection (5)(a) below) of all then outstanding shares of Preferred Stock (voting together as a single class and not as separate series, and on an as-converted basis).</w:t>
      </w:r>
    </w:p>
    <w:p>
      <w:pPr>
        <w:spacing w:after="0" w:line="148" w:lineRule="exact"/>
        <w:rPr>
          <w:rFonts w:ascii="Arial" w:cs="Arial" w:eastAsia="Arial" w:hAnsi="Arial"/>
          <w:sz w:val="16"/>
          <w:szCs w:val="16"/>
          <w:b w:val="1"/>
          <w:bCs w:val="1"/>
          <w:color w:val="auto"/>
        </w:rPr>
      </w:pPr>
    </w:p>
    <w:p>
      <w:pPr>
        <w:ind w:right="140" w:firstLine="2302"/>
        <w:spacing w:after="0" w:line="275" w:lineRule="auto"/>
        <w:tabs>
          <w:tab w:leader="none" w:pos="2596" w:val="left"/>
        </w:tabs>
        <w:numPr>
          <w:ilvl w:val="1"/>
          <w:numId w:val="200"/>
        </w:numPr>
        <w:rPr>
          <w:rFonts w:ascii="Arial" w:cs="Arial" w:eastAsia="Arial" w:hAnsi="Arial"/>
          <w:sz w:val="17"/>
          <w:szCs w:val="17"/>
          <w:b w:val="1"/>
          <w:bCs w:val="1"/>
          <w:color w:val="auto"/>
        </w:rPr>
      </w:pPr>
      <w:r>
        <w:rPr>
          <w:rFonts w:ascii="Arial" w:cs="Arial" w:eastAsia="Arial" w:hAnsi="Arial"/>
          <w:sz w:val="17"/>
          <w:szCs w:val="17"/>
          <w:color w:val="auto"/>
        </w:rPr>
        <w:t>The method of valuation of securities subject to investment letter or other restrictions on free marketability (other than restrictions arising solely by virtue of a stockholder’s status as an affiliate or former affiliate) shall be to take an appropriate discount from the market value determined as above in (A) (1), (2) or (3) to reflect the approximate fair market value thereof, as mutually determined by this corporation and the holders of at least a majority of the voting power (as determined in accordance with subsection (5)(a) below) of all then outstanding shares of such Preferred Stock (voting together as a single class and not as separate series, and on an as-converted basis).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75" w:name="page276"/>
    <w:bookmarkEnd w:id="275"/>
    <w:p>
      <w:pPr>
        <w:ind w:right="80" w:firstLine="2302"/>
        <w:spacing w:after="0" w:line="279" w:lineRule="auto"/>
        <w:tabs>
          <w:tab w:leader="none" w:pos="2606" w:val="left"/>
        </w:tabs>
        <w:numPr>
          <w:ilvl w:val="3"/>
          <w:numId w:val="20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methods for valuing non-cash consideration to be distributed in connection with a Liquidation Event shall, upon approval by the holders of at least a majority of the voting power (as determined in accordance with subsection (5)(a) below) of all then outstanding shares of Preferred Stock (voting together as a single class and not as separate series, and on an as-converted basis), be superseded by any determination of such value set forth in the definitive agreements governing such Liquidation Event.</w:t>
      </w:r>
    </w:p>
    <w:p>
      <w:pPr>
        <w:spacing w:after="0" w:line="170" w:lineRule="exact"/>
        <w:rPr>
          <w:rFonts w:ascii="Arial" w:cs="Arial" w:eastAsia="Arial" w:hAnsi="Arial"/>
          <w:sz w:val="17"/>
          <w:szCs w:val="17"/>
          <w:b w:val="1"/>
          <w:bCs w:val="1"/>
          <w:color w:val="auto"/>
        </w:rPr>
      </w:pPr>
    </w:p>
    <w:p>
      <w:pPr>
        <w:ind w:left="2180" w:hanging="318"/>
        <w:spacing w:after="0"/>
        <w:tabs>
          <w:tab w:leader="none" w:pos="2180" w:val="left"/>
        </w:tabs>
        <w:numPr>
          <w:ilvl w:val="2"/>
          <w:numId w:val="202"/>
        </w:numPr>
        <w:rPr>
          <w:rFonts w:ascii="Arial" w:cs="Arial" w:eastAsia="Arial" w:hAnsi="Arial"/>
          <w:sz w:val="18"/>
          <w:szCs w:val="18"/>
          <w:b w:val="1"/>
          <w:bCs w:val="1"/>
          <w:color w:val="auto"/>
        </w:rPr>
      </w:pPr>
      <w:r>
        <w:rPr>
          <w:rFonts w:ascii="Arial" w:cs="Arial" w:eastAsia="Arial" w:hAnsi="Arial"/>
          <w:sz w:val="18"/>
          <w:szCs w:val="18"/>
          <w:color w:val="auto"/>
        </w:rPr>
        <w:t>In the event the requirements of this Section 2 are not complied with, this corporation shall forthwith either:</w:t>
      </w:r>
    </w:p>
    <w:p>
      <w:pPr>
        <w:spacing w:after="0" w:line="116" w:lineRule="exact"/>
        <w:rPr>
          <w:rFonts w:ascii="Arial" w:cs="Arial" w:eastAsia="Arial" w:hAnsi="Arial"/>
          <w:sz w:val="18"/>
          <w:szCs w:val="18"/>
          <w:b w:val="1"/>
          <w:bCs w:val="1"/>
          <w:color w:val="auto"/>
        </w:rPr>
      </w:pPr>
    </w:p>
    <w:p>
      <w:pPr>
        <w:ind w:left="2600" w:hanging="298"/>
        <w:spacing w:after="0"/>
        <w:tabs>
          <w:tab w:leader="none" w:pos="2600" w:val="left"/>
        </w:tabs>
        <w:numPr>
          <w:ilvl w:val="3"/>
          <w:numId w:val="202"/>
        </w:numPr>
        <w:rPr>
          <w:rFonts w:ascii="Arial" w:cs="Arial" w:eastAsia="Arial" w:hAnsi="Arial"/>
          <w:sz w:val="16"/>
          <w:szCs w:val="16"/>
          <w:b w:val="1"/>
          <w:bCs w:val="1"/>
          <w:color w:val="auto"/>
        </w:rPr>
      </w:pPr>
      <w:r>
        <w:rPr>
          <w:rFonts w:ascii="Arial" w:cs="Arial" w:eastAsia="Arial" w:hAnsi="Arial"/>
          <w:sz w:val="16"/>
          <w:szCs w:val="16"/>
          <w:color w:val="auto"/>
        </w:rPr>
        <w:t>cause the closing of such Liquidation Event to be postponed until such time as the requirements of this Section 2</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have been complied with; or</w:t>
      </w:r>
    </w:p>
    <w:p>
      <w:pPr>
        <w:spacing w:after="0" w:line="210" w:lineRule="exact"/>
        <w:rPr>
          <w:rFonts w:ascii="Arial" w:cs="Arial" w:eastAsia="Arial" w:hAnsi="Arial"/>
          <w:sz w:val="16"/>
          <w:szCs w:val="16"/>
          <w:b w:val="1"/>
          <w:bCs w:val="1"/>
          <w:color w:val="auto"/>
        </w:rPr>
      </w:pPr>
    </w:p>
    <w:p>
      <w:pPr>
        <w:ind w:right="200" w:firstLine="2302"/>
        <w:spacing w:after="0" w:line="263" w:lineRule="auto"/>
        <w:tabs>
          <w:tab w:leader="none" w:pos="2596" w:val="left"/>
        </w:tabs>
        <w:numPr>
          <w:ilvl w:val="3"/>
          <w:numId w:val="202"/>
        </w:numPr>
        <w:rPr>
          <w:rFonts w:ascii="Arial" w:cs="Arial" w:eastAsia="Arial" w:hAnsi="Arial"/>
          <w:sz w:val="18"/>
          <w:szCs w:val="18"/>
          <w:b w:val="1"/>
          <w:bCs w:val="1"/>
          <w:color w:val="auto"/>
        </w:rPr>
      </w:pPr>
      <w:r>
        <w:rPr>
          <w:rFonts w:ascii="Arial" w:cs="Arial" w:eastAsia="Arial" w:hAnsi="Arial"/>
          <w:sz w:val="18"/>
          <w:szCs w:val="18"/>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82" w:lineRule="exact"/>
        <w:rPr>
          <w:rFonts w:ascii="Arial" w:cs="Arial" w:eastAsia="Arial" w:hAnsi="Arial"/>
          <w:sz w:val="18"/>
          <w:szCs w:val="18"/>
          <w:b w:val="1"/>
          <w:bCs w:val="1"/>
          <w:color w:val="auto"/>
        </w:rPr>
      </w:pPr>
    </w:p>
    <w:p>
      <w:pPr>
        <w:ind w:firstLine="1862"/>
        <w:spacing w:after="0" w:line="289" w:lineRule="auto"/>
        <w:tabs>
          <w:tab w:leader="none" w:pos="2176" w:val="left"/>
        </w:tabs>
        <w:numPr>
          <w:ilvl w:val="2"/>
          <w:numId w:val="202"/>
        </w:numPr>
        <w:rPr>
          <w:rFonts w:ascii="Arial" w:cs="Arial" w:eastAsia="Arial" w:hAnsi="Arial"/>
          <w:sz w:val="16"/>
          <w:szCs w:val="16"/>
          <w:b w:val="1"/>
          <w:bCs w:val="1"/>
          <w:color w:val="auto"/>
        </w:rPr>
      </w:pPr>
      <w:r>
        <w:rPr>
          <w:rFonts w:ascii="Arial" w:cs="Arial" w:eastAsia="Arial" w:hAnsi="Arial"/>
          <w:sz w:val="16"/>
          <w:szCs w:val="16"/>
          <w:color w:val="auto"/>
        </w:rPr>
        <w:t>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at least a majority of the voting power (as determined in accordance with subsection (5)(a) below) of all then outstanding shares of such Preferred Stock (voting together as a single class, and on an as-converted basis).</w:t>
      </w:r>
    </w:p>
    <w:p>
      <w:pPr>
        <w:spacing w:after="0" w:line="164" w:lineRule="exact"/>
        <w:rPr>
          <w:rFonts w:ascii="Arial" w:cs="Arial" w:eastAsia="Arial" w:hAnsi="Arial"/>
          <w:sz w:val="16"/>
          <w:szCs w:val="16"/>
          <w:b w:val="1"/>
          <w:bCs w:val="1"/>
          <w:color w:val="auto"/>
        </w:rPr>
      </w:pPr>
    </w:p>
    <w:p>
      <w:pPr>
        <w:ind w:left="1060" w:hanging="189"/>
        <w:spacing w:after="0"/>
        <w:tabs>
          <w:tab w:leader="none" w:pos="1060" w:val="left"/>
        </w:tabs>
        <w:numPr>
          <w:ilvl w:val="0"/>
          <w:numId w:val="203"/>
        </w:numPr>
        <w:rPr>
          <w:rFonts w:ascii="Arial" w:cs="Arial" w:eastAsia="Arial" w:hAnsi="Arial"/>
          <w:sz w:val="18"/>
          <w:szCs w:val="18"/>
          <w:b w:val="1"/>
          <w:bCs w:val="1"/>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Preferred Stock is not redeemable at the option of the holder.</w:t>
      </w:r>
    </w:p>
    <w:p>
      <w:pPr>
        <w:spacing w:after="0" w:line="224" w:lineRule="exact"/>
        <w:rPr>
          <w:rFonts w:ascii="Arial" w:cs="Arial" w:eastAsia="Arial" w:hAnsi="Arial"/>
          <w:sz w:val="18"/>
          <w:szCs w:val="18"/>
          <w:b w:val="1"/>
          <w:bCs w:val="1"/>
          <w:color w:val="auto"/>
        </w:rPr>
      </w:pPr>
    </w:p>
    <w:p>
      <w:pPr>
        <w:ind w:left="1060" w:hanging="189"/>
        <w:spacing w:after="0"/>
        <w:tabs>
          <w:tab w:leader="none" w:pos="1060" w:val="left"/>
        </w:tabs>
        <w:numPr>
          <w:ilvl w:val="0"/>
          <w:numId w:val="203"/>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ind w:firstLine="1421"/>
        <w:spacing w:after="0" w:line="275" w:lineRule="auto"/>
        <w:tabs>
          <w:tab w:leader="none" w:pos="1685" w:val="left"/>
        </w:tabs>
        <w:numPr>
          <w:ilvl w:val="1"/>
          <w:numId w:val="203"/>
        </w:numPr>
        <w:rPr>
          <w:rFonts w:ascii="Arial" w:cs="Arial" w:eastAsia="Arial" w:hAnsi="Arial"/>
          <w:sz w:val="17"/>
          <w:szCs w:val="17"/>
          <w:b w:val="1"/>
          <w:bCs w:val="1"/>
          <w:color w:val="auto"/>
        </w:rPr>
      </w:pPr>
      <w:r>
        <w:rPr>
          <w:rFonts w:ascii="Arial" w:cs="Arial" w:eastAsia="Arial" w:hAnsi="Arial"/>
          <w:sz w:val="17"/>
          <w:szCs w:val="17"/>
          <w:u w:val="single" w:color="auto"/>
          <w:color w:val="auto"/>
        </w:rPr>
        <w:t>Right to Convert</w:t>
      </w:r>
      <w:r>
        <w:rPr>
          <w:rFonts w:ascii="Arial" w:cs="Arial" w:eastAsia="Arial" w:hAnsi="Arial"/>
          <w:sz w:val="17"/>
          <w:szCs w:val="17"/>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Series 2 Common Stock as is determined by dividing the applicable Original Issue Price for such series by the applicable Conversion Price for such series (the conversion rate for a series of Preferred Stock into Series 2 Common Stock is referred to herein as the “</w:t>
      </w:r>
      <w:r>
        <w:rPr>
          <w:rFonts w:ascii="Arial" w:cs="Arial" w:eastAsia="Arial" w:hAnsi="Arial"/>
          <w:sz w:val="17"/>
          <w:szCs w:val="17"/>
          <w:b w:val="1"/>
          <w:bCs w:val="1"/>
          <w:i w:val="1"/>
          <w:iCs w:val="1"/>
          <w:color w:val="auto"/>
        </w:rPr>
        <w:t>Conversion Rate</w:t>
      </w:r>
      <w:r>
        <w:rPr>
          <w:rFonts w:ascii="Arial" w:cs="Arial" w:eastAsia="Arial" w:hAnsi="Arial"/>
          <w:sz w:val="17"/>
          <w:szCs w:val="17"/>
          <w:color w:val="auto"/>
        </w:rPr>
        <w:t>” for such series), determined as hereafter provided, in effect on the date the certificate is surrendered for conversion.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276" w:name="page277"/>
    <w:bookmarkEnd w:id="27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Conversion Price per share for the Series 6 Preferred Stock shall be $15.5574,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86" w:lineRule="exact"/>
        <w:rPr>
          <w:sz w:val="20"/>
          <w:szCs w:val="20"/>
          <w:color w:val="auto"/>
        </w:rPr>
      </w:pPr>
    </w:p>
    <w:p>
      <w:pPr>
        <w:ind w:right="80" w:firstLine="1421"/>
        <w:spacing w:after="0" w:line="287" w:lineRule="auto"/>
        <w:tabs>
          <w:tab w:leader="none" w:pos="1696" w:val="left"/>
        </w:tabs>
        <w:numPr>
          <w:ilvl w:val="0"/>
          <w:numId w:val="204"/>
        </w:numPr>
        <w:rPr>
          <w:rFonts w:ascii="Arial" w:cs="Arial" w:eastAsia="Arial" w:hAnsi="Arial"/>
          <w:sz w:val="16"/>
          <w:szCs w:val="16"/>
          <w:b w:val="1"/>
          <w:bCs w:val="1"/>
          <w:color w:val="auto"/>
        </w:rPr>
      </w:pPr>
      <w:r>
        <w:rPr>
          <w:rFonts w:ascii="Arial" w:cs="Arial" w:eastAsia="Arial" w:hAnsi="Arial"/>
          <w:sz w:val="16"/>
          <w:szCs w:val="16"/>
          <w:u w:val="single" w:color="auto"/>
          <w:color w:val="auto"/>
        </w:rPr>
        <w:t>Automatic Conversion</w:t>
      </w:r>
      <w:r>
        <w:rPr>
          <w:rFonts w:ascii="Arial" w:cs="Arial" w:eastAsia="Arial" w:hAnsi="Arial"/>
          <w:sz w:val="16"/>
          <w:szCs w:val="16"/>
          <w:color w:val="auto"/>
        </w:rPr>
        <w:t>. Each share of Preferred Stock shall automatically be converted into shares of Series 2 Common Stock at the Conversion Rate at the time in effect for such series of Preferred Stock immediately upon this corporation’s sale of its Common Stock in a firm commitment underwritten public offering pursuant to a registration statement on Form S-1 or Form SB-2 under the Securities Act of 1933, as amended, resulting in aggregate gross proceeds to this corporation of not less than $50,000,000 and a per share public offering of not be less than $30.0996 (as adjusted for any stock splits, stock dividends, combinations, subdivisions, recapitalizations or the like with respect to such shares of Preferred Stock after the Effective Time) (a “</w:t>
      </w:r>
      <w:r>
        <w:rPr>
          <w:rFonts w:ascii="Arial" w:cs="Arial" w:eastAsia="Arial" w:hAnsi="Arial"/>
          <w:sz w:val="16"/>
          <w:szCs w:val="16"/>
          <w:b w:val="1"/>
          <w:bCs w:val="1"/>
          <w:i w:val="1"/>
          <w:iCs w:val="1"/>
          <w:color w:val="auto"/>
        </w:rPr>
        <w:t>Qualified Public Offering</w:t>
      </w:r>
      <w:r>
        <w:rPr>
          <w:rFonts w:ascii="Arial" w:cs="Arial" w:eastAsia="Arial" w:hAnsi="Arial"/>
          <w:sz w:val="16"/>
          <w:szCs w:val="16"/>
          <w:color w:val="auto"/>
        </w:rPr>
        <w:t>”). Each share of Series 1 Preferred Stock, Series 2 Preferred Stock, Series 3 Preferred Stock, Series 4 Preferred Stock, Series 5 Preferred Stock, Series 6 Preferred Stock and Series 7 Preferred Stock shall automatically be converted into shares of Series 2 Common Stock at the Conversion Rate at the time in effect for such shares of Preferred Stock immediately upon the date specified by written consent or agreement of the holders of at least a majority of the voting power (as determined in accordance with subsection (5)(a) below)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69" w:lineRule="exact"/>
        <w:rPr>
          <w:rFonts w:ascii="Arial" w:cs="Arial" w:eastAsia="Arial" w:hAnsi="Arial"/>
          <w:sz w:val="16"/>
          <w:szCs w:val="16"/>
          <w:b w:val="1"/>
          <w:bCs w:val="1"/>
          <w:color w:val="auto"/>
        </w:rPr>
      </w:pPr>
    </w:p>
    <w:p>
      <w:pPr>
        <w:ind w:firstLine="1421"/>
        <w:spacing w:after="0" w:line="268" w:lineRule="auto"/>
        <w:tabs>
          <w:tab w:leader="none" w:pos="1675" w:val="left"/>
        </w:tabs>
        <w:numPr>
          <w:ilvl w:val="0"/>
          <w:numId w:val="204"/>
        </w:numPr>
        <w:rPr>
          <w:rFonts w:ascii="Arial" w:cs="Arial" w:eastAsia="Arial" w:hAnsi="Arial"/>
          <w:sz w:val="17"/>
          <w:szCs w:val="17"/>
          <w:b w:val="1"/>
          <w:bCs w:val="1"/>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Preferred Stock shall be entitled to voluntarily convert the same into shares of Series 2 Common Stock, he or she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Series 2 Common Stock are to be issued. This corporation shall, as soon as practicable thereafter, issue and deliver at such office to such holder of Preferred Stock, or to the nominee or nominees of such holder, a certificate or certificates for the number of shares of Series 2 Common Stock to which such holder shall be entitled as aforesaid. Such conversion shall be deemed to have been made immediately prior to the close of business on the date of such surrender of the shares of Preferred Stock to be converted, and the person or persons entitled to receive the shares of Series 2 Common Stock issuable upon such conversion shall be treated for all purposes as the record holder or holders of such shares of Series 2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Series 2 Common Stock upon conversion of the Preferred Stock shall not be deemed to have converted such Preferred Stock until immediately prior to the closing of such sale of securities. If the conversion is in connection with the last sentence of the automatic conversion provision of subsection 4(b)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77" w:name="page278"/>
    <w:bookmarkEnd w:id="277"/>
    <w:p>
      <w:pPr>
        <w:ind w:left="1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conversion shall be deemed to have been made on the conversion date described in the stockholder consent approving such conversion, and the persons entitled to receive shares of Series 2 Common Stock issuable upon such conversion shall be treated for all purposes as the record holders of such shares of Series 2 Common Stock as of such date.</w:t>
      </w:r>
    </w:p>
    <w:p>
      <w:pPr>
        <w:spacing w:after="0" w:line="183" w:lineRule="exact"/>
        <w:rPr>
          <w:sz w:val="20"/>
          <w:szCs w:val="20"/>
          <w:color w:val="auto"/>
        </w:rPr>
      </w:pPr>
    </w:p>
    <w:p>
      <w:pPr>
        <w:ind w:left="10" w:right="20" w:firstLine="1421"/>
        <w:spacing w:after="0" w:line="277" w:lineRule="auto"/>
        <w:tabs>
          <w:tab w:leader="none" w:pos="1705" w:val="left"/>
        </w:tabs>
        <w:numPr>
          <w:ilvl w:val="1"/>
          <w:numId w:val="205"/>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Price Adjustments of Preferred Stock for Certain Dilutive Issuances, Splits and Combinations</w:t>
      </w:r>
      <w:r>
        <w:rPr>
          <w:rFonts w:ascii="Arial" w:cs="Arial" w:eastAsia="Arial" w:hAnsi="Arial"/>
          <w:sz w:val="18"/>
          <w:szCs w:val="18"/>
          <w:color w:val="auto"/>
        </w:rPr>
        <w:t>. The Conversion Price of the Preferred Stock shall be subject to adjustment from time to time as follows:</w:t>
      </w:r>
    </w:p>
    <w:p>
      <w:pPr>
        <w:spacing w:after="0" w:line="165" w:lineRule="exact"/>
        <w:rPr>
          <w:rFonts w:ascii="Arial" w:cs="Arial" w:eastAsia="Arial" w:hAnsi="Arial"/>
          <w:sz w:val="18"/>
          <w:szCs w:val="18"/>
          <w:b w:val="1"/>
          <w:bCs w:val="1"/>
          <w:color w:val="auto"/>
        </w:rPr>
      </w:pPr>
    </w:p>
    <w:p>
      <w:pPr>
        <w:ind w:left="10" w:firstLine="1862"/>
        <w:spacing w:after="0" w:line="283" w:lineRule="auto"/>
        <w:tabs>
          <w:tab w:leader="none" w:pos="2096" w:val="left"/>
        </w:tabs>
        <w:numPr>
          <w:ilvl w:val="2"/>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If this corporation shall issue, on or after the Effective Time, any Additional Stock (as defined below)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Outstanding</w:t>
      </w:r>
      <w:r>
        <w:rPr>
          <w:rFonts w:ascii="Arial" w:cs="Arial" w:eastAsia="Arial" w:hAnsi="Arial"/>
          <w:sz w:val="16"/>
          <w:szCs w:val="16"/>
          <w:color w:val="auto"/>
        </w:rPr>
        <w:t>” shall mean and include the following: (1) outstanding Common Stock, (2) Common Stock issuable upon conversion of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(3) Common Stock issuable upon exercise of outstanding stock options and other rights to purchase shares of capital stock and</w:t>
      </w:r>
    </w:p>
    <w:p>
      <w:pPr>
        <w:spacing w:after="0" w:line="7" w:lineRule="exact"/>
        <w:rPr>
          <w:rFonts w:ascii="Arial" w:cs="Arial" w:eastAsia="Arial" w:hAnsi="Arial"/>
          <w:sz w:val="16"/>
          <w:szCs w:val="16"/>
          <w:b w:val="1"/>
          <w:bCs w:val="1"/>
          <w:color w:val="auto"/>
        </w:rPr>
      </w:pPr>
    </w:p>
    <w:p>
      <w:pPr>
        <w:ind w:left="10" w:right="200" w:hanging="10"/>
        <w:spacing w:after="0" w:line="255" w:lineRule="auto"/>
        <w:tabs>
          <w:tab w:leader="none" w:pos="26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89" w:lineRule="exact"/>
        <w:rPr>
          <w:sz w:val="20"/>
          <w:szCs w:val="20"/>
          <w:color w:val="auto"/>
        </w:rPr>
      </w:pPr>
    </w:p>
    <w:p>
      <w:pPr>
        <w:jc w:val="both"/>
        <w:ind w:left="10" w:right="60" w:firstLine="1862"/>
        <w:spacing w:after="0" w:line="311" w:lineRule="auto"/>
        <w:tabs>
          <w:tab w:leader="none" w:pos="2166"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148" w:lineRule="exact"/>
        <w:rPr>
          <w:rFonts w:ascii="Arial" w:cs="Arial" w:eastAsia="Arial" w:hAnsi="Arial"/>
          <w:sz w:val="16"/>
          <w:szCs w:val="16"/>
          <w:b w:val="1"/>
          <w:bCs w:val="1"/>
          <w:color w:val="auto"/>
        </w:rPr>
      </w:pPr>
    </w:p>
    <w:p>
      <w:pPr>
        <w:ind w:left="10" w:firstLine="1862"/>
        <w:spacing w:after="0" w:line="263" w:lineRule="auto"/>
        <w:tabs>
          <w:tab w:leader="none" w:pos="2176"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82" w:lineRule="exact"/>
        <w:rPr>
          <w:rFonts w:ascii="Arial" w:cs="Arial" w:eastAsia="Arial" w:hAnsi="Arial"/>
          <w:sz w:val="18"/>
          <w:szCs w:val="18"/>
          <w:b w:val="1"/>
          <w:bCs w:val="1"/>
          <w:color w:val="auto"/>
        </w:rPr>
      </w:pPr>
    </w:p>
    <w:p>
      <w:pPr>
        <w:ind w:left="10" w:firstLine="1862"/>
        <w:spacing w:after="0" w:line="341" w:lineRule="auto"/>
        <w:tabs>
          <w:tab w:leader="none" w:pos="2176"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0"/>
          </w:cols>
          <w:pgMar w:left="450" w:top="274" w:right="459" w:bottom="1440" w:gutter="0" w:footer="0" w:header="0"/>
        </w:sectPr>
      </w:pPr>
    </w:p>
    <w:bookmarkStart w:id="278" w:name="page279"/>
    <w:bookmarkEnd w:id="278"/>
    <w:p>
      <w:pPr>
        <w:ind w:right="300" w:firstLine="1862"/>
        <w:spacing w:after="0" w:line="311" w:lineRule="auto"/>
        <w:tabs>
          <w:tab w:leader="none" w:pos="2156" w:val="left"/>
        </w:tabs>
        <w:numPr>
          <w:ilvl w:val="0"/>
          <w:numId w:val="20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40" w:lineRule="exact"/>
        <w:rPr>
          <w:rFonts w:ascii="Arial" w:cs="Arial" w:eastAsia="Arial" w:hAnsi="Arial"/>
          <w:sz w:val="16"/>
          <w:szCs w:val="16"/>
          <w:b w:val="1"/>
          <w:bCs w:val="1"/>
          <w:color w:val="auto"/>
        </w:rPr>
      </w:pPr>
    </w:p>
    <w:p>
      <w:pPr>
        <w:ind w:firstLine="2302"/>
        <w:spacing w:after="0" w:line="273" w:lineRule="auto"/>
        <w:tabs>
          <w:tab w:leader="none" w:pos="2566"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w:t>
      </w:r>
    </w:p>
    <w:p>
      <w:pPr>
        <w:spacing w:after="0" w:line="176" w:lineRule="exact"/>
        <w:rPr>
          <w:rFonts w:ascii="Arial" w:cs="Arial" w:eastAsia="Arial" w:hAnsi="Arial"/>
          <w:sz w:val="17"/>
          <w:szCs w:val="17"/>
          <w:b w:val="1"/>
          <w:bCs w:val="1"/>
          <w:color w:val="auto"/>
        </w:rPr>
      </w:pPr>
    </w:p>
    <w:p>
      <w:pPr>
        <w:ind w:right="20" w:firstLine="2302"/>
        <w:spacing w:after="0" w:line="270" w:lineRule="auto"/>
        <w:tabs>
          <w:tab w:leader="none" w:pos="2566"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w:t>
      </w:r>
    </w:p>
    <w:p>
      <w:pPr>
        <w:spacing w:after="0" w:line="179" w:lineRule="exact"/>
        <w:rPr>
          <w:rFonts w:ascii="Arial" w:cs="Arial" w:eastAsia="Arial" w:hAnsi="Arial"/>
          <w:sz w:val="17"/>
          <w:szCs w:val="17"/>
          <w:b w:val="1"/>
          <w:bCs w:val="1"/>
          <w:color w:val="auto"/>
        </w:rPr>
      </w:pPr>
    </w:p>
    <w:p>
      <w:pPr>
        <w:ind w:firstLine="2302"/>
        <w:spacing w:after="0" w:line="275" w:lineRule="auto"/>
        <w:tabs>
          <w:tab w:leader="none" w:pos="2566" w:val="left"/>
        </w:tabs>
        <w:numPr>
          <w:ilvl w:val="1"/>
          <w:numId w:val="208"/>
        </w:numPr>
        <w:rPr>
          <w:rFonts w:ascii="Arial" w:cs="Arial" w:eastAsia="Arial" w:hAnsi="Arial"/>
          <w:sz w:val="17"/>
          <w:szCs w:val="17"/>
          <w:b w:val="1"/>
          <w:bCs w:val="1"/>
          <w:color w:val="auto"/>
        </w:rPr>
      </w:pPr>
      <w:r>
        <w:rPr>
          <w:rFonts w:ascii="Arial" w:cs="Arial" w:eastAsia="Arial" w:hAnsi="Arial"/>
          <w:sz w:val="17"/>
          <w:szCs w:val="17"/>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75" w:lineRule="exact"/>
        <w:rPr>
          <w:rFonts w:ascii="Arial" w:cs="Arial" w:eastAsia="Arial" w:hAnsi="Arial"/>
          <w:sz w:val="17"/>
          <w:szCs w:val="17"/>
          <w:b w:val="1"/>
          <w:bCs w:val="1"/>
          <w:color w:val="auto"/>
        </w:rPr>
      </w:pPr>
    </w:p>
    <w:p>
      <w:pPr>
        <w:ind w:right="80" w:firstLine="2302"/>
        <w:spacing w:after="0" w:line="255" w:lineRule="auto"/>
        <w:tabs>
          <w:tab w:leader="none" w:pos="2566" w:val="left"/>
        </w:tabs>
        <w:numPr>
          <w:ilvl w:val="1"/>
          <w:numId w:val="208"/>
        </w:numPr>
        <w:rPr>
          <w:rFonts w:ascii="Arial" w:cs="Arial" w:eastAsia="Arial" w:hAnsi="Arial"/>
          <w:sz w:val="18"/>
          <w:szCs w:val="18"/>
          <w:b w:val="1"/>
          <w:bCs w:val="1"/>
          <w:color w:val="auto"/>
        </w:rPr>
      </w:pPr>
      <w:r>
        <w:rPr>
          <w:rFonts w:ascii="Arial" w:cs="Arial" w:eastAsia="Arial" w:hAnsi="Arial"/>
          <w:sz w:val="18"/>
          <w:szCs w:val="18"/>
          <w:color w:val="auto"/>
        </w:rPr>
        <w:t>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279" w:name="page280"/>
    <w:bookmarkEnd w:id="279"/>
    <w:p>
      <w:pPr>
        <w:ind w:right="280" w:firstLine="2302"/>
        <w:spacing w:after="0" w:line="263" w:lineRule="auto"/>
        <w:tabs>
          <w:tab w:leader="none" w:pos="2566" w:val="left"/>
        </w:tabs>
        <w:numPr>
          <w:ilvl w:val="1"/>
          <w:numId w:val="20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82" w:lineRule="exact"/>
        <w:rPr>
          <w:rFonts w:ascii="Arial" w:cs="Arial" w:eastAsia="Arial" w:hAnsi="Arial"/>
          <w:sz w:val="18"/>
          <w:szCs w:val="18"/>
          <w:b w:val="1"/>
          <w:bCs w:val="1"/>
          <w:color w:val="auto"/>
        </w:rPr>
      </w:pPr>
    </w:p>
    <w:p>
      <w:pPr>
        <w:ind w:left="2120" w:hanging="258"/>
        <w:spacing w:after="0"/>
        <w:tabs>
          <w:tab w:leader="none" w:pos="2120" w:val="left"/>
        </w:tabs>
        <w:numPr>
          <w:ilvl w:val="0"/>
          <w:numId w:val="21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Stock</w:t>
      </w:r>
      <w:r>
        <w:rPr>
          <w:rFonts w:ascii="Arial" w:cs="Arial" w:eastAsia="Arial" w:hAnsi="Arial"/>
          <w:sz w:val="16"/>
          <w:szCs w:val="16"/>
          <w:color w:val="auto"/>
        </w:rPr>
        <w:t>” shall mean any shares of Common Stock issued (or deemed to have been issued pursuant to subsection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4(d)(i)(E)) by this corporation on or after the Effective Time other than:</w:t>
      </w:r>
    </w:p>
    <w:p>
      <w:pPr>
        <w:spacing w:after="0" w:line="102" w:lineRule="exact"/>
        <w:rPr>
          <w:sz w:val="20"/>
          <w:szCs w:val="20"/>
          <w:color w:val="auto"/>
        </w:rPr>
      </w:pPr>
    </w:p>
    <w:p>
      <w:pPr>
        <w:ind w:left="2160" w:hanging="298"/>
        <w:spacing w:after="0"/>
        <w:tabs>
          <w:tab w:leader="none" w:pos="21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 transaction described in subsection 4(d)(iii) hereof;</w:t>
      </w:r>
    </w:p>
    <w:p>
      <w:pPr>
        <w:spacing w:after="0" w:line="224" w:lineRule="exact"/>
        <w:rPr>
          <w:rFonts w:ascii="Arial" w:cs="Arial" w:eastAsia="Arial" w:hAnsi="Arial"/>
          <w:sz w:val="18"/>
          <w:szCs w:val="18"/>
          <w:b w:val="1"/>
          <w:bCs w:val="1"/>
          <w:color w:val="auto"/>
        </w:rPr>
      </w:pPr>
    </w:p>
    <w:p>
      <w:pPr>
        <w:jc w:val="both"/>
        <w:ind w:right="60" w:firstLine="1862"/>
        <w:spacing w:after="0" w:line="259" w:lineRule="auto"/>
        <w:tabs>
          <w:tab w:leader="none" w:pos="215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to employees, officers, directors, consultants and other service providers for the primary purpose of soliciting or retaining their services pursuant to plans or agreements approved by this corporation’s Board of Directors (which approval shall include the affirmative vote of one of the Series 4 Director, the Series 5 Director, the Series 6 Director or Series 7 Director, each as defined below (collectively, the “</w:t>
      </w:r>
      <w:r>
        <w:rPr>
          <w:rFonts w:ascii="Arial" w:cs="Arial" w:eastAsia="Arial" w:hAnsi="Arial"/>
          <w:sz w:val="18"/>
          <w:szCs w:val="18"/>
          <w:b w:val="1"/>
          <w:bCs w:val="1"/>
          <w:i w:val="1"/>
          <w:iCs w:val="1"/>
          <w:color w:val="auto"/>
        </w:rPr>
        <w:t>Preferred Directors</w:t>
      </w:r>
      <w:r>
        <w:rPr>
          <w:rFonts w:ascii="Arial" w:cs="Arial" w:eastAsia="Arial" w:hAnsi="Arial"/>
          <w:sz w:val="18"/>
          <w:szCs w:val="18"/>
          <w:color w:val="auto"/>
        </w:rPr>
        <w:t>”));</w:t>
      </w:r>
    </w:p>
    <w:p>
      <w:pPr>
        <w:spacing w:after="0" w:line="185" w:lineRule="exact"/>
        <w:rPr>
          <w:rFonts w:ascii="Arial" w:cs="Arial" w:eastAsia="Arial" w:hAnsi="Arial"/>
          <w:sz w:val="18"/>
          <w:szCs w:val="18"/>
          <w:b w:val="1"/>
          <w:bCs w:val="1"/>
          <w:color w:val="auto"/>
        </w:rPr>
      </w:pPr>
    </w:p>
    <w:p>
      <w:pPr>
        <w:ind w:left="2160" w:hanging="298"/>
        <w:spacing w:after="0"/>
        <w:tabs>
          <w:tab w:leader="none" w:pos="216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an underwritten public offering;</w:t>
      </w:r>
    </w:p>
    <w:p>
      <w:pPr>
        <w:spacing w:after="0" w:line="224" w:lineRule="exact"/>
        <w:rPr>
          <w:rFonts w:ascii="Arial" w:cs="Arial" w:eastAsia="Arial" w:hAnsi="Arial"/>
          <w:sz w:val="18"/>
          <w:szCs w:val="18"/>
          <w:b w:val="1"/>
          <w:bCs w:val="1"/>
          <w:color w:val="auto"/>
        </w:rPr>
      </w:pPr>
    </w:p>
    <w:p>
      <w:pPr>
        <w:ind w:left="2160" w:hanging="298"/>
        <w:spacing w:after="0"/>
        <w:tabs>
          <w:tab w:leader="none" w:pos="216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Common Stock issued pursuant to the conversion or exercise of convertible or exercisable securities outstanding as of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 Time;</w:t>
      </w:r>
    </w:p>
    <w:p>
      <w:pPr>
        <w:spacing w:after="0" w:line="210" w:lineRule="exact"/>
        <w:rPr>
          <w:rFonts w:ascii="Arial" w:cs="Arial" w:eastAsia="Arial" w:hAnsi="Arial"/>
          <w:sz w:val="16"/>
          <w:szCs w:val="16"/>
          <w:b w:val="1"/>
          <w:bCs w:val="1"/>
          <w:color w:val="auto"/>
        </w:rPr>
      </w:pPr>
    </w:p>
    <w:p>
      <w:pPr>
        <w:ind w:right="200" w:firstLine="1862"/>
        <w:spacing w:after="0" w:line="263" w:lineRule="auto"/>
        <w:tabs>
          <w:tab w:leader="none" w:pos="215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Common Stock issued in connection with a bona fide business acquisition of or by this corporation, whether by merger, consolidation, sale of assets, sale or exchange of stock or otherwise, approved by the Board of Directors (which approval shall include the vote of a Preferred Director) and entered into primarily for a purpose other than for financing purposes;</w:t>
      </w:r>
    </w:p>
    <w:p>
      <w:pPr>
        <w:spacing w:after="0" w:line="182" w:lineRule="exact"/>
        <w:rPr>
          <w:rFonts w:ascii="Arial" w:cs="Arial" w:eastAsia="Arial" w:hAnsi="Arial"/>
          <w:sz w:val="18"/>
          <w:szCs w:val="18"/>
          <w:b w:val="1"/>
          <w:bCs w:val="1"/>
          <w:color w:val="auto"/>
        </w:rPr>
      </w:pPr>
    </w:p>
    <w:p>
      <w:pPr>
        <w:ind w:right="40" w:firstLine="1862"/>
        <w:spacing w:after="0" w:line="277" w:lineRule="auto"/>
        <w:tabs>
          <w:tab w:leader="none" w:pos="214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Common Stock issued or deemed issued pursuant to subsection 4(d)(i)(E) as a result of a decrease in the Conversion Price of any series of Preferred Stock resulting from the operation of Section 4(d);</w:t>
      </w:r>
    </w:p>
    <w:p>
      <w:pPr>
        <w:spacing w:after="0" w:line="169" w:lineRule="exact"/>
        <w:rPr>
          <w:rFonts w:ascii="Arial" w:cs="Arial" w:eastAsia="Arial" w:hAnsi="Arial"/>
          <w:sz w:val="18"/>
          <w:szCs w:val="18"/>
          <w:b w:val="1"/>
          <w:bCs w:val="1"/>
          <w:color w:val="auto"/>
        </w:rPr>
      </w:pPr>
    </w:p>
    <w:p>
      <w:pPr>
        <w:ind w:right="200" w:firstLine="1862"/>
        <w:spacing w:after="0" w:line="263" w:lineRule="auto"/>
        <w:tabs>
          <w:tab w:leader="none" w:pos="217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Common Stock issued upon conversion of (1) the Preferred Stock outstanding as of the Effective Time and (2) the Preferred Stock issued pursuant to that certain Series 7 Preferred Stock Purchase Agreement, dated on or about the Effective Time, by and among this corporation and the Investors set forth on Schedule A thereto;</w:t>
      </w:r>
    </w:p>
    <w:p>
      <w:pPr>
        <w:spacing w:after="0" w:line="182" w:lineRule="exact"/>
        <w:rPr>
          <w:rFonts w:ascii="Arial" w:cs="Arial" w:eastAsia="Arial" w:hAnsi="Arial"/>
          <w:sz w:val="18"/>
          <w:szCs w:val="18"/>
          <w:b w:val="1"/>
          <w:bCs w:val="1"/>
          <w:color w:val="auto"/>
        </w:rPr>
      </w:pPr>
    </w:p>
    <w:p>
      <w:pPr>
        <w:ind w:right="260" w:firstLine="1862"/>
        <w:spacing w:after="0" w:line="263" w:lineRule="auto"/>
        <w:tabs>
          <w:tab w:leader="none" w:pos="2176"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pursuant to any equipment leasing arrangement or debt financing arrangement, which arrangement is approved by the Board of Directors (which approval shall include the affirmative vote of a Preferred Director) and is primarily for non-equity financing purposes; or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280" w:name="page281"/>
    <w:bookmarkEnd w:id="280"/>
    <w:p>
      <w:pPr>
        <w:ind w:left="-20" w:right="520" w:firstLine="1862"/>
        <w:spacing w:after="0" w:line="263" w:lineRule="auto"/>
        <w:tabs>
          <w:tab w:leader="none" w:pos="208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issued to persons or entities with which this corporation has business relationships, provided such issuances are approved by the Board of Directors (which approval shall include the affirmative vote of a Preferred Director) and are primarily for non-equity financing purposes.</w:t>
      </w:r>
    </w:p>
    <w:p>
      <w:pPr>
        <w:spacing w:after="0" w:line="183" w:lineRule="exact"/>
        <w:rPr>
          <w:sz w:val="20"/>
          <w:szCs w:val="20"/>
          <w:color w:val="auto"/>
        </w:rPr>
      </w:pPr>
    </w:p>
    <w:p>
      <w:pPr>
        <w:ind w:left="-20" w:right="20" w:firstLine="1862"/>
        <w:spacing w:after="0" w:line="288" w:lineRule="auto"/>
        <w:tabs>
          <w:tab w:leader="none" w:pos="2166" w:val="left"/>
        </w:tabs>
        <w:numPr>
          <w:ilvl w:val="1"/>
          <w:numId w:val="213"/>
        </w:numPr>
        <w:rPr>
          <w:rFonts w:ascii="Arial" w:cs="Arial" w:eastAsia="Arial" w:hAnsi="Arial"/>
          <w:sz w:val="16"/>
          <w:szCs w:val="16"/>
          <w:b w:val="1"/>
          <w:bCs w:val="1"/>
          <w:color w:val="auto"/>
        </w:rPr>
      </w:pPr>
      <w:r>
        <w:rPr>
          <w:rFonts w:ascii="Arial" w:cs="Arial" w:eastAsia="Arial" w:hAnsi="Arial"/>
          <w:sz w:val="16"/>
          <w:szCs w:val="16"/>
          <w:color w:val="auto"/>
        </w:rPr>
        <w:t>In the event this corporation should at any time or from time to time after the Effective Time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Arial" w:cs="Arial" w:eastAsia="Arial" w:hAnsi="Arial"/>
          <w:sz w:val="16"/>
          <w:szCs w:val="16"/>
          <w:b w:val="1"/>
          <w:bCs w:val="1"/>
          <w:i w:val="1"/>
          <w:iCs w:val="1"/>
          <w:color w:val="auto"/>
        </w:rPr>
        <w:t>Common Stock Equivalents</w:t>
      </w:r>
      <w:r>
        <w:rPr>
          <w:rFonts w:ascii="Arial" w:cs="Arial" w:eastAsia="Arial" w:hAnsi="Arial"/>
          <w:sz w:val="16"/>
          <w:szCs w:val="16"/>
          <w:color w:val="auto"/>
        </w:rPr>
        <w:t>”)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Series 2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166" w:lineRule="exact"/>
        <w:rPr>
          <w:rFonts w:ascii="Arial" w:cs="Arial" w:eastAsia="Arial" w:hAnsi="Arial"/>
          <w:sz w:val="16"/>
          <w:szCs w:val="16"/>
          <w:b w:val="1"/>
          <w:bCs w:val="1"/>
          <w:color w:val="auto"/>
        </w:rPr>
      </w:pPr>
    </w:p>
    <w:p>
      <w:pPr>
        <w:jc w:val="both"/>
        <w:ind w:left="-20" w:firstLine="1862"/>
        <w:spacing w:after="0" w:line="259" w:lineRule="auto"/>
        <w:tabs>
          <w:tab w:leader="none" w:pos="2156"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If the number of shares of Common Stock outstanding at any time after the Effective Time is decreased by a combination of the outstanding shares of Common Stock, then, following the record date of such combination, the Conversion Price for the Preferred Stock shall be appropriately increased so that the number of shares of Series 2 Common Stock issuable on conversion of each share of such series shall be decreased in proportion to such decrease in outstanding shares.</w:t>
      </w:r>
    </w:p>
    <w:p>
      <w:pPr>
        <w:spacing w:after="0" w:line="185" w:lineRule="exact"/>
        <w:rPr>
          <w:rFonts w:ascii="Arial" w:cs="Arial" w:eastAsia="Arial" w:hAnsi="Arial"/>
          <w:sz w:val="18"/>
          <w:szCs w:val="18"/>
          <w:b w:val="1"/>
          <w:bCs w:val="1"/>
          <w:color w:val="auto"/>
        </w:rPr>
      </w:pPr>
    </w:p>
    <w:p>
      <w:pPr>
        <w:ind w:left="-20" w:firstLine="1421"/>
        <w:spacing w:after="0" w:line="296" w:lineRule="auto"/>
        <w:tabs>
          <w:tab w:leader="none" w:pos="1655" w:val="left"/>
        </w:tabs>
        <w:numPr>
          <w:ilvl w:val="0"/>
          <w:numId w:val="214"/>
        </w:numPr>
        <w:rPr>
          <w:rFonts w:ascii="Arial" w:cs="Arial" w:eastAsia="Arial" w:hAnsi="Arial"/>
          <w:sz w:val="16"/>
          <w:szCs w:val="16"/>
          <w:b w:val="1"/>
          <w:bCs w:val="1"/>
          <w:color w:val="auto"/>
        </w:rPr>
      </w:pPr>
      <w:r>
        <w:rPr>
          <w:rFonts w:ascii="Arial" w:cs="Arial" w:eastAsia="Arial" w:hAnsi="Arial"/>
          <w:sz w:val="16"/>
          <w:szCs w:val="16"/>
          <w:u w:val="single" w:color="auto"/>
          <w:color w:val="auto"/>
        </w:rPr>
        <w:t>Other Distributions</w:t>
      </w:r>
      <w:r>
        <w:rPr>
          <w:rFonts w:ascii="Arial" w:cs="Arial" w:eastAsia="Arial" w:hAnsi="Arial"/>
          <w:sz w:val="16"/>
          <w:szCs w:val="16"/>
          <w:color w:val="auto"/>
        </w:rPr>
        <w:t>. In the event this corporation shall declare a distribution payable in securities of other persons, evidences of indebtedness issued by this corporation or other persons, assets (excluding cash dividends) or options or rights not referred to in subsection 4(d),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w:t>
      </w:r>
    </w:p>
    <w:p>
      <w:pPr>
        <w:spacing w:after="0" w:line="160" w:lineRule="exact"/>
        <w:rPr>
          <w:rFonts w:ascii="Arial" w:cs="Arial" w:eastAsia="Arial" w:hAnsi="Arial"/>
          <w:sz w:val="16"/>
          <w:szCs w:val="16"/>
          <w:b w:val="1"/>
          <w:bCs w:val="1"/>
          <w:color w:val="auto"/>
        </w:rPr>
      </w:pPr>
    </w:p>
    <w:p>
      <w:pPr>
        <w:ind w:left="-20" w:right="40" w:firstLine="1421"/>
        <w:spacing w:after="0" w:line="296" w:lineRule="auto"/>
        <w:tabs>
          <w:tab w:leader="none" w:pos="1635" w:val="left"/>
        </w:tabs>
        <w:numPr>
          <w:ilvl w:val="0"/>
          <w:numId w:val="214"/>
        </w:numPr>
        <w:rPr>
          <w:rFonts w:ascii="Arial" w:cs="Arial" w:eastAsia="Arial" w:hAnsi="Arial"/>
          <w:sz w:val="16"/>
          <w:szCs w:val="16"/>
          <w:b w:val="1"/>
          <w:bCs w:val="1"/>
          <w:color w:val="auto"/>
        </w:rPr>
      </w:pPr>
      <w:r>
        <w:rPr>
          <w:rFonts w:ascii="Arial" w:cs="Arial" w:eastAsia="Arial" w:hAnsi="Arial"/>
          <w:sz w:val="16"/>
          <w:szCs w:val="16"/>
          <w:u w:val="single" w:color="auto"/>
          <w:color w:val="auto"/>
        </w:rPr>
        <w:t>Recapitalizations</w:t>
      </w:r>
      <w:r>
        <w:rPr>
          <w:rFonts w:ascii="Arial" w:cs="Arial" w:eastAsia="Arial" w:hAnsi="Arial"/>
          <w:sz w:val="16"/>
          <w:szCs w:val="16"/>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Series 2 Common Stock deliverable upon conversion would have been entitled on such recapitalization. In any such case, appropriate adjustment shall be made in the application of the provisions of this Section 4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281" w:name="page282"/>
    <w:bookmarkEnd w:id="281"/>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183" w:lineRule="exact"/>
        <w:rPr>
          <w:sz w:val="20"/>
          <w:szCs w:val="20"/>
          <w:color w:val="auto"/>
        </w:rPr>
      </w:pPr>
    </w:p>
    <w:p>
      <w:pPr>
        <w:ind w:firstLine="1421"/>
        <w:spacing w:after="0" w:line="269" w:lineRule="auto"/>
        <w:tabs>
          <w:tab w:leader="none" w:pos="1685" w:val="left"/>
        </w:tabs>
        <w:numPr>
          <w:ilvl w:val="0"/>
          <w:numId w:val="215"/>
        </w:numPr>
        <w:rPr>
          <w:rFonts w:ascii="Arial" w:cs="Arial" w:eastAsia="Arial" w:hAnsi="Arial"/>
          <w:sz w:val="17"/>
          <w:szCs w:val="17"/>
          <w:b w:val="1"/>
          <w:bCs w:val="1"/>
          <w:color w:val="auto"/>
        </w:rPr>
      </w:pPr>
      <w:r>
        <w:rPr>
          <w:rFonts w:ascii="Arial" w:cs="Arial" w:eastAsia="Arial" w:hAnsi="Arial"/>
          <w:sz w:val="17"/>
          <w:szCs w:val="17"/>
          <w:color w:val="auto"/>
        </w:rPr>
        <w:t>In the event of Financing Acquisition Transaction, pursuant to which this corporation’s stockholders are to receive securities of another corporation (the “</w:t>
      </w:r>
      <w:r>
        <w:rPr>
          <w:rFonts w:ascii="Arial" w:cs="Arial" w:eastAsia="Arial" w:hAnsi="Arial"/>
          <w:sz w:val="17"/>
          <w:szCs w:val="17"/>
          <w:b w:val="1"/>
          <w:bCs w:val="1"/>
          <w:i w:val="1"/>
          <w:iCs w:val="1"/>
          <w:color w:val="auto"/>
        </w:rPr>
        <w:t>Issuing Corporation</w:t>
      </w:r>
      <w:r>
        <w:rPr>
          <w:rFonts w:ascii="Arial" w:cs="Arial" w:eastAsia="Arial" w:hAnsi="Arial"/>
          <w:sz w:val="17"/>
          <w:szCs w:val="17"/>
          <w:color w:val="auto"/>
        </w:rPr>
        <w:t>”) and the Effective Consideration Per Share is less than the Conversion Price applicable to a series of Preferred Stock in effect immediately prior to the consummation of the Financing Acquisition Transaction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the Conversion Price for such series in effect immediately prior to the Closing shall be adjusted in a manner consistent with subsection (4)(d)(i)(A); provided that (i) the number of shares of “</w:t>
      </w:r>
      <w:r>
        <w:rPr>
          <w:rFonts w:ascii="Arial" w:cs="Arial" w:eastAsia="Arial" w:hAnsi="Arial"/>
          <w:sz w:val="17"/>
          <w:szCs w:val="17"/>
          <w:b w:val="1"/>
          <w:bCs w:val="1"/>
          <w:i w:val="1"/>
          <w:iCs w:val="1"/>
          <w:color w:val="auto"/>
        </w:rPr>
        <w:t>Additional Stock</w:t>
      </w:r>
      <w:r>
        <w:rPr>
          <w:rFonts w:ascii="Arial" w:cs="Arial" w:eastAsia="Arial" w:hAnsi="Arial"/>
          <w:sz w:val="17"/>
          <w:szCs w:val="17"/>
          <w:color w:val="auto"/>
        </w:rPr>
        <w:t>” issued shall be deemed to be equal to the number of the Issuing Corporation’s Merger Shares, (ii) the aggregate consideration per share received by this corporation shall be deemed to be equal to the Effective Consideration Per Share and (iii) the number of shares of “</w:t>
      </w:r>
      <w:r>
        <w:rPr>
          <w:rFonts w:ascii="Arial" w:cs="Arial" w:eastAsia="Arial" w:hAnsi="Arial"/>
          <w:sz w:val="17"/>
          <w:szCs w:val="17"/>
          <w:b w:val="1"/>
          <w:bCs w:val="1"/>
          <w:i w:val="1"/>
          <w:iCs w:val="1"/>
          <w:color w:val="auto"/>
        </w:rPr>
        <w:t>Common Stock Outstanding</w:t>
      </w:r>
      <w:r>
        <w:rPr>
          <w:rFonts w:ascii="Arial" w:cs="Arial" w:eastAsia="Arial" w:hAnsi="Arial"/>
          <w:sz w:val="17"/>
          <w:szCs w:val="17"/>
          <w:color w:val="auto"/>
        </w:rPr>
        <w:t>” shall be deemed to be equal to the number of Consideration Merger Shares, with appropriate corresponding adjustments to the Original Issue Price and Conversion Price of the applicable series of Preferred Stock (including, without limitation, for purposes of determining (x) if the Effective Consideration Per Share is less than the Conversion Price of the applicable series of Preferred Stock and (y) the resulting Conversion Rate of the applicable series of Preferred Stock). For purposes of this subsection 4(g):</w:t>
      </w:r>
    </w:p>
    <w:p>
      <w:pPr>
        <w:spacing w:after="0" w:line="75" w:lineRule="exact"/>
        <w:rPr>
          <w:rFonts w:ascii="Arial" w:cs="Arial" w:eastAsia="Arial" w:hAnsi="Arial"/>
          <w:sz w:val="17"/>
          <w:szCs w:val="17"/>
          <w:b w:val="1"/>
          <w:bCs w:val="1"/>
          <w:color w:val="auto"/>
        </w:rPr>
      </w:pPr>
    </w:p>
    <w:p>
      <w:pPr>
        <w:ind w:right="340" w:firstLine="1862"/>
        <w:spacing w:after="0" w:line="277" w:lineRule="auto"/>
        <w:tabs>
          <w:tab w:leader="none" w:pos="2086"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Entity</w:t>
      </w:r>
      <w:r>
        <w:rPr>
          <w:rFonts w:ascii="Arial" w:cs="Arial" w:eastAsia="Arial" w:hAnsi="Arial"/>
          <w:sz w:val="18"/>
          <w:szCs w:val="18"/>
          <w:color w:val="auto"/>
        </w:rPr>
        <w:t>” shall mean the corporation issuing shares to the former stakeholders (including, without limitation, stockholders and other equityholders) of this corporation pursuant to the Financing Acquisition Transaction.</w:t>
      </w:r>
    </w:p>
    <w:p>
      <w:pPr>
        <w:spacing w:after="0" w:line="169" w:lineRule="exact"/>
        <w:rPr>
          <w:rFonts w:ascii="Arial" w:cs="Arial" w:eastAsia="Arial" w:hAnsi="Arial"/>
          <w:sz w:val="18"/>
          <w:szCs w:val="18"/>
          <w:b w:val="1"/>
          <w:bCs w:val="1"/>
          <w:color w:val="auto"/>
        </w:rPr>
      </w:pPr>
    </w:p>
    <w:p>
      <w:pPr>
        <w:ind w:right="200" w:firstLine="1862"/>
        <w:spacing w:after="0" w:line="263" w:lineRule="auto"/>
        <w:tabs>
          <w:tab w:leader="none" w:pos="2136"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Consideration Merger Shares</w:t>
      </w:r>
      <w:r>
        <w:rPr>
          <w:rFonts w:ascii="Arial" w:cs="Arial" w:eastAsia="Arial" w:hAnsi="Arial"/>
          <w:sz w:val="18"/>
          <w:szCs w:val="18"/>
          <w:color w:val="auto"/>
        </w:rPr>
        <w:t>” shall mean all Outstanding Stock of the Combined Entity to be issued to all former stakeholders (including, without limitation, stockholders and other equityholders) of this corporation, as of immediately prior to the Closing, upon the Closing as a result of their holdings in this corporation immediately prior to the Closing.</w:t>
      </w:r>
    </w:p>
    <w:p>
      <w:pPr>
        <w:spacing w:after="0" w:line="182" w:lineRule="exact"/>
        <w:rPr>
          <w:rFonts w:ascii="Arial" w:cs="Arial" w:eastAsia="Arial" w:hAnsi="Arial"/>
          <w:sz w:val="18"/>
          <w:szCs w:val="18"/>
          <w:b w:val="1"/>
          <w:bCs w:val="1"/>
          <w:color w:val="auto"/>
        </w:rPr>
      </w:pPr>
    </w:p>
    <w:p>
      <w:pPr>
        <w:ind w:right="20" w:firstLine="1862"/>
        <w:spacing w:after="0" w:line="263" w:lineRule="auto"/>
        <w:tabs>
          <w:tab w:leader="none" w:pos="2186"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Consideration Per Share</w:t>
      </w:r>
      <w:r>
        <w:rPr>
          <w:rFonts w:ascii="Arial" w:cs="Arial" w:eastAsia="Arial" w:hAnsi="Arial"/>
          <w:sz w:val="18"/>
          <w:szCs w:val="18"/>
          <w:color w:val="auto"/>
        </w:rPr>
        <w:t>” shall mean the fair market value of all Outstanding Stock of the Issuing Corporation (calculated immediately prior to the Financing Acquisition Transaction), which shall be determined in a manner consistent with subsection 2(e)(ii), divided by the number of Issuing Corporation’s Merger Shares.</w:t>
      </w:r>
    </w:p>
    <w:p>
      <w:pPr>
        <w:spacing w:after="0" w:line="182" w:lineRule="exact"/>
        <w:rPr>
          <w:rFonts w:ascii="Arial" w:cs="Arial" w:eastAsia="Arial" w:hAnsi="Arial"/>
          <w:sz w:val="18"/>
          <w:szCs w:val="18"/>
          <w:b w:val="1"/>
          <w:bCs w:val="1"/>
          <w:color w:val="auto"/>
        </w:rPr>
      </w:pPr>
    </w:p>
    <w:p>
      <w:pPr>
        <w:ind w:right="80" w:firstLine="1862"/>
        <w:spacing w:after="0" w:line="259" w:lineRule="auto"/>
        <w:tabs>
          <w:tab w:leader="none" w:pos="2176" w:val="left"/>
        </w:tabs>
        <w:numPr>
          <w:ilvl w:val="1"/>
          <w:numId w:val="2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Financing Acquisition Transaction</w:t>
      </w:r>
      <w:r>
        <w:rPr>
          <w:rFonts w:ascii="Arial" w:cs="Arial" w:eastAsia="Arial" w:hAnsi="Arial"/>
          <w:sz w:val="18"/>
          <w:szCs w:val="18"/>
          <w:color w:val="auto"/>
        </w:rPr>
        <w:t>” means a bona fide business acquisition of or by this corporation, whether by merger, consolidation, sale of assets, sale or exchange of stock or otherwise, which does not constitute a Liquidation Event and is entered into primarily for the purpose of financing this corporation, which financing purposes include without limitation, providing this corporation with access to the Issuing Corporation’s cash or financing opportunities.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282" w:name="page283"/>
    <w:bookmarkEnd w:id="282"/>
    <w:p>
      <w:pPr>
        <w:ind w:right="40" w:firstLine="1862"/>
        <w:spacing w:after="0" w:line="263" w:lineRule="auto"/>
        <w:tabs>
          <w:tab w:leader="none" w:pos="2126"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Issuing Corporation’s Merger Shares</w:t>
      </w:r>
      <w:r>
        <w:rPr>
          <w:rFonts w:ascii="Arial" w:cs="Arial" w:eastAsia="Arial" w:hAnsi="Arial"/>
          <w:sz w:val="18"/>
          <w:szCs w:val="18"/>
          <w:color w:val="auto"/>
        </w:rPr>
        <w:t>” shall mean all Outstanding Stock of the Combined Entity to be held by all former stakeholders (including, without limitation, stockholders and other equityholders) of the Issuing Corporation, as of immediately prior to the Closing, upon the Closing as a result of their holdings in the Issuing Corporation immediately prior to the Closing.</w:t>
      </w:r>
    </w:p>
    <w:p>
      <w:pPr>
        <w:spacing w:after="0" w:line="182" w:lineRule="exact"/>
        <w:rPr>
          <w:rFonts w:ascii="Arial" w:cs="Arial" w:eastAsia="Arial" w:hAnsi="Arial"/>
          <w:sz w:val="18"/>
          <w:szCs w:val="18"/>
          <w:b w:val="1"/>
          <w:bCs w:val="1"/>
          <w:color w:val="auto"/>
        </w:rPr>
      </w:pPr>
    </w:p>
    <w:p>
      <w:pPr>
        <w:ind w:firstLine="1862"/>
        <w:spacing w:after="0" w:line="256" w:lineRule="auto"/>
        <w:tabs>
          <w:tab w:leader="none" w:pos="2176" w:val="left"/>
        </w:tabs>
        <w:numPr>
          <w:ilvl w:val="1"/>
          <w:numId w:val="2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 Stock</w:t>
      </w:r>
      <w:r>
        <w:rPr>
          <w:rFonts w:ascii="Arial" w:cs="Arial" w:eastAsia="Arial" w:hAnsi="Arial"/>
          <w:sz w:val="18"/>
          <w:szCs w:val="18"/>
          <w:color w:val="auto"/>
        </w:rPr>
        <w:t>”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91" w:lineRule="exact"/>
        <w:rPr>
          <w:rFonts w:ascii="Arial" w:cs="Arial" w:eastAsia="Arial" w:hAnsi="Arial"/>
          <w:sz w:val="18"/>
          <w:szCs w:val="18"/>
          <w:b w:val="1"/>
          <w:bCs w:val="1"/>
          <w:color w:val="auto"/>
        </w:rPr>
      </w:pPr>
    </w:p>
    <w:p>
      <w:pPr>
        <w:ind w:left="1680" w:hanging="259"/>
        <w:spacing w:after="0"/>
        <w:tabs>
          <w:tab w:leader="none" w:pos="1680" w:val="left"/>
        </w:tabs>
        <w:numPr>
          <w:ilvl w:val="0"/>
          <w:numId w:val="217"/>
        </w:numPr>
        <w:rPr>
          <w:rFonts w:ascii="Arial" w:cs="Arial" w:eastAsia="Arial" w:hAnsi="Arial"/>
          <w:sz w:val="18"/>
          <w:szCs w:val="18"/>
          <w:b w:val="1"/>
          <w:bCs w:val="1"/>
          <w:color w:val="auto"/>
        </w:rPr>
      </w:pPr>
      <w:r>
        <w:rPr>
          <w:rFonts w:ascii="Arial" w:cs="Arial" w:eastAsia="Arial" w:hAnsi="Arial"/>
          <w:sz w:val="18"/>
          <w:szCs w:val="18"/>
          <w:u w:val="single" w:color="auto"/>
          <w:color w:val="auto"/>
        </w:rPr>
        <w:t>No Fractional Shares and Certificate as to Adjustments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right="300" w:firstLine="1862"/>
        <w:spacing w:after="0" w:line="255" w:lineRule="auto"/>
        <w:tabs>
          <w:tab w:leader="none" w:pos="2086" w:val="left"/>
        </w:tabs>
        <w:numPr>
          <w:ilvl w:val="1"/>
          <w:numId w:val="217"/>
        </w:numPr>
        <w:rPr>
          <w:rFonts w:ascii="Arial" w:cs="Arial" w:eastAsia="Arial" w:hAnsi="Arial"/>
          <w:sz w:val="18"/>
          <w:szCs w:val="18"/>
          <w:b w:val="1"/>
          <w:bCs w:val="1"/>
          <w:color w:val="auto"/>
        </w:rPr>
      </w:pPr>
      <w:r>
        <w:rPr>
          <w:rFonts w:ascii="Arial" w:cs="Arial" w:eastAsia="Arial" w:hAnsi="Arial"/>
          <w:sz w:val="18"/>
          <w:szCs w:val="18"/>
          <w:color w:val="auto"/>
        </w:rPr>
        <w:t>No fractional shares shall be issued upon the conversion of any share or shares of the Preferred Stock and the aggregate number of shares of Series 2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Series 2 Common Stock and the number of shares of Series 2 Common Stock issuable upon such conversion.</w:t>
      </w:r>
    </w:p>
    <w:p>
      <w:pPr>
        <w:spacing w:after="0" w:line="191" w:lineRule="exact"/>
        <w:rPr>
          <w:rFonts w:ascii="Arial" w:cs="Arial" w:eastAsia="Arial" w:hAnsi="Arial"/>
          <w:sz w:val="18"/>
          <w:szCs w:val="18"/>
          <w:b w:val="1"/>
          <w:bCs w:val="1"/>
          <w:color w:val="auto"/>
        </w:rPr>
      </w:pPr>
    </w:p>
    <w:p>
      <w:pPr>
        <w:ind w:firstLine="1862"/>
        <w:spacing w:after="0" w:line="272" w:lineRule="auto"/>
        <w:tabs>
          <w:tab w:leader="none" w:pos="2136" w:val="left"/>
        </w:tabs>
        <w:numPr>
          <w:ilvl w:val="1"/>
          <w:numId w:val="217"/>
        </w:numPr>
        <w:rPr>
          <w:rFonts w:ascii="Arial" w:cs="Arial" w:eastAsia="Arial" w:hAnsi="Arial"/>
          <w:sz w:val="17"/>
          <w:szCs w:val="17"/>
          <w:b w:val="1"/>
          <w:bCs w:val="1"/>
          <w:color w:val="auto"/>
        </w:rPr>
      </w:pPr>
      <w:r>
        <w:rPr>
          <w:rFonts w:ascii="Arial" w:cs="Arial" w:eastAsia="Arial" w:hAnsi="Arial"/>
          <w:sz w:val="17"/>
          <w:szCs w:val="17"/>
          <w:color w:val="auto"/>
        </w:rPr>
        <w:t>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Series 2 Common Stock and the amount, if any, of other property that at the time would be received upon the conversion of a share of Preferred Stock.</w:t>
      </w:r>
    </w:p>
    <w:p>
      <w:pPr>
        <w:spacing w:after="0" w:line="175" w:lineRule="exact"/>
        <w:rPr>
          <w:rFonts w:ascii="Arial" w:cs="Arial" w:eastAsia="Arial" w:hAnsi="Arial"/>
          <w:sz w:val="17"/>
          <w:szCs w:val="17"/>
          <w:b w:val="1"/>
          <w:bCs w:val="1"/>
          <w:color w:val="auto"/>
        </w:rPr>
      </w:pPr>
    </w:p>
    <w:p>
      <w:pPr>
        <w:ind w:right="120" w:firstLine="1421"/>
        <w:spacing w:after="0" w:line="301" w:lineRule="auto"/>
        <w:tabs>
          <w:tab w:leader="none" w:pos="1646" w:val="left"/>
        </w:tabs>
        <w:numPr>
          <w:ilvl w:val="0"/>
          <w:numId w:val="217"/>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Notices of Record Date</w:t>
      </w:r>
      <w:r>
        <w:rPr>
          <w:rFonts w:ascii="Arial" w:cs="Arial" w:eastAsia="Arial" w:hAnsi="Arial"/>
          <w:sz w:val="16"/>
          <w:szCs w:val="16"/>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twenty (20) days prior to the date specified therein, a notice specifying the date on which any such record is to be taken for the purpose of such dividend or distribution, and the amount and character of such dividend or distribution.</w:t>
      </w:r>
    </w:p>
    <w:p>
      <w:pPr>
        <w:spacing w:after="0" w:line="156" w:lineRule="exact"/>
        <w:rPr>
          <w:rFonts w:ascii="Arial" w:cs="Arial" w:eastAsia="Arial" w:hAnsi="Arial"/>
          <w:sz w:val="16"/>
          <w:szCs w:val="16"/>
          <w:b w:val="1"/>
          <w:bCs w:val="1"/>
          <w:color w:val="auto"/>
        </w:rPr>
      </w:pPr>
    </w:p>
    <w:p>
      <w:pPr>
        <w:ind w:right="180" w:firstLine="1421"/>
        <w:spacing w:after="0" w:line="263" w:lineRule="auto"/>
        <w:tabs>
          <w:tab w:leader="none" w:pos="1655" w:val="left"/>
        </w:tabs>
        <w:numPr>
          <w:ilvl w:val="0"/>
          <w:numId w:val="217"/>
        </w:numPr>
        <w:rPr>
          <w:rFonts w:ascii="Arial" w:cs="Arial" w:eastAsia="Arial" w:hAnsi="Arial"/>
          <w:sz w:val="18"/>
          <w:szCs w:val="18"/>
          <w:b w:val="1"/>
          <w:bCs w:val="1"/>
          <w:color w:val="auto"/>
        </w:rPr>
      </w:pPr>
      <w:r>
        <w:rPr>
          <w:rFonts w:ascii="Arial" w:cs="Arial" w:eastAsia="Arial" w:hAnsi="Arial"/>
          <w:sz w:val="18"/>
          <w:szCs w:val="18"/>
          <w:u w:val="single" w:color="auto"/>
          <w:color w:val="auto"/>
        </w:rPr>
        <w:t>Reservation of Stock Issuable Upon Conversion</w:t>
      </w:r>
      <w:r>
        <w:rPr>
          <w:rFonts w:ascii="Arial" w:cs="Arial" w:eastAsia="Arial" w:hAnsi="Arial"/>
          <w:sz w:val="18"/>
          <w:szCs w:val="18"/>
          <w:color w:val="auto"/>
        </w:rPr>
        <w:t>. This corporation shall at all times reserve and keep available out of its authorized but unissued shares of Series 2 Common Stock, solely for the purpose of effecting the conversion of the shares of the Preferred Stock, such number of its shares of Series 2 Common Stock as shall from time to time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83" w:name="page284"/>
    <w:bookmarkEnd w:id="283"/>
    <w:p>
      <w:pPr>
        <w:ind w:left="1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sufficient to effect the conversion of all outstanding shares of the Preferred Stock; and if at any time the number of authorized but unissued shares of Series 2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Series 2 Common Stock to such number of shares as shall be sufficient for such purposes, including, without limitation, engaging in best efforts to obtain the requisite stockholder approval of any necessary amendment to this Certificate of Incorporation.</w:t>
      </w:r>
    </w:p>
    <w:p>
      <w:pPr>
        <w:spacing w:after="0" w:line="191" w:lineRule="exact"/>
        <w:rPr>
          <w:sz w:val="20"/>
          <w:szCs w:val="20"/>
          <w:color w:val="auto"/>
        </w:rPr>
      </w:pPr>
    </w:p>
    <w:p>
      <w:pPr>
        <w:ind w:left="10" w:right="180" w:firstLine="1421"/>
        <w:spacing w:after="0" w:line="263" w:lineRule="auto"/>
        <w:tabs>
          <w:tab w:leader="none" w:pos="1705" w:val="left"/>
        </w:tabs>
        <w:numPr>
          <w:ilvl w:val="2"/>
          <w:numId w:val="218"/>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4 to be given to the holders of shares of Preferred Stock shall be deemed given four (4) business days after being deposited in the United States mail, postage prepaid, and addressed to each holder of record at his address appearing on the books of this corporation.</w:t>
      </w:r>
    </w:p>
    <w:p>
      <w:pPr>
        <w:spacing w:after="0" w:line="182" w:lineRule="exact"/>
        <w:rPr>
          <w:rFonts w:ascii="Arial" w:cs="Arial" w:eastAsia="Arial" w:hAnsi="Arial"/>
          <w:sz w:val="18"/>
          <w:szCs w:val="18"/>
          <w:b w:val="1"/>
          <w:bCs w:val="1"/>
          <w:color w:val="auto"/>
        </w:rPr>
      </w:pPr>
    </w:p>
    <w:p>
      <w:pPr>
        <w:ind w:left="10" w:firstLine="1421"/>
        <w:spacing w:after="0" w:line="275" w:lineRule="auto"/>
        <w:tabs>
          <w:tab w:leader="none" w:pos="1655" w:val="left"/>
        </w:tabs>
        <w:numPr>
          <w:ilvl w:val="2"/>
          <w:numId w:val="218"/>
        </w:numPr>
        <w:rPr>
          <w:rFonts w:ascii="Arial" w:cs="Arial" w:eastAsia="Arial" w:hAnsi="Arial"/>
          <w:sz w:val="17"/>
          <w:szCs w:val="17"/>
          <w:b w:val="1"/>
          <w:bCs w:val="1"/>
          <w:color w:val="auto"/>
        </w:rPr>
      </w:pPr>
      <w:r>
        <w:rPr>
          <w:rFonts w:ascii="Arial" w:cs="Arial" w:eastAsia="Arial" w:hAnsi="Arial"/>
          <w:sz w:val="17"/>
          <w:szCs w:val="17"/>
          <w:u w:val="single" w:color="auto"/>
          <w:color w:val="auto"/>
        </w:rPr>
        <w:t>Waiver of Adjustment to Conversion Price</w:t>
      </w:r>
      <w:r>
        <w:rPr>
          <w:rFonts w:ascii="Arial" w:cs="Arial" w:eastAsia="Arial" w:hAnsi="Arial"/>
          <w:sz w:val="17"/>
          <w:szCs w:val="17"/>
          <w:color w:val="auto"/>
        </w:rPr>
        <w:t>. Notwithstanding anything herein to the contrary, any downward adjustment of the Conversion Price of any series of Preferred Stock may be waived, either prospectively or retroactively and either generally or in a particular instance, by the written consent or vote of the holders of at least a majority of the voting power (as determined in accordance with subsection (5)(a) below) of the then outstanding shares of Preferred Stock (voting together as a single class and on an as-converted basis); provided, that, such waiver applies to all series of Preferred Stock. Any such waiver shall bind all future holders of shares of such series of Preferred Stock.</w:t>
      </w:r>
    </w:p>
    <w:p>
      <w:pPr>
        <w:spacing w:after="0" w:line="175" w:lineRule="exact"/>
        <w:rPr>
          <w:rFonts w:ascii="Arial" w:cs="Arial" w:eastAsia="Arial" w:hAnsi="Arial"/>
          <w:sz w:val="17"/>
          <w:szCs w:val="17"/>
          <w:b w:val="1"/>
          <w:bCs w:val="1"/>
          <w:color w:val="auto"/>
        </w:rPr>
      </w:pPr>
    </w:p>
    <w:p>
      <w:pPr>
        <w:ind w:left="1070" w:hanging="189"/>
        <w:spacing w:after="0"/>
        <w:tabs>
          <w:tab w:leader="none" w:pos="1070" w:val="left"/>
        </w:tabs>
        <w:numPr>
          <w:ilvl w:val="1"/>
          <w:numId w:val="219"/>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10" w:right="140" w:firstLine="1421"/>
        <w:spacing w:after="0" w:line="290" w:lineRule="auto"/>
        <w:tabs>
          <w:tab w:leader="none" w:pos="1695" w:val="left"/>
        </w:tabs>
        <w:numPr>
          <w:ilvl w:val="2"/>
          <w:numId w:val="219"/>
        </w:numPr>
        <w:rPr>
          <w:rFonts w:ascii="Arial" w:cs="Arial" w:eastAsia="Arial" w:hAnsi="Arial"/>
          <w:sz w:val="16"/>
          <w:szCs w:val="16"/>
          <w:b w:val="1"/>
          <w:bCs w:val="1"/>
          <w:color w:val="auto"/>
        </w:rPr>
      </w:pPr>
      <w:r>
        <w:rPr>
          <w:rFonts w:ascii="Arial" w:cs="Arial" w:eastAsia="Arial" w:hAnsi="Arial"/>
          <w:sz w:val="16"/>
          <w:szCs w:val="16"/>
          <w:u w:val="single" w:color="auto"/>
          <w:color w:val="auto"/>
        </w:rPr>
        <w:t>General Voting Rights</w:t>
      </w:r>
      <w:r>
        <w:rPr>
          <w:rFonts w:ascii="Arial" w:cs="Arial" w:eastAsia="Arial" w:hAnsi="Arial"/>
          <w:sz w:val="16"/>
          <w:szCs w:val="16"/>
          <w:color w:val="auto"/>
        </w:rPr>
        <w:t>. The holder of (i) each share of Series 1 Preferred Stock, Series 2 Preferred Stock and Series 3 Preferred Stock shall have the right to 0.352941 votes for each share of Series 2 Common Stock into which such Preferred Stock could then be converted and</w:t>
      </w:r>
    </w:p>
    <w:p>
      <w:pPr>
        <w:spacing w:after="0" w:line="1" w:lineRule="exact"/>
        <w:rPr>
          <w:rFonts w:ascii="Arial" w:cs="Arial" w:eastAsia="Arial" w:hAnsi="Arial"/>
          <w:sz w:val="16"/>
          <w:szCs w:val="16"/>
          <w:b w:val="1"/>
          <w:bCs w:val="1"/>
          <w:color w:val="auto"/>
        </w:rPr>
      </w:pPr>
    </w:p>
    <w:p>
      <w:pPr>
        <w:ind w:left="10" w:right="180" w:hanging="10"/>
        <w:spacing w:after="0" w:line="268" w:lineRule="auto"/>
        <w:tabs>
          <w:tab w:leader="none" w:pos="27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each share of Series 4 Preferred Stock, Series 5 Preferred Stock, Series 6 Preferred Stock and Series 7 Preferred Stock, shall have the right to one vote for each share of Series 2 Common Stock into which such Preferred Stock could then be converted, and with respect to such votes, such holder shall have full voting rights and powers equal to the voting rights and powers of the holders of Common Stock, and shall be entitled, notwithstanding any provision hereof, to notice of any stockholders’ meeting in accordance with the Bylaws of this corporation, shall be entitled to vote, together with holders of Common Stock (except as otherwise provided below),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81" w:lineRule="exact"/>
        <w:rPr>
          <w:rFonts w:ascii="Arial" w:cs="Arial" w:eastAsia="Arial" w:hAnsi="Arial"/>
          <w:sz w:val="17"/>
          <w:szCs w:val="17"/>
          <w:color w:val="auto"/>
        </w:rPr>
      </w:pPr>
    </w:p>
    <w:p>
      <w:pPr>
        <w:ind w:left="10" w:right="160" w:firstLine="1421"/>
        <w:spacing w:after="0" w:line="259" w:lineRule="auto"/>
        <w:tabs>
          <w:tab w:leader="none" w:pos="1705" w:val="left"/>
        </w:tabs>
        <w:numPr>
          <w:ilvl w:val="2"/>
          <w:numId w:val="220"/>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for the Election of Directors</w:t>
      </w:r>
      <w:r>
        <w:rPr>
          <w:rFonts w:ascii="Arial" w:cs="Arial" w:eastAsia="Arial" w:hAnsi="Arial"/>
          <w:sz w:val="18"/>
          <w:szCs w:val="18"/>
          <w:color w:val="auto"/>
        </w:rPr>
        <w:t>. As long as any shares of Series 2 Common Stock remain outstanding, the holders of outstanding Series 2 Common Stock shall be entitled to elect two (2) directors of this corporation at any election of directors. As long as any shares of Series 4 Preferred Stock remain outstanding, the holders of outstanding Series 4 Preferred Stock shall be entitled to elect one (1) director of this corporation at any</w:t>
      </w:r>
    </w:p>
    <w:p>
      <w:pPr>
        <w:spacing w:after="0" w:line="11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70"/>
          </w:cols>
          <w:pgMar w:left="450" w:top="274" w:right="479" w:bottom="1440" w:gutter="0" w:footer="0" w:header="0"/>
        </w:sectPr>
      </w:pPr>
    </w:p>
    <w:bookmarkStart w:id="284" w:name="page285"/>
    <w:bookmarkEnd w:id="284"/>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of directors (the “</w:t>
      </w:r>
      <w:r>
        <w:rPr>
          <w:rFonts w:ascii="Arial" w:cs="Arial" w:eastAsia="Arial" w:hAnsi="Arial"/>
          <w:sz w:val="17"/>
          <w:szCs w:val="17"/>
          <w:b w:val="1"/>
          <w:bCs w:val="1"/>
          <w:i w:val="1"/>
          <w:iCs w:val="1"/>
          <w:color w:val="auto"/>
        </w:rPr>
        <w:t>Series 4 Director</w:t>
      </w:r>
      <w:r>
        <w:rPr>
          <w:rFonts w:ascii="Arial" w:cs="Arial" w:eastAsia="Arial" w:hAnsi="Arial"/>
          <w:sz w:val="17"/>
          <w:szCs w:val="17"/>
          <w:color w:val="auto"/>
        </w:rPr>
        <w:t>”). As long as any shares of Series 5 Preferred Stock remain outstanding, the holders of outstanding Series 5 Preferred Stock shall be entitled to elect one (1) director of this corporation at any election of directors (the “</w:t>
      </w:r>
      <w:r>
        <w:rPr>
          <w:rFonts w:ascii="Arial" w:cs="Arial" w:eastAsia="Arial" w:hAnsi="Arial"/>
          <w:sz w:val="17"/>
          <w:szCs w:val="17"/>
          <w:b w:val="1"/>
          <w:bCs w:val="1"/>
          <w:i w:val="1"/>
          <w:iCs w:val="1"/>
          <w:color w:val="auto"/>
        </w:rPr>
        <w:t>Series 5 Director</w:t>
      </w:r>
      <w:r>
        <w:rPr>
          <w:rFonts w:ascii="Arial" w:cs="Arial" w:eastAsia="Arial" w:hAnsi="Arial"/>
          <w:sz w:val="17"/>
          <w:szCs w:val="17"/>
          <w:color w:val="auto"/>
        </w:rPr>
        <w:t>”). As long as any shares of Series 6 Preferred Stock remain outstanding, the holders of outstanding Series 6 Preferred Stock shall be entitled to elect one (1) director of this corporation at any election of directors (the “</w:t>
      </w:r>
      <w:r>
        <w:rPr>
          <w:rFonts w:ascii="Arial" w:cs="Arial" w:eastAsia="Arial" w:hAnsi="Arial"/>
          <w:sz w:val="17"/>
          <w:szCs w:val="17"/>
          <w:b w:val="1"/>
          <w:bCs w:val="1"/>
          <w:i w:val="1"/>
          <w:iCs w:val="1"/>
          <w:color w:val="auto"/>
        </w:rPr>
        <w:t>Series 6 Director</w:t>
      </w:r>
      <w:r>
        <w:rPr>
          <w:rFonts w:ascii="Arial" w:cs="Arial" w:eastAsia="Arial" w:hAnsi="Arial"/>
          <w:sz w:val="17"/>
          <w:szCs w:val="17"/>
          <w:color w:val="auto"/>
        </w:rPr>
        <w:t>”). As long as any shares of Series 7 Preferred Stock remain outstanding, the holders of outstanding Series 7 Preferred Stock shall be entitled to elect one (1) director of this corporation at any election of directors (the “</w:t>
      </w:r>
      <w:r>
        <w:rPr>
          <w:rFonts w:ascii="Arial" w:cs="Arial" w:eastAsia="Arial" w:hAnsi="Arial"/>
          <w:sz w:val="17"/>
          <w:szCs w:val="17"/>
          <w:b w:val="1"/>
          <w:bCs w:val="1"/>
          <w:i w:val="1"/>
          <w:iCs w:val="1"/>
          <w:color w:val="auto"/>
        </w:rPr>
        <w:t>Series 7 Director</w:t>
      </w:r>
      <w:r>
        <w:rPr>
          <w:rFonts w:ascii="Arial" w:cs="Arial" w:eastAsia="Arial" w:hAnsi="Arial"/>
          <w:sz w:val="17"/>
          <w:szCs w:val="17"/>
          <w:color w:val="auto"/>
        </w:rPr>
        <w:t>”). The holders of Preferred Stock and Series 2 Common Stock (voting together as a single class and not as separate series, and on an as-converted basis, with voting power determined in accordance with subsection (5)(a) below) shall be entitled to elect any remaining directors of this corporation. Each committee of the this corporation’s Board of Directors shall include the directors elected by the holders of Series 4 Preferred Stock, Series 5 Preferred Stock, Series 6 Preferred Stock and Series 7 Preferred Stock.</w:t>
      </w:r>
    </w:p>
    <w:p>
      <w:pPr>
        <w:spacing w:after="0" w:line="179" w:lineRule="exact"/>
        <w:rPr>
          <w:sz w:val="20"/>
          <w:szCs w:val="20"/>
          <w:color w:val="auto"/>
        </w:rPr>
      </w:pPr>
    </w:p>
    <w:p>
      <w:pPr>
        <w:ind w:firstLine="880"/>
        <w:spacing w:after="0" w:line="287" w:lineRule="auto"/>
        <w:rPr>
          <w:sz w:val="20"/>
          <w:szCs w:val="20"/>
          <w:color w:val="auto"/>
        </w:rPr>
      </w:pPr>
      <w:r>
        <w:rPr>
          <w:rFonts w:ascii="Arial" w:cs="Arial" w:eastAsia="Arial" w:hAnsi="Arial"/>
          <w:sz w:val="16"/>
          <w:szCs w:val="16"/>
          <w:color w:val="auto"/>
        </w:rPr>
        <w:t>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70" w:lineRule="exact"/>
        <w:rPr>
          <w:sz w:val="20"/>
          <w:szCs w:val="20"/>
          <w:color w:val="auto"/>
        </w:rPr>
      </w:pPr>
    </w:p>
    <w:p>
      <w:pPr>
        <w:ind w:left="1060" w:hanging="189"/>
        <w:spacing w:after="0"/>
        <w:tabs>
          <w:tab w:leader="none" w:pos="1060" w:val="left"/>
        </w:tabs>
        <w:numPr>
          <w:ilvl w:val="0"/>
          <w:numId w:val="221"/>
        </w:numPr>
        <w:rPr>
          <w:rFonts w:ascii="Arial" w:cs="Arial" w:eastAsia="Arial" w:hAnsi="Arial"/>
          <w:sz w:val="18"/>
          <w:szCs w:val="18"/>
          <w:b w:val="1"/>
          <w:bCs w:val="1"/>
          <w:color w:val="auto"/>
        </w:rPr>
      </w:pPr>
      <w:r>
        <w:rPr>
          <w:rFonts w:ascii="Arial" w:cs="Arial" w:eastAsia="Arial" w:hAnsi="Arial"/>
          <w:sz w:val="18"/>
          <w:szCs w:val="18"/>
          <w:u w:val="single" w:color="auto"/>
          <w:color w:val="auto"/>
        </w:rPr>
        <w:t>Protective Provisions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right="180" w:firstLine="1421"/>
        <w:spacing w:after="0" w:line="275" w:lineRule="auto"/>
        <w:tabs>
          <w:tab w:leader="none" w:pos="1685" w:val="left"/>
        </w:tabs>
        <w:numPr>
          <w:ilvl w:val="1"/>
          <w:numId w:val="221"/>
        </w:numPr>
        <w:rPr>
          <w:rFonts w:ascii="Arial" w:cs="Arial" w:eastAsia="Arial" w:hAnsi="Arial"/>
          <w:sz w:val="17"/>
          <w:szCs w:val="17"/>
          <w:b w:val="1"/>
          <w:bCs w:val="1"/>
          <w:color w:val="auto"/>
        </w:rPr>
      </w:pPr>
      <w:r>
        <w:rPr>
          <w:rFonts w:ascii="Arial" w:cs="Arial" w:eastAsia="Arial" w:hAnsi="Arial"/>
          <w:sz w:val="17"/>
          <w:szCs w:val="17"/>
          <w:color w:val="auto"/>
        </w:rPr>
        <w:t>So long as 277,778 shares of Preferred Stock remain outstanding, this corporation shall not (by amendment, merger, consolidation or otherwise) without first obtaining the approval (by vote or written consent, as provided by law) of the holders of at least a majority of the voting power (as determined in accordance with subsection (5)(a))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67" w:lineRule="exact"/>
        <w:rPr>
          <w:rFonts w:ascii="Arial" w:cs="Arial" w:eastAsia="Arial" w:hAnsi="Arial"/>
          <w:sz w:val="17"/>
          <w:szCs w:val="17"/>
          <w:b w:val="1"/>
          <w:bCs w:val="1"/>
          <w:color w:val="auto"/>
        </w:rPr>
      </w:pPr>
    </w:p>
    <w:p>
      <w:pPr>
        <w:ind w:right="160" w:firstLine="1862"/>
        <w:spacing w:after="0" w:line="277" w:lineRule="auto"/>
        <w:tabs>
          <w:tab w:leader="none" w:pos="2086" w:val="left"/>
        </w:tabs>
        <w:numPr>
          <w:ilvl w:val="2"/>
          <w:numId w:val="221"/>
        </w:numPr>
        <w:rPr>
          <w:rFonts w:ascii="Arial" w:cs="Arial" w:eastAsia="Arial" w:hAnsi="Arial"/>
          <w:sz w:val="18"/>
          <w:szCs w:val="18"/>
          <w:b w:val="1"/>
          <w:bCs w:val="1"/>
          <w:color w:val="auto"/>
        </w:rPr>
      </w:pPr>
      <w:r>
        <w:rPr>
          <w:rFonts w:ascii="Arial" w:cs="Arial" w:eastAsia="Arial" w:hAnsi="Arial"/>
          <w:sz w:val="18"/>
          <w:szCs w:val="18"/>
          <w:color w:val="auto"/>
        </w:rPr>
        <w:t>amend, restate, alter or repeal any provision of this corporation’s Restated Certificate of Incorporation or bylaws, whether by merger, consolidation or otherwise;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85" w:name="page286"/>
    <w:bookmarkEnd w:id="285"/>
    <w:p>
      <w:pPr>
        <w:ind w:left="2080" w:hanging="258"/>
        <w:spacing w:after="0"/>
        <w:tabs>
          <w:tab w:leader="none" w:pos="2080"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or decrease the total number of authorized shares of Preferred Stock;</w:t>
      </w:r>
    </w:p>
    <w:p>
      <w:pPr>
        <w:spacing w:after="0" w:line="224" w:lineRule="exact"/>
        <w:rPr>
          <w:rFonts w:ascii="Arial" w:cs="Arial" w:eastAsia="Arial" w:hAnsi="Arial"/>
          <w:sz w:val="18"/>
          <w:szCs w:val="18"/>
          <w:b w:val="1"/>
          <w:bCs w:val="1"/>
          <w:color w:val="auto"/>
        </w:rPr>
      </w:pPr>
    </w:p>
    <w:p>
      <w:pPr>
        <w:ind w:left="-40" w:right="20" w:firstLine="1862"/>
        <w:spacing w:after="0" w:line="259" w:lineRule="auto"/>
        <w:tabs>
          <w:tab w:leader="none" w:pos="2146"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create or authorize the creation (by reclassification, merger or otherwise) of or issue any other security convertible into or exercisable for any equity security, having rights, preferences or privileges senior to or pari passu with any series of Preferred Stock, other than the issuance of any authorized but unissued shares of Series 7 Preferred Stock designated in this Restated Certificate of Incorporation (including any security convertible into or exercisable for such shares of Preferred Stock);</w:t>
      </w:r>
    </w:p>
    <w:p>
      <w:pPr>
        <w:spacing w:after="0" w:line="185" w:lineRule="exact"/>
        <w:rPr>
          <w:rFonts w:ascii="Arial" w:cs="Arial" w:eastAsia="Arial" w:hAnsi="Arial"/>
          <w:sz w:val="18"/>
          <w:szCs w:val="18"/>
          <w:b w:val="1"/>
          <w:bCs w:val="1"/>
          <w:color w:val="auto"/>
        </w:rPr>
      </w:pPr>
    </w:p>
    <w:p>
      <w:pPr>
        <w:ind w:left="-40" w:right="100" w:firstLine="1862"/>
        <w:spacing w:after="0" w:line="277" w:lineRule="auto"/>
        <w:tabs>
          <w:tab w:leader="none" w:pos="2136"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purchase or redeem or pay any dividend on any capital stock other than stock repurchased from former service providers of this corporation in connection with the cessation of their services;</w:t>
      </w:r>
    </w:p>
    <w:p>
      <w:pPr>
        <w:spacing w:after="0" w:line="169" w:lineRule="exact"/>
        <w:rPr>
          <w:rFonts w:ascii="Arial" w:cs="Arial" w:eastAsia="Arial" w:hAnsi="Arial"/>
          <w:sz w:val="18"/>
          <w:szCs w:val="18"/>
          <w:b w:val="1"/>
          <w:bCs w:val="1"/>
          <w:color w:val="auto"/>
        </w:rPr>
      </w:pPr>
    </w:p>
    <w:p>
      <w:pPr>
        <w:ind w:left="2080" w:hanging="258"/>
        <w:spacing w:after="0"/>
        <w:tabs>
          <w:tab w:leader="none" w:pos="2080"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liquidate, dissolve, or wind-up the affairs of this corporation, or effect any Liquidation Event;</w:t>
      </w:r>
    </w:p>
    <w:p>
      <w:pPr>
        <w:spacing w:after="0" w:line="224" w:lineRule="exact"/>
        <w:rPr>
          <w:rFonts w:ascii="Arial" w:cs="Arial" w:eastAsia="Arial" w:hAnsi="Arial"/>
          <w:sz w:val="18"/>
          <w:szCs w:val="18"/>
          <w:b w:val="1"/>
          <w:bCs w:val="1"/>
          <w:color w:val="auto"/>
        </w:rPr>
      </w:pPr>
    </w:p>
    <w:p>
      <w:pPr>
        <w:ind w:left="2120" w:hanging="298"/>
        <w:spacing w:after="0"/>
        <w:tabs>
          <w:tab w:leader="none" w:pos="2120"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increase or decrease the authorized number of directors of this corporation;</w:t>
      </w:r>
    </w:p>
    <w:p>
      <w:pPr>
        <w:spacing w:after="0" w:line="224" w:lineRule="exact"/>
        <w:rPr>
          <w:rFonts w:ascii="Arial" w:cs="Arial" w:eastAsia="Arial" w:hAnsi="Arial"/>
          <w:sz w:val="18"/>
          <w:szCs w:val="18"/>
          <w:b w:val="1"/>
          <w:bCs w:val="1"/>
          <w:color w:val="auto"/>
        </w:rPr>
      </w:pPr>
    </w:p>
    <w:p>
      <w:pPr>
        <w:ind w:left="2180" w:hanging="358"/>
        <w:spacing w:after="0"/>
        <w:tabs>
          <w:tab w:leader="none" w:pos="2180"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exclusively license or transfer all or any portion of the intellectual property rights of this corporation; or</w:t>
      </w:r>
    </w:p>
    <w:p>
      <w:pPr>
        <w:spacing w:after="0" w:line="224" w:lineRule="exact"/>
        <w:rPr>
          <w:rFonts w:ascii="Arial" w:cs="Arial" w:eastAsia="Arial" w:hAnsi="Arial"/>
          <w:sz w:val="18"/>
          <w:szCs w:val="18"/>
          <w:b w:val="1"/>
          <w:bCs w:val="1"/>
          <w:color w:val="auto"/>
        </w:rPr>
      </w:pPr>
    </w:p>
    <w:p>
      <w:pPr>
        <w:ind w:left="-40" w:right="240" w:firstLine="1862"/>
        <w:spacing w:after="0" w:line="277" w:lineRule="auto"/>
        <w:tabs>
          <w:tab w:leader="none" w:pos="2236" w:val="left"/>
        </w:tabs>
        <w:numPr>
          <w:ilvl w:val="1"/>
          <w:numId w:val="222"/>
        </w:numPr>
        <w:rPr>
          <w:rFonts w:ascii="Arial" w:cs="Arial" w:eastAsia="Arial" w:hAnsi="Arial"/>
          <w:sz w:val="18"/>
          <w:szCs w:val="18"/>
          <w:b w:val="1"/>
          <w:bCs w:val="1"/>
          <w:color w:val="auto"/>
        </w:rPr>
      </w:pPr>
      <w:r>
        <w:rPr>
          <w:rFonts w:ascii="Arial" w:cs="Arial" w:eastAsia="Arial" w:hAnsi="Arial"/>
          <w:sz w:val="18"/>
          <w:szCs w:val="18"/>
          <w:color w:val="auto"/>
        </w:rPr>
        <w:t>acquire substantially all of the assets of, or a controlling interest in the voting securities of, another entity, whether by merger, consolidation or otherwise.</w:t>
      </w:r>
    </w:p>
    <w:p>
      <w:pPr>
        <w:spacing w:after="0" w:line="169" w:lineRule="exact"/>
        <w:rPr>
          <w:rFonts w:ascii="Arial" w:cs="Arial" w:eastAsia="Arial" w:hAnsi="Arial"/>
          <w:sz w:val="18"/>
          <w:szCs w:val="18"/>
          <w:b w:val="1"/>
          <w:bCs w:val="1"/>
          <w:color w:val="auto"/>
        </w:rPr>
      </w:pPr>
    </w:p>
    <w:p>
      <w:pPr>
        <w:ind w:left="-40" w:firstLine="1421"/>
        <w:spacing w:after="0" w:line="256" w:lineRule="auto"/>
        <w:tabs>
          <w:tab w:leader="none" w:pos="1656"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4 Preferred Stock remain outstanding, this corporation shall not (by amendment, merger, consolidation or otherwise) adversely alter or change the rights, preferences or privileges of the Series 4 Preferred Stock in a manner that is adverse and different in effect with respect to the Series 4 Preferred Stock as compared to any other series of Preferred Stock without first obtaining the approval (by vote or written consent, as provided by law) of the holders of a majority of the outstanding shares of Series 4 Preferred Stock (voting as a separate class).</w:t>
      </w:r>
    </w:p>
    <w:p>
      <w:pPr>
        <w:spacing w:after="0" w:line="191" w:lineRule="exact"/>
        <w:rPr>
          <w:rFonts w:ascii="Arial" w:cs="Arial" w:eastAsia="Arial" w:hAnsi="Arial"/>
          <w:sz w:val="18"/>
          <w:szCs w:val="18"/>
          <w:b w:val="1"/>
          <w:bCs w:val="1"/>
          <w:color w:val="auto"/>
        </w:rPr>
      </w:pPr>
    </w:p>
    <w:p>
      <w:pPr>
        <w:ind w:left="-40" w:firstLine="1421"/>
        <w:spacing w:after="0" w:line="256" w:lineRule="auto"/>
        <w:tabs>
          <w:tab w:leader="none" w:pos="1635"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5 Preferred Stock remain outstanding, this corporation shall not (by amendment, merger, consolidation or otherwise) adversely alter or change the rights, preferences or privileges of the Series 5 Preferred Stock in a manner that is adverse and different in effect with respect to the Series 5 Preferred Stock as compared to any other series of Preferred Stock without first obtaining the approval (by vote or written consent, as provided by law) of the holders of a majority of the outstanding shares of Series 5 Preferred Stock (voting as a separate class).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500" w:top="274" w:right="499" w:bottom="1440" w:gutter="0" w:footer="0" w:header="0"/>
        </w:sectPr>
      </w:pPr>
    </w:p>
    <w:bookmarkStart w:id="286" w:name="page287"/>
    <w:bookmarkEnd w:id="286"/>
    <w:p>
      <w:pPr>
        <w:ind w:firstLine="1421"/>
        <w:spacing w:after="0" w:line="256" w:lineRule="auto"/>
        <w:tabs>
          <w:tab w:leader="none" w:pos="1696" w:val="left"/>
        </w:tabs>
        <w:numPr>
          <w:ilvl w:val="2"/>
          <w:numId w:val="2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any shares of Series 6 Preferred Stock remain outstanding, this corporation shall not (by amendment, merger, consolidation or otherwise) adversely alter or change the rights, preferences or privileges of the Series 6 Preferred Stock in a manner that is adverse and different in effect with respect to the Series 6 Preferred Stock as compared to any other series of Preferred Stock without first obtaining the approval (by vote or written consent, as provided by law) of the holders of a majority of the outstanding shares of Series 6 Preferred Stock (voting as a separate class).</w:t>
      </w:r>
    </w:p>
    <w:p>
      <w:pPr>
        <w:spacing w:after="0" w:line="191" w:lineRule="exact"/>
        <w:rPr>
          <w:rFonts w:ascii="Arial" w:cs="Arial" w:eastAsia="Arial" w:hAnsi="Arial"/>
          <w:sz w:val="18"/>
          <w:szCs w:val="18"/>
          <w:b w:val="1"/>
          <w:bCs w:val="1"/>
          <w:color w:val="auto"/>
        </w:rPr>
      </w:pPr>
    </w:p>
    <w:p>
      <w:pPr>
        <w:ind w:firstLine="1421"/>
        <w:spacing w:after="0" w:line="256" w:lineRule="auto"/>
        <w:tabs>
          <w:tab w:leader="none" w:pos="1675" w:val="left"/>
        </w:tabs>
        <w:numPr>
          <w:ilvl w:val="2"/>
          <w:numId w:val="224"/>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7 Preferred Stock remain outstanding, this corporation shall not (by amendment, merger, consolidation or otherwise) adversely alter or change the rights, preferences or privileges of the Series 7 Preferred Stock in a manner that is adverse and different in effect with respect to the Series 7 Preferred Stock as compared to any other series of Preferred Stock without first obtaining the approval (by vote or written consent, as provided by law) of the holders of at least fifty five percent (55%) of the outstanding shares of Series 7 Preferred Stock (voting as a separate class).</w:t>
      </w:r>
    </w:p>
    <w:p>
      <w:pPr>
        <w:spacing w:after="0" w:line="191" w:lineRule="exact"/>
        <w:rPr>
          <w:rFonts w:ascii="Arial" w:cs="Arial" w:eastAsia="Arial" w:hAnsi="Arial"/>
          <w:sz w:val="18"/>
          <w:szCs w:val="18"/>
          <w:b w:val="1"/>
          <w:bCs w:val="1"/>
          <w:color w:val="auto"/>
        </w:rPr>
      </w:pPr>
    </w:p>
    <w:p>
      <w:pPr>
        <w:ind w:right="340" w:firstLine="871"/>
        <w:spacing w:after="0" w:line="263" w:lineRule="auto"/>
        <w:tabs>
          <w:tab w:leader="none" w:pos="1060" w:val="left"/>
        </w:tabs>
        <w:numPr>
          <w:ilvl w:val="1"/>
          <w:numId w:val="225"/>
        </w:numPr>
        <w:rPr>
          <w:rFonts w:ascii="Arial" w:cs="Arial" w:eastAsia="Arial" w:hAnsi="Arial"/>
          <w:sz w:val="18"/>
          <w:szCs w:val="18"/>
          <w:b w:val="1"/>
          <w:bCs w:val="1"/>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Preferred Stock shall be converted pursuant to Section 4 hereof, the shares so converted shall be cancelled and shall not be issuable by this corporation. The Certificate of Incorporation of this corporation shall be appropriately amended to effect the corresponding reduction in this corporation’s authorized capital stock.</w:t>
      </w:r>
    </w:p>
    <w:p>
      <w:pPr>
        <w:spacing w:after="0" w:line="178" w:lineRule="exact"/>
        <w:rPr>
          <w:rFonts w:ascii="Arial" w:cs="Arial" w:eastAsia="Arial" w:hAnsi="Arial"/>
          <w:sz w:val="18"/>
          <w:szCs w:val="18"/>
          <w:b w:val="1"/>
          <w:bCs w:val="1"/>
          <w:color w:val="auto"/>
        </w:rPr>
      </w:pPr>
    </w:p>
    <w:p>
      <w:pPr>
        <w:ind w:right="20" w:firstLine="440"/>
        <w:spacing w:after="0" w:line="28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 </w:t>
      </w:r>
      <w:r>
        <w:rPr>
          <w:rFonts w:ascii="Arial" w:cs="Arial" w:eastAsia="Arial" w:hAnsi="Arial"/>
          <w:sz w:val="18"/>
          <w:szCs w:val="18"/>
          <w:u w:val="single" w:color="auto"/>
          <w:color w:val="auto"/>
        </w:rPr>
        <w:t>Common Stock</w:t>
      </w:r>
      <w:r>
        <w:rPr>
          <w:rFonts w:ascii="Arial" w:cs="Arial" w:eastAsia="Arial" w:hAnsi="Arial"/>
          <w:sz w:val="18"/>
          <w:szCs w:val="18"/>
          <w:color w:val="auto"/>
        </w:rPr>
        <w:t>. The rights, preferences, privileges and restrictions granted to and imposed on the Common Stock are as set forth below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IV(C).</w:t>
      </w:r>
    </w:p>
    <w:p>
      <w:pPr>
        <w:spacing w:after="0" w:line="166" w:lineRule="exact"/>
        <w:rPr>
          <w:rFonts w:ascii="Arial" w:cs="Arial" w:eastAsia="Arial" w:hAnsi="Arial"/>
          <w:sz w:val="18"/>
          <w:szCs w:val="18"/>
          <w:b w:val="1"/>
          <w:bCs w:val="1"/>
          <w:color w:val="auto"/>
        </w:rPr>
      </w:pPr>
    </w:p>
    <w:p>
      <w:pPr>
        <w:jc w:val="both"/>
        <w:ind w:right="180" w:firstLine="871"/>
        <w:spacing w:after="0" w:line="263" w:lineRule="auto"/>
        <w:tabs>
          <w:tab w:leader="none" w:pos="1060" w:val="left"/>
        </w:tabs>
        <w:numPr>
          <w:ilvl w:val="1"/>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182" w:lineRule="exact"/>
        <w:rPr>
          <w:rFonts w:ascii="Arial" w:cs="Arial" w:eastAsia="Arial" w:hAnsi="Arial"/>
          <w:sz w:val="18"/>
          <w:szCs w:val="18"/>
          <w:b w:val="1"/>
          <w:bCs w:val="1"/>
          <w:color w:val="auto"/>
        </w:rPr>
      </w:pPr>
    </w:p>
    <w:p>
      <w:pPr>
        <w:ind w:right="100" w:firstLine="871"/>
        <w:spacing w:after="0" w:line="277" w:lineRule="auto"/>
        <w:tabs>
          <w:tab w:leader="none" w:pos="1060" w:val="left"/>
        </w:tabs>
        <w:numPr>
          <w:ilvl w:val="1"/>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this corporation, the assets of this corporation shall be distributed as provided in Section 2 of Article IV(B) hereof.</w:t>
      </w:r>
    </w:p>
    <w:p>
      <w:pPr>
        <w:spacing w:after="0" w:line="169" w:lineRule="exact"/>
        <w:rPr>
          <w:rFonts w:ascii="Arial" w:cs="Arial" w:eastAsia="Arial" w:hAnsi="Arial"/>
          <w:sz w:val="18"/>
          <w:szCs w:val="18"/>
          <w:b w:val="1"/>
          <w:bCs w:val="1"/>
          <w:color w:val="auto"/>
        </w:rPr>
      </w:pPr>
    </w:p>
    <w:p>
      <w:pPr>
        <w:ind w:left="1060" w:hanging="189"/>
        <w:spacing w:after="0"/>
        <w:tabs>
          <w:tab w:leader="none" w:pos="1060" w:val="left"/>
        </w:tabs>
        <w:numPr>
          <w:ilvl w:val="1"/>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4" w:lineRule="exact"/>
        <w:rPr>
          <w:rFonts w:ascii="Arial" w:cs="Arial" w:eastAsia="Arial" w:hAnsi="Arial"/>
          <w:sz w:val="18"/>
          <w:szCs w:val="18"/>
          <w:b w:val="1"/>
          <w:bCs w:val="1"/>
          <w:color w:val="auto"/>
        </w:rPr>
      </w:pPr>
    </w:p>
    <w:p>
      <w:pPr>
        <w:ind w:left="1060" w:hanging="189"/>
        <w:spacing w:after="0"/>
        <w:tabs>
          <w:tab w:leader="none" w:pos="1060" w:val="left"/>
        </w:tabs>
        <w:numPr>
          <w:ilvl w:val="1"/>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1680" w:hanging="259"/>
        <w:spacing w:after="0"/>
        <w:tabs>
          <w:tab w:leader="none" w:pos="1680" w:val="left"/>
        </w:tabs>
        <w:numPr>
          <w:ilvl w:val="2"/>
          <w:numId w:val="226"/>
        </w:numPr>
        <w:rPr>
          <w:rFonts w:ascii="Arial" w:cs="Arial" w:eastAsia="Arial" w:hAnsi="Arial"/>
          <w:sz w:val="16"/>
          <w:szCs w:val="16"/>
          <w:b w:val="1"/>
          <w:bCs w:val="1"/>
          <w:color w:val="auto"/>
        </w:rPr>
      </w:pPr>
      <w:r>
        <w:rPr>
          <w:rFonts w:ascii="Arial" w:cs="Arial" w:eastAsia="Arial" w:hAnsi="Arial"/>
          <w:sz w:val="16"/>
          <w:szCs w:val="16"/>
          <w:u w:val="single" w:color="auto"/>
          <w:color w:val="auto"/>
        </w:rPr>
        <w:t>Series 1 Common Stock</w:t>
      </w:r>
      <w:r>
        <w:rPr>
          <w:rFonts w:ascii="Arial" w:cs="Arial" w:eastAsia="Arial" w:hAnsi="Arial"/>
          <w:sz w:val="16"/>
          <w:szCs w:val="16"/>
          <w:color w:val="auto"/>
        </w:rPr>
        <w:t>. Shares of Series 1 Common Stock shall have no voting rights, except as otherwise required by law.</w:t>
      </w:r>
    </w:p>
    <w:p>
      <w:pPr>
        <w:spacing w:after="0" w:line="247" w:lineRule="exact"/>
        <w:rPr>
          <w:rFonts w:ascii="Arial" w:cs="Arial" w:eastAsia="Arial" w:hAnsi="Arial"/>
          <w:sz w:val="16"/>
          <w:szCs w:val="16"/>
          <w:b w:val="1"/>
          <w:bCs w:val="1"/>
          <w:color w:val="auto"/>
        </w:rPr>
      </w:pPr>
    </w:p>
    <w:p>
      <w:pPr>
        <w:ind w:right="140" w:firstLine="1421"/>
        <w:spacing w:after="0" w:line="263" w:lineRule="auto"/>
        <w:tabs>
          <w:tab w:leader="none" w:pos="1696" w:val="left"/>
        </w:tabs>
        <w:numPr>
          <w:ilvl w:val="2"/>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Series 2 Common Stock</w:t>
      </w:r>
      <w:r>
        <w:rPr>
          <w:rFonts w:ascii="Arial" w:cs="Arial" w:eastAsia="Arial" w:hAnsi="Arial"/>
          <w:sz w:val="18"/>
          <w:szCs w:val="18"/>
          <w:color w:val="auto"/>
        </w:rPr>
        <w:t>. The holder of each share of Series 2 Common Stock shall have the right to one vote for each such share, and shall be entitled to notice of any stockholders’ meeting in accordance with the Bylaws of this corporation, and shall be entitled to vote upon such matters and in such manner as may be provided by law.</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60" w:top="274" w:right="499" w:bottom="1440" w:gutter="0" w:footer="0" w:header="0"/>
        </w:sectPr>
      </w:pPr>
    </w:p>
    <w:bookmarkStart w:id="287" w:name="page288"/>
    <w:bookmarkEnd w:id="287"/>
    <w:p>
      <w:pPr>
        <w:ind w:right="560" w:firstLine="8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80" w:firstLine="880"/>
        <w:spacing w:after="0" w:line="307" w:lineRule="auto"/>
        <w:rPr>
          <w:sz w:val="20"/>
          <w:szCs w:val="20"/>
          <w:color w:val="auto"/>
        </w:rPr>
      </w:pPr>
      <w:r>
        <w:rPr>
          <w:rFonts w:ascii="Arial" w:cs="Arial" w:eastAsia="Arial" w:hAnsi="Arial"/>
          <w:sz w:val="17"/>
          <w:szCs w:val="17"/>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number of directors of this corporation shall be determined in the manner set forth in the Bylaws of this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40" w:firstLine="880"/>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880"/>
        <w:spacing w:after="0" w:line="273" w:lineRule="auto"/>
        <w:rPr>
          <w:sz w:val="20"/>
          <w:szCs w:val="20"/>
          <w:color w:val="auto"/>
        </w:rPr>
      </w:pPr>
      <w:r>
        <w:rPr>
          <w:rFonts w:ascii="Arial" w:cs="Arial" w:eastAsia="Arial" w:hAnsi="Arial"/>
          <w:sz w:val="17"/>
          <w:szCs w:val="17"/>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77" w:lineRule="exact"/>
        <w:rPr>
          <w:sz w:val="20"/>
          <w:szCs w:val="20"/>
          <w:color w:val="auto"/>
        </w:rPr>
      </w:pPr>
    </w:p>
    <w:p>
      <w:pPr>
        <w:jc w:val="both"/>
        <w:ind w:right="160" w:firstLine="880"/>
        <w:spacing w:after="0" w:line="263" w:lineRule="auto"/>
        <w:rPr>
          <w:sz w:val="20"/>
          <w:szCs w:val="20"/>
          <w:color w:val="auto"/>
        </w:rPr>
      </w:pPr>
      <w:r>
        <w:rPr>
          <w:rFonts w:ascii="Arial" w:cs="Arial" w:eastAsia="Arial" w:hAnsi="Arial"/>
          <w:sz w:val="18"/>
          <w:szCs w:val="18"/>
          <w:color w:val="auto"/>
        </w:rPr>
        <w:t>Any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repeal or modification.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60" w:top="274" w:right="439" w:bottom="1440" w:gutter="0" w:footer="0" w:header="0"/>
        </w:sectPr>
      </w:pPr>
    </w:p>
    <w:bookmarkStart w:id="288" w:name="page289"/>
    <w:bookmarkEnd w:id="288"/>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9" w:lineRule="exact"/>
        <w:rPr>
          <w:sz w:val="20"/>
          <w:szCs w:val="20"/>
          <w:color w:val="auto"/>
        </w:rPr>
      </w:pPr>
    </w:p>
    <w:p>
      <w:pPr>
        <w:jc w:val="both"/>
        <w:ind w:left="10" w:right="460" w:firstLine="880"/>
        <w:spacing w:after="0" w:line="263" w:lineRule="auto"/>
        <w:rPr>
          <w:sz w:val="20"/>
          <w:szCs w:val="20"/>
          <w:color w:val="auto"/>
        </w:rPr>
      </w:pPr>
      <w:r>
        <w:rPr>
          <w:rFonts w:ascii="Arial" w:cs="Arial" w:eastAsia="Arial" w:hAnsi="Arial"/>
          <w:sz w:val="18"/>
          <w:szCs w:val="18"/>
          <w:color w:val="auto"/>
        </w:rPr>
        <w:t>This corporation reserves the right to amend, alter, change or repeal any provision contained in this Certificate of Incorporation, in the manner provided herein and as now or hereafter prescribed by statute, and all rights conferred upon stockholders herein are granted subject to this reservation.</w:t>
      </w:r>
    </w:p>
    <w:p>
      <w:pPr>
        <w:spacing w:after="0" w:line="39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left="10" w:firstLine="880"/>
        <w:spacing w:after="0" w:line="290" w:lineRule="auto"/>
        <w:rPr>
          <w:sz w:val="20"/>
          <w:szCs w:val="20"/>
          <w:color w:val="auto"/>
        </w:rPr>
      </w:pPr>
      <w:r>
        <w:rPr>
          <w:rFonts w:ascii="Arial" w:cs="Arial" w:eastAsia="Arial" w:hAnsi="Arial"/>
          <w:sz w:val="16"/>
          <w:szCs w:val="16"/>
          <w:color w:val="auto"/>
        </w:rPr>
        <w:t>This corporation shall indemnify and hold harmless, to the fullest extent permitted by applicable law as it presently exists or may hereafter be amended, any person (an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subject only to limits created by applicable General Corporation Law (statutory or non-statutory), with respect to actions for breach of duty to this corporation, its stockholders, and others.</w:t>
      </w:r>
    </w:p>
    <w:p>
      <w:pPr>
        <w:spacing w:after="0" w:line="164" w:lineRule="exact"/>
        <w:rPr>
          <w:sz w:val="20"/>
          <w:szCs w:val="20"/>
          <w:color w:val="auto"/>
        </w:rPr>
      </w:pPr>
    </w:p>
    <w:p>
      <w:pPr>
        <w:ind w:left="10" w:right="200" w:firstLine="880"/>
        <w:spacing w:after="0" w:line="279" w:lineRule="auto"/>
        <w:rPr>
          <w:sz w:val="20"/>
          <w:szCs w:val="20"/>
          <w:color w:val="auto"/>
        </w:rPr>
      </w:pPr>
      <w:r>
        <w:rPr>
          <w:rFonts w:ascii="Arial" w:cs="Arial" w:eastAsia="Arial" w:hAnsi="Arial"/>
          <w:sz w:val="17"/>
          <w:szCs w:val="17"/>
          <w:color w:val="auto"/>
        </w:rPr>
        <w:t xml:space="preserve">The corporation shall pay the expenses (including attorneys’ fees) incurred by an Indemnified Person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XI or otherwise.</w:t>
      </w:r>
    </w:p>
    <w:p>
      <w:pPr>
        <w:spacing w:after="0" w:line="170" w:lineRule="exact"/>
        <w:rPr>
          <w:sz w:val="20"/>
          <w:szCs w:val="20"/>
          <w:color w:val="auto"/>
        </w:rPr>
      </w:pPr>
    </w:p>
    <w:p>
      <w:pPr>
        <w:ind w:left="10" w:right="140" w:firstLine="880"/>
        <w:spacing w:after="0" w:line="263"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officer, agent, or other person existing at the time of, or increase the liability of any director of this corporation with respect to any acts or omissions of such director, officer or agent occurring prior to, such amendment, repeal or modification.</w:t>
      </w:r>
    </w:p>
    <w:p>
      <w:pPr>
        <w:spacing w:after="0" w:line="39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10" w:right="420" w:firstLine="440"/>
        <w:spacing w:after="0" w:line="287" w:lineRule="auto"/>
        <w:rPr>
          <w:sz w:val="20"/>
          <w:szCs w:val="20"/>
          <w:color w:val="auto"/>
        </w:rPr>
      </w:pPr>
      <w:r>
        <w:rPr>
          <w:rFonts w:ascii="Arial" w:cs="Arial" w:eastAsia="Arial" w:hAnsi="Arial"/>
          <w:sz w:val="16"/>
          <w:szCs w:val="16"/>
          <w:color w:val="auto"/>
        </w:rPr>
        <w:t>This corporation renounces any interest or expectancy of this corporation in, or in being offered an opportunity to participate in, an Excluded Opportunity. An “</w:t>
      </w:r>
      <w:r>
        <w:rPr>
          <w:rFonts w:ascii="Arial" w:cs="Arial" w:eastAsia="Arial" w:hAnsi="Arial"/>
          <w:sz w:val="16"/>
          <w:szCs w:val="16"/>
          <w:b w:val="1"/>
          <w:bCs w:val="1"/>
          <w:i w:val="1"/>
          <w:i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this corporation who is not an employee of this corporation or any of its subsidiaries, or</w:t>
      </w:r>
    </w:p>
    <w:p>
      <w:pPr>
        <w:spacing w:after="0" w:line="2" w:lineRule="exact"/>
        <w:rPr>
          <w:sz w:val="20"/>
          <w:szCs w:val="20"/>
          <w:color w:val="auto"/>
        </w:rPr>
      </w:pPr>
    </w:p>
    <w:p>
      <w:pPr>
        <w:jc w:val="both"/>
        <w:ind w:left="10" w:right="120" w:hanging="10"/>
        <w:spacing w:after="0" w:line="253" w:lineRule="auto"/>
        <w:tabs>
          <w:tab w:leader="none" w:pos="27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holder of Preferred Stock or any partner, member, director, stockholder, employee or agent of any such holder, other than someone who is an employee of this corporation or any of its subsidiaries (collectively,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12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90"/>
          </w:cols>
          <w:pgMar w:left="450" w:top="270" w:right="45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29" w:lineRule="exact"/>
        <w:rPr>
          <w:sz w:val="20"/>
          <w:szCs w:val="20"/>
          <w:color w:val="auto"/>
        </w:rPr>
      </w:pPr>
    </w:p>
    <w:p>
      <w:pPr>
        <w:ind w:firstLine="880"/>
        <w:spacing w:after="0" w:line="259" w:lineRule="auto"/>
        <w:rPr>
          <w:sz w:val="20"/>
          <w:szCs w:val="20"/>
          <w:color w:val="auto"/>
        </w:rPr>
      </w:pPr>
      <w:r>
        <w:rPr>
          <w:rFonts w:ascii="Arial" w:cs="Arial" w:eastAsia="Arial" w:hAnsi="Arial"/>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all or in part with respect to such repurchases.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Forum Selection</w:t>
      </w:r>
      <w:r>
        <w:rPr>
          <w:rFonts w:ascii="Arial" w:cs="Arial" w:eastAsia="Arial" w:hAnsi="Arial"/>
          <w:sz w:val="18"/>
          <w:szCs w:val="18"/>
          <w:color w:val="auto"/>
        </w:rPr>
        <w:t>. Unless this corporation consents in writing to the selection of an alternative forum, the Court of Chancery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(or, if the Court of Chancery does not have jurisdiction, the federal district court for the District of Delaware) shall, to the fullest extent permitted by law, be the sole and exclusive forum for (1) any derivative action or proceeding brought on behalf of this corporation, (2) any action asserting a claim of breach of a fiduciary duty owed by any director, officer or other employee of this corporation to this corporation or this corporation’s stockholders, (3) any action arising pursuant to any provision of the General Corporation Law or this Restated Certificate of Incorporation or the Bylaws (as either may be amended from time to time), or (4) any action asserting a claim governed by the internal affairs doctrine. Any person or entity purchasing or otherwise acquiring or holding any interest in shares of capital stock of this corporation shall be deemed to have notice of and consented to the provisions of this Article XIII.</w:t>
      </w:r>
    </w:p>
    <w:p>
      <w:pPr>
        <w:spacing w:after="0" w:line="190" w:lineRule="exact"/>
        <w:rPr>
          <w:sz w:val="20"/>
          <w:szCs w:val="20"/>
          <w:color w:val="auto"/>
        </w:rPr>
      </w:pPr>
    </w:p>
    <w:p>
      <w:pPr>
        <w:ind w:right="20" w:firstLine="440"/>
        <w:spacing w:after="0" w:line="276"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u w:val="single" w:color="auto"/>
          <w:color w:val="auto"/>
        </w:rPr>
        <w:t>Personal Jurisdiction</w:t>
      </w:r>
      <w:r>
        <w:rPr>
          <w:rFonts w:ascii="Arial" w:cs="Arial" w:eastAsia="Arial" w:hAnsi="Arial"/>
          <w:sz w:val="17"/>
          <w:szCs w:val="17"/>
          <w:color w:val="auto"/>
        </w:rPr>
        <w:t>. If any action the subject matter of which is within the scope of Section A immediately above is filed in a court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a court located within the State of Delaware (a “</w:t>
      </w:r>
      <w:r>
        <w:rPr>
          <w:rFonts w:ascii="Arial" w:cs="Arial" w:eastAsia="Arial" w:hAnsi="Arial"/>
          <w:sz w:val="17"/>
          <w:szCs w:val="17"/>
          <w:b w:val="1"/>
          <w:bCs w:val="1"/>
          <w:i w:val="1"/>
          <w:iCs w:val="1"/>
          <w:color w:val="auto"/>
        </w:rPr>
        <w:t>Foreign Action</w:t>
      </w:r>
      <w:r>
        <w:rPr>
          <w:rFonts w:ascii="Arial" w:cs="Arial" w:eastAsia="Arial" w:hAnsi="Arial"/>
          <w:sz w:val="17"/>
          <w:szCs w:val="17"/>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A immediately above (an “</w:t>
      </w:r>
      <w:r>
        <w:rPr>
          <w:rFonts w:ascii="Arial" w:cs="Arial" w:eastAsia="Arial" w:hAnsi="Arial"/>
          <w:sz w:val="17"/>
          <w:szCs w:val="17"/>
          <w:b w:val="1"/>
          <w:bCs w:val="1"/>
          <w:i w:val="1"/>
          <w:iCs w:val="1"/>
          <w:color w:val="auto"/>
        </w:rPr>
        <w:t>FSC Enforcement Action</w:t>
      </w:r>
      <w:r>
        <w:rPr>
          <w:rFonts w:ascii="Arial" w:cs="Arial" w:eastAsia="Arial" w:hAnsi="Arial"/>
          <w:sz w:val="17"/>
          <w:szCs w:val="17"/>
          <w:color w:val="auto"/>
        </w:rPr>
        <w:t>”) and (ii) having service of process made upon such stockholder in any such FSC Enforcement Action by service upon such stockholder’s counsel in the Foreign Action as agent for such stockholder.</w:t>
      </w:r>
    </w:p>
    <w:p>
      <w:pPr>
        <w:spacing w:after="0" w:line="175"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1" w:lineRule="exact"/>
        <w:rPr>
          <w:sz w:val="20"/>
          <w:szCs w:val="20"/>
          <w:color w:val="auto"/>
        </w:rPr>
      </w:pPr>
    </w:p>
    <w:p>
      <w:pPr>
        <w:ind w:right="220" w:firstLine="880"/>
        <w:spacing w:after="0" w:line="281"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foregoing amendment and restatement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General Corporation Law.</w:t>
      </w:r>
    </w:p>
    <w:p>
      <w:pPr>
        <w:spacing w:after="0" w:line="163" w:lineRule="exact"/>
        <w:rPr>
          <w:sz w:val="20"/>
          <w:szCs w:val="20"/>
          <w:color w:val="auto"/>
        </w:rPr>
      </w:pPr>
    </w:p>
    <w:p>
      <w:pPr>
        <w:ind w:right="260" w:firstLine="880"/>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said Restated Certificate of Incorporation, which restates and integrates and further amends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Restated Certificate of Incorporation, has been duly adopted in accordance with Sections 242 and 245 of the General Corporation Law.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0" w:right="479" w:bottom="1440" w:gutter="0" w:footer="0" w:header="0"/>
        </w:sectPr>
      </w:pPr>
    </w:p>
    <w:bookmarkStart w:id="290" w:name="page291"/>
    <w:bookmarkEnd w:id="290"/>
    <w:p>
      <w:pPr>
        <w:ind w:firstLine="88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4th day of October, 2018.</w:t>
      </w:r>
    </w:p>
    <w:p>
      <w:pPr>
        <w:spacing w:after="0" w:line="19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27927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Jeffrey Dunn, President and Chief Executive Officer</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Amended and Restated Certificate of Incorporation of SI-BONE, Inc.</w:t>
      </w:r>
    </w:p>
    <w:p>
      <w:pPr>
        <w:sectPr>
          <w:pgSz w:w="11900" w:h="16838" w:orient="portrait"/>
          <w:cols w:equalWidth="0" w:num="1">
            <w:col w:w="10900"/>
          </w:cols>
          <w:pgMar w:left="460" w:top="270" w:right="5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Jeffrey Dunn hereby certifies that:</w:t>
      </w:r>
    </w:p>
    <w:p>
      <w:pPr>
        <w:spacing w:after="0" w:line="221" w:lineRule="exact"/>
        <w:rPr>
          <w:sz w:val="20"/>
          <w:szCs w:val="20"/>
          <w:color w:val="auto"/>
        </w:rPr>
      </w:pPr>
    </w:p>
    <w:p>
      <w:pPr>
        <w:ind w:right="280" w:firstLine="440"/>
        <w:spacing w:after="0" w:line="281"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name of this corporation is SI-BONE, Inc. and the date of filing the original Certificate of Incorporation of this corporation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the State of Delaware was March 18, 2008 under the name SI BONE, Inc.</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President of SI-BONE,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THREE</w:t>
      </w:r>
      <w:r>
        <w:rPr>
          <w:rFonts w:ascii="Arial" w:cs="Arial" w:eastAsia="Arial" w:hAnsi="Arial"/>
          <w:sz w:val="16"/>
          <w:szCs w:val="16"/>
          <w:color w:val="auto"/>
        </w:rPr>
        <w:t>: The Amended and Restated Certificate of Incorporation of this corporation is hereby amended and restated in its entirety as follows: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name of this corporation is </w:t>
      </w:r>
      <w:r>
        <w:rPr>
          <w:rFonts w:ascii="Arial" w:cs="Arial" w:eastAsia="Arial" w:hAnsi="Arial"/>
          <w:sz w:val="18"/>
          <w:szCs w:val="18"/>
          <w:b w:val="1"/>
          <w:bCs w:val="1"/>
          <w:color w:val="auto"/>
        </w:rPr>
        <w:t>SI-BONE,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80" w:firstLine="440"/>
        <w:spacing w:after="0" w:line="341" w:lineRule="auto"/>
        <w:rPr>
          <w:sz w:val="20"/>
          <w:szCs w:val="20"/>
          <w:color w:val="auto"/>
        </w:rPr>
      </w:pPr>
      <w:r>
        <w:rPr>
          <w:rFonts w:ascii="Arial" w:cs="Arial" w:eastAsia="Arial" w:hAnsi="Arial"/>
          <w:sz w:val="16"/>
          <w:szCs w:val="16"/>
          <w:color w:val="auto"/>
        </w:rPr>
        <w:t>The address of the registered office of the corporation in the State of Delaware is 3500 South Dupont Highway, City of Dover, County of Kent, Zip Code 19901, and the name of the registered agent of the corporation in the State of Delaware at such address is Incorporating Services, Ltd.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jc w:val="both"/>
        <w:ind w:right="180" w:firstLine="44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corporation is authorized to issue two classes of stock to be designated, respectively, “Common Stock” and “Preferred Stock.”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which the corporation is authorized to issue is One Hundred Five Million (105,000,000) shares. One Hundred Million (100,000,000) shares shall be Common Stock, each having a par value of $0.0001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Five Million (5,000,000) shares shall be Preferred Stock, each having a par value of $0.0001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2" w:lineRule="exact"/>
        <w:rPr>
          <w:sz w:val="20"/>
          <w:szCs w:val="20"/>
          <w:color w:val="auto"/>
        </w:rPr>
      </w:pPr>
    </w:p>
    <w:p>
      <w:pPr>
        <w:ind w:right="220" w:firstLine="440"/>
        <w:spacing w:after="0" w:line="260"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Preferred Stock may be issued from time to time in one or more series. The Board of Directors is hereby expressly authorized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w:t>
      </w:r>
    </w:p>
    <w:p>
      <w:pPr>
        <w:sectPr>
          <w:pgSz w:w="11900" w:h="16838" w:orient="portrait"/>
          <w:cols w:equalWidth="0" w:num="1">
            <w:col w:w="11000"/>
          </w:cols>
          <w:pgMar w:left="460" w:top="121" w:right="439" w:bottom="1440" w:gutter="0" w:footer="0" w:header="0"/>
        </w:sectPr>
      </w:pPr>
    </w:p>
    <w:bookmarkStart w:id="292" w:name="page293"/>
    <w:bookmarkEnd w:id="292"/>
    <w:p>
      <w:pPr>
        <w:ind w:right="1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56" w:lineRule="exact"/>
        <w:rPr>
          <w:sz w:val="20"/>
          <w:szCs w:val="20"/>
          <w:color w:val="auto"/>
        </w:rPr>
      </w:pPr>
    </w:p>
    <w:p>
      <w:pPr>
        <w:ind w:right="180" w:firstLine="440"/>
        <w:spacing w:after="0" w:line="260"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number of authorized shares of Preferred Stock may be increased or decreased (but not below the number of shares thereof then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Upon the acceptance of this Amended and Restated Certificate of Incorporation for filing with the Secretary of State of the State of Delaware:</w:t>
      </w:r>
    </w:p>
    <w:p>
      <w:pPr>
        <w:spacing w:after="0" w:line="144" w:lineRule="exact"/>
        <w:rPr>
          <w:sz w:val="20"/>
          <w:szCs w:val="20"/>
          <w:color w:val="auto"/>
        </w:rPr>
      </w:pPr>
    </w:p>
    <w:p>
      <w:pPr>
        <w:ind w:right="380" w:firstLine="871"/>
        <w:spacing w:after="0" w:line="263" w:lineRule="auto"/>
        <w:tabs>
          <w:tab w:leader="none" w:pos="106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Each One (1) share of Series 1 Common Stock issued and outstanding shall, automatically and without any action on the part of the respective holders thereof and whether or not the certificates representing such shares are surrendered to the Company or its transfer agent, be reclassified into One (1) share of Common Stock</w:t>
      </w:r>
    </w:p>
    <w:p>
      <w:pPr>
        <w:spacing w:after="0" w:line="182" w:lineRule="exact"/>
        <w:rPr>
          <w:rFonts w:ascii="Arial" w:cs="Arial" w:eastAsia="Arial" w:hAnsi="Arial"/>
          <w:sz w:val="18"/>
          <w:szCs w:val="18"/>
          <w:b w:val="1"/>
          <w:bCs w:val="1"/>
          <w:color w:val="auto"/>
        </w:rPr>
      </w:pPr>
    </w:p>
    <w:p>
      <w:pPr>
        <w:ind w:right="380" w:firstLine="871"/>
        <w:spacing w:after="0" w:line="263" w:lineRule="auto"/>
        <w:tabs>
          <w:tab w:leader="none" w:pos="106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Each One (1) share of Series 2 Common Stock issued and outstanding shall, automatically and without any action on the part of the respective holders thereof and whether or not the certificates representing such shares are surrendered to the Company or its transfer agent, be reclassified into One (1) share of Common Stock.</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firstLine="440"/>
        <w:spacing w:after="0" w:line="307"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25" w:lineRule="exact"/>
        <w:rPr>
          <w:sz w:val="20"/>
          <w:szCs w:val="20"/>
          <w:color w:val="auto"/>
        </w:rPr>
      </w:pPr>
    </w:p>
    <w:p>
      <w:pPr>
        <w:jc w:val="both"/>
        <w:ind w:right="20" w:firstLine="871"/>
        <w:spacing w:after="0" w:line="266" w:lineRule="auto"/>
        <w:tabs>
          <w:tab w:leader="none" w:pos="10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management of the business and the conduct of the affairs of the corporation shall be vested in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which shall constitute the Board of Directors shall be fixed exclusively by resolutions adopted by a majority of the authorized number of directors constituting the Board of Directors.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60" w:top="274" w:right="539" w:bottom="1440" w:gutter="0" w:footer="0" w:header="0"/>
        </w:sectPr>
      </w:pPr>
    </w:p>
    <w:bookmarkStart w:id="293" w:name="page294"/>
    <w:bookmarkEnd w:id="293"/>
    <w:p>
      <w:pPr>
        <w:ind w:left="1060" w:hanging="189"/>
        <w:spacing w:after="0"/>
        <w:tabs>
          <w:tab w:leader="none" w:pos="10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LECTION</w:t>
      </w:r>
      <w:r>
        <w:rPr>
          <w:rFonts w:ascii="Arial" w:cs="Arial" w:eastAsia="Arial" w:hAnsi="Arial"/>
          <w:sz w:val="18"/>
          <w:szCs w:val="18"/>
          <w:b w:val="1"/>
          <w:bCs w:val="1"/>
          <w:color w:val="auto"/>
        </w:rPr>
        <w:t>.</w:t>
      </w:r>
    </w:p>
    <w:p>
      <w:pPr>
        <w:spacing w:after="0" w:line="228" w:lineRule="exact"/>
        <w:rPr>
          <w:rFonts w:ascii="Arial" w:cs="Arial" w:eastAsia="Arial" w:hAnsi="Arial"/>
          <w:sz w:val="18"/>
          <w:szCs w:val="18"/>
          <w:b w:val="1"/>
          <w:bCs w:val="1"/>
          <w:color w:val="auto"/>
        </w:rPr>
      </w:pPr>
    </w:p>
    <w:p>
      <w:pPr>
        <w:ind w:right="60" w:firstLine="1421"/>
        <w:spacing w:after="0" w:line="289" w:lineRule="auto"/>
        <w:tabs>
          <w:tab w:leader="none" w:pos="1611"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to elect additional directors under specified 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such initial classification of the Board of Directors, the term of office of the Class I directors shall expire and Class I directors shall be elected for a full term of three years. At the second annual meeting of stockholders following such initial classification of the Board of Directors, the term of office of the Class II directors shall expire and Class II directors shall be elected for a full term of three years. At the third annual meeting of stockholders following such initial classification of the Board of Directors,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4" w:lineRule="exact"/>
        <w:rPr>
          <w:rFonts w:ascii="Arial" w:cs="Arial" w:eastAsia="Arial" w:hAnsi="Arial"/>
          <w:sz w:val="16"/>
          <w:szCs w:val="16"/>
          <w:b w:val="1"/>
          <w:bCs w:val="1"/>
          <w:color w:val="auto"/>
        </w:rPr>
      </w:pPr>
    </w:p>
    <w:p>
      <w:pPr>
        <w:ind w:right="220" w:firstLine="1421"/>
        <w:spacing w:after="0" w:line="263" w:lineRule="auto"/>
        <w:tabs>
          <w:tab w:leader="none" w:pos="1621"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At any time that applicable law prohibits a classified board as described in Section A.2.a. of this Article V, all directors shall be elected at each annual meeting of stockholders to hold office until the next annual meeting. The directors of the corporation need not be elected by written ballot unless the Bylaws so provide.</w:t>
      </w:r>
    </w:p>
    <w:p>
      <w:pPr>
        <w:spacing w:after="0" w:line="182" w:lineRule="exact"/>
        <w:rPr>
          <w:rFonts w:ascii="Arial" w:cs="Arial" w:eastAsia="Arial" w:hAnsi="Arial"/>
          <w:sz w:val="18"/>
          <w:szCs w:val="18"/>
          <w:b w:val="1"/>
          <w:bCs w:val="1"/>
          <w:color w:val="auto"/>
        </w:rPr>
      </w:pPr>
    </w:p>
    <w:p>
      <w:pPr>
        <w:ind w:firstLine="1421"/>
        <w:spacing w:after="0" w:line="289" w:lineRule="auto"/>
        <w:tabs>
          <w:tab w:leader="none" w:pos="1601"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4" w:lineRule="exact"/>
        <w:rPr>
          <w:rFonts w:ascii="Arial" w:cs="Arial" w:eastAsia="Arial" w:hAnsi="Arial"/>
          <w:sz w:val="16"/>
          <w:szCs w:val="16"/>
          <w:b w:val="1"/>
          <w:bCs w:val="1"/>
          <w:color w:val="auto"/>
        </w:rPr>
      </w:pPr>
    </w:p>
    <w:p>
      <w:pPr>
        <w:jc w:val="both"/>
        <w:ind w:right="20" w:firstLine="1421"/>
        <w:spacing w:after="0" w:line="263" w:lineRule="auto"/>
        <w:tabs>
          <w:tab w:leader="none" w:pos="1621"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8" w:lineRule="exact"/>
        <w:rPr>
          <w:rFonts w:ascii="Arial" w:cs="Arial" w:eastAsia="Arial" w:hAnsi="Arial"/>
          <w:sz w:val="18"/>
          <w:szCs w:val="18"/>
          <w:b w:val="1"/>
          <w:bCs w:val="1"/>
          <w:color w:val="auto"/>
        </w:rPr>
      </w:pPr>
    </w:p>
    <w:p>
      <w:pPr>
        <w:ind w:left="1060" w:hanging="189"/>
        <w:spacing w:after="0"/>
        <w:tabs>
          <w:tab w:leader="none" w:pos="1060"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EMOVAL OF</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any limitations imposed by applicable law, removal shall be as provided in Section 141(k)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06" w:lineRule="exact"/>
        <w:rPr>
          <w:sz w:val="20"/>
          <w:szCs w:val="20"/>
          <w:color w:val="auto"/>
        </w:rPr>
      </w:pPr>
    </w:p>
    <w:p>
      <w:pPr>
        <w:ind w:right="460" w:firstLine="871"/>
        <w:spacing w:after="0" w:line="303" w:lineRule="auto"/>
        <w:tabs>
          <w:tab w:leader="none" w:pos="1060"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V</w:t>
      </w:r>
      <w:r>
        <w:rPr>
          <w:rFonts w:ascii="Arial" w:cs="Arial" w:eastAsia="Arial" w:hAnsi="Arial"/>
          <w:sz w:val="12"/>
          <w:szCs w:val="12"/>
          <w:b w:val="1"/>
          <w:bCs w:val="1"/>
          <w:color w:val="auto"/>
        </w:rPr>
        <w:t>ACANCIES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limitations imposed by applicable law and subject to the rights of the holders of any series of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0" w:right="459" w:bottom="1440" w:gutter="0" w:footer="0" w:header="0"/>
        </w:sectPr>
      </w:pPr>
    </w:p>
    <w:bookmarkStart w:id="294" w:name="page295"/>
    <w:bookmarkEnd w:id="29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61"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B. B</w:t>
      </w:r>
      <w:r>
        <w:rPr>
          <w:rFonts w:ascii="Arial" w:cs="Arial" w:eastAsia="Arial" w:hAnsi="Arial"/>
          <w:sz w:val="12"/>
          <w:szCs w:val="12"/>
          <w:b w:val="1"/>
          <w:bCs w:val="1"/>
          <w:color w:val="auto"/>
        </w:rPr>
        <w:t>YLAWS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is expressly empowered to adopt, amend or repeal the Bylaws of the corporation. Any adoption,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or repeal of the Bylaws of the corporation by the Board of Directors shall require the approval of a majority of the authorized number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The stockholders shall also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this Amended and Restated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159" w:lineRule="exact"/>
        <w:rPr>
          <w:sz w:val="20"/>
          <w:szCs w:val="20"/>
          <w:color w:val="auto"/>
        </w:rPr>
      </w:pPr>
    </w:p>
    <w:p>
      <w:pPr>
        <w:ind w:right="500" w:firstLine="440"/>
        <w:spacing w:after="0" w:line="280" w:lineRule="auto"/>
        <w:rPr>
          <w:sz w:val="20"/>
          <w:szCs w:val="20"/>
          <w:color w:val="auto"/>
        </w:rPr>
      </w:pPr>
      <w:r>
        <w:rPr>
          <w:rFonts w:ascii="Arial" w:cs="Arial" w:eastAsia="Arial" w:hAnsi="Arial"/>
          <w:sz w:val="17"/>
          <w:szCs w:val="17"/>
          <w:b w:val="1"/>
          <w:bCs w:val="1"/>
          <w:color w:val="auto"/>
        </w:rPr>
        <w:t>C. S</w:t>
      </w:r>
      <w:r>
        <w:rPr>
          <w:rFonts w:ascii="Arial" w:cs="Arial" w:eastAsia="Arial" w:hAnsi="Arial"/>
          <w:sz w:val="13"/>
          <w:szCs w:val="13"/>
          <w:b w:val="1"/>
          <w:bCs w:val="1"/>
          <w:color w:val="auto"/>
        </w:rPr>
        <w:t>TOCKHOLDER</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 action shall be taken by the stockholders of the corporation except at an annual or special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called in accordance with the Bylaws, and no action shall be taken by the stockholders by written consent or electronic transmission.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w:t>
      </w:r>
    </w:p>
    <w:p>
      <w:pPr>
        <w:spacing w:after="0" w:line="225"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To the fullest extent permitted by applicable law, the corporation is authorized to provide indemnification of (and advancement of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employees and other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159" w:lineRule="exact"/>
        <w:rPr>
          <w:sz w:val="20"/>
          <w:szCs w:val="20"/>
          <w:color w:val="auto"/>
        </w:rPr>
      </w:pPr>
    </w:p>
    <w:p>
      <w:pPr>
        <w:jc w:val="both"/>
        <w:ind w:right="180" w:firstLine="440"/>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Any repeal or modification of this Article VI shall only be prospective and shall not affect the rights or protections or increase the liability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director under this Article VI in effect at the time of the alleged occurrence of any act or omission to act giving rise to liability or indemnification.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95" w:name="page296"/>
    <w:bookmarkEnd w:id="295"/>
    <w:p>
      <w:pPr>
        <w:ind w:right="40" w:firstLine="44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8"/>
          <w:szCs w:val="18"/>
          <w:color w:val="auto"/>
        </w:rPr>
        <w:t>The Court of Chancery of the State of Delaware shall be the sole and exclusive forum, to the extent permitted by law, for (1) any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or proceeding brought on behalf of the corporation; (2) any action asserting a claim of breach of a fiduciary duty owed by any director, officer or other employee of the corporation to the corporation or the corporation’s stockholders; (3) any action asserting a claim against the corporation or any director or officer or other employee of the corporation arising pursuant to any provision of the DGCL, the corporation’s Amended and Restated Certificate of Incorporation or the Bylaws of the corporation; or (4) any action asserting a claim against the corporation or any director or officer or other employee of the corporation governed by the internal affairs doctrine. This provision does not apply to suits brought to enforce a duty or liability created by the Securities Exchange Act of 1934, as amended, or any other claim for which the federal courts of the United States have exclusive jurisdiction.</w:t>
      </w:r>
    </w:p>
    <w:p>
      <w:pPr>
        <w:spacing w:after="0" w:line="190" w:lineRule="exact"/>
        <w:rPr>
          <w:sz w:val="20"/>
          <w:szCs w:val="20"/>
          <w:color w:val="auto"/>
        </w:rPr>
      </w:pPr>
    </w:p>
    <w:p>
      <w:pPr>
        <w:ind w:right="20" w:firstLine="440"/>
        <w:spacing w:after="0" w:line="281"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Unless the corporation consents in writing to the selection of an alternative forum, the federal courts of the United States shall be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forum for the resolution of any claim arising under the Securities Act of 1933, as amended.</w:t>
      </w:r>
    </w:p>
    <w:p>
      <w:pPr>
        <w:spacing w:after="0" w:line="163" w:lineRule="exact"/>
        <w:rPr>
          <w:sz w:val="20"/>
          <w:szCs w:val="20"/>
          <w:color w:val="auto"/>
        </w:rPr>
      </w:pPr>
    </w:p>
    <w:p>
      <w:pPr>
        <w:ind w:right="40" w:firstLine="440"/>
        <w:spacing w:after="0" w:line="281"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Any person or entity purchasing or otherwise acquiring any interest in shares of capital stock of the corporation shall be deemed to have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and to have consented to the provisions of this Article VI.</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corporation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 and all rights conferred upon the stockholders herein are granted subject to this reservation.</w:t>
      </w:r>
    </w:p>
    <w:p>
      <w:pPr>
        <w:spacing w:after="0" w:line="175" w:lineRule="exact"/>
        <w:rPr>
          <w:sz w:val="20"/>
          <w:szCs w:val="20"/>
          <w:color w:val="auto"/>
        </w:rPr>
      </w:pPr>
    </w:p>
    <w:p>
      <w:pPr>
        <w:ind w:right="20" w:firstLine="440"/>
        <w:spacing w:after="0" w:line="297"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Notwithstanding any other provisions of this Amended and Restated Certificate of Incorporation or any provision of law that might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 lesser vote or no vote, but in addition to any affirmative vote of the holders of any particular class or series of the corporation required by law or by this Amended and Restated Certificate of Incorporation or any certificate of designation filed with respect to a series of Preferred Stock, the affirmative vote of the holders of at least 66 2/3% of the voting power of all of the then-outstanding shares of capital stock of the corporation entitled to vote generally in the election of directors, voting together as a single class, shall be required to alter, amend or repeal Articles V, VI, and VII.</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FOUR: </w:t>
      </w:r>
      <w:r>
        <w:rPr>
          <w:rFonts w:ascii="Arial" w:cs="Arial" w:eastAsia="Arial" w:hAnsi="Arial"/>
          <w:sz w:val="17"/>
          <w:szCs w:val="17"/>
          <w:color w:val="auto"/>
        </w:rPr>
        <w:t>This Amended and Restated Certificate of Incorporation has been duly approved by the Board of Directors of this corporation.</w:t>
      </w:r>
    </w:p>
    <w:p>
      <w:pPr>
        <w:spacing w:after="0" w:line="23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this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228 of the DGCL. This Amended and Restated Certificate of Incorporation has been duly adopted in accordance with the provisions of Sections 242 and 245 of the DGCL by the stockholders of this corporation.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60" w:top="270" w:right="519" w:bottom="1440" w:gutter="0" w:footer="0" w:header="0"/>
        </w:sectPr>
      </w:pPr>
    </w:p>
    <w:bookmarkStart w:id="296" w:name="page297"/>
    <w:bookmarkEnd w:id="296"/>
    <w:p>
      <w:pPr>
        <w:ind w:firstLine="88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_____ day of October,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Jeffrey Dunn,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-130175</wp:posOffset>
            </wp:positionV>
            <wp:extent cx="27927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279273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Amended and Restated Certificate of Incorporation of SI-BONE, Inc.</w:t>
      </w:r>
    </w:p>
    <w:p>
      <w:pPr>
        <w:sectPr>
          <w:pgSz w:w="11900" w:h="16838" w:orient="portrait"/>
          <w:cols w:equalWidth="0" w:num="1">
            <w:col w:w="10900"/>
          </w:cols>
          <w:pgMar w:left="460" w:top="270" w:right="5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AMENDED AND RESTATED BYLAWS</w:t>
      </w:r>
    </w:p>
    <w:p>
      <w:pPr>
        <w:spacing w:after="0" w:line="23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2" w:right="43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7200" w:type="dxa"/>
            <w:vAlign w:val="bottom"/>
          </w:tcPr>
          <w:p>
            <w:pPr>
              <w:ind w:left="33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80" w:type="dxa"/>
            <w:vAlign w:val="bottom"/>
          </w:tcPr>
          <w:p>
            <w:pPr>
              <w:spacing w:after="0"/>
              <w:rPr>
                <w:sz w:val="20"/>
                <w:szCs w:val="20"/>
                <w:color w:val="auto"/>
              </w:rPr>
            </w:pPr>
          </w:p>
        </w:tc>
      </w:tr>
      <w:tr>
        <w:trPr>
          <w:trHeight w:val="377"/>
        </w:trPr>
        <w:tc>
          <w:tcPr>
            <w:tcW w:w="12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ARTICLE I</w:t>
            </w:r>
          </w:p>
        </w:tc>
        <w:tc>
          <w:tcPr>
            <w:tcW w:w="7200" w:type="dxa"/>
            <w:vAlign w:val="bottom"/>
          </w:tcPr>
          <w:p>
            <w:pPr>
              <w:ind w:left="100"/>
              <w:spacing w:after="0"/>
              <w:rPr>
                <w:sz w:val="20"/>
                <w:szCs w:val="20"/>
                <w:color w:val="auto"/>
              </w:rPr>
            </w:pPr>
            <w:r>
              <w:rPr>
                <w:rFonts w:ascii="Arial" w:cs="Arial" w:eastAsia="Arial" w:hAnsi="Arial"/>
                <w:sz w:val="18"/>
                <w:szCs w:val="18"/>
                <w:color w:val="auto"/>
              </w:rPr>
              <w:t>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0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00" w:type="dxa"/>
            <w:vAlign w:val="bottom"/>
          </w:tcPr>
          <w:p>
            <w:pPr>
              <w:ind w:left="100"/>
              <w:spacing w:after="0"/>
              <w:rPr>
                <w:sz w:val="20"/>
                <w:szCs w:val="20"/>
                <w:color w:val="auto"/>
              </w:rPr>
            </w:pPr>
            <w:r>
              <w:rPr>
                <w:rFonts w:ascii="Arial" w:cs="Arial" w:eastAsia="Arial" w:hAnsi="Arial"/>
                <w:sz w:val="18"/>
                <w:szCs w:val="18"/>
                <w:color w:val="auto"/>
              </w:rPr>
              <w:t>Other 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II</w:t>
            </w:r>
          </w:p>
        </w:tc>
        <w:tc>
          <w:tcPr>
            <w:tcW w:w="7200" w:type="dxa"/>
            <w:vAlign w:val="bottom"/>
          </w:tcPr>
          <w:p>
            <w:pPr>
              <w:ind w:left="10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00" w:type="dxa"/>
            <w:vAlign w:val="bottom"/>
          </w:tcPr>
          <w:p>
            <w:pPr>
              <w:ind w:left="10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III</w:t>
            </w:r>
          </w:p>
        </w:tc>
        <w:tc>
          <w:tcPr>
            <w:tcW w:w="7200" w:type="dxa"/>
            <w:vAlign w:val="bottom"/>
          </w:tcPr>
          <w:p>
            <w:pPr>
              <w:ind w:left="100"/>
              <w:spacing w:after="0"/>
              <w:rPr>
                <w:sz w:val="20"/>
                <w:szCs w:val="20"/>
                <w:color w:val="auto"/>
              </w:rPr>
            </w:pPr>
            <w:r>
              <w:rPr>
                <w:rFonts w:ascii="Arial" w:cs="Arial" w:eastAsia="Arial" w:hAnsi="Arial"/>
                <w:sz w:val="18"/>
                <w:szCs w:val="18"/>
                <w:color w:val="auto"/>
              </w:rPr>
              <w:t>STOCKHOLDERS’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00" w:type="dxa"/>
            <w:vAlign w:val="bottom"/>
          </w:tcPr>
          <w:p>
            <w:pPr>
              <w:ind w:left="100"/>
              <w:spacing w:after="0"/>
              <w:rPr>
                <w:sz w:val="20"/>
                <w:szCs w:val="20"/>
                <w:color w:val="auto"/>
              </w:rPr>
            </w:pPr>
            <w:r>
              <w:rPr>
                <w:rFonts w:ascii="Arial" w:cs="Arial" w:eastAsia="Arial" w:hAnsi="Arial"/>
                <w:sz w:val="18"/>
                <w:szCs w:val="18"/>
                <w:color w:val="auto"/>
              </w:rPr>
              <w:t>Place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200" w:type="dxa"/>
            <w:vAlign w:val="bottom"/>
          </w:tcPr>
          <w:p>
            <w:pPr>
              <w:ind w:left="100"/>
              <w:spacing w:after="0"/>
              <w:rPr>
                <w:sz w:val="20"/>
                <w:szCs w:val="20"/>
                <w:color w:val="auto"/>
              </w:rPr>
            </w:pPr>
            <w:r>
              <w:rPr>
                <w:rFonts w:ascii="Arial" w:cs="Arial" w:eastAsia="Arial" w:hAnsi="Arial"/>
                <w:sz w:val="18"/>
                <w:szCs w:val="18"/>
                <w:color w:val="auto"/>
              </w:rPr>
              <w:t>Annual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20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200" w:type="dxa"/>
            <w:vAlign w:val="bottom"/>
          </w:tcPr>
          <w:p>
            <w:pPr>
              <w:ind w:left="100"/>
              <w:spacing w:after="0"/>
              <w:rPr>
                <w:sz w:val="20"/>
                <w:szCs w:val="20"/>
                <w:color w:val="auto"/>
              </w:rPr>
            </w:pPr>
            <w:r>
              <w:rPr>
                <w:rFonts w:ascii="Arial" w:cs="Arial" w:eastAsia="Arial" w:hAnsi="Arial"/>
                <w:sz w:val="18"/>
                <w:szCs w:val="18"/>
                <w:color w:val="auto"/>
              </w:rPr>
              <w:t>Notice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200" w:type="dxa"/>
            <w:vAlign w:val="bottom"/>
          </w:tcPr>
          <w:p>
            <w:pPr>
              <w:ind w:left="100"/>
              <w:spacing w:after="0"/>
              <w:rPr>
                <w:sz w:val="20"/>
                <w:szCs w:val="20"/>
                <w:color w:val="auto"/>
              </w:rPr>
            </w:pPr>
            <w:r>
              <w:rPr>
                <w:rFonts w:ascii="Arial" w:cs="Arial" w:eastAsia="Arial" w:hAnsi="Arial"/>
                <w:sz w:val="18"/>
                <w:szCs w:val="18"/>
                <w:color w:val="auto"/>
              </w:rPr>
              <w:t>Quorum</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200" w:type="dxa"/>
            <w:vAlign w:val="bottom"/>
          </w:tcPr>
          <w:p>
            <w:pPr>
              <w:ind w:left="100"/>
              <w:spacing w:after="0"/>
              <w:rPr>
                <w:sz w:val="20"/>
                <w:szCs w:val="20"/>
                <w:color w:val="auto"/>
              </w:rPr>
            </w:pPr>
            <w:r>
              <w:rPr>
                <w:rFonts w:ascii="Arial" w:cs="Arial" w:eastAsia="Arial" w:hAnsi="Arial"/>
                <w:sz w:val="18"/>
                <w:szCs w:val="18"/>
                <w:color w:val="auto"/>
              </w:rPr>
              <w:t>Adjournment And Notice Of Adjourned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10.</w:t>
            </w:r>
          </w:p>
        </w:tc>
        <w:tc>
          <w:tcPr>
            <w:tcW w:w="7200" w:type="dxa"/>
            <w:vAlign w:val="bottom"/>
          </w:tcPr>
          <w:p>
            <w:pPr>
              <w:ind w:left="100"/>
              <w:spacing w:after="0"/>
              <w:rPr>
                <w:sz w:val="20"/>
                <w:szCs w:val="20"/>
                <w:color w:val="auto"/>
              </w:rPr>
            </w:pPr>
            <w:r>
              <w:rPr>
                <w:rFonts w:ascii="Arial" w:cs="Arial" w:eastAsia="Arial" w:hAnsi="Arial"/>
                <w:sz w:val="18"/>
                <w:szCs w:val="18"/>
                <w:color w:val="auto"/>
              </w:rPr>
              <w:t>Voting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11.</w:t>
            </w:r>
          </w:p>
        </w:tc>
        <w:tc>
          <w:tcPr>
            <w:tcW w:w="7200" w:type="dxa"/>
            <w:vAlign w:val="bottom"/>
          </w:tcPr>
          <w:p>
            <w:pPr>
              <w:ind w:left="100"/>
              <w:spacing w:after="0"/>
              <w:rPr>
                <w:sz w:val="20"/>
                <w:szCs w:val="20"/>
                <w:color w:val="auto"/>
              </w:rPr>
            </w:pPr>
            <w:r>
              <w:rPr>
                <w:rFonts w:ascii="Arial" w:cs="Arial" w:eastAsia="Arial" w:hAnsi="Arial"/>
                <w:sz w:val="18"/>
                <w:szCs w:val="18"/>
                <w:color w:val="auto"/>
              </w:rPr>
              <w:t>Joint Owners of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12.</w:t>
            </w:r>
          </w:p>
        </w:tc>
        <w:tc>
          <w:tcPr>
            <w:tcW w:w="7200" w:type="dxa"/>
            <w:vAlign w:val="bottom"/>
          </w:tcPr>
          <w:p>
            <w:pPr>
              <w:ind w:left="100"/>
              <w:spacing w:after="0"/>
              <w:rPr>
                <w:sz w:val="20"/>
                <w:szCs w:val="20"/>
                <w:color w:val="auto"/>
              </w:rPr>
            </w:pPr>
            <w:r>
              <w:rPr>
                <w:rFonts w:ascii="Arial" w:cs="Arial" w:eastAsia="Arial" w:hAnsi="Arial"/>
                <w:sz w:val="18"/>
                <w:szCs w:val="18"/>
                <w:color w:val="auto"/>
              </w:rPr>
              <w:t>List of Stockholders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13.</w:t>
            </w:r>
          </w:p>
        </w:tc>
        <w:tc>
          <w:tcPr>
            <w:tcW w:w="7200" w:type="dxa"/>
            <w:vAlign w:val="bottom"/>
          </w:tcPr>
          <w:p>
            <w:pPr>
              <w:ind w:left="10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14.</w:t>
            </w:r>
          </w:p>
        </w:tc>
        <w:tc>
          <w:tcPr>
            <w:tcW w:w="720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7200" w:type="dxa"/>
            <w:vAlign w:val="bottom"/>
          </w:tcPr>
          <w:p>
            <w:pPr>
              <w:ind w:left="10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15.</w:t>
            </w:r>
          </w:p>
        </w:tc>
        <w:tc>
          <w:tcPr>
            <w:tcW w:w="7200" w:type="dxa"/>
            <w:vAlign w:val="bottom"/>
          </w:tcPr>
          <w:p>
            <w:pPr>
              <w:ind w:left="100"/>
              <w:spacing w:after="0"/>
              <w:rPr>
                <w:sz w:val="20"/>
                <w:szCs w:val="20"/>
                <w:color w:val="auto"/>
              </w:rPr>
            </w:pPr>
            <w:r>
              <w:rPr>
                <w:rFonts w:ascii="Arial" w:cs="Arial" w:eastAsia="Arial" w:hAnsi="Arial"/>
                <w:sz w:val="18"/>
                <w:szCs w:val="18"/>
                <w:color w:val="auto"/>
              </w:rPr>
              <w:t>Number And Term Of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16.</w:t>
            </w:r>
          </w:p>
        </w:tc>
        <w:tc>
          <w:tcPr>
            <w:tcW w:w="7200" w:type="dxa"/>
            <w:vAlign w:val="bottom"/>
          </w:tcPr>
          <w:p>
            <w:pPr>
              <w:ind w:left="100"/>
              <w:spacing w:after="0"/>
              <w:rPr>
                <w:sz w:val="20"/>
                <w:szCs w:val="20"/>
                <w:color w:val="auto"/>
              </w:rPr>
            </w:pPr>
            <w:r>
              <w:rPr>
                <w:rFonts w:ascii="Arial" w:cs="Arial" w:eastAsia="Arial" w:hAnsi="Arial"/>
                <w:sz w:val="18"/>
                <w:szCs w:val="18"/>
                <w:color w:val="auto"/>
              </w:rPr>
              <w:t>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17.</w:t>
            </w:r>
          </w:p>
        </w:tc>
        <w:tc>
          <w:tcPr>
            <w:tcW w:w="7200" w:type="dxa"/>
            <w:vAlign w:val="bottom"/>
          </w:tcPr>
          <w:p>
            <w:pPr>
              <w:ind w:left="100"/>
              <w:spacing w:after="0"/>
              <w:rPr>
                <w:sz w:val="20"/>
                <w:szCs w:val="20"/>
                <w:color w:val="auto"/>
              </w:rPr>
            </w:pPr>
            <w:r>
              <w:rPr>
                <w:rFonts w:ascii="Arial" w:cs="Arial" w:eastAsia="Arial" w:hAnsi="Arial"/>
                <w:sz w:val="18"/>
                <w:szCs w:val="18"/>
                <w:color w:val="auto"/>
              </w:rPr>
              <w:t>Classes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18.</w:t>
            </w:r>
          </w:p>
        </w:tc>
        <w:tc>
          <w:tcPr>
            <w:tcW w:w="720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19.</w:t>
            </w:r>
          </w:p>
        </w:tc>
        <w:tc>
          <w:tcPr>
            <w:tcW w:w="7200" w:type="dxa"/>
            <w:vAlign w:val="bottom"/>
          </w:tcPr>
          <w:p>
            <w:pPr>
              <w:ind w:left="100"/>
              <w:spacing w:after="0"/>
              <w:rPr>
                <w:sz w:val="20"/>
                <w:szCs w:val="20"/>
                <w:color w:val="auto"/>
              </w:rPr>
            </w:pPr>
            <w:r>
              <w:rPr>
                <w:rFonts w:ascii="Arial" w:cs="Arial" w:eastAsia="Arial" w:hAnsi="Arial"/>
                <w:sz w:val="18"/>
                <w:szCs w:val="18"/>
                <w:color w:val="auto"/>
              </w:rPr>
              <w:t>Resignation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20.</w:t>
            </w:r>
          </w:p>
        </w:tc>
        <w:tc>
          <w:tcPr>
            <w:tcW w:w="7200" w:type="dxa"/>
            <w:vAlign w:val="bottom"/>
          </w:tcPr>
          <w:p>
            <w:pPr>
              <w:ind w:left="100"/>
              <w:spacing w:after="0"/>
              <w:rPr>
                <w:sz w:val="20"/>
                <w:szCs w:val="20"/>
                <w:color w:val="auto"/>
              </w:rPr>
            </w:pPr>
            <w:r>
              <w:rPr>
                <w:rFonts w:ascii="Arial" w:cs="Arial" w:eastAsia="Arial" w:hAnsi="Arial"/>
                <w:sz w:val="18"/>
                <w:szCs w:val="18"/>
                <w:color w:val="auto"/>
              </w:rPr>
              <w:t>Removal</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21.</w:t>
            </w:r>
          </w:p>
        </w:tc>
        <w:tc>
          <w:tcPr>
            <w:tcW w:w="7200" w:type="dxa"/>
            <w:vAlign w:val="bottom"/>
          </w:tcPr>
          <w:p>
            <w:pPr>
              <w:ind w:left="100"/>
              <w:spacing w:after="0"/>
              <w:rPr>
                <w:sz w:val="20"/>
                <w:szCs w:val="20"/>
                <w:color w:val="auto"/>
              </w:rPr>
            </w:pPr>
            <w:r>
              <w:rPr>
                <w:rFonts w:ascii="Arial" w:cs="Arial" w:eastAsia="Arial" w:hAnsi="Arial"/>
                <w:sz w:val="18"/>
                <w:szCs w:val="18"/>
                <w:color w:val="auto"/>
              </w:rPr>
              <w:t>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22.</w:t>
            </w:r>
          </w:p>
        </w:tc>
        <w:tc>
          <w:tcPr>
            <w:tcW w:w="7200" w:type="dxa"/>
            <w:vAlign w:val="bottom"/>
          </w:tcPr>
          <w:p>
            <w:pPr>
              <w:ind w:left="100"/>
              <w:spacing w:after="0"/>
              <w:rPr>
                <w:sz w:val="20"/>
                <w:szCs w:val="20"/>
                <w:color w:val="auto"/>
              </w:rPr>
            </w:pPr>
            <w:r>
              <w:rPr>
                <w:rFonts w:ascii="Arial" w:cs="Arial" w:eastAsia="Arial" w:hAnsi="Arial"/>
                <w:sz w:val="18"/>
                <w:szCs w:val="18"/>
                <w:color w:val="auto"/>
              </w:rPr>
              <w:t>Quorum and Voting</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23.</w:t>
            </w:r>
          </w:p>
        </w:tc>
        <w:tc>
          <w:tcPr>
            <w:tcW w:w="7200" w:type="dxa"/>
            <w:vAlign w:val="bottom"/>
          </w:tcPr>
          <w:p>
            <w:pPr>
              <w:ind w:left="10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24.</w:t>
            </w:r>
          </w:p>
        </w:tc>
        <w:tc>
          <w:tcPr>
            <w:tcW w:w="7200" w:type="dxa"/>
            <w:vAlign w:val="bottom"/>
          </w:tcPr>
          <w:p>
            <w:pPr>
              <w:ind w:left="100"/>
              <w:spacing w:after="0"/>
              <w:rPr>
                <w:sz w:val="20"/>
                <w:szCs w:val="20"/>
                <w:color w:val="auto"/>
              </w:rPr>
            </w:pPr>
            <w:r>
              <w:rPr>
                <w:rFonts w:ascii="Arial" w:cs="Arial" w:eastAsia="Arial" w:hAnsi="Arial"/>
                <w:sz w:val="18"/>
                <w:szCs w:val="18"/>
                <w:color w:val="auto"/>
              </w:rPr>
              <w:t>Fees and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25.</w:t>
            </w:r>
          </w:p>
        </w:tc>
        <w:tc>
          <w:tcPr>
            <w:tcW w:w="720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26.</w:t>
            </w:r>
          </w:p>
        </w:tc>
        <w:tc>
          <w:tcPr>
            <w:tcW w:w="7200" w:type="dxa"/>
            <w:vAlign w:val="bottom"/>
          </w:tcPr>
          <w:p>
            <w:pPr>
              <w:ind w:left="100"/>
              <w:spacing w:after="0"/>
              <w:rPr>
                <w:sz w:val="20"/>
                <w:szCs w:val="20"/>
                <w:color w:val="auto"/>
              </w:rPr>
            </w:pPr>
            <w:r>
              <w:rPr>
                <w:rFonts w:ascii="Arial" w:cs="Arial" w:eastAsia="Arial" w:hAnsi="Arial"/>
                <w:sz w:val="18"/>
                <w:szCs w:val="18"/>
                <w:color w:val="auto"/>
              </w:rPr>
              <w:t>Lead Independent Director</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7"/>
              </w:rPr>
              <w:t>Section 27.</w:t>
            </w:r>
          </w:p>
        </w:tc>
        <w:tc>
          <w:tcPr>
            <w:tcW w:w="720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4"/>
        </w:trPr>
        <w:tc>
          <w:tcPr>
            <w:tcW w:w="1260" w:type="dxa"/>
            <w:vAlign w:val="bottom"/>
          </w:tcPr>
          <w:p>
            <w:pPr>
              <w:spacing w:after="0"/>
              <w:rPr>
                <w:sz w:val="24"/>
                <w:szCs w:val="24"/>
                <w:color w:val="auto"/>
              </w:rPr>
            </w:pPr>
          </w:p>
        </w:tc>
        <w:tc>
          <w:tcPr>
            <w:tcW w:w="7200" w:type="dxa"/>
            <w:vAlign w:val="bottom"/>
          </w:tcPr>
          <w:p>
            <w:pPr>
              <w:ind w:left="418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6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99" w:name="page300"/>
    <w:bookmarkEnd w:id="29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9180" w:type="dxa"/>
            <w:vAlign w:val="bottom"/>
          </w:tcPr>
          <w:p>
            <w:pPr>
              <w:jc w:val="center"/>
              <w:ind w:right="67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4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9180" w:type="dxa"/>
            <w:vAlign w:val="bottom"/>
          </w:tcPr>
          <w:p>
            <w:pPr>
              <w:jc w:val="center"/>
              <w:ind w:right="67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ONTINUED</w:t>
            </w:r>
          </w:p>
        </w:tc>
        <w:tc>
          <w:tcPr>
            <w:tcW w:w="480" w:type="dxa"/>
            <w:vAlign w:val="bottom"/>
          </w:tcPr>
          <w:p>
            <w:pPr>
              <w:spacing w:after="0"/>
              <w:rPr>
                <w:sz w:val="20"/>
                <w:szCs w:val="20"/>
                <w:color w:val="auto"/>
              </w:rPr>
            </w:pPr>
          </w:p>
        </w:tc>
      </w:tr>
      <w:tr>
        <w:trPr>
          <w:trHeight w:val="282"/>
        </w:trPr>
        <w:tc>
          <w:tcPr>
            <w:tcW w:w="128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ARTICLE V</w:t>
            </w:r>
          </w:p>
        </w:tc>
        <w:tc>
          <w:tcPr>
            <w:tcW w:w="9180" w:type="dxa"/>
            <w:vAlign w:val="bottom"/>
          </w:tcPr>
          <w:p>
            <w:pPr>
              <w:ind w:left="120"/>
              <w:spacing w:after="0"/>
              <w:rPr>
                <w:sz w:val="20"/>
                <w:szCs w:val="20"/>
                <w:color w:val="auto"/>
              </w:rPr>
            </w:pPr>
            <w:r>
              <w:rPr>
                <w:rFonts w:ascii="Arial" w:cs="Arial" w:eastAsia="Arial" w:hAnsi="Arial"/>
                <w:sz w:val="18"/>
                <w:szCs w:val="18"/>
                <w:color w:val="auto"/>
              </w:rPr>
              <w:t>OFFICERS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28.</w:t>
            </w:r>
          </w:p>
        </w:tc>
        <w:tc>
          <w:tcPr>
            <w:tcW w:w="9180" w:type="dxa"/>
            <w:vAlign w:val="bottom"/>
          </w:tcPr>
          <w:p>
            <w:pPr>
              <w:ind w:left="120"/>
              <w:spacing w:after="0"/>
              <w:rPr>
                <w:sz w:val="20"/>
                <w:szCs w:val="20"/>
                <w:color w:val="auto"/>
              </w:rPr>
            </w:pPr>
            <w:r>
              <w:rPr>
                <w:rFonts w:ascii="Arial" w:cs="Arial" w:eastAsia="Arial" w:hAnsi="Arial"/>
                <w:sz w:val="18"/>
                <w:szCs w:val="18"/>
                <w:color w:val="auto"/>
              </w:rPr>
              <w:t>Officers Designated</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29.</w:t>
            </w:r>
          </w:p>
        </w:tc>
        <w:tc>
          <w:tcPr>
            <w:tcW w:w="9180" w:type="dxa"/>
            <w:vAlign w:val="bottom"/>
          </w:tcPr>
          <w:p>
            <w:pPr>
              <w:ind w:left="120"/>
              <w:spacing w:after="0"/>
              <w:rPr>
                <w:sz w:val="20"/>
                <w:szCs w:val="20"/>
                <w:color w:val="auto"/>
              </w:rPr>
            </w:pPr>
            <w:r>
              <w:rPr>
                <w:rFonts w:ascii="Arial" w:cs="Arial" w:eastAsia="Arial" w:hAnsi="Arial"/>
                <w:sz w:val="18"/>
                <w:szCs w:val="18"/>
                <w:color w:val="auto"/>
              </w:rPr>
              <w:t>Tenure And Duties Of Officers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30.</w:t>
            </w:r>
          </w:p>
        </w:tc>
        <w:tc>
          <w:tcPr>
            <w:tcW w:w="918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31.</w:t>
            </w:r>
          </w:p>
        </w:tc>
        <w:tc>
          <w:tcPr>
            <w:tcW w:w="9180" w:type="dxa"/>
            <w:vAlign w:val="bottom"/>
          </w:tcPr>
          <w:p>
            <w:pPr>
              <w:ind w:left="120"/>
              <w:spacing w:after="0"/>
              <w:rPr>
                <w:sz w:val="20"/>
                <w:szCs w:val="20"/>
                <w:color w:val="auto"/>
              </w:rPr>
            </w:pPr>
            <w:r>
              <w:rPr>
                <w:rFonts w:ascii="Arial" w:cs="Arial" w:eastAsia="Arial" w:hAnsi="Arial"/>
                <w:sz w:val="18"/>
                <w:szCs w:val="18"/>
                <w:color w:val="auto"/>
              </w:rPr>
              <w:t>Resignations</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32.</w:t>
            </w:r>
          </w:p>
        </w:tc>
        <w:tc>
          <w:tcPr>
            <w:tcW w:w="9180" w:type="dxa"/>
            <w:vAlign w:val="bottom"/>
          </w:tcPr>
          <w:p>
            <w:pPr>
              <w:ind w:left="120"/>
              <w:spacing w:after="0"/>
              <w:rPr>
                <w:sz w:val="20"/>
                <w:szCs w:val="20"/>
                <w:color w:val="auto"/>
              </w:rPr>
            </w:pPr>
            <w:r>
              <w:rPr>
                <w:rFonts w:ascii="Arial" w:cs="Arial" w:eastAsia="Arial" w:hAnsi="Arial"/>
                <w:sz w:val="18"/>
                <w:szCs w:val="18"/>
                <w:color w:val="auto"/>
              </w:rPr>
              <w:t>Removal</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w:t>
            </w:r>
          </w:p>
        </w:tc>
        <w:tc>
          <w:tcPr>
            <w:tcW w:w="9180" w:type="dxa"/>
            <w:vAlign w:val="bottom"/>
          </w:tcPr>
          <w:p>
            <w:pPr>
              <w:ind w:left="120"/>
              <w:spacing w:after="0"/>
              <w:rPr>
                <w:sz w:val="20"/>
                <w:szCs w:val="20"/>
                <w:color w:val="auto"/>
              </w:rPr>
            </w:pPr>
            <w:r>
              <w:rPr>
                <w:rFonts w:ascii="Arial" w:cs="Arial" w:eastAsia="Arial" w:hAnsi="Arial"/>
                <w:sz w:val="18"/>
                <w:szCs w:val="18"/>
                <w:color w:val="auto"/>
                <w:w w:val="96"/>
              </w:rPr>
              <w:t>EXECUTION OF CORPORATE INSTRUMENTS AND VOTING OF SECURITIES OWNED BY THE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33.</w:t>
            </w:r>
          </w:p>
        </w:tc>
        <w:tc>
          <w:tcPr>
            <w:tcW w:w="9180" w:type="dxa"/>
            <w:vAlign w:val="bottom"/>
          </w:tcPr>
          <w:p>
            <w:pPr>
              <w:ind w:left="120"/>
              <w:spacing w:after="0"/>
              <w:rPr>
                <w:sz w:val="20"/>
                <w:szCs w:val="20"/>
                <w:color w:val="auto"/>
              </w:rPr>
            </w:pPr>
            <w:r>
              <w:rPr>
                <w:rFonts w:ascii="Arial" w:cs="Arial" w:eastAsia="Arial" w:hAnsi="Arial"/>
                <w:sz w:val="18"/>
                <w:szCs w:val="18"/>
                <w:color w:val="auto"/>
              </w:rPr>
              <w:t>Execution Of Corporate Instruments</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34.</w:t>
            </w:r>
          </w:p>
        </w:tc>
        <w:tc>
          <w:tcPr>
            <w:tcW w:w="9180" w:type="dxa"/>
            <w:vAlign w:val="bottom"/>
          </w:tcPr>
          <w:p>
            <w:pPr>
              <w:ind w:left="120"/>
              <w:spacing w:after="0"/>
              <w:rPr>
                <w:sz w:val="20"/>
                <w:szCs w:val="20"/>
                <w:color w:val="auto"/>
              </w:rPr>
            </w:pPr>
            <w:r>
              <w:rPr>
                <w:rFonts w:ascii="Arial" w:cs="Arial" w:eastAsia="Arial" w:hAnsi="Arial"/>
                <w:sz w:val="18"/>
                <w:szCs w:val="18"/>
                <w:color w:val="auto"/>
              </w:rPr>
              <w:t>Voting Of Securities Owned By The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VII</w:t>
            </w:r>
          </w:p>
        </w:tc>
        <w:tc>
          <w:tcPr>
            <w:tcW w:w="9180" w:type="dxa"/>
            <w:vAlign w:val="bottom"/>
          </w:tcPr>
          <w:p>
            <w:pPr>
              <w:ind w:left="120"/>
              <w:spacing w:after="0"/>
              <w:rPr>
                <w:sz w:val="20"/>
                <w:szCs w:val="20"/>
                <w:color w:val="auto"/>
              </w:rPr>
            </w:pPr>
            <w:r>
              <w:rPr>
                <w:rFonts w:ascii="Arial" w:cs="Arial" w:eastAsia="Arial" w:hAnsi="Arial"/>
                <w:sz w:val="18"/>
                <w:szCs w:val="18"/>
                <w:color w:val="auto"/>
              </w:rPr>
              <w:t>SHARES OF STOCK</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35.</w:t>
            </w:r>
          </w:p>
        </w:tc>
        <w:tc>
          <w:tcPr>
            <w:tcW w:w="9180" w:type="dxa"/>
            <w:vAlign w:val="bottom"/>
          </w:tcPr>
          <w:p>
            <w:pPr>
              <w:ind w:left="120"/>
              <w:spacing w:after="0"/>
              <w:rPr>
                <w:sz w:val="20"/>
                <w:szCs w:val="20"/>
                <w:color w:val="auto"/>
              </w:rPr>
            </w:pPr>
            <w:r>
              <w:rPr>
                <w:rFonts w:ascii="Arial" w:cs="Arial" w:eastAsia="Arial" w:hAnsi="Arial"/>
                <w:sz w:val="18"/>
                <w:szCs w:val="18"/>
                <w:color w:val="auto"/>
              </w:rPr>
              <w:t>Form And Execution Of Certificates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36.</w:t>
            </w:r>
          </w:p>
        </w:tc>
        <w:tc>
          <w:tcPr>
            <w:tcW w:w="918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37.</w:t>
            </w:r>
          </w:p>
        </w:tc>
        <w:tc>
          <w:tcPr>
            <w:tcW w:w="9180" w:type="dxa"/>
            <w:vAlign w:val="bottom"/>
          </w:tcPr>
          <w:p>
            <w:pPr>
              <w:ind w:left="120"/>
              <w:spacing w:after="0"/>
              <w:rPr>
                <w:sz w:val="20"/>
                <w:szCs w:val="20"/>
                <w:color w:val="auto"/>
              </w:rPr>
            </w:pPr>
            <w:r>
              <w:rPr>
                <w:rFonts w:ascii="Arial" w:cs="Arial" w:eastAsia="Arial" w:hAnsi="Arial"/>
                <w:sz w:val="18"/>
                <w:szCs w:val="18"/>
                <w:color w:val="auto"/>
              </w:rPr>
              <w:t>Transfers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38.</w:t>
            </w:r>
          </w:p>
        </w:tc>
        <w:tc>
          <w:tcPr>
            <w:tcW w:w="9180" w:type="dxa"/>
            <w:vAlign w:val="bottom"/>
          </w:tcPr>
          <w:p>
            <w:pPr>
              <w:ind w:left="120"/>
              <w:spacing w:after="0"/>
              <w:rPr>
                <w:sz w:val="20"/>
                <w:szCs w:val="20"/>
                <w:color w:val="auto"/>
              </w:rPr>
            </w:pPr>
            <w:r>
              <w:rPr>
                <w:rFonts w:ascii="Arial" w:cs="Arial" w:eastAsia="Arial" w:hAnsi="Arial"/>
                <w:sz w:val="18"/>
                <w:szCs w:val="18"/>
                <w:color w:val="auto"/>
              </w:rPr>
              <w:t>Fixing Record Dates</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39.</w:t>
            </w:r>
          </w:p>
        </w:tc>
        <w:tc>
          <w:tcPr>
            <w:tcW w:w="9180" w:type="dxa"/>
            <w:vAlign w:val="bottom"/>
          </w:tcPr>
          <w:p>
            <w:pPr>
              <w:ind w:left="120"/>
              <w:spacing w:after="0"/>
              <w:rPr>
                <w:sz w:val="20"/>
                <w:szCs w:val="20"/>
                <w:color w:val="auto"/>
              </w:rPr>
            </w:pPr>
            <w:r>
              <w:rPr>
                <w:rFonts w:ascii="Arial" w:cs="Arial" w:eastAsia="Arial" w:hAnsi="Arial"/>
                <w:sz w:val="18"/>
                <w:szCs w:val="18"/>
                <w:color w:val="auto"/>
              </w:rPr>
              <w:t>Registered Stockholders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VIII</w:t>
            </w:r>
          </w:p>
        </w:tc>
        <w:tc>
          <w:tcPr>
            <w:tcW w:w="9180" w:type="dxa"/>
            <w:vAlign w:val="bottom"/>
          </w:tcPr>
          <w:p>
            <w:pPr>
              <w:ind w:left="120"/>
              <w:spacing w:after="0"/>
              <w:rPr>
                <w:sz w:val="20"/>
                <w:szCs w:val="20"/>
                <w:color w:val="auto"/>
              </w:rPr>
            </w:pPr>
            <w:r>
              <w:rPr>
                <w:rFonts w:ascii="Arial" w:cs="Arial" w:eastAsia="Arial" w:hAnsi="Arial"/>
                <w:sz w:val="18"/>
                <w:szCs w:val="18"/>
                <w:color w:val="auto"/>
              </w:rPr>
              <w:t>OTHER SECURITIES OF THE CORPORATION</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40.</w:t>
            </w:r>
          </w:p>
        </w:tc>
        <w:tc>
          <w:tcPr>
            <w:tcW w:w="9180" w:type="dxa"/>
            <w:vAlign w:val="bottom"/>
          </w:tcPr>
          <w:p>
            <w:pPr>
              <w:ind w:left="120"/>
              <w:spacing w:after="0"/>
              <w:rPr>
                <w:sz w:val="20"/>
                <w:szCs w:val="20"/>
                <w:color w:val="auto"/>
              </w:rPr>
            </w:pPr>
            <w:r>
              <w:rPr>
                <w:rFonts w:ascii="Arial" w:cs="Arial" w:eastAsia="Arial" w:hAnsi="Arial"/>
                <w:sz w:val="18"/>
                <w:szCs w:val="18"/>
                <w:color w:val="auto"/>
              </w:rPr>
              <w:t>Execution Of Other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IX</w:t>
            </w:r>
          </w:p>
        </w:tc>
        <w:tc>
          <w:tcPr>
            <w:tcW w:w="918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41.</w:t>
            </w:r>
          </w:p>
        </w:tc>
        <w:tc>
          <w:tcPr>
            <w:tcW w:w="9180" w:type="dxa"/>
            <w:vAlign w:val="bottom"/>
          </w:tcPr>
          <w:p>
            <w:pPr>
              <w:ind w:left="120"/>
              <w:spacing w:after="0"/>
              <w:rPr>
                <w:sz w:val="20"/>
                <w:szCs w:val="20"/>
                <w:color w:val="auto"/>
              </w:rPr>
            </w:pPr>
            <w:r>
              <w:rPr>
                <w:rFonts w:ascii="Arial" w:cs="Arial" w:eastAsia="Arial" w:hAnsi="Arial"/>
                <w:sz w:val="18"/>
                <w:szCs w:val="18"/>
                <w:color w:val="auto"/>
              </w:rPr>
              <w:t>Declaration Of Dividends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42.</w:t>
            </w:r>
          </w:p>
        </w:tc>
        <w:tc>
          <w:tcPr>
            <w:tcW w:w="9180" w:type="dxa"/>
            <w:vAlign w:val="bottom"/>
          </w:tcPr>
          <w:p>
            <w:pPr>
              <w:ind w:left="120"/>
              <w:spacing w:after="0"/>
              <w:rPr>
                <w:sz w:val="20"/>
                <w:szCs w:val="20"/>
                <w:color w:val="auto"/>
              </w:rPr>
            </w:pPr>
            <w:r>
              <w:rPr>
                <w:rFonts w:ascii="Arial" w:cs="Arial" w:eastAsia="Arial" w:hAnsi="Arial"/>
                <w:sz w:val="18"/>
                <w:szCs w:val="18"/>
                <w:color w:val="auto"/>
              </w:rPr>
              <w:t>Dividend Reserve</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w:t>
            </w:r>
          </w:p>
        </w:tc>
        <w:tc>
          <w:tcPr>
            <w:tcW w:w="918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43.</w:t>
            </w:r>
          </w:p>
        </w:tc>
        <w:tc>
          <w:tcPr>
            <w:tcW w:w="918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w:t>
            </w:r>
          </w:p>
        </w:tc>
        <w:tc>
          <w:tcPr>
            <w:tcW w:w="918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44.</w:t>
            </w:r>
          </w:p>
        </w:tc>
        <w:tc>
          <w:tcPr>
            <w:tcW w:w="9180" w:type="dxa"/>
            <w:vAlign w:val="bottom"/>
          </w:tcPr>
          <w:p>
            <w:pPr>
              <w:ind w:left="120"/>
              <w:spacing w:after="0"/>
              <w:rPr>
                <w:sz w:val="20"/>
                <w:szCs w:val="20"/>
                <w:color w:val="auto"/>
              </w:rPr>
            </w:pPr>
            <w:r>
              <w:rPr>
                <w:rFonts w:ascii="Arial" w:cs="Arial" w:eastAsia="Arial" w:hAnsi="Arial"/>
                <w:sz w:val="18"/>
                <w:szCs w:val="18"/>
                <w:color w:val="auto"/>
              </w:rPr>
              <w:t>Indemnification of Directors, Executive Officers, Other Officers, Employees and Other Agents</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XII</w:t>
            </w:r>
          </w:p>
        </w:tc>
        <w:tc>
          <w:tcPr>
            <w:tcW w:w="9180" w:type="dxa"/>
            <w:vAlign w:val="bottom"/>
          </w:tcPr>
          <w:p>
            <w:pPr>
              <w:ind w:left="120"/>
              <w:spacing w:after="0"/>
              <w:rPr>
                <w:sz w:val="20"/>
                <w:szCs w:val="20"/>
                <w:color w:val="auto"/>
              </w:rPr>
            </w:pPr>
            <w:r>
              <w:rPr>
                <w:rFonts w:ascii="Arial" w:cs="Arial" w:eastAsia="Arial" w:hAnsi="Arial"/>
                <w:sz w:val="18"/>
                <w:szCs w:val="18"/>
                <w:color w:val="auto"/>
              </w:rPr>
              <w:t>NOTICES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45.</w:t>
            </w:r>
          </w:p>
        </w:tc>
        <w:tc>
          <w:tcPr>
            <w:tcW w:w="9180" w:type="dxa"/>
            <w:vAlign w:val="bottom"/>
          </w:tcPr>
          <w:p>
            <w:pPr>
              <w:ind w:left="120"/>
              <w:spacing w:after="0"/>
              <w:rPr>
                <w:sz w:val="20"/>
                <w:szCs w:val="20"/>
                <w:color w:val="auto"/>
              </w:rPr>
            </w:pPr>
            <w:r>
              <w:rPr>
                <w:rFonts w:ascii="Arial" w:cs="Arial" w:eastAsia="Arial" w:hAnsi="Arial"/>
                <w:sz w:val="18"/>
                <w:szCs w:val="18"/>
                <w:color w:val="auto"/>
              </w:rPr>
              <w:t>Notices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XIII</w:t>
            </w:r>
          </w:p>
        </w:tc>
        <w:tc>
          <w:tcPr>
            <w:tcW w:w="918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46.</w:t>
            </w:r>
          </w:p>
        </w:tc>
        <w:tc>
          <w:tcPr>
            <w:tcW w:w="9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XIV</w:t>
            </w:r>
          </w:p>
        </w:tc>
        <w:tc>
          <w:tcPr>
            <w:tcW w:w="9180" w:type="dxa"/>
            <w:vAlign w:val="bottom"/>
          </w:tcPr>
          <w:p>
            <w:pPr>
              <w:ind w:left="120"/>
              <w:spacing w:after="0"/>
              <w:rPr>
                <w:sz w:val="20"/>
                <w:szCs w:val="20"/>
                <w:color w:val="auto"/>
              </w:rPr>
            </w:pPr>
            <w:r>
              <w:rPr>
                <w:rFonts w:ascii="Arial" w:cs="Arial" w:eastAsia="Arial" w:hAnsi="Arial"/>
                <w:sz w:val="18"/>
                <w:szCs w:val="18"/>
                <w:color w:val="auto"/>
              </w:rPr>
              <w:t>LOANS TO OFFICERS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47.</w:t>
            </w:r>
          </w:p>
        </w:tc>
        <w:tc>
          <w:tcPr>
            <w:tcW w:w="9180" w:type="dxa"/>
            <w:vAlign w:val="bottom"/>
          </w:tcPr>
          <w:p>
            <w:pPr>
              <w:ind w:left="120"/>
              <w:spacing w:after="0"/>
              <w:rPr>
                <w:sz w:val="20"/>
                <w:szCs w:val="20"/>
                <w:color w:val="auto"/>
              </w:rPr>
            </w:pPr>
            <w:r>
              <w:rPr>
                <w:rFonts w:ascii="Arial" w:cs="Arial" w:eastAsia="Arial" w:hAnsi="Arial"/>
                <w:sz w:val="18"/>
                <w:szCs w:val="18"/>
                <w:color w:val="auto"/>
              </w:rPr>
              <w:t>Loans To Officers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ARTICLE XV</w:t>
            </w:r>
          </w:p>
        </w:tc>
        <w:tc>
          <w:tcPr>
            <w:tcW w:w="918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48.</w:t>
            </w:r>
          </w:p>
        </w:tc>
        <w:tc>
          <w:tcPr>
            <w:tcW w:w="9180" w:type="dxa"/>
            <w:vAlign w:val="bottom"/>
          </w:tcPr>
          <w:p>
            <w:pPr>
              <w:ind w:left="120"/>
              <w:spacing w:after="0"/>
              <w:rPr>
                <w:sz w:val="20"/>
                <w:szCs w:val="20"/>
                <w:color w:val="auto"/>
              </w:rPr>
            </w:pPr>
            <w:r>
              <w:rPr>
                <w:rFonts w:ascii="Arial" w:cs="Arial" w:eastAsia="Arial" w:hAnsi="Arial"/>
                <w:sz w:val="18"/>
                <w:szCs w:val="18"/>
                <w:color w:val="auto"/>
              </w:rPr>
              <w:t>Forum</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4"/>
        </w:trPr>
        <w:tc>
          <w:tcPr>
            <w:tcW w:w="1280" w:type="dxa"/>
            <w:vAlign w:val="bottom"/>
          </w:tcPr>
          <w:p>
            <w:pPr>
              <w:spacing w:after="0"/>
              <w:rPr>
                <w:sz w:val="24"/>
                <w:szCs w:val="24"/>
                <w:color w:val="auto"/>
              </w:rPr>
            </w:pPr>
          </w:p>
        </w:tc>
        <w:tc>
          <w:tcPr>
            <w:tcW w:w="9180" w:type="dxa"/>
            <w:vAlign w:val="bottom"/>
          </w:tcPr>
          <w:p>
            <w:pPr>
              <w:jc w:val="center"/>
              <w:ind w:right="670"/>
              <w:spacing w:after="0"/>
              <w:rPr>
                <w:sz w:val="20"/>
                <w:szCs w:val="20"/>
                <w:color w:val="auto"/>
              </w:rPr>
            </w:pPr>
            <w:r>
              <w:rPr>
                <w:rFonts w:ascii="Arial" w:cs="Arial" w:eastAsia="Arial" w:hAnsi="Arial"/>
                <w:sz w:val="18"/>
                <w:szCs w:val="18"/>
                <w:color w:val="auto"/>
              </w:rPr>
              <w:t>ii.</w:t>
            </w:r>
          </w:p>
        </w:tc>
        <w:tc>
          <w:tcPr>
            <w:tcW w:w="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40"/>
          </w:cols>
          <w:pgMar w:left="46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DELAWARE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 xml:space="preserve">Registered Office. </w:t>
      </w:r>
      <w:r>
        <w:rPr>
          <w:rFonts w:ascii="Arial" w:cs="Arial" w:eastAsia="Arial" w:hAnsi="Arial"/>
          <w:sz w:val="16"/>
          <w:szCs w:val="16"/>
          <w:color w:val="auto"/>
        </w:rPr>
        <w:t>The registered office of the corporation in the State of Delaware shall be in the City of Dover, County of Kent.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may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00" w:firstLine="440"/>
        <w:spacing w:after="0" w:line="260"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w:t>
      </w:r>
    </w:p>
    <w:p>
      <w:pPr>
        <w:spacing w:after="0" w:line="290" w:lineRule="exact"/>
        <w:rPr>
          <w:sz w:val="20"/>
          <w:szCs w:val="20"/>
          <w:color w:val="auto"/>
        </w:rPr>
      </w:pPr>
    </w:p>
    <w:p>
      <w:pPr>
        <w:ind w:left="440"/>
        <w:spacing w:after="0"/>
        <w:tabs>
          <w:tab w:leader="none" w:pos="13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Meetings.</w:t>
      </w:r>
    </w:p>
    <w:p>
      <w:pPr>
        <w:spacing w:after="0" w:line="121" w:lineRule="exact"/>
        <w:rPr>
          <w:sz w:val="20"/>
          <w:szCs w:val="20"/>
          <w:color w:val="auto"/>
        </w:rPr>
      </w:pPr>
    </w:p>
    <w:p>
      <w:pPr>
        <w:ind w:firstLine="871"/>
        <w:spacing w:after="0" w:line="269" w:lineRule="auto"/>
        <w:tabs>
          <w:tab w:leader="none" w:pos="1267" w:val="left"/>
        </w:tabs>
        <w:numPr>
          <w:ilvl w:val="0"/>
          <w:numId w:val="232"/>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60" w:top="270" w:right="479" w:bottom="1440" w:gutter="0" w:footer="0" w:header="0"/>
        </w:sectPr>
      </w:pPr>
    </w:p>
    <w:bookmarkStart w:id="301" w:name="page302"/>
    <w:bookmarkEnd w:id="301"/>
    <w:p>
      <w:pPr>
        <w:ind w:left="-60" w:right="320" w:firstLine="871"/>
        <w:spacing w:after="0" w:line="277" w:lineRule="auto"/>
        <w:tabs>
          <w:tab w:leader="none" w:pos="121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 annual meeting of the stockholders, only such business shall be conducted as is a proper matter for stockholder action under Delaware law and as shall have been properly brought before the meeting.</w:t>
      </w:r>
    </w:p>
    <w:p>
      <w:pPr>
        <w:spacing w:after="0" w:line="169" w:lineRule="exact"/>
        <w:rPr>
          <w:rFonts w:ascii="Arial" w:cs="Arial" w:eastAsia="Arial" w:hAnsi="Arial"/>
          <w:sz w:val="18"/>
          <w:szCs w:val="18"/>
          <w:b w:val="1"/>
          <w:bCs w:val="1"/>
          <w:color w:val="auto"/>
        </w:rPr>
      </w:pPr>
    </w:p>
    <w:p>
      <w:pPr>
        <w:ind w:left="-60" w:right="20" w:firstLine="1421"/>
        <w:spacing w:after="0" w:line="286" w:lineRule="auto"/>
        <w:tabs>
          <w:tab w:leader="none" w:pos="1720" w:val="left"/>
        </w:tabs>
        <w:numPr>
          <w:ilvl w:val="1"/>
          <w:numId w:val="233"/>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71" w:lineRule="exact"/>
        <w:rPr>
          <w:rFonts w:ascii="Arial" w:cs="Arial" w:eastAsia="Arial" w:hAnsi="Arial"/>
          <w:sz w:val="16"/>
          <w:szCs w:val="16"/>
          <w:b w:val="1"/>
          <w:bCs w:val="1"/>
          <w:color w:val="auto"/>
        </w:rPr>
      </w:pPr>
    </w:p>
    <w:p>
      <w:pPr>
        <w:ind w:left="-60" w:firstLine="1421"/>
        <w:spacing w:after="0" w:line="253" w:lineRule="auto"/>
        <w:tabs>
          <w:tab w:leader="none" w:pos="1770"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20" w:top="274" w:right="499" w:bottom="1440" w:gutter="0" w:footer="0" w:header="0"/>
        </w:sectPr>
      </w:pPr>
    </w:p>
    <w:bookmarkStart w:id="302" w:name="page303"/>
    <w:bookmarkEnd w:id="302"/>
    <w:p>
      <w:pPr>
        <w:jc w:val="both"/>
        <w:ind w:left="10" w:right="160" w:firstLine="1421"/>
        <w:spacing w:after="0" w:line="286" w:lineRule="auto"/>
        <w:tabs>
          <w:tab w:leader="none" w:pos="1887" w:val="left"/>
        </w:tabs>
        <w:numPr>
          <w:ilvl w:val="1"/>
          <w:numId w:val="23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timely, the written notice required by Section 5(b)(i) or 5(b)(ii) must be received by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5(b)(iii), in the event that the date of the annual meeting is advanced more than thirty (30) days prior to or delayed by more than thirty</w:t>
      </w:r>
    </w:p>
    <w:p>
      <w:pPr>
        <w:ind w:left="10" w:right="80" w:hanging="10"/>
        <w:spacing w:after="0" w:line="271" w:lineRule="auto"/>
        <w:tabs>
          <w:tab w:leader="none" w:pos="354" w:val="left"/>
        </w:tabs>
        <w:numPr>
          <w:ilvl w:val="0"/>
          <w:numId w:val="235"/>
        </w:numPr>
        <w:rPr>
          <w:rFonts w:ascii="Arial" w:cs="Arial" w:eastAsia="Arial" w:hAnsi="Arial"/>
          <w:sz w:val="17"/>
          <w:szCs w:val="17"/>
          <w:color w:val="auto"/>
        </w:rPr>
      </w:pPr>
      <w:r>
        <w:rPr>
          <w:rFonts w:ascii="Arial" w:cs="Arial" w:eastAsia="Arial" w:hAnsi="Arial"/>
          <w:sz w:val="17"/>
          <w:szCs w:val="17"/>
          <w:color w:val="auto"/>
        </w:rPr>
        <w:t>days after the anniversary of the preceding year’s annual meeting, notice by the stockholder to be timely must be so received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77" w:lineRule="exact"/>
        <w:rPr>
          <w:rFonts w:ascii="Arial" w:cs="Arial" w:eastAsia="Arial" w:hAnsi="Arial"/>
          <w:sz w:val="17"/>
          <w:szCs w:val="17"/>
          <w:color w:val="auto"/>
        </w:rPr>
      </w:pPr>
    </w:p>
    <w:p>
      <w:pPr>
        <w:ind w:left="10" w:firstLine="1421"/>
        <w:spacing w:after="0" w:line="282" w:lineRule="auto"/>
        <w:tabs>
          <w:tab w:leader="none" w:pos="1877" w:val="left"/>
        </w:tabs>
        <w:numPr>
          <w:ilvl w:val="1"/>
          <w:numId w:val="235"/>
        </w:numPr>
        <w:rPr>
          <w:rFonts w:ascii="Arial" w:cs="Arial" w:eastAsia="Arial" w:hAnsi="Arial"/>
          <w:sz w:val="16"/>
          <w:szCs w:val="16"/>
          <w:b w:val="1"/>
          <w:bCs w:val="1"/>
          <w:color w:val="auto"/>
        </w:rPr>
      </w:pPr>
      <w:r>
        <w:rPr>
          <w:rFonts w:ascii="Arial" w:cs="Arial" w:eastAsia="Arial" w:hAnsi="Arial"/>
          <w:sz w:val="16"/>
          <w:szCs w:val="16"/>
          <w:color w:val="auto"/>
        </w:rPr>
        <w:t>The written notice required by Section 5(b)(i) or 5(b)(ii) shall also set forth, as of the date of the notice and as to the stockholder giving the notice and the beneficial owner, if any, on whose behalf the nomination or proposal is made (each, a “Proponent” and collectively, the “Proponents”):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twelve</w:t>
      </w:r>
    </w:p>
    <w:p>
      <w:pPr>
        <w:spacing w:after="0" w:line="9" w:lineRule="exact"/>
        <w:rPr>
          <w:rFonts w:ascii="Arial" w:cs="Arial" w:eastAsia="Arial" w:hAnsi="Arial"/>
          <w:sz w:val="16"/>
          <w:szCs w:val="16"/>
          <w:b w:val="1"/>
          <w:bCs w:val="1"/>
          <w:color w:val="auto"/>
        </w:rPr>
      </w:pPr>
    </w:p>
    <w:p>
      <w:pPr>
        <w:ind w:left="10" w:right="120" w:hanging="10"/>
        <w:spacing w:after="0" w:line="260" w:lineRule="auto"/>
        <w:tabs>
          <w:tab w:leader="none" w:pos="35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month period, including the date of the transactions and the class, series and number of securities involved in, and the material economic terms of, such Derivative Transactions.</w:t>
      </w:r>
    </w:p>
    <w:p>
      <w:pPr>
        <w:spacing w:after="0" w:line="185" w:lineRule="exact"/>
        <w:rPr>
          <w:sz w:val="20"/>
          <w:szCs w:val="20"/>
          <w:color w:val="auto"/>
        </w:rPr>
      </w:pPr>
    </w:p>
    <w:p>
      <w:pPr>
        <w:ind w:left="10" w:right="80"/>
        <w:spacing w:after="0" w:line="277" w:lineRule="auto"/>
        <w:rPr>
          <w:sz w:val="20"/>
          <w:szCs w:val="20"/>
          <w:color w:val="auto"/>
        </w:rPr>
      </w:pPr>
      <w:r>
        <w:rPr>
          <w:rFonts w:ascii="Arial" w:cs="Arial" w:eastAsia="Arial" w:hAnsi="Arial"/>
          <w:sz w:val="18"/>
          <w:szCs w:val="18"/>
          <w:color w:val="auto"/>
        </w:rPr>
        <w:t>For purposes of Sections 5 and 6, a “Derivative Transaction” means any agreement, arrangement, interest or understanding entered into by, or on behalf or for the benefit of, any Proponent or any of its affiliates or associates, whether record or beneficial:</w:t>
      </w:r>
    </w:p>
    <w:p>
      <w:pPr>
        <w:spacing w:after="0" w:line="62" w:lineRule="exact"/>
        <w:rPr>
          <w:sz w:val="20"/>
          <w:szCs w:val="20"/>
          <w:color w:val="auto"/>
        </w:rPr>
      </w:pPr>
    </w:p>
    <w:p>
      <w:pPr>
        <w:ind w:left="870" w:hanging="430"/>
        <w:spacing w:after="0"/>
        <w:tabs>
          <w:tab w:leader="none" w:pos="87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value of which is derived in whole or in part from the value of any class or series of shares or other securities of the corporation,</w:t>
      </w:r>
    </w:p>
    <w:p>
      <w:pPr>
        <w:spacing w:after="0" w:line="168" w:lineRule="exact"/>
        <w:rPr>
          <w:rFonts w:ascii="Arial" w:cs="Arial" w:eastAsia="Arial" w:hAnsi="Arial"/>
          <w:sz w:val="17"/>
          <w:szCs w:val="17"/>
          <w:color w:val="auto"/>
        </w:rPr>
      </w:pPr>
    </w:p>
    <w:p>
      <w:pPr>
        <w:ind w:left="5430"/>
        <w:spacing w:after="0"/>
        <w:rPr>
          <w:rFonts w:ascii="Arial" w:cs="Arial" w:eastAsia="Arial" w:hAnsi="Arial"/>
          <w:sz w:val="17"/>
          <w:szCs w:val="17"/>
          <w:color w:val="auto"/>
        </w:rPr>
      </w:pPr>
      <w:r>
        <w:rPr>
          <w:rFonts w:ascii="Arial" w:cs="Arial" w:eastAsia="Arial" w:hAnsi="Arial"/>
          <w:sz w:val="18"/>
          <w:szCs w:val="18"/>
          <w:color w:val="auto"/>
        </w:rPr>
        <w:t>3.</w:t>
      </w:r>
    </w:p>
    <w:p>
      <w:pPr>
        <w:sectPr>
          <w:pgSz w:w="11900" w:h="16838" w:orient="portrait"/>
          <w:cols w:equalWidth="0" w:num="1">
            <w:col w:w="10990"/>
          </w:cols>
          <w:pgMar w:left="450" w:top="274" w:right="459" w:bottom="1440" w:gutter="0" w:footer="0" w:header="0"/>
        </w:sectPr>
      </w:pPr>
    </w:p>
    <w:bookmarkStart w:id="303" w:name="page304"/>
    <w:bookmarkEnd w:id="303"/>
    <w:p>
      <w:pPr>
        <w:ind w:left="450" w:right="180" w:hanging="10"/>
        <w:spacing w:after="0" w:line="277" w:lineRule="auto"/>
        <w:tabs>
          <w:tab w:leader="none" w:pos="8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89535</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otherwise provides any direct or indirect opportunity to gain or share in any gain derived from a change in the value of securities of the corporation,</w:t>
      </w:r>
    </w:p>
    <w:p>
      <w:pPr>
        <w:spacing w:after="0" w:line="61" w:lineRule="exact"/>
        <w:rPr>
          <w:rFonts w:ascii="Arial" w:cs="Arial" w:eastAsia="Arial" w:hAnsi="Arial"/>
          <w:sz w:val="18"/>
          <w:szCs w:val="18"/>
          <w:color w:val="auto"/>
        </w:rPr>
      </w:pPr>
    </w:p>
    <w:p>
      <w:pPr>
        <w:ind w:left="870" w:hanging="430"/>
        <w:spacing w:after="0"/>
        <w:tabs>
          <w:tab w:leader="none" w:pos="87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effect or intent of which is to mitigate loss, manage risk or benefit of security value or price changes, or</w:t>
      </w:r>
    </w:p>
    <w:p>
      <w:pPr>
        <w:spacing w:after="0" w:line="116" w:lineRule="exact"/>
        <w:rPr>
          <w:rFonts w:ascii="Arial" w:cs="Arial" w:eastAsia="Arial" w:hAnsi="Arial"/>
          <w:sz w:val="18"/>
          <w:szCs w:val="18"/>
          <w:color w:val="auto"/>
        </w:rPr>
      </w:pPr>
    </w:p>
    <w:p>
      <w:pPr>
        <w:ind w:left="450" w:right="500" w:hanging="10"/>
        <w:spacing w:after="0" w:line="277" w:lineRule="auto"/>
        <w:tabs>
          <w:tab w:leader="none" w:pos="87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ind w:left="10" w:right="8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75" w:lineRule="exact"/>
        <w:rPr>
          <w:sz w:val="20"/>
          <w:szCs w:val="20"/>
          <w:color w:val="auto"/>
        </w:rPr>
      </w:pPr>
    </w:p>
    <w:p>
      <w:pPr>
        <w:ind w:left="10" w:right="200" w:firstLine="871"/>
        <w:spacing w:after="0" w:line="287" w:lineRule="auto"/>
        <w:tabs>
          <w:tab w:leader="none" w:pos="1260" w:val="left"/>
        </w:tabs>
        <w:numPr>
          <w:ilvl w:val="1"/>
          <w:numId w:val="239"/>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1" w:lineRule="exact"/>
        <w:rPr>
          <w:rFonts w:ascii="Arial" w:cs="Arial" w:eastAsia="Arial" w:hAnsi="Arial"/>
          <w:sz w:val="16"/>
          <w:szCs w:val="16"/>
          <w:b w:val="1"/>
          <w:bCs w:val="1"/>
          <w:color w:val="auto"/>
        </w:rPr>
      </w:pPr>
    </w:p>
    <w:p>
      <w:pPr>
        <w:ind w:left="10" w:right="60" w:hanging="10"/>
        <w:spacing w:after="0" w:line="291" w:lineRule="auto"/>
        <w:tabs>
          <w:tab w:leader="none" w:pos="26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65" w:lineRule="exact"/>
        <w:rPr>
          <w:rFonts w:ascii="Arial" w:cs="Arial" w:eastAsia="Arial" w:hAnsi="Arial"/>
          <w:sz w:val="16"/>
          <w:szCs w:val="16"/>
          <w:color w:val="auto"/>
        </w:rPr>
      </w:pPr>
    </w:p>
    <w:p>
      <w:pPr>
        <w:ind w:left="10" w:firstLine="871"/>
        <w:spacing w:after="0" w:line="271" w:lineRule="auto"/>
        <w:tabs>
          <w:tab w:leader="none" w:pos="1290"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5(b)(iii)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“Expiring Class” shall mean a class of directors whose term shall expire at the next annual meeting of stockholders.</w:t>
      </w:r>
    </w:p>
    <w:p>
      <w:pPr>
        <w:spacing w:after="0" w:line="10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0"/>
          </w:cols>
          <w:pgMar w:left="450" w:top="274" w:right="459" w:bottom="1440" w:gutter="0" w:footer="0" w:header="0"/>
        </w:sectPr>
      </w:pPr>
    </w:p>
    <w:bookmarkStart w:id="304" w:name="page305"/>
    <w:bookmarkEnd w:id="304"/>
    <w:p>
      <w:pPr>
        <w:ind w:left="1250" w:hanging="369"/>
        <w:spacing w:after="0"/>
        <w:tabs>
          <w:tab w:leader="none" w:pos="1250"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shall not be eligible for election or re-election as a director, unless the person is nominated in accordance with either clause</w:t>
      </w:r>
    </w:p>
    <w:p>
      <w:pPr>
        <w:spacing w:after="0" w:line="46" w:lineRule="exact"/>
        <w:rPr>
          <w:rFonts w:ascii="Arial" w:cs="Arial" w:eastAsia="Arial" w:hAnsi="Arial"/>
          <w:sz w:val="16"/>
          <w:szCs w:val="16"/>
          <w:b w:val="1"/>
          <w:bCs w:val="1"/>
          <w:color w:val="auto"/>
        </w:rPr>
      </w:pPr>
    </w:p>
    <w:p>
      <w:pPr>
        <w:ind w:left="10" w:hanging="10"/>
        <w:spacing w:after="0" w:line="252" w:lineRule="auto"/>
        <w:tabs>
          <w:tab w:leader="none" w:pos="27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or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92" w:lineRule="exact"/>
        <w:rPr>
          <w:rFonts w:ascii="Arial" w:cs="Arial" w:eastAsia="Arial" w:hAnsi="Arial"/>
          <w:sz w:val="18"/>
          <w:szCs w:val="18"/>
          <w:color w:val="auto"/>
        </w:rPr>
      </w:pPr>
    </w:p>
    <w:p>
      <w:pPr>
        <w:ind w:left="10" w:firstLine="871"/>
        <w:spacing w:after="0" w:line="255" w:lineRule="auto"/>
        <w:tabs>
          <w:tab w:leader="none" w:pos="125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91" w:lineRule="exact"/>
        <w:rPr>
          <w:rFonts w:ascii="Arial" w:cs="Arial" w:eastAsia="Arial" w:hAnsi="Arial"/>
          <w:sz w:val="18"/>
          <w:szCs w:val="18"/>
          <w:b w:val="1"/>
          <w:bCs w:val="1"/>
          <w:color w:val="auto"/>
        </w:rPr>
      </w:pPr>
    </w:p>
    <w:p>
      <w:pPr>
        <w:ind w:left="1270" w:hanging="389"/>
        <w:spacing w:after="0"/>
        <w:tabs>
          <w:tab w:leader="none" w:pos="127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224" w:lineRule="exact"/>
        <w:rPr>
          <w:rFonts w:ascii="Arial" w:cs="Arial" w:eastAsia="Arial" w:hAnsi="Arial"/>
          <w:sz w:val="18"/>
          <w:szCs w:val="18"/>
          <w:b w:val="1"/>
          <w:bCs w:val="1"/>
          <w:color w:val="auto"/>
        </w:rPr>
      </w:pPr>
    </w:p>
    <w:p>
      <w:pPr>
        <w:ind w:left="10" w:right="140" w:firstLine="1421"/>
        <w:spacing w:after="0" w:line="263" w:lineRule="auto"/>
        <w:tabs>
          <w:tab w:leader="none" w:pos="1790" w:val="left"/>
        </w:tabs>
        <w:numPr>
          <w:ilvl w:val="2"/>
          <w:numId w:val="242"/>
        </w:numPr>
        <w:rPr>
          <w:rFonts w:ascii="Arial" w:cs="Arial" w:eastAsia="Arial" w:hAnsi="Arial"/>
          <w:sz w:val="18"/>
          <w:szCs w:val="18"/>
          <w:b w:val="1"/>
          <w:bCs w:val="1"/>
          <w:color w:val="auto"/>
        </w:rPr>
      </w:pPr>
      <w:r>
        <w:rPr>
          <w:rFonts w:ascii="Arial" w:cs="Arial" w:eastAsia="Arial" w:hAnsi="Arial"/>
          <w:sz w:val="18"/>
          <w:szCs w:val="18"/>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82" w:lineRule="exact"/>
        <w:rPr>
          <w:rFonts w:ascii="Arial" w:cs="Arial" w:eastAsia="Arial" w:hAnsi="Arial"/>
          <w:sz w:val="18"/>
          <w:szCs w:val="18"/>
          <w:b w:val="1"/>
          <w:bCs w:val="1"/>
          <w:color w:val="auto"/>
        </w:rPr>
      </w:pPr>
    </w:p>
    <w:p>
      <w:pPr>
        <w:ind w:left="1830" w:hanging="399"/>
        <w:spacing w:after="0"/>
        <w:tabs>
          <w:tab w:leader="none" w:pos="1830" w:val="left"/>
        </w:tabs>
        <w:numPr>
          <w:ilvl w:val="2"/>
          <w:numId w:val="242"/>
        </w:numPr>
        <w:rPr>
          <w:rFonts w:ascii="Arial" w:cs="Arial" w:eastAsia="Arial" w:hAnsi="Arial"/>
          <w:sz w:val="16"/>
          <w:szCs w:val="16"/>
          <w:b w:val="1"/>
          <w:bCs w:val="1"/>
          <w:color w:val="auto"/>
        </w:rPr>
      </w:pPr>
      <w:r>
        <w:rPr>
          <w:rFonts w:ascii="Arial" w:cs="Arial" w:eastAsia="Arial" w:hAnsi="Arial"/>
          <w:sz w:val="16"/>
          <w:szCs w:val="16"/>
          <w:color w:val="auto"/>
        </w:rPr>
        <w:t>“affiliates” and “associates” shall have the meanings set forth in Rule 405 under the Securities Act of 1933, as amended (the</w:t>
      </w:r>
    </w:p>
    <w:p>
      <w:pPr>
        <w:spacing w:after="0" w:line="46"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“1933 Act”).</w:t>
      </w:r>
    </w:p>
    <w:p>
      <w:pPr>
        <w:spacing w:after="0" w:line="314" w:lineRule="exact"/>
        <w:rPr>
          <w:sz w:val="20"/>
          <w:szCs w:val="20"/>
          <w:color w:val="auto"/>
        </w:rPr>
      </w:pPr>
    </w:p>
    <w:p>
      <w:pPr>
        <w:ind w:left="450"/>
        <w:spacing w:after="0"/>
        <w:tabs>
          <w:tab w:leader="none" w:pos="1329"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p>
    <w:p>
      <w:pPr>
        <w:spacing w:after="0" w:line="121" w:lineRule="exact"/>
        <w:rPr>
          <w:sz w:val="20"/>
          <w:szCs w:val="20"/>
          <w:color w:val="auto"/>
        </w:rPr>
      </w:pPr>
    </w:p>
    <w:p>
      <w:pPr>
        <w:ind w:left="10" w:right="360" w:firstLine="871"/>
        <w:spacing w:after="0" w:line="259" w:lineRule="auto"/>
        <w:tabs>
          <w:tab w:leader="none" w:pos="1280"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85" w:lineRule="exact"/>
        <w:rPr>
          <w:rFonts w:ascii="Arial" w:cs="Arial" w:eastAsia="Arial" w:hAnsi="Arial"/>
          <w:sz w:val="18"/>
          <w:szCs w:val="18"/>
          <w:b w:val="1"/>
          <w:bCs w:val="1"/>
          <w:color w:val="auto"/>
        </w:rPr>
      </w:pPr>
    </w:p>
    <w:p>
      <w:pPr>
        <w:jc w:val="both"/>
        <w:ind w:left="10" w:right="100" w:firstLine="871"/>
        <w:spacing w:after="0" w:line="286" w:lineRule="auto"/>
        <w:tabs>
          <w:tab w:leader="none" w:pos="1286"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9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74" w:right="459" w:bottom="1440" w:gutter="0" w:footer="0" w:header="0"/>
        </w:sectPr>
      </w:pPr>
    </w:p>
    <w:bookmarkStart w:id="305" w:name="page306"/>
    <w:bookmarkEnd w:id="305"/>
    <w:p>
      <w:pPr>
        <w:ind w:right="40" w:firstLine="871"/>
        <w:spacing w:after="0" w:line="268" w:lineRule="auto"/>
        <w:tabs>
          <w:tab w:leader="none" w:pos="1305" w:val="left"/>
        </w:tabs>
        <w:numPr>
          <w:ilvl w:val="0"/>
          <w:numId w:val="24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 corporation not later than the close of business on the later of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86" w:lineRule="exact"/>
        <w:rPr>
          <w:rFonts w:ascii="Arial" w:cs="Arial" w:eastAsia="Arial" w:hAnsi="Arial"/>
          <w:sz w:val="17"/>
          <w:szCs w:val="17"/>
          <w:b w:val="1"/>
          <w:bCs w:val="1"/>
          <w:color w:val="auto"/>
        </w:rPr>
      </w:pPr>
    </w:p>
    <w:p>
      <w:pPr>
        <w:ind w:right="180" w:firstLine="871"/>
        <w:spacing w:after="0" w:line="296" w:lineRule="auto"/>
        <w:tabs>
          <w:tab w:leader="none" w:pos="1280"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references in these Bylaws to the 1934 Act or the rules and regulations thereunder are not intended to and shall not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applicable to nominations for the election to the Board of Directors to be considered pursuant to Section 6(c) of these Bylaws.</w:t>
      </w:r>
    </w:p>
    <w:p>
      <w:pPr>
        <w:spacing w:after="0" w:line="15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3" w:right="459" w:bottom="1440" w:gutter="0" w:footer="0" w:header="0"/>
        </w:sectPr>
      </w:pPr>
    </w:p>
    <w:bookmarkStart w:id="306" w:name="page307"/>
    <w:bookmarkEnd w:id="306"/>
    <w:p>
      <w:pPr>
        <w:ind w:firstLine="440"/>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Quorum. </w:t>
      </w:r>
      <w:r>
        <w:rPr>
          <w:rFonts w:ascii="Arial" w:cs="Arial" w:eastAsia="Arial" w:hAnsi="Arial"/>
          <w:sz w:val="17"/>
          <w:szCs w:val="17"/>
          <w:color w:val="auto"/>
        </w:rPr>
        <w:t>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8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7" w:lineRule="exact"/>
        <w:rPr>
          <w:sz w:val="20"/>
          <w:szCs w:val="20"/>
          <w:color w:val="auto"/>
        </w:rPr>
      </w:pPr>
    </w:p>
    <w:p>
      <w:pPr>
        <w:ind w:right="40" w:firstLine="440"/>
        <w:spacing w:after="0" w:line="297" w:lineRule="auto"/>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307" w:name="page308"/>
    <w:bookmarkEnd w:id="307"/>
    <w:p>
      <w:pPr>
        <w:ind w:firstLine="440"/>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4"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26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p>
    <w:p>
      <w:pPr>
        <w:spacing w:after="0" w:line="121" w:lineRule="exact"/>
        <w:rPr>
          <w:sz w:val="20"/>
          <w:szCs w:val="20"/>
          <w:color w:val="auto"/>
        </w:rPr>
      </w:pPr>
    </w:p>
    <w:p>
      <w:pPr>
        <w:ind w:right="80" w:firstLine="880"/>
        <w:spacing w:after="0" w:line="277" w:lineRule="auto"/>
        <w:rPr>
          <w:sz w:val="20"/>
          <w:szCs w:val="20"/>
          <w:color w:val="auto"/>
        </w:rPr>
      </w:pPr>
      <w:r>
        <w:rPr>
          <w:rFonts w:ascii="Arial" w:cs="Arial" w:eastAsia="Arial" w:hAnsi="Arial"/>
          <w:sz w:val="18"/>
          <w:szCs w:val="18"/>
          <w:color w:val="auto"/>
        </w:rPr>
        <w:t>No action shall be taken by the stockholders except at an annual or special meeting of stockholders called in accordance with these Bylaws, and no action shall be taken by the stockholders by written consent or by electronic transmission.</w:t>
      </w:r>
    </w:p>
    <w:p>
      <w:pPr>
        <w:spacing w:after="0" w:line="27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p>
    <w:p>
      <w:pPr>
        <w:spacing w:after="0" w:line="121" w:lineRule="exact"/>
        <w:rPr>
          <w:sz w:val="20"/>
          <w:szCs w:val="20"/>
          <w:color w:val="auto"/>
        </w:rPr>
      </w:pPr>
    </w:p>
    <w:p>
      <w:pPr>
        <w:ind w:firstLine="871"/>
        <w:spacing w:after="0" w:line="259" w:lineRule="auto"/>
        <w:tabs>
          <w:tab w:leader="none" w:pos="126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85" w:lineRule="exact"/>
        <w:rPr>
          <w:rFonts w:ascii="Arial" w:cs="Arial" w:eastAsia="Arial" w:hAnsi="Arial"/>
          <w:sz w:val="18"/>
          <w:szCs w:val="18"/>
          <w:b w:val="1"/>
          <w:bCs w:val="1"/>
          <w:color w:val="auto"/>
        </w:rPr>
      </w:pPr>
    </w:p>
    <w:p>
      <w:pPr>
        <w:ind w:right="140" w:firstLine="871"/>
        <w:spacing w:after="0" w:line="256" w:lineRule="auto"/>
        <w:tabs>
          <w:tab w:leader="none" w:pos="1277"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0" w:right="439" w:bottom="1440" w:gutter="0" w:footer="0" w:header="0"/>
        </w:sectPr>
      </w:pPr>
    </w:p>
    <w:bookmarkStart w:id="308" w:name="page309"/>
    <w:bookmarkEnd w:id="308"/>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20" w:firstLine="440"/>
        <w:spacing w:after="0" w:line="260"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2" w:lineRule="exact"/>
        <w:rPr>
          <w:sz w:val="20"/>
          <w:szCs w:val="20"/>
          <w:color w:val="auto"/>
        </w:rPr>
      </w:pPr>
    </w:p>
    <w:p>
      <w:pPr>
        <w:ind w:right="120" w:firstLine="440"/>
        <w:spacing w:after="0" w:line="281"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w:t>
      </w:r>
    </w:p>
    <w:p>
      <w:pPr>
        <w:spacing w:after="0" w:line="163"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Section 17. Classes of Directors. </w:t>
      </w:r>
      <w:r>
        <w:rPr>
          <w:rFonts w:ascii="Arial" w:cs="Arial" w:eastAsia="Arial" w:hAnsi="Arial"/>
          <w:sz w:val="16"/>
          <w:szCs w:val="16"/>
          <w:color w:val="auto"/>
        </w:rPr>
        <w:t>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following the closing of the initial public offering pursuant to an effective registration statement under the 1933 Act covering the offer and sale of Common Stock of the corporation to the public (the “Initial Public Offering”),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309" w:name="page310"/>
    <w:bookmarkEnd w:id="309"/>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18. Vacancies. </w:t>
      </w:r>
      <w:r>
        <w:rPr>
          <w:rFonts w:ascii="Arial" w:cs="Arial" w:eastAsia="Arial" w:hAnsi="Arial"/>
          <w:sz w:val="17"/>
          <w:szCs w:val="17"/>
          <w:color w:val="auto"/>
        </w:rPr>
        <w:t>Unless otherwise provided in the Certificate of Incorporation, and subject to the rights of the holders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7"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19. Resignation. </w:t>
      </w:r>
      <w:r>
        <w:rPr>
          <w:rFonts w:ascii="Arial" w:cs="Arial" w:eastAsia="Arial" w:hAnsi="Arial"/>
          <w:sz w:val="17"/>
          <w:szCs w:val="17"/>
          <w:color w:val="auto"/>
        </w:rPr>
        <w:t>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2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Removal.</w:t>
      </w:r>
    </w:p>
    <w:p>
      <w:pPr>
        <w:spacing w:after="0" w:line="121" w:lineRule="exact"/>
        <w:rPr>
          <w:sz w:val="20"/>
          <w:szCs w:val="20"/>
          <w:color w:val="auto"/>
        </w:rPr>
      </w:pPr>
    </w:p>
    <w:p>
      <w:pPr>
        <w:ind w:right="180" w:firstLine="871"/>
        <w:spacing w:after="0" w:line="277" w:lineRule="auto"/>
        <w:tabs>
          <w:tab w:leader="none" w:pos="127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169" w:lineRule="exact"/>
        <w:rPr>
          <w:rFonts w:ascii="Arial" w:cs="Arial" w:eastAsia="Arial" w:hAnsi="Arial"/>
          <w:sz w:val="18"/>
          <w:szCs w:val="18"/>
          <w:b w:val="1"/>
          <w:bCs w:val="1"/>
          <w:color w:val="auto"/>
        </w:rPr>
      </w:pPr>
    </w:p>
    <w:p>
      <w:pPr>
        <w:ind w:right="500" w:firstLine="871"/>
        <w:spacing w:after="0" w:line="263" w:lineRule="auto"/>
        <w:tabs>
          <w:tab w:leader="none" w:pos="128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applicable law, any individual director or directors may only be removed with cause by the affirmative vote of the holders of a majority of the voting power of all then outstanding shares of capital stock of the corporation entitled to vote generally at an election of directors, voting together as a single class.</w:t>
      </w:r>
    </w:p>
    <w:p>
      <w:pPr>
        <w:spacing w:after="0" w:line="28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117" w:lineRule="exact"/>
        <w:rPr>
          <w:sz w:val="20"/>
          <w:szCs w:val="20"/>
          <w:color w:val="auto"/>
        </w:rPr>
      </w:pPr>
    </w:p>
    <w:p>
      <w:pPr>
        <w:ind w:right="120" w:firstLine="871"/>
        <w:spacing w:after="0" w:line="258" w:lineRule="auto"/>
        <w:tabs>
          <w:tab w:leader="none" w:pos="127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310" w:name="page311"/>
    <w:bookmarkEnd w:id="310"/>
    <w:p>
      <w:pPr>
        <w:ind w:right="160" w:firstLine="871"/>
        <w:spacing w:after="0" w:line="266" w:lineRule="auto"/>
        <w:tabs>
          <w:tab w:leader="none" w:pos="12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Special Meetings. </w:t>
      </w:r>
      <w:r>
        <w:rPr>
          <w:rFonts w:ascii="Arial" w:cs="Arial" w:eastAsia="Arial" w:hAnsi="Arial"/>
          <w:sz w:val="18"/>
          <w:szCs w:val="18"/>
          <w:color w:val="auto"/>
        </w:rPr>
        <w:t>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or a majority of the authorized number of directors.</w:t>
      </w:r>
    </w:p>
    <w:p>
      <w:pPr>
        <w:spacing w:after="0" w:line="175" w:lineRule="exact"/>
        <w:rPr>
          <w:rFonts w:ascii="Arial" w:cs="Arial" w:eastAsia="Arial" w:hAnsi="Arial"/>
          <w:sz w:val="18"/>
          <w:szCs w:val="18"/>
          <w:b w:val="1"/>
          <w:bCs w:val="1"/>
          <w:color w:val="auto"/>
        </w:rPr>
      </w:pPr>
    </w:p>
    <w:p>
      <w:pPr>
        <w:ind w:right="320" w:firstLine="871"/>
        <w:spacing w:after="0" w:line="314" w:lineRule="auto"/>
        <w:tabs>
          <w:tab w:leader="none" w:pos="126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1" w:lineRule="exact"/>
        <w:rPr>
          <w:rFonts w:ascii="Arial" w:cs="Arial" w:eastAsia="Arial" w:hAnsi="Arial"/>
          <w:sz w:val="16"/>
          <w:szCs w:val="16"/>
          <w:b w:val="1"/>
          <w:bCs w:val="1"/>
          <w:color w:val="auto"/>
        </w:rPr>
      </w:pPr>
    </w:p>
    <w:p>
      <w:pPr>
        <w:ind w:firstLine="871"/>
        <w:spacing w:after="0" w:line="272" w:lineRule="auto"/>
        <w:tabs>
          <w:tab w:leader="none" w:pos="1280"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5" w:lineRule="exact"/>
        <w:rPr>
          <w:rFonts w:ascii="Arial" w:cs="Arial" w:eastAsia="Arial" w:hAnsi="Arial"/>
          <w:sz w:val="17"/>
          <w:szCs w:val="17"/>
          <w:b w:val="1"/>
          <w:bCs w:val="1"/>
          <w:color w:val="auto"/>
        </w:rPr>
      </w:pPr>
    </w:p>
    <w:p>
      <w:pPr>
        <w:ind w:firstLine="871"/>
        <w:spacing w:after="0" w:line="303" w:lineRule="auto"/>
        <w:tabs>
          <w:tab w:leader="none" w:pos="126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Notice. </w:t>
      </w:r>
      <w:r>
        <w:rPr>
          <w:rFonts w:ascii="Arial" w:cs="Arial" w:eastAsia="Arial" w:hAnsi="Arial"/>
          <w:sz w:val="16"/>
          <w:szCs w:val="16"/>
          <w:color w:val="auto"/>
        </w:rPr>
        <w:t>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58"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p>
    <w:p>
      <w:pPr>
        <w:spacing w:after="0" w:line="121" w:lineRule="exact"/>
        <w:rPr>
          <w:sz w:val="20"/>
          <w:szCs w:val="20"/>
          <w:color w:val="auto"/>
        </w:rPr>
      </w:pPr>
    </w:p>
    <w:p>
      <w:pPr>
        <w:ind w:firstLine="871"/>
        <w:spacing w:after="0" w:line="296" w:lineRule="auto"/>
        <w:tabs>
          <w:tab w:leader="none" w:pos="1270" w:val="left"/>
        </w:tabs>
        <w:numPr>
          <w:ilvl w:val="0"/>
          <w:numId w:val="249"/>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60" w:lineRule="exact"/>
        <w:rPr>
          <w:rFonts w:ascii="Arial" w:cs="Arial" w:eastAsia="Arial" w:hAnsi="Arial"/>
          <w:sz w:val="16"/>
          <w:szCs w:val="16"/>
          <w:b w:val="1"/>
          <w:bCs w:val="1"/>
          <w:color w:val="auto"/>
        </w:rPr>
      </w:pPr>
    </w:p>
    <w:p>
      <w:pPr>
        <w:ind w:right="540" w:firstLine="871"/>
        <w:spacing w:after="0" w:line="341" w:lineRule="auto"/>
        <w:tabs>
          <w:tab w:leader="none" w:pos="1270" w:val="left"/>
        </w:tabs>
        <w:numPr>
          <w:ilvl w:val="0"/>
          <w:numId w:val="249"/>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69" w:right="459" w:bottom="1440" w:gutter="0" w:footer="0" w:header="0"/>
        </w:sectPr>
      </w:pPr>
    </w:p>
    <w:bookmarkStart w:id="311" w:name="page312"/>
    <w:bookmarkEnd w:id="311"/>
    <w:p>
      <w:pPr>
        <w:ind w:left="10" w:firstLine="440"/>
        <w:spacing w:after="0" w:line="27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23.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1" w:lineRule="exact"/>
        <w:rPr>
          <w:sz w:val="20"/>
          <w:szCs w:val="20"/>
          <w:color w:val="auto"/>
        </w:rPr>
      </w:pPr>
    </w:p>
    <w:p>
      <w:pPr>
        <w:ind w:left="10" w:right="220" w:firstLine="440"/>
        <w:spacing w:after="0" w:line="258" w:lineRule="auto"/>
        <w:rPr>
          <w:sz w:val="20"/>
          <w:szCs w:val="20"/>
          <w:color w:val="auto"/>
        </w:rPr>
      </w:pPr>
      <w:r>
        <w:rPr>
          <w:rFonts w:ascii="Arial" w:cs="Arial" w:eastAsia="Arial" w:hAnsi="Arial"/>
          <w:sz w:val="18"/>
          <w:szCs w:val="18"/>
          <w:b w:val="1"/>
          <w:bCs w:val="1"/>
          <w:color w:val="auto"/>
        </w:rPr>
        <w:t xml:space="preserve">Section 24. Fees and Compensation. </w:t>
      </w:r>
      <w:r>
        <w:rPr>
          <w:rFonts w:ascii="Arial" w:cs="Arial" w:eastAsia="Arial" w:hAnsi="Arial"/>
          <w:sz w:val="18"/>
          <w:szCs w:val="18"/>
          <w:color w:val="auto"/>
        </w:rPr>
        <w:t>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90" w:lineRule="exact"/>
        <w:rPr>
          <w:sz w:val="20"/>
          <w:szCs w:val="20"/>
          <w:color w:val="auto"/>
        </w:rPr>
      </w:pPr>
    </w:p>
    <w:p>
      <w:pPr>
        <w:ind w:left="450"/>
        <w:spacing w:after="0"/>
        <w:tabs>
          <w:tab w:leader="none" w:pos="1429"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p>
    <w:p>
      <w:pPr>
        <w:spacing w:after="0" w:line="117" w:lineRule="exact"/>
        <w:rPr>
          <w:sz w:val="20"/>
          <w:szCs w:val="20"/>
          <w:color w:val="auto"/>
        </w:rPr>
      </w:pPr>
    </w:p>
    <w:p>
      <w:pPr>
        <w:jc w:val="both"/>
        <w:ind w:left="10" w:right="20" w:firstLine="871"/>
        <w:spacing w:after="0" w:line="287" w:lineRule="auto"/>
        <w:tabs>
          <w:tab w:leader="none" w:pos="1280" w:val="left"/>
        </w:tabs>
        <w:numPr>
          <w:ilvl w:val="1"/>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1" w:lineRule="exact"/>
        <w:rPr>
          <w:rFonts w:ascii="Arial" w:cs="Arial" w:eastAsia="Arial" w:hAnsi="Arial"/>
          <w:sz w:val="16"/>
          <w:szCs w:val="16"/>
          <w:b w:val="1"/>
          <w:bCs w:val="1"/>
          <w:color w:val="auto"/>
        </w:rPr>
      </w:pPr>
    </w:p>
    <w:p>
      <w:pPr>
        <w:ind w:left="10" w:hanging="10"/>
        <w:spacing w:after="0" w:line="289" w:lineRule="auto"/>
        <w:tabs>
          <w:tab w:leader="none" w:pos="22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8" w:lineRule="exact"/>
        <w:rPr>
          <w:rFonts w:ascii="Arial" w:cs="Arial" w:eastAsia="Arial" w:hAnsi="Arial"/>
          <w:sz w:val="17"/>
          <w:szCs w:val="17"/>
          <w:color w:val="auto"/>
        </w:rPr>
      </w:pPr>
    </w:p>
    <w:p>
      <w:pPr>
        <w:ind w:left="10" w:right="40" w:firstLine="871"/>
        <w:spacing w:after="0" w:line="260" w:lineRule="auto"/>
        <w:tabs>
          <w:tab w:leader="none" w:pos="1290"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2" w:lineRule="exact"/>
        <w:rPr>
          <w:rFonts w:ascii="Arial" w:cs="Arial" w:eastAsia="Arial" w:hAnsi="Arial"/>
          <w:sz w:val="18"/>
          <w:szCs w:val="18"/>
          <w:b w:val="1"/>
          <w:bCs w:val="1"/>
          <w:color w:val="auto"/>
        </w:rPr>
      </w:pPr>
    </w:p>
    <w:p>
      <w:pPr>
        <w:ind w:left="10" w:right="160" w:firstLine="871"/>
        <w:spacing w:after="0" w:line="258" w:lineRule="auto"/>
        <w:tabs>
          <w:tab w:leader="none" w:pos="1269" w:val="left"/>
        </w:tabs>
        <w:numPr>
          <w:ilvl w:val="1"/>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Board of Directors, subject to any requirements of any outstanding series of Preferred Stock and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subsections (a) or (b) of this Section 25,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w:t>
      </w:r>
    </w:p>
    <w:p>
      <w:pPr>
        <w:spacing w:after="0" w:line="119"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50"/>
          </w:cols>
          <w:pgMar w:left="450" w:top="269" w:right="499" w:bottom="1440" w:gutter="0" w:footer="0" w:header="0"/>
        </w:sectPr>
      </w:pPr>
    </w:p>
    <w:bookmarkStart w:id="312" w:name="page313"/>
    <w:bookmarkEnd w:id="31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7" w:lineRule="exact"/>
        <w:rPr>
          <w:sz w:val="20"/>
          <w:szCs w:val="20"/>
          <w:color w:val="auto"/>
        </w:rPr>
      </w:pPr>
    </w:p>
    <w:p>
      <w:pPr>
        <w:ind w:right="80" w:firstLine="871"/>
        <w:spacing w:after="0" w:line="269" w:lineRule="auto"/>
        <w:tabs>
          <w:tab w:leader="none" w:pos="128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26. Lead Independent Director. </w:t>
      </w:r>
      <w:r>
        <w:rPr>
          <w:rFonts w:ascii="Arial" w:cs="Arial" w:eastAsia="Arial" w:hAnsi="Arial"/>
          <w:sz w:val="17"/>
          <w:szCs w:val="17"/>
          <w:color w:val="auto"/>
        </w:rPr>
        <w:t>The Chairman of the Board of Directors, or if the Chairman is not an independent director, 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may be designated by the Board of Directors as lead independent director to serve until replaced by the Board of Directors (“Lead Independent Director”). The Lead Independent Director will: with the Chairman of the Board of Directors, establish the agenda for regular Board meetings and serve as chairman of Board of Directors meetings in the absence of the Chairman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coordinate the activities of the other independent directors and perform such other duties as may be established or delegated by the Chairman of the Board of Directors</w:t>
      </w:r>
      <w:r>
        <w:rPr>
          <w:rFonts w:ascii="Arial" w:cs="Arial" w:eastAsia="Arial" w:hAnsi="Arial"/>
          <w:sz w:val="17"/>
          <w:szCs w:val="17"/>
          <w:b w:val="1"/>
          <w:bCs w:val="1"/>
          <w:color w:val="auto"/>
        </w:rPr>
        <w:t>.</w:t>
      </w:r>
    </w:p>
    <w:p>
      <w:pPr>
        <w:spacing w:after="0" w:line="179" w:lineRule="exact"/>
        <w:rPr>
          <w:sz w:val="20"/>
          <w:szCs w:val="20"/>
          <w:color w:val="auto"/>
        </w:rPr>
      </w:pPr>
    </w:p>
    <w:p>
      <w:pPr>
        <w:ind w:right="120" w:firstLine="440"/>
        <w:spacing w:after="0" w:line="260" w:lineRule="auto"/>
        <w:rPr>
          <w:sz w:val="20"/>
          <w:szCs w:val="20"/>
          <w:color w:val="auto"/>
        </w:rPr>
      </w:pPr>
      <w:r>
        <w:rPr>
          <w:rFonts w:ascii="Arial" w:cs="Arial" w:eastAsia="Arial" w:hAnsi="Arial"/>
          <w:sz w:val="18"/>
          <w:szCs w:val="18"/>
          <w:b w:val="1"/>
          <w:bCs w:val="1"/>
          <w:color w:val="auto"/>
        </w:rPr>
        <w:t xml:space="preserve">Section 27. Organization. </w:t>
      </w:r>
      <w:r>
        <w:rPr>
          <w:rFonts w:ascii="Arial" w:cs="Arial" w:eastAsia="Arial" w:hAnsi="Arial"/>
          <w:sz w:val="18"/>
          <w:szCs w:val="18"/>
          <w:color w:val="auto"/>
        </w:rPr>
        <w:t>At every meeting of the directors, the Chairman of the Board of Directors, or, if a Chairman has not been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or is absent, the Lead Independent Director, or if the Lead Independent Director is absent</w:t>
      </w:r>
      <w:r>
        <w:rPr>
          <w:rFonts w:ascii="Arial" w:cs="Arial" w:eastAsia="Arial" w:hAnsi="Arial"/>
          <w:sz w:val="18"/>
          <w:szCs w:val="18"/>
          <w:b w:val="1"/>
          <w:bCs w:val="1"/>
          <w:color w:val="auto"/>
        </w:rPr>
        <w:t>,</w:t>
      </w:r>
      <w:r>
        <w:rPr>
          <w:rFonts w:ascii="Arial" w:cs="Arial" w:eastAsia="Arial" w:hAnsi="Arial"/>
          <w:sz w:val="18"/>
          <w:szCs w:val="18"/>
          <w:color w:val="auto"/>
        </w:rPr>
        <w:t xml:space="preserve"> the Chief Executive Officer (if a director), or, if a Chief Executive Officer is absent, the President (if a director), or if the President is absent, the most senior Vice President (if a director), or, in the absence of any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313" w:name="page314"/>
    <w:bookmarkEnd w:id="313"/>
    <w:p>
      <w:pPr>
        <w:jc w:val="both"/>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a chairman of the meeting chosen by a majority of the directors present, shall preside over the meeting. The Secretary, or in his absence, any Assistant Secretary or other officer or director or other person directed to do so by the Chairman of the Board, the Lead Independent Director or the President, shall act as secretary of the meeting.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28. Officers Designated. </w:t>
      </w:r>
      <w:r>
        <w:rPr>
          <w:rFonts w:ascii="Arial" w:cs="Arial" w:eastAsia="Arial" w:hAnsi="Arial"/>
          <w:sz w:val="17"/>
          <w:szCs w:val="17"/>
          <w:color w:val="auto"/>
        </w:rPr>
        <w:t>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Tenure And Duties Of Officers.</w:t>
      </w:r>
    </w:p>
    <w:p>
      <w:pPr>
        <w:spacing w:after="0" w:line="117" w:lineRule="exact"/>
        <w:rPr>
          <w:sz w:val="20"/>
          <w:szCs w:val="20"/>
          <w:color w:val="auto"/>
        </w:rPr>
      </w:pPr>
    </w:p>
    <w:p>
      <w:pPr>
        <w:ind w:firstLine="871"/>
        <w:spacing w:after="0" w:line="266" w:lineRule="auto"/>
        <w:tabs>
          <w:tab w:leader="none" w:pos="127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left="1280" w:hanging="409"/>
        <w:spacing w:after="0"/>
        <w:tabs>
          <w:tab w:leader="none" w:pos="1280"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Executive Officer. </w:t>
      </w:r>
      <w:r>
        <w:rPr>
          <w:rFonts w:ascii="Arial" w:cs="Arial" w:eastAsia="Arial" w:hAnsi="Arial"/>
          <w:sz w:val="17"/>
          <w:szCs w:val="17"/>
          <w:color w:val="auto"/>
        </w:rPr>
        <w:t>The Chief Executive Officer shall preside at all meetings of the stockholders (subject to</w:t>
      </w:r>
    </w:p>
    <w:p>
      <w:pPr>
        <w:spacing w:after="0" w:line="3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Section 14) and at all meetings of the Board of Directors, unless the Chairman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63" w:lineRule="exact"/>
        <w:rPr>
          <w:sz w:val="20"/>
          <w:szCs w:val="20"/>
          <w:color w:val="auto"/>
        </w:rPr>
      </w:pPr>
    </w:p>
    <w:p>
      <w:pPr>
        <w:jc w:val="both"/>
        <w:ind w:right="80" w:firstLine="871"/>
        <w:spacing w:after="0" w:line="280" w:lineRule="auto"/>
        <w:tabs>
          <w:tab w:leader="none" w:pos="1260"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President. </w:t>
      </w:r>
      <w:r>
        <w:rPr>
          <w:rFonts w:ascii="Arial" w:cs="Arial" w:eastAsia="Arial" w:hAnsi="Arial"/>
          <w:sz w:val="17"/>
          <w:szCs w:val="17"/>
          <w:color w:val="auto"/>
        </w:rPr>
        <w:t>The President shall preside at all meetings of the stockholders (subject to Section 14) and at all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w:t>
      </w:r>
      <w:r>
        <w:rPr>
          <w:rFonts w:ascii="Arial" w:cs="Arial" w:eastAsia="Arial" w:hAnsi="Arial"/>
          <w:sz w:val="17"/>
          <w:szCs w:val="17"/>
          <w:b w:val="1"/>
          <w:bCs w:val="1"/>
          <w:color w:val="auto"/>
        </w:rPr>
        <w:t>,</w:t>
      </w:r>
      <w:r>
        <w:rPr>
          <w:rFonts w:ascii="Arial" w:cs="Arial" w:eastAsia="Arial" w:hAnsi="Arial"/>
          <w:sz w:val="17"/>
          <w:szCs w:val="17"/>
          <w:color w:val="auto"/>
        </w:rPr>
        <w:t xml:space="preserve"> unless the Chairman of the Board of Directors</w:t>
      </w:r>
      <w:r>
        <w:rPr>
          <w:rFonts w:ascii="Arial" w:cs="Arial" w:eastAsia="Arial" w:hAnsi="Arial"/>
          <w:sz w:val="17"/>
          <w:szCs w:val="17"/>
          <w:b w:val="1"/>
          <w:bCs w:val="1"/>
          <w:color w:val="auto"/>
        </w:rPr>
        <w:t>, the</w:t>
      </w:r>
      <w:r>
        <w:rPr>
          <w:rFonts w:ascii="Arial" w:cs="Arial" w:eastAsia="Arial" w:hAnsi="Arial"/>
          <w:sz w:val="17"/>
          <w:szCs w:val="17"/>
          <w:color w:val="auto"/>
        </w:rPr>
        <w:t xml:space="preserv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60" w:top="274" w:right="439" w:bottom="1440" w:gutter="0" w:footer="0" w:header="0"/>
        </w:sectPr>
      </w:pPr>
    </w:p>
    <w:bookmarkStart w:id="314" w:name="page315"/>
    <w:bookmarkEnd w:id="31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66" w:lineRule="exact"/>
        <w:rPr>
          <w:sz w:val="20"/>
          <w:szCs w:val="20"/>
          <w:color w:val="auto"/>
        </w:rPr>
      </w:pPr>
    </w:p>
    <w:p>
      <w:pPr>
        <w:ind w:right="20" w:firstLine="871"/>
        <w:spacing w:after="0" w:line="260" w:lineRule="auto"/>
        <w:tabs>
          <w:tab w:leader="none" w:pos="12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Vice Presidents. </w:t>
      </w:r>
      <w:r>
        <w:rPr>
          <w:rFonts w:ascii="Arial" w:cs="Arial" w:eastAsia="Arial" w:hAnsi="Arial"/>
          <w:sz w:val="18"/>
          <w:szCs w:val="18"/>
          <w:color w:val="auto"/>
        </w:rPr>
        <w:t>The Vice Presidents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82" w:lineRule="exact"/>
        <w:rPr>
          <w:rFonts w:ascii="Arial" w:cs="Arial" w:eastAsia="Arial" w:hAnsi="Arial"/>
          <w:sz w:val="18"/>
          <w:szCs w:val="18"/>
          <w:b w:val="1"/>
          <w:bCs w:val="1"/>
          <w:color w:val="auto"/>
        </w:rPr>
      </w:pPr>
    </w:p>
    <w:p>
      <w:pPr>
        <w:ind w:right="100" w:firstLine="871"/>
        <w:spacing w:after="0" w:line="292" w:lineRule="auto"/>
        <w:tabs>
          <w:tab w:leader="none" w:pos="126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w:t>
      </w:r>
      <w:r>
        <w:rPr>
          <w:rFonts w:ascii="Arial" w:cs="Arial" w:eastAsia="Arial" w:hAnsi="Arial"/>
          <w:sz w:val="16"/>
          <w:szCs w:val="16"/>
          <w:color w:val="auto"/>
        </w:rPr>
        <w:t>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59" w:lineRule="exact"/>
        <w:rPr>
          <w:rFonts w:ascii="Arial" w:cs="Arial" w:eastAsia="Arial" w:hAnsi="Arial"/>
          <w:sz w:val="16"/>
          <w:szCs w:val="16"/>
          <w:b w:val="1"/>
          <w:bCs w:val="1"/>
          <w:color w:val="auto"/>
        </w:rPr>
      </w:pPr>
    </w:p>
    <w:p>
      <w:pPr>
        <w:ind w:firstLine="871"/>
        <w:spacing w:after="0" w:line="288" w:lineRule="auto"/>
        <w:tabs>
          <w:tab w:leader="none" w:pos="124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Chief Financial Officer. </w:t>
      </w:r>
      <w:r>
        <w:rPr>
          <w:rFonts w:ascii="Arial" w:cs="Arial" w:eastAsia="Arial" w:hAnsi="Arial"/>
          <w:sz w:val="16"/>
          <w:szCs w:val="16"/>
          <w:color w:val="auto"/>
        </w:rPr>
        <w:t>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66" w:lineRule="exact"/>
        <w:rPr>
          <w:rFonts w:ascii="Arial" w:cs="Arial" w:eastAsia="Arial" w:hAnsi="Arial"/>
          <w:sz w:val="16"/>
          <w:szCs w:val="16"/>
          <w:b w:val="1"/>
          <w:bCs w:val="1"/>
          <w:color w:val="auto"/>
        </w:rPr>
      </w:pPr>
    </w:p>
    <w:p>
      <w:pPr>
        <w:ind w:right="80" w:firstLine="871"/>
        <w:spacing w:after="0" w:line="280" w:lineRule="auto"/>
        <w:tabs>
          <w:tab w:leader="none" w:pos="127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Treasurer. </w:t>
      </w:r>
      <w:r>
        <w:rPr>
          <w:rFonts w:ascii="Arial" w:cs="Arial" w:eastAsia="Arial" w:hAnsi="Arial"/>
          <w:sz w:val="17"/>
          <w:szCs w:val="17"/>
          <w:color w:val="auto"/>
        </w:rPr>
        <w:t>Unless another officer has been appointed Chief Financial Officer of the corporation, the Treasurer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60" w:top="273" w:right="439" w:bottom="1440" w:gutter="0" w:footer="0" w:header="0"/>
        </w:sectPr>
      </w:pPr>
    </w:p>
    <w:bookmarkStart w:id="315" w:name="page316"/>
    <w:bookmarkEnd w:id="31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The Treasurer shall perform other duties commonly incident to the office and shall also perform such other duties and have such other powers as the Board of Directors or the President shall designate from time to time.</w:t>
      </w:r>
    </w:p>
    <w:p>
      <w:pPr>
        <w:spacing w:after="0" w:line="166" w:lineRule="exact"/>
        <w:rPr>
          <w:sz w:val="20"/>
          <w:szCs w:val="20"/>
          <w:color w:val="auto"/>
        </w:rPr>
      </w:pPr>
    </w:p>
    <w:p>
      <w:pPr>
        <w:ind w:right="220" w:firstLine="440"/>
        <w:spacing w:after="0" w:line="281" w:lineRule="auto"/>
        <w:rPr>
          <w:sz w:val="20"/>
          <w:szCs w:val="20"/>
          <w:color w:val="auto"/>
        </w:rPr>
      </w:pPr>
      <w:r>
        <w:rPr>
          <w:rFonts w:ascii="Arial" w:cs="Arial" w:eastAsia="Arial" w:hAnsi="Arial"/>
          <w:sz w:val="18"/>
          <w:szCs w:val="18"/>
          <w:b w:val="1"/>
          <w:bCs w:val="1"/>
          <w:color w:val="auto"/>
        </w:rPr>
        <w:t xml:space="preserve">Section 30.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31. Resignations. </w:t>
      </w:r>
      <w:r>
        <w:rPr>
          <w:rFonts w:ascii="Arial" w:cs="Arial" w:eastAsia="Arial" w:hAnsi="Arial"/>
          <w:sz w:val="18"/>
          <w:szCs w:val="18"/>
          <w:color w:val="auto"/>
        </w:rPr>
        <w:t>Any officer may resign at any time by giving notice in writing or by electronic transmission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2" w:lineRule="exact"/>
        <w:rPr>
          <w:sz w:val="20"/>
          <w:szCs w:val="20"/>
          <w:color w:val="auto"/>
        </w:rPr>
      </w:pPr>
    </w:p>
    <w:p>
      <w:pPr>
        <w:ind w:right="20" w:firstLine="440"/>
        <w:spacing w:after="0" w:line="288" w:lineRule="auto"/>
        <w:rPr>
          <w:sz w:val="20"/>
          <w:szCs w:val="20"/>
          <w:color w:val="auto"/>
        </w:rPr>
      </w:pPr>
      <w:r>
        <w:rPr>
          <w:rFonts w:ascii="Arial" w:cs="Arial" w:eastAsia="Arial" w:hAnsi="Arial"/>
          <w:sz w:val="17"/>
          <w:szCs w:val="17"/>
          <w:b w:val="1"/>
          <w:bCs w:val="1"/>
          <w:color w:val="auto"/>
        </w:rPr>
        <w:t xml:space="preserve">Section 32. Removal. </w:t>
      </w:r>
      <w:r>
        <w:rPr>
          <w:rFonts w:ascii="Arial" w:cs="Arial" w:eastAsia="Arial" w:hAnsi="Arial"/>
          <w:sz w:val="17"/>
          <w:szCs w:val="17"/>
          <w:color w:val="auto"/>
        </w:rPr>
        <w:t>Any officer may be removed from office at any time, either with or without cause, by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100" w:firstLine="440"/>
        <w:spacing w:after="0" w:line="280" w:lineRule="auto"/>
        <w:rPr>
          <w:sz w:val="20"/>
          <w:szCs w:val="20"/>
          <w:color w:val="auto"/>
        </w:rPr>
      </w:pPr>
      <w:r>
        <w:rPr>
          <w:rFonts w:ascii="Arial" w:cs="Arial" w:eastAsia="Arial" w:hAnsi="Arial"/>
          <w:sz w:val="17"/>
          <w:szCs w:val="17"/>
          <w:b w:val="1"/>
          <w:bCs w:val="1"/>
          <w:color w:val="auto"/>
        </w:rPr>
        <w:t xml:space="preserve">Section 33.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120" w:firstLine="440"/>
        <w:spacing w:after="0" w:line="341"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1" w:lineRule="exact"/>
        <w:rPr>
          <w:sz w:val="20"/>
          <w:szCs w:val="20"/>
          <w:color w:val="auto"/>
        </w:rPr>
      </w:pPr>
    </w:p>
    <w:p>
      <w:pPr>
        <w:ind w:right="40" w:firstLine="440"/>
        <w:spacing w:after="0" w:line="260" w:lineRule="auto"/>
        <w:rPr>
          <w:sz w:val="20"/>
          <w:szCs w:val="20"/>
          <w:color w:val="auto"/>
        </w:rPr>
      </w:pPr>
      <w:r>
        <w:rPr>
          <w:rFonts w:ascii="Arial" w:cs="Arial" w:eastAsia="Arial" w:hAnsi="Arial"/>
          <w:sz w:val="18"/>
          <w:szCs w:val="18"/>
          <w:b w:val="1"/>
          <w:bCs w:val="1"/>
          <w:color w:val="auto"/>
        </w:rPr>
        <w:t xml:space="preserve">Section 34. Voting Of Securities Owned By The Corporation. </w:t>
      </w:r>
      <w:r>
        <w:rPr>
          <w:rFonts w:ascii="Arial" w:cs="Arial" w:eastAsia="Arial" w:hAnsi="Arial"/>
          <w:sz w:val="18"/>
          <w:szCs w:val="18"/>
          <w:color w:val="auto"/>
        </w:rPr>
        <w:t>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Section 35. Form And Execution Of Certificates. </w:t>
      </w:r>
      <w:r>
        <w:rPr>
          <w:rFonts w:ascii="Arial" w:cs="Arial" w:eastAsia="Arial" w:hAnsi="Arial"/>
          <w:sz w:val="18"/>
          <w:szCs w:val="18"/>
          <w:color w:val="auto"/>
        </w:rPr>
        <w:t>The shares of the corporation shall be represented by certificates, or shall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for the shares of stock, if any, of the corporation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90"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 xml:space="preserve">Section 36. Lost Certificates. </w:t>
      </w:r>
      <w:r>
        <w:rPr>
          <w:rFonts w:ascii="Arial" w:cs="Arial" w:eastAsia="Arial" w:hAnsi="Arial"/>
          <w:sz w:val="17"/>
          <w:szCs w:val="17"/>
          <w:color w:val="auto"/>
        </w:rPr>
        <w:t>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2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Transfers.</w:t>
      </w:r>
    </w:p>
    <w:p>
      <w:pPr>
        <w:spacing w:after="0" w:line="121" w:lineRule="exact"/>
        <w:rPr>
          <w:sz w:val="20"/>
          <w:szCs w:val="20"/>
          <w:color w:val="auto"/>
        </w:rPr>
      </w:pPr>
    </w:p>
    <w:p>
      <w:pPr>
        <w:ind w:right="300" w:firstLine="871"/>
        <w:spacing w:after="0" w:line="263" w:lineRule="auto"/>
        <w:tabs>
          <w:tab w:leader="none" w:pos="1267"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2" w:lineRule="exact"/>
        <w:rPr>
          <w:rFonts w:ascii="Arial" w:cs="Arial" w:eastAsia="Arial" w:hAnsi="Arial"/>
          <w:sz w:val="18"/>
          <w:szCs w:val="18"/>
          <w:b w:val="1"/>
          <w:bCs w:val="1"/>
          <w:color w:val="auto"/>
        </w:rPr>
      </w:pPr>
    </w:p>
    <w:p>
      <w:pPr>
        <w:ind w:firstLine="871"/>
        <w:spacing w:after="0" w:line="263" w:lineRule="auto"/>
        <w:tabs>
          <w:tab w:leader="none" w:pos="1277"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8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6"/>
          <w:szCs w:val="16"/>
          <w:b w:val="1"/>
          <w:bCs w:val="1"/>
          <w:color w:val="auto"/>
        </w:rPr>
        <w:t>Fixing Record Dates.</w:t>
      </w:r>
    </w:p>
    <w:p>
      <w:pPr>
        <w:spacing w:after="0" w:line="121" w:lineRule="exact"/>
        <w:rPr>
          <w:sz w:val="20"/>
          <w:szCs w:val="20"/>
          <w:color w:val="auto"/>
        </w:rPr>
      </w:pPr>
    </w:p>
    <w:p>
      <w:pPr>
        <w:ind w:right="360" w:firstLine="871"/>
        <w:spacing w:after="0" w:line="263" w:lineRule="auto"/>
        <w:tabs>
          <w:tab w:leader="none" w:pos="127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69" w:right="439" w:bottom="1440" w:gutter="0" w:footer="0" w:header="0"/>
        </w:sectPr>
      </w:pPr>
    </w:p>
    <w:bookmarkStart w:id="317" w:name="page318"/>
    <w:bookmarkEnd w:id="317"/>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of Directors may fix a new record date for the adjourned meeting.</w:t>
      </w:r>
    </w:p>
    <w:p>
      <w:pPr>
        <w:spacing w:after="0" w:line="160" w:lineRule="exact"/>
        <w:rPr>
          <w:sz w:val="20"/>
          <w:szCs w:val="20"/>
          <w:color w:val="auto"/>
        </w:rPr>
      </w:pPr>
    </w:p>
    <w:p>
      <w:pPr>
        <w:ind w:right="20" w:firstLine="871"/>
        <w:spacing w:after="0" w:line="255" w:lineRule="auto"/>
        <w:tabs>
          <w:tab w:leader="none" w:pos="128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b w:val="1"/>
          <w:bCs w:val="1"/>
          <w:color w:val="auto"/>
        </w:rPr>
        <w:t xml:space="preserve">Section 39.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b w:val="1"/>
          <w:bCs w:val="1"/>
          <w:color w:val="auto"/>
        </w:rPr>
        <w:t xml:space="preserve">Section 40. Execution Of Other Securities. </w:t>
      </w:r>
      <w:r>
        <w:rPr>
          <w:rFonts w:ascii="Arial" w:cs="Arial" w:eastAsia="Arial" w:hAnsi="Arial"/>
          <w:sz w:val="17"/>
          <w:szCs w:val="17"/>
          <w:color w:val="auto"/>
        </w:rPr>
        <w:t>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35),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60" w:top="274" w:right="43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20" w:firstLine="440"/>
        <w:spacing w:after="0" w:line="288" w:lineRule="auto"/>
        <w:rPr>
          <w:sz w:val="20"/>
          <w:szCs w:val="20"/>
          <w:color w:val="auto"/>
        </w:rPr>
      </w:pPr>
      <w:r>
        <w:rPr>
          <w:rFonts w:ascii="Arial" w:cs="Arial" w:eastAsia="Arial" w:hAnsi="Arial"/>
          <w:sz w:val="17"/>
          <w:szCs w:val="17"/>
          <w:b w:val="1"/>
          <w:bCs w:val="1"/>
          <w:color w:val="auto"/>
        </w:rPr>
        <w:t xml:space="preserve">Section 41.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60"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 xml:space="preserve">Section 42.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p>
    <w:p>
      <w:pPr>
        <w:spacing w:after="0" w:line="225" w:lineRule="exact"/>
        <w:rPr>
          <w:sz w:val="20"/>
          <w:szCs w:val="20"/>
          <w:color w:val="auto"/>
        </w:rPr>
      </w:pPr>
    </w:p>
    <w:p>
      <w:pPr>
        <w:ind w:firstLine="871"/>
        <w:spacing w:after="0" w:line="254" w:lineRule="auto"/>
        <w:tabs>
          <w:tab w:leader="none" w:pos="127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Executive Officers. </w:t>
      </w:r>
      <w:r>
        <w:rPr>
          <w:rFonts w:ascii="Arial" w:cs="Arial" w:eastAsia="Arial" w:hAnsi="Arial"/>
          <w:sz w:val="18"/>
          <w:szCs w:val="18"/>
          <w:color w:val="auto"/>
        </w:rPr>
        <w:t>The corporation shall indemnify its directors and executive officers (for the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Article XI, “executive officers” shall have the meaning defined in Rule 3b-7 promulgated under the 1934 Act) to the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69" w:right="479" w:bottom="1440" w:gutter="0" w:footer="0" w:header="0"/>
        </w:sectPr>
      </w:pPr>
    </w:p>
    <w:bookmarkStart w:id="319" w:name="page320"/>
    <w:bookmarkEnd w:id="319"/>
    <w:p>
      <w:pPr>
        <w:ind w:firstLine="871"/>
        <w:spacing w:after="0" w:line="288" w:lineRule="auto"/>
        <w:tabs>
          <w:tab w:leader="none" w:pos="1280"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Officers, Employees and Other Agents. </w:t>
      </w:r>
      <w:r>
        <w:rPr>
          <w:rFonts w:ascii="Arial" w:cs="Arial" w:eastAsia="Arial" w:hAnsi="Arial"/>
          <w:sz w:val="17"/>
          <w:szCs w:val="17"/>
          <w:color w:val="auto"/>
        </w:rPr>
        <w:t>The corporation shall have power to indemnify its other officers, employees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59" w:lineRule="exact"/>
        <w:rPr>
          <w:rFonts w:ascii="Arial" w:cs="Arial" w:eastAsia="Arial" w:hAnsi="Arial"/>
          <w:sz w:val="17"/>
          <w:szCs w:val="17"/>
          <w:b w:val="1"/>
          <w:bCs w:val="1"/>
          <w:color w:val="auto"/>
        </w:rPr>
      </w:pPr>
    </w:p>
    <w:p>
      <w:pPr>
        <w:ind w:firstLine="871"/>
        <w:spacing w:after="0" w:line="270" w:lineRule="auto"/>
        <w:tabs>
          <w:tab w:leader="none" w:pos="1260"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1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6" w:lineRule="exact"/>
        <w:rPr>
          <w:sz w:val="20"/>
          <w:szCs w:val="20"/>
          <w:color w:val="auto"/>
        </w:rPr>
      </w:pPr>
    </w:p>
    <w:p>
      <w:pPr>
        <w:ind w:right="80" w:firstLine="871"/>
        <w:spacing w:after="0" w:line="297" w:lineRule="auto"/>
        <w:tabs>
          <w:tab w:leader="none" w:pos="1280"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69" w:right="459" w:bottom="1440" w:gutter="0" w:footer="0" w:header="0"/>
        </w:sectPr>
      </w:pPr>
    </w:p>
    <w:bookmarkStart w:id="320" w:name="page321"/>
    <w:bookmarkEnd w:id="32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60" w:lineRule="exact"/>
        <w:rPr>
          <w:sz w:val="20"/>
          <w:szCs w:val="20"/>
          <w:color w:val="auto"/>
        </w:rPr>
      </w:pPr>
    </w:p>
    <w:p>
      <w:pPr>
        <w:ind w:right="20" w:firstLine="871"/>
        <w:spacing w:after="0" w:line="276" w:lineRule="auto"/>
        <w:tabs>
          <w:tab w:leader="none" w:pos="126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1" w:lineRule="exact"/>
        <w:rPr>
          <w:rFonts w:ascii="Arial" w:cs="Arial" w:eastAsia="Arial" w:hAnsi="Arial"/>
          <w:sz w:val="17"/>
          <w:szCs w:val="17"/>
          <w:b w:val="1"/>
          <w:bCs w:val="1"/>
          <w:color w:val="auto"/>
        </w:rPr>
      </w:pPr>
    </w:p>
    <w:p>
      <w:pPr>
        <w:ind w:right="160" w:firstLine="871"/>
        <w:spacing w:after="0" w:line="281" w:lineRule="auto"/>
        <w:tabs>
          <w:tab w:leader="none" w:pos="124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2" w:lineRule="exact"/>
        <w:rPr>
          <w:rFonts w:ascii="Arial" w:cs="Arial" w:eastAsia="Arial" w:hAnsi="Arial"/>
          <w:sz w:val="18"/>
          <w:szCs w:val="18"/>
          <w:b w:val="1"/>
          <w:bCs w:val="1"/>
          <w:color w:val="auto"/>
        </w:rPr>
      </w:pPr>
    </w:p>
    <w:p>
      <w:pPr>
        <w:ind w:right="220" w:firstLine="871"/>
        <w:spacing w:after="0" w:line="312" w:lineRule="auto"/>
        <w:tabs>
          <w:tab w:leader="none" w:pos="127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139" w:lineRule="exact"/>
        <w:rPr>
          <w:rFonts w:ascii="Arial" w:cs="Arial" w:eastAsia="Arial" w:hAnsi="Arial"/>
          <w:sz w:val="17"/>
          <w:szCs w:val="17"/>
          <w:b w:val="1"/>
          <w:bCs w:val="1"/>
          <w:color w:val="auto"/>
        </w:rPr>
      </w:pPr>
    </w:p>
    <w:p>
      <w:pPr>
        <w:ind w:right="180" w:firstLine="871"/>
        <w:spacing w:after="0" w:line="347" w:lineRule="auto"/>
        <w:tabs>
          <w:tab w:leader="none" w:pos="1280"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firstLine="871"/>
        <w:spacing w:after="0" w:line="303" w:lineRule="auto"/>
        <w:tabs>
          <w:tab w:leader="none" w:pos="1230"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Saving Clause. </w:t>
      </w:r>
      <w:r>
        <w:rPr>
          <w:rFonts w:ascii="Arial" w:cs="Arial" w:eastAsia="Arial" w:hAnsi="Arial"/>
          <w:sz w:val="16"/>
          <w:szCs w:val="16"/>
          <w:color w:val="auto"/>
        </w:rPr>
        <w:t>If this Bylaw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60" w:top="274" w:right="439" w:bottom="1440" w:gutter="0" w:footer="0" w:header="0"/>
        </w:sectPr>
      </w:pPr>
    </w:p>
    <w:bookmarkStart w:id="321" w:name="page322"/>
    <w:bookmarkEnd w:id="321"/>
    <w:p>
      <w:pPr>
        <w:ind w:left="1220" w:hanging="369"/>
        <w:spacing w:after="0"/>
        <w:tabs>
          <w:tab w:leader="none" w:pos="122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Certain Definitions. </w:t>
      </w:r>
      <w:r>
        <w:rPr>
          <w:rFonts w:ascii="Arial" w:cs="Arial" w:eastAsia="Arial" w:hAnsi="Arial"/>
          <w:sz w:val="18"/>
          <w:szCs w:val="18"/>
          <w:color w:val="auto"/>
        </w:rPr>
        <w:t>For the purposes of this Bylaw, the following definitions shall apply:</w:t>
      </w:r>
    </w:p>
    <w:p>
      <w:pPr>
        <w:spacing w:after="0" w:line="228" w:lineRule="exact"/>
        <w:rPr>
          <w:rFonts w:ascii="Arial" w:cs="Arial" w:eastAsia="Arial" w:hAnsi="Arial"/>
          <w:sz w:val="18"/>
          <w:szCs w:val="18"/>
          <w:b w:val="1"/>
          <w:bCs w:val="1"/>
          <w:color w:val="auto"/>
        </w:rPr>
      </w:pPr>
    </w:p>
    <w:p>
      <w:pPr>
        <w:jc w:val="both"/>
        <w:ind w:left="-20" w:right="720" w:firstLine="1421"/>
        <w:spacing w:after="0" w:line="263" w:lineRule="auto"/>
        <w:tabs>
          <w:tab w:leader="none" w:pos="1757"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2" w:lineRule="exact"/>
        <w:rPr>
          <w:rFonts w:ascii="Arial" w:cs="Arial" w:eastAsia="Arial" w:hAnsi="Arial"/>
          <w:sz w:val="18"/>
          <w:szCs w:val="18"/>
          <w:b w:val="1"/>
          <w:bCs w:val="1"/>
          <w:color w:val="auto"/>
        </w:rPr>
      </w:pPr>
    </w:p>
    <w:p>
      <w:pPr>
        <w:ind w:left="-20" w:right="40" w:firstLine="1421"/>
        <w:spacing w:after="0" w:line="341" w:lineRule="auto"/>
        <w:tabs>
          <w:tab w:leader="none" w:pos="1807"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4" w:lineRule="exact"/>
        <w:rPr>
          <w:rFonts w:ascii="Arial" w:cs="Arial" w:eastAsia="Arial" w:hAnsi="Arial"/>
          <w:sz w:val="16"/>
          <w:szCs w:val="16"/>
          <w:b w:val="1"/>
          <w:bCs w:val="1"/>
          <w:color w:val="auto"/>
        </w:rPr>
      </w:pPr>
    </w:p>
    <w:p>
      <w:pPr>
        <w:ind w:left="-20" w:firstLine="1421"/>
        <w:spacing w:after="0" w:line="293" w:lineRule="auto"/>
        <w:tabs>
          <w:tab w:leader="none" w:pos="1857"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3" w:lineRule="exact"/>
        <w:rPr>
          <w:rFonts w:ascii="Arial" w:cs="Arial" w:eastAsia="Arial" w:hAnsi="Arial"/>
          <w:sz w:val="16"/>
          <w:szCs w:val="16"/>
          <w:b w:val="1"/>
          <w:bCs w:val="1"/>
          <w:color w:val="auto"/>
        </w:rPr>
      </w:pPr>
    </w:p>
    <w:p>
      <w:pPr>
        <w:ind w:left="-20" w:right="360" w:firstLine="1421"/>
        <w:spacing w:after="0" w:line="263" w:lineRule="auto"/>
        <w:tabs>
          <w:tab w:leader="none" w:pos="1850"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2" w:lineRule="exact"/>
        <w:rPr>
          <w:rFonts w:ascii="Arial" w:cs="Arial" w:eastAsia="Arial" w:hAnsi="Arial"/>
          <w:sz w:val="18"/>
          <w:szCs w:val="18"/>
          <w:b w:val="1"/>
          <w:bCs w:val="1"/>
          <w:color w:val="auto"/>
        </w:rPr>
      </w:pPr>
    </w:p>
    <w:p>
      <w:pPr>
        <w:ind w:left="-20" w:firstLine="1421"/>
        <w:spacing w:after="0" w:line="273" w:lineRule="auto"/>
        <w:tabs>
          <w:tab w:leader="none" w:pos="1800" w:val="left"/>
        </w:tabs>
        <w:numPr>
          <w:ilvl w:val="1"/>
          <w:numId w:val="263"/>
        </w:numPr>
        <w:rPr>
          <w:rFonts w:ascii="Arial" w:cs="Arial" w:eastAsia="Arial" w:hAnsi="Arial"/>
          <w:sz w:val="17"/>
          <w:szCs w:val="17"/>
          <w:b w:val="1"/>
          <w:bCs w:val="1"/>
          <w:color w:val="auto"/>
        </w:rPr>
      </w:pPr>
      <w:r>
        <w:rPr>
          <w:rFonts w:ascii="Arial" w:cs="Arial" w:eastAsia="Arial" w:hAnsi="Arial"/>
          <w:sz w:val="17"/>
          <w:szCs w:val="17"/>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5"/>
          <w:szCs w:val="15"/>
          <w:b w:val="1"/>
          <w:bCs w:val="1"/>
          <w:color w:val="auto"/>
        </w:rPr>
        <w:t>Notices.</w:t>
      </w:r>
    </w:p>
    <w:p>
      <w:pPr>
        <w:spacing w:after="0" w:line="117" w:lineRule="exact"/>
        <w:rPr>
          <w:sz w:val="20"/>
          <w:szCs w:val="20"/>
          <w:color w:val="auto"/>
        </w:rPr>
      </w:pPr>
    </w:p>
    <w:p>
      <w:pPr>
        <w:ind w:left="-20" w:firstLine="871"/>
        <w:spacing w:after="0" w:line="280" w:lineRule="auto"/>
        <w:tabs>
          <w:tab w:leader="none" w:pos="1250"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80" w:top="269" w:right="479" w:bottom="1440" w:gutter="0" w:footer="0" w:header="0"/>
        </w:sectPr>
      </w:pPr>
    </w:p>
    <w:bookmarkStart w:id="322" w:name="page323"/>
    <w:bookmarkEnd w:id="322"/>
    <w:p>
      <w:pPr>
        <w:ind w:firstLine="871"/>
        <w:spacing w:after="0" w:line="260" w:lineRule="auto"/>
        <w:tabs>
          <w:tab w:leader="none" w:pos="12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To Directors. </w:t>
      </w:r>
      <w:r>
        <w:rPr>
          <w:rFonts w:ascii="Arial" w:cs="Arial" w:eastAsia="Arial" w:hAnsi="Arial"/>
          <w:sz w:val="18"/>
          <w:szCs w:val="18"/>
          <w:color w:val="auto"/>
        </w:rPr>
        <w:t>Any notice required to be given to any director may be given by the method stated in subsection (a),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82" w:lineRule="exact"/>
        <w:rPr>
          <w:rFonts w:ascii="Arial" w:cs="Arial" w:eastAsia="Arial" w:hAnsi="Arial"/>
          <w:sz w:val="18"/>
          <w:szCs w:val="18"/>
          <w:b w:val="1"/>
          <w:bCs w:val="1"/>
          <w:color w:val="auto"/>
        </w:rPr>
      </w:pPr>
    </w:p>
    <w:p>
      <w:pPr>
        <w:ind w:right="20" w:firstLine="871"/>
        <w:spacing w:after="0" w:line="260" w:lineRule="auto"/>
        <w:tabs>
          <w:tab w:leader="none" w:pos="12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82" w:lineRule="exact"/>
        <w:rPr>
          <w:rFonts w:ascii="Arial" w:cs="Arial" w:eastAsia="Arial" w:hAnsi="Arial"/>
          <w:sz w:val="18"/>
          <w:szCs w:val="18"/>
          <w:b w:val="1"/>
          <w:bCs w:val="1"/>
          <w:color w:val="auto"/>
        </w:rPr>
      </w:pPr>
    </w:p>
    <w:p>
      <w:pPr>
        <w:jc w:val="both"/>
        <w:ind w:right="100" w:firstLine="871"/>
        <w:spacing w:after="0" w:line="266" w:lineRule="auto"/>
        <w:tabs>
          <w:tab w:leader="none" w:pos="12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right="20" w:firstLine="871"/>
        <w:spacing w:after="0" w:line="272" w:lineRule="auto"/>
        <w:tabs>
          <w:tab w:leader="none" w:pos="126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5" w:lineRule="exact"/>
        <w:rPr>
          <w:rFonts w:ascii="Arial" w:cs="Arial" w:eastAsia="Arial" w:hAnsi="Arial"/>
          <w:sz w:val="17"/>
          <w:szCs w:val="17"/>
          <w:b w:val="1"/>
          <w:bCs w:val="1"/>
          <w:color w:val="auto"/>
        </w:rPr>
      </w:pPr>
    </w:p>
    <w:p>
      <w:pPr>
        <w:ind w:right="140" w:firstLine="871"/>
        <w:spacing w:after="0" w:line="276" w:lineRule="auto"/>
        <w:tabs>
          <w:tab w:leader="none" w:pos="1240"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0" w:right="4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200" w:firstLine="440"/>
        <w:spacing w:after="0" w:line="274"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color w:val="auto"/>
        </w:rPr>
        <w:t>Subject to the limitations set forth in Section 44(h) of these Bylaws or the provisions of the Certificate of Incorporation,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Directors is expressly empowered to adopt, amend or repeal the Bylaws of the corporation. The stockholders also shall have power to adopt, amend or repeal the Bylaws of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47. Loans To Officers. </w:t>
      </w:r>
      <w:r>
        <w:rPr>
          <w:rFonts w:ascii="Arial" w:cs="Arial" w:eastAsia="Arial" w:hAnsi="Arial"/>
          <w:sz w:val="16"/>
          <w:szCs w:val="16"/>
          <w:color w:val="auto"/>
        </w:rPr>
        <w:t>Except as otherwise prohibited by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Section 48. Forum. </w:t>
      </w:r>
      <w:r>
        <w:rPr>
          <w:rFonts w:ascii="Arial" w:cs="Arial" w:eastAsia="Arial" w:hAnsi="Arial"/>
          <w:sz w:val="17"/>
          <w:szCs w:val="17"/>
          <w:color w:val="auto"/>
        </w:rPr>
        <w:t>Unless the corporation consents in writing to the selection of an alternative forum, the Court of Chancery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0" w:right="439" w:bottom="1440" w:gutter="0" w:footer="0" w:header="0"/>
        </w:sectPr>
      </w:pPr>
    </w:p>
    <w:bookmarkStart w:id="324" w:name="page325"/>
    <w:bookmarkEnd w:id="324"/>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31750</wp:posOffset>
            </wp:positionV>
            <wp:extent cx="7181850" cy="47967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7181850" cy="47967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1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7289165" cy="7289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1165225" cy="3771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11652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hemingtonmb@cooley.com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October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You have requested our opinion, as counsel to SI-BONE,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333-227445)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6,900,000 shares of the Company’s common stock, par value $0.0001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900,000 Shares that may be sold pursuant to the exercise of an option to purchase additional shares.</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this opinion, we have (i) examined and relied upon (a) the Registration Statement and Prospectus, (b) the Company’s Amended and Restated Certificate of Incorporation and Amended and Restated Bylaws, as currently in effect as of the date hereof, (c) the forms of the Company’s Amended and Restated Certificate of Incorporation and Amended and Restated Bylaws filed as Exhibits 3.2 and 3.4, to the Registration Statement, respectively, each of which is to be in effect prior to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constituted pricing committee thereof and that the Amended and Restated Certificate of Incorporation referred to in clause (i)(c) is filed with the Secretary of State of the State of Delaware before issuance of the Shares. We have undertaken no independent verification with respect to such matters.</w:t>
      </w:r>
    </w:p>
    <w:p>
      <w:pPr>
        <w:spacing w:after="0" w:line="195"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We have assumed the genuineness and authenticity of all documents submitted to us as originals, the conformity to originals of all documents submitted to us as copies and the due execution and delivery of all documents where due execution and delivery are a prerequisite to the effectiveness thereof. As to certain factual matters, we have relied upon a certificate of an officer of the Company and have not sought independently to verify such matters. 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16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00"/>
          </w:cols>
          <w:pgMar w:left="460" w:top="121" w:right="4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285750</wp:posOffset>
            </wp:positionH>
            <wp:positionV relativeFrom="page">
              <wp:posOffset>183515</wp:posOffset>
            </wp:positionV>
            <wp:extent cx="1165225" cy="3771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1165225" cy="377190"/>
                    </a:xfrm>
                    <a:prstGeom prst="rect">
                      <a:avLst/>
                    </a:prstGeom>
                    <a:noFill/>
                  </pic:spPr>
                </pic:pic>
              </a:graphicData>
            </a:graphic>
          </wp:anchor>
        </w:drawing>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14605</wp:posOffset>
            </wp:positionV>
            <wp:extent cx="25952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Matthew B. Hemington</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760"/>
          </w:cols>
          <w:pgMar w:left="460" w:top="1083" w:right="67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2, 2008</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ON</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20, 2009,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15, 2009, A</w:t>
      </w:r>
      <w:r>
        <w:rPr>
          <w:rFonts w:ascii="Arial" w:cs="Arial" w:eastAsia="Arial" w:hAnsi="Arial"/>
          <w:sz w:val="14"/>
          <w:szCs w:val="14"/>
          <w:b w:val="1"/>
          <w:bCs w:val="1"/>
          <w:color w:val="auto"/>
        </w:rPr>
        <w:t>UGUST</w:t>
      </w:r>
      <w:r>
        <w:rPr>
          <w:rFonts w:ascii="Arial" w:cs="Arial" w:eastAsia="Arial" w:hAnsi="Arial"/>
          <w:sz w:val="18"/>
          <w:szCs w:val="18"/>
          <w:b w:val="1"/>
          <w:bCs w:val="1"/>
          <w:color w:val="auto"/>
        </w:rPr>
        <w:t xml:space="preserve"> 3, 2010,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24, 2011,</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EPTEMBER</w:t>
      </w:r>
      <w:r>
        <w:rPr>
          <w:rFonts w:ascii="Arial" w:cs="Arial" w:eastAsia="Arial" w:hAnsi="Arial"/>
          <w:sz w:val="17"/>
          <w:szCs w:val="17"/>
          <w:b w:val="1"/>
          <w:bCs w:val="1"/>
          <w:color w:val="auto"/>
        </w:rPr>
        <w:t xml:space="preserve"> 19, 2011, J</w:t>
      </w:r>
      <w:r>
        <w:rPr>
          <w:rFonts w:ascii="Arial" w:cs="Arial" w:eastAsia="Arial" w:hAnsi="Arial"/>
          <w:sz w:val="13"/>
          <w:szCs w:val="13"/>
          <w:b w:val="1"/>
          <w:bCs w:val="1"/>
          <w:color w:val="auto"/>
        </w:rPr>
        <w:t>ANUARY</w:t>
      </w:r>
      <w:r>
        <w:rPr>
          <w:rFonts w:ascii="Arial" w:cs="Arial" w:eastAsia="Arial" w:hAnsi="Arial"/>
          <w:sz w:val="17"/>
          <w:szCs w:val="17"/>
          <w:b w:val="1"/>
          <w:bCs w:val="1"/>
          <w:color w:val="auto"/>
        </w:rPr>
        <w:t xml:space="preserve"> 16, 2014, A</w:t>
      </w:r>
      <w:r>
        <w:rPr>
          <w:rFonts w:ascii="Arial" w:cs="Arial" w:eastAsia="Arial" w:hAnsi="Arial"/>
          <w:sz w:val="13"/>
          <w:szCs w:val="13"/>
          <w:b w:val="1"/>
          <w:bCs w:val="1"/>
          <w:color w:val="auto"/>
        </w:rPr>
        <w:t>PRIL</w:t>
      </w:r>
      <w:r>
        <w:rPr>
          <w:rFonts w:ascii="Arial" w:cs="Arial" w:eastAsia="Arial" w:hAnsi="Arial"/>
          <w:sz w:val="17"/>
          <w:szCs w:val="17"/>
          <w:b w:val="1"/>
          <w:bCs w:val="1"/>
          <w:color w:val="auto"/>
        </w:rPr>
        <w:t xml:space="preserve"> 21, 2014, A</w:t>
      </w:r>
      <w:r>
        <w:rPr>
          <w:rFonts w:ascii="Arial" w:cs="Arial" w:eastAsia="Arial" w:hAnsi="Arial"/>
          <w:sz w:val="13"/>
          <w:szCs w:val="13"/>
          <w:b w:val="1"/>
          <w:bCs w:val="1"/>
          <w:color w:val="auto"/>
        </w:rPr>
        <w:t>PRIL</w:t>
      </w:r>
      <w:r>
        <w:rPr>
          <w:rFonts w:ascii="Arial" w:cs="Arial" w:eastAsia="Arial" w:hAnsi="Arial"/>
          <w:sz w:val="17"/>
          <w:szCs w:val="17"/>
          <w:b w:val="1"/>
          <w:bCs w:val="1"/>
          <w:color w:val="auto"/>
        </w:rPr>
        <w:t xml:space="preserve"> 15, 2015, M</w:t>
      </w:r>
      <w:r>
        <w:rPr>
          <w:rFonts w:ascii="Arial" w:cs="Arial" w:eastAsia="Arial" w:hAnsi="Arial"/>
          <w:sz w:val="13"/>
          <w:szCs w:val="13"/>
          <w:b w:val="1"/>
          <w:bCs w:val="1"/>
          <w:color w:val="auto"/>
        </w:rPr>
        <w:t>ARCH</w:t>
      </w:r>
      <w:r>
        <w:rPr>
          <w:rFonts w:ascii="Arial" w:cs="Arial" w:eastAsia="Arial" w:hAnsi="Arial"/>
          <w:sz w:val="17"/>
          <w:szCs w:val="17"/>
          <w:b w:val="1"/>
          <w:bCs w:val="1"/>
          <w:color w:val="auto"/>
        </w:rPr>
        <w:t xml:space="preserve"> 1, 2017, M</w:t>
      </w:r>
      <w:r>
        <w:rPr>
          <w:rFonts w:ascii="Arial" w:cs="Arial" w:eastAsia="Arial" w:hAnsi="Arial"/>
          <w:sz w:val="13"/>
          <w:szCs w:val="13"/>
          <w:b w:val="1"/>
          <w:bCs w:val="1"/>
          <w:color w:val="auto"/>
        </w:rPr>
        <w:t>ARCH</w:t>
      </w:r>
      <w:r>
        <w:rPr>
          <w:rFonts w:ascii="Arial" w:cs="Arial" w:eastAsia="Arial" w:hAnsi="Arial"/>
          <w:sz w:val="17"/>
          <w:szCs w:val="17"/>
          <w:b w:val="1"/>
          <w:bCs w:val="1"/>
          <w:color w:val="auto"/>
        </w:rPr>
        <w:t xml:space="preserve"> 17, 2017, </w:t>
      </w:r>
      <w:r>
        <w:rPr>
          <w:rFonts w:ascii="Arial" w:cs="Arial" w:eastAsia="Arial" w:hAnsi="Arial"/>
          <w:sz w:val="13"/>
          <w:szCs w:val="13"/>
          <w:b w:val="1"/>
          <w:bCs w:val="1"/>
          <w:color w:val="auto"/>
        </w:rPr>
        <w:t>AND</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CTOBER</w:t>
      </w:r>
      <w:r>
        <w:rPr>
          <w:rFonts w:ascii="Arial" w:cs="Arial" w:eastAsia="Arial" w:hAnsi="Arial"/>
          <w:sz w:val="17"/>
          <w:szCs w:val="17"/>
          <w:b w:val="1"/>
          <w:bCs w:val="1"/>
          <w:color w:val="auto"/>
        </w:rPr>
        <w:t xml:space="preserve"> 4, 2018.</w:t>
      </w:r>
    </w:p>
    <w:p>
      <w:pPr>
        <w:sectPr>
          <w:pgSz w:w="11900" w:h="16838" w:orient="portrait"/>
          <w:cols w:equalWidth="0" w:num="1">
            <w:col w:w="10560"/>
          </w:cols>
          <w:pgMar w:left="900" w:top="121" w:right="439" w:bottom="1440" w:gutter="0" w:footer="0" w:header="0"/>
        </w:sectPr>
      </w:pPr>
    </w:p>
    <w:bookmarkStart w:id="329" w:name="page330"/>
    <w:bookmarkEnd w:id="3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121" w:lineRule="exact"/>
        <w:rPr>
          <w:sz w:val="20"/>
          <w:szCs w:val="20"/>
          <w:color w:val="auto"/>
        </w:rPr>
      </w:pPr>
    </w:p>
    <w:p>
      <w:pPr>
        <w:ind w:right="40" w:firstLine="880"/>
        <w:spacing w:after="0" w:line="259" w:lineRule="auto"/>
        <w:rPr>
          <w:sz w:val="20"/>
          <w:szCs w:val="20"/>
          <w:color w:val="auto"/>
        </w:rPr>
      </w:pPr>
      <w:r>
        <w:rPr>
          <w:rFonts w:ascii="Arial" w:cs="Arial" w:eastAsia="Arial" w:hAnsi="Arial"/>
          <w:sz w:val="18"/>
          <w:szCs w:val="18"/>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and for the grant of Options to purchase Shares. Options granted under the Plan may include Nonstatutory Options as well as ISOs intended to qualify under Section 422 of the Code.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Capitalized terms are defined in Section 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17" w:lineRule="exact"/>
        <w:rPr>
          <w:sz w:val="20"/>
          <w:szCs w:val="20"/>
          <w:color w:val="auto"/>
        </w:rPr>
      </w:pPr>
    </w:p>
    <w:p>
      <w:pPr>
        <w:ind w:right="120" w:firstLine="871"/>
        <w:spacing w:after="0" w:line="258" w:lineRule="auto"/>
        <w:tabs>
          <w:tab w:leader="none" w:pos="113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Committees of the Board of Directors. </w:t>
      </w:r>
      <w:r>
        <w:rPr>
          <w:rFonts w:ascii="Arial" w:cs="Arial" w:eastAsia="Arial" w:hAnsi="Arial"/>
          <w:sz w:val="18"/>
          <w:szCs w:val="18"/>
          <w:color w:val="auto"/>
        </w:rPr>
        <w:t>The Plan may be administered by one or more Committees. Each Committee shall consist of</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74" w:lineRule="exact"/>
        <w:rPr>
          <w:rFonts w:ascii="Arial" w:cs="Arial" w:eastAsia="Arial" w:hAnsi="Arial"/>
          <w:sz w:val="18"/>
          <w:szCs w:val="18"/>
          <w:b w:val="1"/>
          <w:bCs w:val="1"/>
          <w:color w:val="auto"/>
        </w:rPr>
      </w:pPr>
    </w:p>
    <w:p>
      <w:pPr>
        <w:ind w:right="220" w:firstLine="871"/>
        <w:spacing w:after="0" w:line="314" w:lineRule="auto"/>
        <w:tabs>
          <w:tab w:leader="none" w:pos="1135"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Authority of the Board of Directors. </w:t>
      </w:r>
      <w:r>
        <w:rPr>
          <w:rFonts w:ascii="Arial" w:cs="Arial" w:eastAsia="Arial" w:hAnsi="Arial"/>
          <w:sz w:val="16"/>
          <w:szCs w:val="16"/>
          <w:color w:val="auto"/>
        </w:rPr>
        <w:t>Subject to the provisions of the Plan, the Board of Directors shall have full authority and</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to take any actions it deems necessary or advisable for the administration of the Plan. All decisions, interpretations and other actions of the Board of Directors shall be final and binding on all Purchasers, all Optionees and all persons deriving their rights from a Purchaser or Optionee.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117" w:lineRule="exact"/>
        <w:rPr>
          <w:sz w:val="20"/>
          <w:szCs w:val="20"/>
          <w:color w:val="auto"/>
        </w:rPr>
      </w:pPr>
    </w:p>
    <w:p>
      <w:pPr>
        <w:ind w:right="120" w:firstLine="871"/>
        <w:spacing w:after="0" w:line="281" w:lineRule="auto"/>
        <w:tabs>
          <w:tab w:leader="none" w:pos="113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Only Employees, Outside Directors and Consultants shall be eligible for the grant of Nonstatutory Options or the direct</w:t>
      </w:r>
      <w:r>
        <w:rPr>
          <w:rFonts w:ascii="Arial" w:cs="Arial" w:eastAsia="Arial" w:hAnsi="Arial"/>
          <w:sz w:val="18"/>
          <w:szCs w:val="18"/>
          <w:b w:val="1"/>
          <w:bCs w:val="1"/>
          <w:color w:val="auto"/>
        </w:rPr>
        <w:t xml:space="preserve"> </w:t>
      </w:r>
      <w:r>
        <w:rPr>
          <w:rFonts w:ascii="Arial" w:cs="Arial" w:eastAsia="Arial" w:hAnsi="Arial"/>
          <w:sz w:val="18"/>
          <w:szCs w:val="18"/>
          <w:color w:val="auto"/>
        </w:rPr>
        <w:t>award or sale of Shares. Only Employees shall be eligible for the grant of ISOs.</w:t>
      </w:r>
    </w:p>
    <w:p>
      <w:pPr>
        <w:spacing w:after="0" w:line="54" w:lineRule="exact"/>
        <w:rPr>
          <w:rFonts w:ascii="Arial" w:cs="Arial" w:eastAsia="Arial" w:hAnsi="Arial"/>
          <w:sz w:val="18"/>
          <w:szCs w:val="18"/>
          <w:b w:val="1"/>
          <w:bCs w:val="1"/>
          <w:color w:val="auto"/>
        </w:rPr>
      </w:pPr>
    </w:p>
    <w:p>
      <w:pPr>
        <w:ind w:firstLine="871"/>
        <w:spacing w:after="0" w:line="303" w:lineRule="auto"/>
        <w:tabs>
          <w:tab w:leader="none" w:pos="1145"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Ten-Percent Stockholders. </w:t>
      </w:r>
      <w:r>
        <w:rPr>
          <w:rFonts w:ascii="Arial" w:cs="Arial" w:eastAsia="Arial" w:hAnsi="Arial"/>
          <w:sz w:val="16"/>
          <w:szCs w:val="16"/>
          <w:color w:val="auto"/>
        </w:rPr>
        <w:t>A person who owns more than 10% of the total combined voting power of all classes of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Section 424(d) of the Code shall be applied.</w:t>
      </w:r>
    </w:p>
    <w:p>
      <w:pPr>
        <w:sectPr>
          <w:pgSz w:w="11900" w:h="16838" w:orient="portrait"/>
          <w:cols w:equalWidth="0" w:num="1">
            <w:col w:w="10940"/>
          </w:cols>
          <w:pgMar w:left="460" w:top="269" w:right="49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STOCK SUBJECT TO PLAN.</w:t>
      </w:r>
    </w:p>
    <w:p>
      <w:pPr>
        <w:spacing w:after="0" w:line="117" w:lineRule="exact"/>
        <w:rPr>
          <w:sz w:val="20"/>
          <w:szCs w:val="20"/>
          <w:color w:val="auto"/>
        </w:rPr>
      </w:pPr>
    </w:p>
    <w:p>
      <w:pPr>
        <w:ind w:firstLine="871"/>
        <w:spacing w:after="0" w:line="258" w:lineRule="auto"/>
        <w:tabs>
          <w:tab w:leader="none" w:pos="113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Limitation. </w:t>
      </w:r>
      <w:r>
        <w:rPr>
          <w:rFonts w:ascii="Arial" w:cs="Arial" w:eastAsia="Arial" w:hAnsi="Arial"/>
          <w:sz w:val="18"/>
          <w:szCs w:val="18"/>
          <w:color w:val="auto"/>
        </w:rPr>
        <w:t>Not more than 5,372,286</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be issued under the Plan (subject to Subsection (b) below and Section 8(a)).</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these Shares may be issued upon the exercise of ISOs.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74" w:lineRule="exact"/>
        <w:rPr>
          <w:rFonts w:ascii="Arial" w:cs="Arial" w:eastAsia="Arial" w:hAnsi="Arial"/>
          <w:sz w:val="18"/>
          <w:szCs w:val="18"/>
          <w:b w:val="1"/>
          <w:bCs w:val="1"/>
          <w:color w:val="auto"/>
        </w:rPr>
      </w:pPr>
    </w:p>
    <w:p>
      <w:pPr>
        <w:ind w:firstLine="871"/>
        <w:spacing w:after="0" w:line="260" w:lineRule="auto"/>
        <w:tabs>
          <w:tab w:leader="none" w:pos="114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Shares. </w:t>
      </w:r>
      <w:r>
        <w:rPr>
          <w:rFonts w:ascii="Arial" w:cs="Arial" w:eastAsia="Arial" w:hAnsi="Arial"/>
          <w:sz w:val="18"/>
          <w:szCs w:val="18"/>
          <w:color w:val="auto"/>
        </w:rPr>
        <w:t>In the event that Shares previously issued under the Plan are reacquired by the Company, such Shares shall be added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number of Shares then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TERMS AND CONDITIONS OF AWARDS OR SALES.</w:t>
      </w:r>
    </w:p>
    <w:p>
      <w:pPr>
        <w:spacing w:after="0" w:line="117" w:lineRule="exact"/>
        <w:rPr>
          <w:sz w:val="20"/>
          <w:szCs w:val="20"/>
          <w:color w:val="auto"/>
        </w:rPr>
      </w:pPr>
    </w:p>
    <w:p>
      <w:pPr>
        <w:ind w:right="60" w:firstLine="871"/>
        <w:spacing w:after="0" w:line="258" w:lineRule="auto"/>
        <w:tabs>
          <w:tab w:leader="none" w:pos="1135"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Purchase Agreement. </w:t>
      </w:r>
      <w:r>
        <w:rPr>
          <w:rFonts w:ascii="Arial" w:cs="Arial" w:eastAsia="Arial" w:hAnsi="Arial"/>
          <w:sz w:val="18"/>
          <w:szCs w:val="18"/>
          <w:color w:val="auto"/>
        </w:rPr>
        <w:t>Each award or sale of Shares under the Plan (other than upon exercise of an Option) shall be evidenced by</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74" w:lineRule="exact"/>
        <w:rPr>
          <w:rFonts w:ascii="Arial" w:cs="Arial" w:eastAsia="Arial" w:hAnsi="Arial"/>
          <w:sz w:val="18"/>
          <w:szCs w:val="18"/>
          <w:b w:val="1"/>
          <w:bCs w:val="1"/>
          <w:color w:val="auto"/>
        </w:rPr>
      </w:pPr>
    </w:p>
    <w:p>
      <w:pPr>
        <w:ind w:right="120" w:firstLine="871"/>
        <w:spacing w:after="0" w:line="288" w:lineRule="auto"/>
        <w:tabs>
          <w:tab w:leader="none" w:pos="1145"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Duration of Offers and Nontransferability of Rights. </w:t>
      </w:r>
      <w:r>
        <w:rPr>
          <w:rFonts w:ascii="Arial" w:cs="Arial" w:eastAsia="Arial" w:hAnsi="Arial"/>
          <w:sz w:val="17"/>
          <w:szCs w:val="17"/>
          <w:color w:val="auto"/>
        </w:rPr>
        <w:t>Any right to acquire Shares under the Plan (other than an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51" w:lineRule="exact"/>
        <w:rPr>
          <w:rFonts w:ascii="Arial" w:cs="Arial" w:eastAsia="Arial" w:hAnsi="Arial"/>
          <w:sz w:val="17"/>
          <w:szCs w:val="17"/>
          <w:b w:val="1"/>
          <w:bCs w:val="1"/>
          <w:color w:val="auto"/>
        </w:rPr>
      </w:pPr>
    </w:p>
    <w:p>
      <w:pPr>
        <w:ind w:right="140" w:firstLine="871"/>
        <w:spacing w:after="0" w:line="281" w:lineRule="auto"/>
        <w:tabs>
          <w:tab w:leader="none" w:pos="1125"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Board of Directors shall determine the Purchase Price of Shares to be offered under the Plan at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shall be payable in a form described in Section 7.</w:t>
      </w:r>
    </w:p>
    <w:p>
      <w:pPr>
        <w:spacing w:after="0" w:line="54" w:lineRule="exact"/>
        <w:rPr>
          <w:rFonts w:ascii="Arial" w:cs="Arial" w:eastAsia="Arial" w:hAnsi="Arial"/>
          <w:sz w:val="18"/>
          <w:szCs w:val="18"/>
          <w:b w:val="1"/>
          <w:bCs w:val="1"/>
          <w:color w:val="auto"/>
        </w:rPr>
      </w:pPr>
    </w:p>
    <w:p>
      <w:pPr>
        <w:ind w:right="300" w:firstLine="871"/>
        <w:spacing w:after="0" w:line="347" w:lineRule="auto"/>
        <w:tabs>
          <w:tab w:leader="none" w:pos="1142" w:val="left"/>
        </w:tabs>
        <w:numPr>
          <w:ilvl w:val="1"/>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As a condition to the purchase of Shares, the Purchaser shall make such arrangements as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for the satisfaction of any federal, state, local or foreign withholding tax obligations that may arise in connection with such purchase.</w:t>
      </w:r>
    </w:p>
    <w:p>
      <w:pPr>
        <w:spacing w:after="0" w:line="92" w:lineRule="exact"/>
        <w:rPr>
          <w:rFonts w:ascii="Arial" w:cs="Arial" w:eastAsia="Arial" w:hAnsi="Arial"/>
          <w:sz w:val="16"/>
          <w:szCs w:val="16"/>
          <w:b w:val="1"/>
          <w:bCs w:val="1"/>
          <w:color w:val="auto"/>
        </w:rPr>
      </w:pPr>
    </w:p>
    <w:p>
      <w:pPr>
        <w:ind w:left="420" w:hanging="432"/>
        <w:spacing w:after="0" w:line="271" w:lineRule="auto"/>
        <w:rPr>
          <w:rFonts w:ascii="Arial" w:cs="Arial" w:eastAsia="Arial" w:hAnsi="Arial"/>
          <w:sz w:val="16"/>
          <w:szCs w:val="16"/>
          <w:b w:val="1"/>
          <w:bCs w:val="1"/>
          <w:color w:val="auto"/>
        </w:rPr>
      </w:pPr>
      <w:r>
        <w:rPr>
          <w:rFonts w:ascii="Arial" w:cs="Arial" w:eastAsia="Arial" w:hAnsi="Arial"/>
          <w:sz w:val="15"/>
          <w:szCs w:val="15"/>
          <w:color w:val="auto"/>
        </w:rPr>
        <w:t>1</w:t>
      </w:r>
      <w:r>
        <w:rPr>
          <w:rFonts w:ascii="Arial" w:cs="Arial" w:eastAsia="Arial" w:hAnsi="Arial"/>
          <w:sz w:val="17"/>
          <w:szCs w:val="17"/>
          <w:color w:val="auto"/>
        </w:rPr>
        <w:t>Reflects the adoption of 1,470,577 shares under the Plan approved by the Board of Directors on April 2, 2008, the 5,500,000-share increase approved by the Board of Directors on June 20, 2009, the 7,000,000-share increase approved by the Board of Directors on December 15, 2009, the 19,809,567-share increase approved by the Board of Directors on August 3, 2010, the 2,500,000-share increase approved by the Board of Directors on June 24, 2011, the 11,538,771-share increase approved by the Board of Directors on September 19, 2011, the 5,000,000-share increase approved by the Board of Directors on January 16, 2014, the 13,765,858-share increase approved by the Board of Directors on April 21, 2014, the 12,228,260-share increase approved by the Board of Directors on April 15, 2015, the 5,000,000-share increase approved by the Board of Directors on March 1, 2017, the 2,800,000-share increase approved by the Board of Directors on March 17, 2017, and the 18:1 Reverse Stock Split approved by the Board of Directors on October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-1145540</wp:posOffset>
            </wp:positionV>
            <wp:extent cx="7023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ectPr>
          <w:pgSz w:w="11900" w:h="16838" w:orient="portrait"/>
          <w:cols w:equalWidth="0" w:num="1">
            <w:col w:w="10980"/>
          </w:cols>
          <w:pgMar w:left="460" w:top="269" w:right="459" w:bottom="1440" w:gutter="0" w:footer="0" w:header="0"/>
        </w:sectPr>
      </w:pPr>
    </w:p>
    <w:bookmarkStart w:id="331" w:name="page332"/>
    <w:bookmarkEnd w:id="331"/>
    <w:p>
      <w:pPr>
        <w:ind w:right="140" w:firstLine="871"/>
        <w:spacing w:after="0" w:line="314" w:lineRule="auto"/>
        <w:tabs>
          <w:tab w:leader="none" w:pos="1125"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Restrictions on Transfer of Shares. </w:t>
      </w:r>
      <w:r>
        <w:rPr>
          <w:rFonts w:ascii="Arial" w:cs="Arial" w:eastAsia="Arial" w:hAnsi="Arial"/>
          <w:sz w:val="16"/>
          <w:szCs w:val="16"/>
          <w:color w:val="auto"/>
        </w:rPr>
        <w:t>Any Shares awarded or sold under the Plan shall be subject to such special forfeiture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TERMS AND CONDITIONS OF OPTIONS.</w:t>
      </w:r>
    </w:p>
    <w:p>
      <w:pPr>
        <w:spacing w:after="0" w:line="117" w:lineRule="exact"/>
        <w:rPr>
          <w:sz w:val="20"/>
          <w:szCs w:val="20"/>
          <w:color w:val="auto"/>
        </w:rPr>
      </w:pPr>
    </w:p>
    <w:p>
      <w:pPr>
        <w:ind w:firstLine="871"/>
        <w:spacing w:after="0" w:line="280" w:lineRule="auto"/>
        <w:tabs>
          <w:tab w:leader="none" w:pos="1135"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Option Agreement. </w:t>
      </w:r>
      <w:r>
        <w:rPr>
          <w:rFonts w:ascii="Arial" w:cs="Arial" w:eastAsia="Arial" w:hAnsi="Arial"/>
          <w:sz w:val="17"/>
          <w:szCs w:val="17"/>
          <w:color w:val="auto"/>
        </w:rPr>
        <w:t>Each grant of an Option under the Plan shall be evidenced by a Stock Option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and the Company. The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59" w:lineRule="exact"/>
        <w:rPr>
          <w:rFonts w:ascii="Arial" w:cs="Arial" w:eastAsia="Arial" w:hAnsi="Arial"/>
          <w:sz w:val="17"/>
          <w:szCs w:val="17"/>
          <w:b w:val="1"/>
          <w:bCs w:val="1"/>
          <w:color w:val="auto"/>
        </w:rPr>
      </w:pPr>
    </w:p>
    <w:p>
      <w:pPr>
        <w:ind w:right="200" w:firstLine="871"/>
        <w:spacing w:after="0" w:line="266" w:lineRule="auto"/>
        <w:tabs>
          <w:tab w:leader="none" w:pos="114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Each Stock Option Agreement shall specify the number of Shares that are subject to the Option and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adjustment of such number in accordance with Section 8. The Stock Option Agreement shall also specify whether the Option is an ISO or a Nonstatutory Option.</w:t>
      </w:r>
    </w:p>
    <w:p>
      <w:pPr>
        <w:spacing w:after="0" w:line="67" w:lineRule="exact"/>
        <w:rPr>
          <w:rFonts w:ascii="Arial" w:cs="Arial" w:eastAsia="Arial" w:hAnsi="Arial"/>
          <w:sz w:val="18"/>
          <w:szCs w:val="18"/>
          <w:b w:val="1"/>
          <w:bCs w:val="1"/>
          <w:color w:val="auto"/>
        </w:rPr>
      </w:pPr>
    </w:p>
    <w:p>
      <w:pPr>
        <w:ind w:firstLine="871"/>
        <w:spacing w:after="0" w:line="260" w:lineRule="auto"/>
        <w:tabs>
          <w:tab w:leader="none" w:pos="112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Each Stock Option Agreement shall specify the Exercise Price. The Exercise Price of any Option shall not be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w:t>
      </w:r>
    </w:p>
    <w:p>
      <w:pPr>
        <w:spacing w:after="0" w:line="74" w:lineRule="exact"/>
        <w:rPr>
          <w:rFonts w:ascii="Arial" w:cs="Arial" w:eastAsia="Arial" w:hAnsi="Arial"/>
          <w:sz w:val="18"/>
          <w:szCs w:val="18"/>
          <w:b w:val="1"/>
          <w:bCs w:val="1"/>
          <w:color w:val="auto"/>
        </w:rPr>
      </w:pPr>
    </w:p>
    <w:p>
      <w:pPr>
        <w:jc w:val="both"/>
        <w:ind w:right="80" w:firstLine="871"/>
        <w:spacing w:after="0" w:line="303" w:lineRule="auto"/>
        <w:tabs>
          <w:tab w:leader="none" w:pos="1145"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Exercisability. </w:t>
      </w:r>
      <w:r>
        <w:rPr>
          <w:rFonts w:ascii="Arial" w:cs="Arial" w:eastAsia="Arial" w:hAnsi="Arial"/>
          <w:sz w:val="16"/>
          <w:szCs w:val="16"/>
          <w:color w:val="auto"/>
        </w:rPr>
        <w:t>Each Stock Option Agreement shall specify the date when all or any installment of the Option is to become exercisable.</w:t>
      </w:r>
      <w:r>
        <w:rPr>
          <w:rFonts w:ascii="Arial" w:cs="Arial" w:eastAsia="Arial" w:hAnsi="Arial"/>
          <w:sz w:val="16"/>
          <w:szCs w:val="16"/>
          <w:b w:val="1"/>
          <w:bCs w:val="1"/>
          <w:color w:val="auto"/>
        </w:rPr>
        <w:t xml:space="preserve"> </w:t>
      </w:r>
      <w:r>
        <w:rPr>
          <w:rFonts w:ascii="Arial" w:cs="Arial" w:eastAsia="Arial" w:hAnsi="Arial"/>
          <w:sz w:val="16"/>
          <w:szCs w:val="16"/>
          <w:color w:val="auto"/>
        </w:rPr>
        <w:t>No Option shall be exercisable unless the Optionee (i) has delivered an executed copy of the Stock Option Agreement to the Company or (ii) otherwise agrees to be bound by the terms of the Stock Option Agreement. The Board of Directors shall determine the exercisability provisions of the Stock Option Agreement at its sole discretion. All of an Optionee’s Options shall become exercisable in full if Section 8(b)(iv) applies.</w:t>
      </w:r>
    </w:p>
    <w:p>
      <w:pPr>
        <w:spacing w:after="0" w:line="42" w:lineRule="exact"/>
        <w:rPr>
          <w:rFonts w:ascii="Arial" w:cs="Arial" w:eastAsia="Arial" w:hAnsi="Arial"/>
          <w:sz w:val="16"/>
          <w:szCs w:val="16"/>
          <w:b w:val="1"/>
          <w:bCs w:val="1"/>
          <w:color w:val="auto"/>
        </w:rPr>
      </w:pPr>
    </w:p>
    <w:p>
      <w:pPr>
        <w:jc w:val="both"/>
        <w:ind w:right="380" w:firstLine="871"/>
        <w:spacing w:after="0" w:line="266" w:lineRule="auto"/>
        <w:tabs>
          <w:tab w:leader="none" w:pos="112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The Stock Option Agreement shall specify the term of the Option. The term shall not exceed 10 years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and in the case of an ISO a shorter term may be required by Section 3(b). Subject to the preceding sentence, the Board of Directors at its sole discretion shall determine when an Option is to expire.</w:t>
      </w:r>
    </w:p>
    <w:p>
      <w:pPr>
        <w:spacing w:after="0" w:line="67" w:lineRule="exact"/>
        <w:rPr>
          <w:rFonts w:ascii="Arial" w:cs="Arial" w:eastAsia="Arial" w:hAnsi="Arial"/>
          <w:sz w:val="18"/>
          <w:szCs w:val="18"/>
          <w:b w:val="1"/>
          <w:bCs w:val="1"/>
          <w:color w:val="auto"/>
        </w:rPr>
      </w:pPr>
    </w:p>
    <w:p>
      <w:pPr>
        <w:ind w:right="20" w:firstLine="871"/>
        <w:spacing w:after="0" w:line="281" w:lineRule="auto"/>
        <w:tabs>
          <w:tab w:leader="none" w:pos="110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an Optionee’s Service terminates for any reason other than the Optionee’s death,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Options shall expire on the earliest of the following occasions:</w:t>
      </w:r>
    </w:p>
    <w:p>
      <w:pPr>
        <w:spacing w:after="0" w:line="58" w:lineRule="exact"/>
        <w:rPr>
          <w:rFonts w:ascii="Arial" w:cs="Arial" w:eastAsia="Arial" w:hAnsi="Arial"/>
          <w:sz w:val="18"/>
          <w:szCs w:val="18"/>
          <w:b w:val="1"/>
          <w:bCs w:val="1"/>
          <w:color w:val="auto"/>
        </w:rPr>
      </w:pPr>
    </w:p>
    <w:p>
      <w:pPr>
        <w:ind w:left="1500" w:hanging="224"/>
        <w:spacing w:after="0"/>
        <w:tabs>
          <w:tab w:leader="none" w:pos="15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w:t>
      </w:r>
    </w:p>
    <w:p>
      <w:pPr>
        <w:sectPr>
          <w:pgSz w:w="11900" w:h="16838" w:orient="portrait"/>
          <w:cols w:equalWidth="0" w:num="1">
            <w:col w:w="10960"/>
          </w:cols>
          <w:pgMar w:left="460" w:top="270" w:right="479" w:bottom="1440" w:gutter="0" w:footer="0" w:header="0"/>
        </w:sectPr>
      </w:pPr>
    </w:p>
    <w:bookmarkStart w:id="332" w:name="page333"/>
    <w:bookmarkEnd w:id="332"/>
    <w:p>
      <w:pPr>
        <w:ind w:left="440" w:right="120" w:firstLine="836"/>
        <w:spacing w:after="0" w:line="277" w:lineRule="auto"/>
        <w:tabs>
          <w:tab w:leader="none" w:pos="1550"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three months after the termination of the Optionee’s Service for any reason other than Disability, or such later date as the Board of Directors may determine; or</w:t>
      </w:r>
    </w:p>
    <w:p>
      <w:pPr>
        <w:spacing w:after="0" w:line="61" w:lineRule="exact"/>
        <w:rPr>
          <w:rFonts w:ascii="Arial" w:cs="Arial" w:eastAsia="Arial" w:hAnsi="Arial"/>
          <w:sz w:val="18"/>
          <w:szCs w:val="18"/>
          <w:color w:val="auto"/>
        </w:rPr>
      </w:pPr>
    </w:p>
    <w:p>
      <w:pPr>
        <w:ind w:left="440" w:right="440" w:firstLine="836"/>
        <w:spacing w:after="0" w:line="277" w:lineRule="auto"/>
        <w:tabs>
          <w:tab w:leader="none" w:pos="16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 or such later date as the Board of Directors may determine.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52" w:lineRule="exact"/>
        <w:rPr>
          <w:sz w:val="20"/>
          <w:szCs w:val="20"/>
          <w:color w:val="auto"/>
        </w:rPr>
      </w:pPr>
    </w:p>
    <w:p>
      <w:pPr>
        <w:ind w:right="200" w:firstLine="871"/>
        <w:spacing w:after="0" w:line="266" w:lineRule="auto"/>
        <w:tabs>
          <w:tab w:leader="none" w:pos="1135"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Leaves of Absence. </w:t>
      </w:r>
      <w:r>
        <w:rPr>
          <w:rFonts w:ascii="Arial" w:cs="Arial" w:eastAsia="Arial" w:hAnsi="Arial"/>
          <w:sz w:val="18"/>
          <w:szCs w:val="18"/>
          <w:color w:val="auto"/>
        </w:rPr>
        <w:t>For purposes of Subsection (f) above, Service shall be deemed to continue while the Optionee is on a 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leave of absence, if such leave was approved by the Company in writing and if continued crediting of Service for this purpose is expressly required by the terms of such leave or by applicable law (as determined by the Company).</w:t>
      </w:r>
    </w:p>
    <w:p>
      <w:pPr>
        <w:spacing w:after="0" w:line="67" w:lineRule="exact"/>
        <w:rPr>
          <w:rFonts w:ascii="Arial" w:cs="Arial" w:eastAsia="Arial" w:hAnsi="Arial"/>
          <w:sz w:val="18"/>
          <w:szCs w:val="18"/>
          <w:b w:val="1"/>
          <w:bCs w:val="1"/>
          <w:color w:val="auto"/>
        </w:rPr>
      </w:pPr>
    </w:p>
    <w:p>
      <w:pPr>
        <w:ind w:right="220" w:firstLine="871"/>
        <w:spacing w:after="0" w:line="281" w:lineRule="auto"/>
        <w:tabs>
          <w:tab w:leader="none" w:pos="1145"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Optionee. </w:t>
      </w:r>
      <w:r>
        <w:rPr>
          <w:rFonts w:ascii="Arial" w:cs="Arial" w:eastAsia="Arial" w:hAnsi="Arial"/>
          <w:sz w:val="18"/>
          <w:szCs w:val="18"/>
          <w:color w:val="auto"/>
        </w:rPr>
        <w:t>If an Optionee dies while the Optionee is in Service, then the Optionee’s Options shall expire on the earlier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dates:</w:t>
      </w:r>
    </w:p>
    <w:p>
      <w:pPr>
        <w:spacing w:after="0" w:line="58" w:lineRule="exact"/>
        <w:rPr>
          <w:rFonts w:ascii="Arial" w:cs="Arial" w:eastAsia="Arial" w:hAnsi="Arial"/>
          <w:sz w:val="18"/>
          <w:szCs w:val="18"/>
          <w:b w:val="1"/>
          <w:bCs w:val="1"/>
          <w:color w:val="auto"/>
        </w:rPr>
      </w:pPr>
    </w:p>
    <w:p>
      <w:pPr>
        <w:ind w:left="1500" w:hanging="224"/>
        <w:spacing w:after="0"/>
        <w:tabs>
          <w:tab w:leader="none" w:pos="15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 or</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date 12 months after the Optionee’s death, or such later date as the Board of Directors may determine.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79" w:lineRule="exact"/>
        <w:rPr>
          <w:sz w:val="20"/>
          <w:szCs w:val="20"/>
          <w:color w:val="auto"/>
        </w:rPr>
      </w:pPr>
    </w:p>
    <w:p>
      <w:pPr>
        <w:ind w:right="60" w:firstLine="871"/>
        <w:spacing w:after="0" w:line="314" w:lineRule="auto"/>
        <w:tabs>
          <w:tab w:leader="none" w:pos="1095"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Shares. </w:t>
      </w:r>
      <w:r>
        <w:rPr>
          <w:rFonts w:ascii="Arial" w:cs="Arial" w:eastAsia="Arial" w:hAnsi="Arial"/>
          <w:sz w:val="16"/>
          <w:szCs w:val="16"/>
          <w:color w:val="auto"/>
        </w:rPr>
        <w:t>Any Shares issued upon exercise of an Option shall be subject to such special forfeiture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repurchase, rights of first refusal and other transfer restrictions as the Board of Directors may determine. Such restrictions shall be set forth in the applicable Stock Option Agreement and shall apply in addition to any restrictions that may apply to holders of Shares generally.</w:t>
      </w:r>
    </w:p>
    <w:p>
      <w:pPr>
        <w:sectPr>
          <w:pgSz w:w="11900" w:h="16838" w:orient="portrait"/>
          <w:cols w:equalWidth="0" w:num="1">
            <w:col w:w="11000"/>
          </w:cols>
          <w:pgMar w:left="460" w:top="274" w:right="439" w:bottom="1440" w:gutter="0" w:footer="0" w:header="0"/>
        </w:sectPr>
      </w:pPr>
    </w:p>
    <w:bookmarkStart w:id="333" w:name="page334"/>
    <w:bookmarkEnd w:id="333"/>
    <w:p>
      <w:pPr>
        <w:jc w:val="both"/>
        <w:ind w:right="140" w:firstLine="871"/>
        <w:spacing w:after="0" w:line="260" w:lineRule="auto"/>
        <w:tabs>
          <w:tab w:leader="none" w:pos="110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Transferability of Options. </w:t>
      </w:r>
      <w:r>
        <w:rPr>
          <w:rFonts w:ascii="Arial" w:cs="Arial" w:eastAsia="Arial" w:hAnsi="Arial"/>
          <w:sz w:val="18"/>
          <w:szCs w:val="18"/>
          <w:color w:val="auto"/>
        </w:rPr>
        <w:t>An Option shall be transferable by the Optionee only by (i) a beneficiary designation, (ii) a will or (iii)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74" w:lineRule="exact"/>
        <w:rPr>
          <w:rFonts w:ascii="Arial" w:cs="Arial" w:eastAsia="Arial" w:hAnsi="Arial"/>
          <w:sz w:val="18"/>
          <w:szCs w:val="18"/>
          <w:b w:val="1"/>
          <w:bCs w:val="1"/>
          <w:color w:val="auto"/>
        </w:rPr>
      </w:pPr>
    </w:p>
    <w:p>
      <w:pPr>
        <w:ind w:right="80" w:firstLine="871"/>
        <w:spacing w:after="0" w:line="280" w:lineRule="auto"/>
        <w:tabs>
          <w:tab w:leader="none" w:pos="1145"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As a condition to the exercise of an Option, the Optionee shall make such arrangements as the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may 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59" w:lineRule="exact"/>
        <w:rPr>
          <w:rFonts w:ascii="Arial" w:cs="Arial" w:eastAsia="Arial" w:hAnsi="Arial"/>
          <w:sz w:val="17"/>
          <w:szCs w:val="17"/>
          <w:b w:val="1"/>
          <w:bCs w:val="1"/>
          <w:color w:val="auto"/>
        </w:rPr>
      </w:pPr>
    </w:p>
    <w:p>
      <w:pPr>
        <w:ind w:firstLine="871"/>
        <w:spacing w:after="0" w:line="266" w:lineRule="auto"/>
        <w:tabs>
          <w:tab w:leader="none" w:pos="109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as a Stockholder. </w:t>
      </w:r>
      <w:r>
        <w:rPr>
          <w:rFonts w:ascii="Arial" w:cs="Arial" w:eastAsia="Arial" w:hAnsi="Arial"/>
          <w:sz w:val="18"/>
          <w:szCs w:val="18"/>
          <w:color w:val="auto"/>
        </w:rPr>
        <w:t>An Optionee, or a transferee of an Optionee, shall have no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covered by the Optionee’s Option until such person becomes entitled to receive such Shares by filing a notice of exercise and paying the Exercise Price pursuant to the terms of such Option.</w:t>
      </w:r>
    </w:p>
    <w:p>
      <w:pPr>
        <w:spacing w:after="0" w:line="67" w:lineRule="exact"/>
        <w:rPr>
          <w:rFonts w:ascii="Arial" w:cs="Arial" w:eastAsia="Arial" w:hAnsi="Arial"/>
          <w:sz w:val="18"/>
          <w:szCs w:val="18"/>
          <w:b w:val="1"/>
          <w:bCs w:val="1"/>
          <w:color w:val="auto"/>
        </w:rPr>
      </w:pPr>
    </w:p>
    <w:p>
      <w:pPr>
        <w:ind w:right="120" w:firstLine="871"/>
        <w:spacing w:after="0" w:line="258" w:lineRule="auto"/>
        <w:tabs>
          <w:tab w:leader="none" w:pos="119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Extension and Assumption of Options. </w:t>
      </w:r>
      <w:r>
        <w:rPr>
          <w:rFonts w:ascii="Arial" w:cs="Arial" w:eastAsia="Arial" w:hAnsi="Arial"/>
          <w:sz w:val="18"/>
          <w:szCs w:val="18"/>
          <w:color w:val="auto"/>
        </w:rPr>
        <w:t>Within the limitations of the Plan, the Board of Directors may modify, extend</w:t>
      </w:r>
      <w:r>
        <w:rPr>
          <w:rFonts w:ascii="Arial" w:cs="Arial" w:eastAsia="Arial" w:hAnsi="Arial"/>
          <w:sz w:val="18"/>
          <w:szCs w:val="18"/>
          <w:b w:val="1"/>
          <w:bCs w:val="1"/>
          <w:color w:val="auto"/>
        </w:rPr>
        <w:t xml:space="preserve"> </w:t>
      </w:r>
      <w:r>
        <w:rPr>
          <w:rFonts w:ascii="Arial" w:cs="Arial" w:eastAsia="Arial" w:hAnsi="Arial"/>
          <w:sz w:val="18"/>
          <w:szCs w:val="18"/>
          <w:color w:val="auto"/>
        </w:rPr>
        <w:t>or 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FOR SHARES.</w:t>
      </w:r>
    </w:p>
    <w:p>
      <w:pPr>
        <w:spacing w:after="0" w:line="117" w:lineRule="exact"/>
        <w:rPr>
          <w:sz w:val="20"/>
          <w:szCs w:val="20"/>
          <w:color w:val="auto"/>
        </w:rPr>
      </w:pPr>
    </w:p>
    <w:p>
      <w:pPr>
        <w:ind w:right="160" w:firstLine="871"/>
        <w:spacing w:after="0" w:line="281" w:lineRule="auto"/>
        <w:tabs>
          <w:tab w:leader="none" w:pos="1135"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The entire Purchase Price or Exercise Price of Shares issued under the Plan shall be payable in cash or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when such Shares are purchased, except as otherwise provided in this Section 7.</w:t>
      </w:r>
    </w:p>
    <w:p>
      <w:pPr>
        <w:spacing w:after="0" w:line="54" w:lineRule="exact"/>
        <w:rPr>
          <w:rFonts w:ascii="Arial" w:cs="Arial" w:eastAsia="Arial" w:hAnsi="Arial"/>
          <w:sz w:val="18"/>
          <w:szCs w:val="18"/>
          <w:b w:val="1"/>
          <w:bCs w:val="1"/>
          <w:color w:val="auto"/>
        </w:rPr>
      </w:pPr>
    </w:p>
    <w:p>
      <w:pPr>
        <w:ind w:right="400" w:firstLine="871"/>
        <w:spacing w:after="0" w:line="281" w:lineRule="auto"/>
        <w:tabs>
          <w:tab w:leader="none" w:pos="1145"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Rendered. </w:t>
      </w:r>
      <w:r>
        <w:rPr>
          <w:rFonts w:ascii="Arial" w:cs="Arial" w:eastAsia="Arial" w:hAnsi="Arial"/>
          <w:sz w:val="18"/>
          <w:szCs w:val="18"/>
          <w:color w:val="auto"/>
        </w:rPr>
        <w:t>At the discretion of the Board of Directors, Shares may be awarded under the Plan in consideration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to the Company, a Parent or a Subsidiary prior to the award.</w:t>
      </w:r>
    </w:p>
    <w:p>
      <w:pPr>
        <w:spacing w:after="0" w:line="54" w:lineRule="exact"/>
        <w:rPr>
          <w:rFonts w:ascii="Arial" w:cs="Arial" w:eastAsia="Arial" w:hAnsi="Arial"/>
          <w:sz w:val="18"/>
          <w:szCs w:val="18"/>
          <w:b w:val="1"/>
          <w:bCs w:val="1"/>
          <w:color w:val="auto"/>
        </w:rPr>
      </w:pPr>
    </w:p>
    <w:p>
      <w:pPr>
        <w:ind w:right="60" w:firstLine="871"/>
        <w:spacing w:after="0" w:line="276" w:lineRule="auto"/>
        <w:tabs>
          <w:tab w:leader="none" w:pos="1125"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Promissory Note. </w:t>
      </w:r>
      <w:r>
        <w:rPr>
          <w:rFonts w:ascii="Arial" w:cs="Arial" w:eastAsia="Arial" w:hAnsi="Arial"/>
          <w:sz w:val="17"/>
          <w:szCs w:val="17"/>
          <w:color w:val="auto"/>
        </w:rPr>
        <w:t>At the discretion of the Board of Directors, all or a portion of the Purchase Price or Exercise Price (as the case may</w:t>
      </w:r>
      <w:r>
        <w:rPr>
          <w:rFonts w:ascii="Arial" w:cs="Arial" w:eastAsia="Arial" w:hAnsi="Arial"/>
          <w:sz w:val="17"/>
          <w:szCs w:val="17"/>
          <w:b w:val="1"/>
          <w:bCs w:val="1"/>
          <w:color w:val="auto"/>
        </w:rPr>
        <w:t xml:space="preserve"> </w:t>
      </w:r>
      <w:r>
        <w:rPr>
          <w:rFonts w:ascii="Arial" w:cs="Arial" w:eastAsia="Arial" w:hAnsi="Arial"/>
          <w:sz w:val="17"/>
          <w:szCs w:val="17"/>
          <w:color w:val="auto"/>
        </w:rPr>
        <w:t>be) 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ectPr>
          <w:pgSz w:w="11900" w:h="16838" w:orient="portrait"/>
          <w:cols w:equalWidth="0" w:num="1">
            <w:col w:w="10980"/>
          </w:cols>
          <w:pgMar w:left="460" w:top="270" w:right="459" w:bottom="1440" w:gutter="0" w:footer="0" w:header="0"/>
        </w:sectPr>
      </w:pPr>
    </w:p>
    <w:bookmarkStart w:id="334" w:name="page335"/>
    <w:bookmarkEnd w:id="334"/>
    <w:p>
      <w:pPr>
        <w:ind w:right="20" w:firstLine="871"/>
        <w:spacing w:after="0" w:line="266" w:lineRule="auto"/>
        <w:tabs>
          <w:tab w:leader="none" w:pos="1145"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Surrender of Stock. </w:t>
      </w:r>
      <w:r>
        <w:rPr>
          <w:rFonts w:ascii="Arial" w:cs="Arial" w:eastAsia="Arial" w:hAnsi="Arial"/>
          <w:sz w:val="18"/>
          <w:szCs w:val="18"/>
          <w:color w:val="auto"/>
        </w:rPr>
        <w:t>At the discretion of the Board of Directors, all or any part of the Exercise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the Option is exercised.</w:t>
      </w:r>
    </w:p>
    <w:p>
      <w:pPr>
        <w:spacing w:after="0" w:line="67" w:lineRule="exact"/>
        <w:rPr>
          <w:rFonts w:ascii="Arial" w:cs="Arial" w:eastAsia="Arial" w:hAnsi="Arial"/>
          <w:sz w:val="18"/>
          <w:szCs w:val="18"/>
          <w:b w:val="1"/>
          <w:bCs w:val="1"/>
          <w:color w:val="auto"/>
        </w:rPr>
      </w:pPr>
    </w:p>
    <w:p>
      <w:pPr>
        <w:ind w:right="100" w:firstLine="871"/>
        <w:spacing w:after="0" w:line="266" w:lineRule="auto"/>
        <w:tabs>
          <w:tab w:leader="none" w:pos="1125"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Exercise/Sale. </w:t>
      </w:r>
      <w:r>
        <w:rPr>
          <w:rFonts w:ascii="Arial" w:cs="Arial" w:eastAsia="Arial" w:hAnsi="Arial"/>
          <w:sz w:val="18"/>
          <w:szCs w:val="18"/>
          <w:color w:val="auto"/>
        </w:rPr>
        <w:t>To the extent that a Stock Option Agreement so provides, and if Stock is publicly traded, all or part of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withholding taxes may be paid by the delivery (on a form prescribed by the Company) of an irrevocable direction to a securities broker approved by the Company to sell Shares and to deliver all or part of the sales proceeds to the Company.</w:t>
      </w:r>
    </w:p>
    <w:p>
      <w:pPr>
        <w:spacing w:after="0" w:line="67" w:lineRule="exact"/>
        <w:rPr>
          <w:rFonts w:ascii="Arial" w:cs="Arial" w:eastAsia="Arial" w:hAnsi="Arial"/>
          <w:sz w:val="18"/>
          <w:szCs w:val="18"/>
          <w:b w:val="1"/>
          <w:bCs w:val="1"/>
          <w:color w:val="auto"/>
        </w:rPr>
      </w:pPr>
    </w:p>
    <w:p>
      <w:pPr>
        <w:ind w:firstLine="871"/>
        <w:spacing w:after="0" w:line="347" w:lineRule="auto"/>
        <w:tabs>
          <w:tab w:leader="none" w:pos="1105"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Forms of Payment. </w:t>
      </w:r>
      <w:r>
        <w:rPr>
          <w:rFonts w:ascii="Arial" w:cs="Arial" w:eastAsia="Arial" w:hAnsi="Arial"/>
          <w:sz w:val="16"/>
          <w:szCs w:val="16"/>
          <w:color w:val="auto"/>
        </w:rPr>
        <w:t>To the extent that a Stock Purchase Agreement or Stock Option Agreement so provides, the Purchase Price 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of Shares issued under the Plan may be paid in any other form permitted by the Delaware General Corporation Law, as amended.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ADJUSTMENT OF SHARES.</w:t>
      </w:r>
    </w:p>
    <w:p>
      <w:pPr>
        <w:spacing w:after="0" w:line="117" w:lineRule="exact"/>
        <w:rPr>
          <w:sz w:val="20"/>
          <w:szCs w:val="20"/>
          <w:color w:val="auto"/>
        </w:rPr>
      </w:pPr>
    </w:p>
    <w:p>
      <w:pPr>
        <w:ind w:firstLine="871"/>
        <w:spacing w:after="0" w:line="289" w:lineRule="auto"/>
        <w:tabs>
          <w:tab w:leader="none" w:pos="1135" w:val="left"/>
        </w:tabs>
        <w:numPr>
          <w:ilvl w:val="0"/>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In the event of a subdivision of the outstanding Stock, a declaration of a dividend payable in Shares, a combination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of Shares available for future grants under Section 4, (ii) the number of Shares covered by each outstanding Option and (iii) the Exercise Price under each outstanding Option.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(i) the number of Shares available for future grants under Section 4, (ii) the number of Shares covered by each outstanding Option or (iii) the Exercise Price under each outstanding Option; provided, however, that the Board of Directors shall in any event make such adjustments as may be required by Section 25102(o) of the California Corporations Code.</w:t>
      </w:r>
    </w:p>
    <w:p>
      <w:pPr>
        <w:spacing w:after="0" w:line="56" w:lineRule="exact"/>
        <w:rPr>
          <w:rFonts w:ascii="Arial" w:cs="Arial" w:eastAsia="Arial" w:hAnsi="Arial"/>
          <w:sz w:val="16"/>
          <w:szCs w:val="16"/>
          <w:b w:val="1"/>
          <w:bCs w:val="1"/>
          <w:color w:val="auto"/>
        </w:rPr>
      </w:pPr>
    </w:p>
    <w:p>
      <w:pPr>
        <w:ind w:right="100" w:firstLine="871"/>
        <w:spacing w:after="0" w:line="266" w:lineRule="auto"/>
        <w:tabs>
          <w:tab w:leader="none" w:pos="1145"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Mergers and Consolidations. </w:t>
      </w:r>
      <w:r>
        <w:rPr>
          <w:rFonts w:ascii="Arial" w:cs="Arial" w:eastAsia="Arial" w:hAnsi="Arial"/>
          <w:sz w:val="18"/>
          <w:szCs w:val="18"/>
          <w:color w:val="auto"/>
        </w:rPr>
        <w:t>In the event that the Company is a party to a merger or consolidation, all Shares acquired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Options shall be subject to the agreement of merger or consolidation. Such agreement need not treat all Options in an identical manner, and it shall provide for one or more of the following with respect to each Option:</w:t>
      </w:r>
    </w:p>
    <w:p>
      <w:pPr>
        <w:spacing w:after="0" w:line="71" w:lineRule="exact"/>
        <w:rPr>
          <w:rFonts w:ascii="Arial" w:cs="Arial" w:eastAsia="Arial" w:hAnsi="Arial"/>
          <w:sz w:val="18"/>
          <w:szCs w:val="18"/>
          <w:b w:val="1"/>
          <w:bCs w:val="1"/>
          <w:color w:val="auto"/>
        </w:rPr>
      </w:pPr>
    </w:p>
    <w:p>
      <w:pPr>
        <w:ind w:left="1500" w:hanging="224"/>
        <w:spacing w:after="0"/>
        <w:tabs>
          <w:tab w:leader="none" w:pos="15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continuation of the Option by the Company (if the Company is the surviving corporation).</w:t>
      </w:r>
    </w:p>
    <w:p>
      <w:pPr>
        <w:spacing w:after="0" w:line="116" w:lineRule="exact"/>
        <w:rPr>
          <w:rFonts w:ascii="Arial" w:cs="Arial" w:eastAsia="Arial" w:hAnsi="Arial"/>
          <w:sz w:val="18"/>
          <w:szCs w:val="18"/>
          <w:color w:val="auto"/>
        </w:rPr>
      </w:pPr>
    </w:p>
    <w:p>
      <w:pPr>
        <w:ind w:left="440" w:right="60" w:firstLine="836"/>
        <w:spacing w:after="0" w:line="277" w:lineRule="auto"/>
        <w:tabs>
          <w:tab w:leader="none" w:pos="155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assumption of the Option by the surviving corporation or its parent in a manner that complies with Section 424(a) of the Code (whether or not the Option is an ISO).</w:t>
      </w:r>
    </w:p>
    <w:p>
      <w:pPr>
        <w:sectPr>
          <w:pgSz w:w="11900" w:h="16838" w:orient="portrait"/>
          <w:cols w:equalWidth="0" w:num="1">
            <w:col w:w="10980"/>
          </w:cols>
          <w:pgMar w:left="460" w:top="270" w:right="459" w:bottom="1440" w:gutter="0" w:footer="0" w:header="0"/>
        </w:sectPr>
      </w:pPr>
    </w:p>
    <w:bookmarkStart w:id="335" w:name="page336"/>
    <w:bookmarkEnd w:id="335"/>
    <w:p>
      <w:pPr>
        <w:ind w:left="-431" w:right="740" w:firstLine="836"/>
        <w:spacing w:after="0" w:line="277" w:lineRule="auto"/>
        <w:tabs>
          <w:tab w:leader="none" w:pos="729" w:val="left"/>
        </w:tabs>
        <w:numPr>
          <w:ilvl w:val="1"/>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substitution by the surviving corporation or its parent of a new option for the Option in a manner that complies with Section 424(a) of the Code (whether or not the Option is an ISO).</w:t>
      </w:r>
    </w:p>
    <w:p>
      <w:pPr>
        <w:spacing w:after="0" w:line="61" w:lineRule="exact"/>
        <w:rPr>
          <w:rFonts w:ascii="Arial" w:cs="Arial" w:eastAsia="Arial" w:hAnsi="Arial"/>
          <w:sz w:val="18"/>
          <w:szCs w:val="18"/>
          <w:color w:val="auto"/>
        </w:rPr>
      </w:pPr>
    </w:p>
    <w:p>
      <w:pPr>
        <w:ind w:left="-431" w:right="80" w:firstLine="836"/>
        <w:spacing w:after="0" w:line="255" w:lineRule="auto"/>
        <w:tabs>
          <w:tab w:leader="none" w:pos="71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Full exercisability of the Option and full vesting of the Shares subject to the Option, followed by the cancellation of the Option. The full exercisability of the Option and full vesting of the Shares subject to the Option may be contingent on the closing of such merger or consolidation. The Optionee shall be able to exercise the Option during a period of not less than five full business days preceding the closing date of such merger or consolidation, unless (A) a shorter period is required to permit a timely closing of such merger or consolidation and (B) such shorter period still offers the Optionee a reasonable opportunity to exercise the Option. Any exercise of the Option during such period may be contingent on the closing of such merger or consolidation.</w:t>
      </w:r>
    </w:p>
    <w:p>
      <w:pPr>
        <w:spacing w:after="0" w:line="83" w:lineRule="exact"/>
        <w:rPr>
          <w:rFonts w:ascii="Arial" w:cs="Arial" w:eastAsia="Arial" w:hAnsi="Arial"/>
          <w:sz w:val="18"/>
          <w:szCs w:val="18"/>
          <w:color w:val="auto"/>
        </w:rPr>
      </w:pPr>
    </w:p>
    <w:p>
      <w:pPr>
        <w:ind w:left="-431" w:firstLine="836"/>
        <w:spacing w:after="0" w:line="269" w:lineRule="auto"/>
        <w:tabs>
          <w:tab w:leader="none" w:pos="66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cancellation of the Option and a payment to the Optionee equal to the excess of (A) the Fair Market Value of the Shares subject to the Option (whether or not the Option is then exercisable or such Shares are then vested) as of the closing date of such merger or consolidation over (B) the Exercise Price of the Option. Such payment shall be made in the form of cash, cash equivalents, or securities of the surviving corporation or its parent with a Fair Market Value equal to the required amount. Subject to Section 409A of the Code, such payment may be made in installments and may be deferred until the date or dates when the Option would have become exercisable or such Shares would have vested. Such payment may be subject to vesting based on the Optionee’s continuing Service, provided that the vesting schedule shall not be less favorable to the Optionee than the schedule under which the Option would have become exercisable or such Shares would have vested. If the Exercise Price of the Shares subject to the Option exceeds the Fair Market Value of such Shares, then the Option may be cancelled without making a payment to the Optionee. For purposes of this Paragraph (v), the Fair Market Value of any security shall be determined without regard to any vesting conditions that may apply to such security.</w:t>
      </w:r>
    </w:p>
    <w:p>
      <w:pPr>
        <w:spacing w:after="0" w:line="71" w:lineRule="exact"/>
        <w:rPr>
          <w:rFonts w:ascii="Arial" w:cs="Arial" w:eastAsia="Arial" w:hAnsi="Arial"/>
          <w:sz w:val="17"/>
          <w:szCs w:val="17"/>
          <w:color w:val="auto"/>
        </w:rPr>
      </w:pPr>
    </w:p>
    <w:p>
      <w:pPr>
        <w:ind w:left="-871" w:right="320" w:firstLine="871"/>
        <w:spacing w:after="0" w:line="255" w:lineRule="auto"/>
        <w:tabs>
          <w:tab w:leader="none" w:pos="25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Reservation of Rights. </w:t>
      </w:r>
      <w:r>
        <w:rPr>
          <w:rFonts w:ascii="Arial" w:cs="Arial" w:eastAsia="Arial" w:hAnsi="Arial"/>
          <w:sz w:val="18"/>
          <w:szCs w:val="18"/>
          <w:color w:val="auto"/>
        </w:rPr>
        <w:t>Except as provided in this Section 8, an Optionee or Purchaser shall have no rights by reason of (i) any</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ectPr>
          <w:pgSz w:w="11900" w:h="16838" w:orient="portrait"/>
          <w:cols w:equalWidth="0" w:num="1">
            <w:col w:w="10109"/>
          </w:cols>
          <w:pgMar w:left="1331" w:top="273" w:right="45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 SECURITIES LAW REQUIREMENTS.</w:t>
      </w:r>
    </w:p>
    <w:p>
      <w:pPr>
        <w:spacing w:after="0" w:line="121" w:lineRule="exact"/>
        <w:rPr>
          <w:sz w:val="20"/>
          <w:szCs w:val="20"/>
          <w:color w:val="auto"/>
        </w:rPr>
      </w:pPr>
    </w:p>
    <w:p>
      <w:pPr>
        <w:ind w:right="160" w:firstLine="880"/>
        <w:spacing w:after="0" w:line="259" w:lineRule="auto"/>
        <w:rPr>
          <w:sz w:val="20"/>
          <w:szCs w:val="20"/>
          <w:color w:val="auto"/>
        </w:rPr>
      </w:pPr>
      <w:r>
        <w:rPr>
          <w:rFonts w:ascii="Arial" w:cs="Arial" w:eastAsia="Arial" w:hAnsi="Arial"/>
          <w:sz w:val="18"/>
          <w:szCs w:val="18"/>
          <w:color w:val="auto"/>
        </w:rPr>
        <w:t>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RETENTION RIGHTS.</w:t>
      </w:r>
    </w:p>
    <w:p>
      <w:pPr>
        <w:spacing w:after="0" w:line="121" w:lineRule="exact"/>
        <w:rPr>
          <w:sz w:val="20"/>
          <w:szCs w:val="20"/>
          <w:color w:val="auto"/>
        </w:rPr>
      </w:pPr>
    </w:p>
    <w:p>
      <w:pPr>
        <w:ind w:right="40" w:firstLine="880"/>
        <w:spacing w:after="0" w:line="259" w:lineRule="auto"/>
        <w:rPr>
          <w:sz w:val="20"/>
          <w:szCs w:val="20"/>
          <w:color w:val="auto"/>
        </w:rPr>
      </w:pPr>
      <w:r>
        <w:rPr>
          <w:rFonts w:ascii="Arial" w:cs="Arial" w:eastAsia="Arial" w:hAnsi="Arial"/>
          <w:sz w:val="18"/>
          <w:szCs w:val="18"/>
          <w:color w:val="auto"/>
        </w:rPr>
        <w:t>Nothing in the Plan or in any right or Option granted under the Plan shall confer upon the Purchaser or Optionee any right to continue in Service for any period of specific duration or interfere with or otherwise restrict in any way the rights of the Company (or any Parent or Subsidiary employing or retaining the Purchaser or Optionee) or of the Purchaser or Optionee, which rights are hereby expressly reserved by each, to terminate his or her Service at any time and for any reason, with or without cause.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DURATION AND AMENDMENTS.</w:t>
      </w:r>
    </w:p>
    <w:p>
      <w:pPr>
        <w:spacing w:after="0" w:line="117" w:lineRule="exact"/>
        <w:rPr>
          <w:sz w:val="20"/>
          <w:szCs w:val="20"/>
          <w:color w:val="auto"/>
        </w:rPr>
      </w:pPr>
    </w:p>
    <w:p>
      <w:pPr>
        <w:ind w:firstLine="871"/>
        <w:spacing w:after="0" w:line="294" w:lineRule="auto"/>
        <w:tabs>
          <w:tab w:leader="none" w:pos="1135"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of the Plan. </w:t>
      </w:r>
      <w:r>
        <w:rPr>
          <w:rFonts w:ascii="Arial" w:cs="Arial" w:eastAsia="Arial" w:hAnsi="Arial"/>
          <w:sz w:val="16"/>
          <w:szCs w:val="16"/>
          <w:color w:val="auto"/>
        </w:rPr>
        <w:t>The Plan, as set forth herein, shall become effective on the date of its adoption by the Board of Directors,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50" w:lineRule="exact"/>
        <w:rPr>
          <w:rFonts w:ascii="Arial" w:cs="Arial" w:eastAsia="Arial" w:hAnsi="Arial"/>
          <w:sz w:val="16"/>
          <w:szCs w:val="16"/>
          <w:b w:val="1"/>
          <w:bCs w:val="1"/>
          <w:color w:val="auto"/>
        </w:rPr>
      </w:pPr>
    </w:p>
    <w:p>
      <w:pPr>
        <w:ind w:right="20" w:firstLine="871"/>
        <w:spacing w:after="0" w:line="255" w:lineRule="auto"/>
        <w:tabs>
          <w:tab w:leader="none" w:pos="1145"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Amend or Terminate the Plan. </w:t>
      </w:r>
      <w:r>
        <w:rPr>
          <w:rFonts w:ascii="Arial" w:cs="Arial" w:eastAsia="Arial" w:hAnsi="Arial"/>
          <w:sz w:val="18"/>
          <w:szCs w:val="18"/>
          <w:color w:val="auto"/>
        </w:rPr>
        <w:t>The Board of Directors may amend, suspend or terminate the Plan at any time and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provided, however, that any amendment of the Plan shall be subject to the approval of the Company’s stockholders if it (i) increases the number of Shares available for issuance under the Plan (except as provided in Section 8)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79" w:lineRule="exact"/>
        <w:rPr>
          <w:rFonts w:ascii="Arial" w:cs="Arial" w:eastAsia="Arial" w:hAnsi="Arial"/>
          <w:sz w:val="18"/>
          <w:szCs w:val="18"/>
          <w:b w:val="1"/>
          <w:bCs w:val="1"/>
          <w:color w:val="auto"/>
        </w:rPr>
      </w:pPr>
    </w:p>
    <w:p>
      <w:pPr>
        <w:ind w:right="200" w:firstLine="871"/>
        <w:spacing w:after="0" w:line="266" w:lineRule="auto"/>
        <w:tabs>
          <w:tab w:leader="none" w:pos="1125"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Amendment or Termination. </w:t>
      </w:r>
      <w:r>
        <w:rPr>
          <w:rFonts w:ascii="Arial" w:cs="Arial" w:eastAsia="Arial" w:hAnsi="Arial"/>
          <w:sz w:val="18"/>
          <w:szCs w:val="18"/>
          <w:color w:val="auto"/>
        </w:rPr>
        <w:t>No Shares shall be issued or sold under the Plan after the termination thereof, except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 granted prior to such termination. The termination of the Plan, or any amendment thereof, shall not affect any Share previously issued or any Option previously granted under the Plan.</w:t>
      </w:r>
    </w:p>
    <w:p>
      <w:pPr>
        <w:sectPr>
          <w:pgSz w:w="11900" w:h="16838" w:orient="portrait"/>
          <w:cols w:equalWidth="0" w:num="1">
            <w:col w:w="10920"/>
          </w:cols>
          <w:pgMar w:left="460" w:top="270" w:right="51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 DEFINITIONS.</w:t>
      </w:r>
    </w:p>
    <w:p>
      <w:pPr>
        <w:spacing w:after="0" w:line="117" w:lineRule="exact"/>
        <w:rPr>
          <w:sz w:val="20"/>
          <w:szCs w:val="20"/>
          <w:color w:val="auto"/>
        </w:rPr>
      </w:pPr>
    </w:p>
    <w:p>
      <w:pPr>
        <w:ind w:left="1120" w:hanging="249"/>
        <w:spacing w:after="0"/>
        <w:tabs>
          <w:tab w:leader="none" w:pos="11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w:t>
      </w:r>
    </w:p>
    <w:p>
      <w:pPr>
        <w:spacing w:after="0" w:line="116" w:lineRule="exact"/>
        <w:rPr>
          <w:rFonts w:ascii="Arial" w:cs="Arial" w:eastAsia="Arial" w:hAnsi="Arial"/>
          <w:sz w:val="18"/>
          <w:szCs w:val="18"/>
          <w:color w:val="auto"/>
        </w:rPr>
      </w:pPr>
    </w:p>
    <w:p>
      <w:pPr>
        <w:ind w:left="1120" w:hanging="249"/>
        <w:spacing w:after="0"/>
        <w:tabs>
          <w:tab w:leader="none" w:pos="11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6" w:lineRule="exact"/>
        <w:rPr>
          <w:rFonts w:ascii="Arial" w:cs="Arial" w:eastAsia="Arial" w:hAnsi="Arial"/>
          <w:sz w:val="18"/>
          <w:szCs w:val="18"/>
          <w:color w:val="auto"/>
        </w:rPr>
      </w:pPr>
    </w:p>
    <w:p>
      <w:pPr>
        <w:ind w:left="1120" w:hanging="249"/>
        <w:spacing w:after="0"/>
        <w:tabs>
          <w:tab w:leader="none" w:pos="11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2(a).</w:t>
      </w:r>
    </w:p>
    <w:p>
      <w:pPr>
        <w:spacing w:after="0" w:line="116" w:lineRule="exact"/>
        <w:rPr>
          <w:rFonts w:ascii="Arial" w:cs="Arial" w:eastAsia="Arial" w:hAnsi="Arial"/>
          <w:sz w:val="18"/>
          <w:szCs w:val="18"/>
          <w:color w:val="auto"/>
        </w:rPr>
      </w:pPr>
    </w:p>
    <w:p>
      <w:pPr>
        <w:ind w:left="1120" w:hanging="249"/>
        <w:spacing w:after="0"/>
        <w:tabs>
          <w:tab w:leader="none" w:pos="11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shall mean SI-BONE, Inc., a Delaware corporation.</w:t>
      </w:r>
    </w:p>
    <w:p>
      <w:pPr>
        <w:spacing w:after="0" w:line="116" w:lineRule="exact"/>
        <w:rPr>
          <w:rFonts w:ascii="Arial" w:cs="Arial" w:eastAsia="Arial" w:hAnsi="Arial"/>
          <w:sz w:val="18"/>
          <w:szCs w:val="18"/>
          <w:color w:val="auto"/>
        </w:rPr>
      </w:pPr>
    </w:p>
    <w:p>
      <w:pPr>
        <w:ind w:right="20" w:firstLine="871"/>
        <w:spacing w:after="0" w:line="281" w:lineRule="auto"/>
        <w:tabs>
          <w:tab w:leader="none" w:pos="1125"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4" w:lineRule="exact"/>
        <w:rPr>
          <w:rFonts w:ascii="Arial" w:cs="Arial" w:eastAsia="Arial" w:hAnsi="Arial"/>
          <w:sz w:val="18"/>
          <w:szCs w:val="18"/>
          <w:color w:val="auto"/>
        </w:rPr>
      </w:pPr>
    </w:p>
    <w:p>
      <w:pPr>
        <w:ind w:right="20" w:firstLine="871"/>
        <w:spacing w:after="0" w:line="281" w:lineRule="auto"/>
        <w:tabs>
          <w:tab w:leader="none" w:pos="1105"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4" w:lineRule="exact"/>
        <w:rPr>
          <w:rFonts w:ascii="Arial" w:cs="Arial" w:eastAsia="Arial" w:hAnsi="Arial"/>
          <w:sz w:val="18"/>
          <w:szCs w:val="18"/>
          <w:color w:val="auto"/>
        </w:rPr>
      </w:pPr>
    </w:p>
    <w:p>
      <w:pPr>
        <w:ind w:left="1120" w:hanging="249"/>
        <w:spacing w:after="0"/>
        <w:tabs>
          <w:tab w:leader="none" w:pos="11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6" w:lineRule="exact"/>
        <w:rPr>
          <w:rFonts w:ascii="Arial" w:cs="Arial" w:eastAsia="Arial" w:hAnsi="Arial"/>
          <w:sz w:val="18"/>
          <w:szCs w:val="18"/>
          <w:color w:val="auto"/>
        </w:rPr>
      </w:pPr>
    </w:p>
    <w:p>
      <w:pPr>
        <w:ind w:firstLine="871"/>
        <w:spacing w:after="0" w:line="281" w:lineRule="auto"/>
        <w:tabs>
          <w:tab w:leader="none" w:pos="1135"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an Option, as specified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the applicable Stock Option Agreement.</w:t>
      </w:r>
    </w:p>
    <w:p>
      <w:pPr>
        <w:spacing w:after="0" w:line="54" w:lineRule="exact"/>
        <w:rPr>
          <w:rFonts w:ascii="Arial" w:cs="Arial" w:eastAsia="Arial" w:hAnsi="Arial"/>
          <w:sz w:val="18"/>
          <w:szCs w:val="18"/>
          <w:color w:val="auto"/>
        </w:rPr>
      </w:pPr>
    </w:p>
    <w:p>
      <w:pPr>
        <w:ind w:firstLine="871"/>
        <w:spacing w:after="0" w:line="281" w:lineRule="auto"/>
        <w:tabs>
          <w:tab w:leader="none" w:pos="1095"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accordance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determination shall be conclusive and binding on all persons.</w:t>
      </w:r>
    </w:p>
    <w:p>
      <w:pPr>
        <w:spacing w:after="0" w:line="54" w:lineRule="exact"/>
        <w:rPr>
          <w:rFonts w:ascii="Arial" w:cs="Arial" w:eastAsia="Arial" w:hAnsi="Arial"/>
          <w:sz w:val="18"/>
          <w:szCs w:val="18"/>
          <w:color w:val="auto"/>
        </w:rPr>
      </w:pPr>
    </w:p>
    <w:p>
      <w:pPr>
        <w:ind w:right="40" w:firstLine="871"/>
        <w:spacing w:after="0" w:line="276" w:lineRule="auto"/>
        <w:tabs>
          <w:tab w:leader="none" w:pos="1095" w:val="left"/>
        </w:tabs>
        <w:numPr>
          <w:ilvl w:val="0"/>
          <w:numId w:val="282"/>
        </w:numPr>
        <w:rPr>
          <w:rFonts w:ascii="Arial" w:cs="Arial" w:eastAsia="Arial" w:hAnsi="Arial"/>
          <w:sz w:val="17"/>
          <w:szCs w:val="17"/>
          <w:color w:val="auto"/>
        </w:rPr>
      </w:pPr>
      <w:r>
        <w:rPr>
          <w:rFonts w:ascii="Arial" w:cs="Arial" w:eastAsia="Arial" w:hAnsi="Arial"/>
          <w:sz w:val="17"/>
          <w:szCs w:val="17"/>
          <w:b w:val="1"/>
          <w:bCs w:val="1"/>
          <w:color w:val="auto"/>
        </w:rPr>
        <w:t>“Family Member</w:t>
      </w:r>
      <w:r>
        <w:rPr>
          <w:rFonts w:ascii="Arial" w:cs="Arial" w:eastAsia="Arial" w:hAnsi="Arial"/>
          <w:sz w:val="17"/>
          <w:szCs w:val="17"/>
          <w:color w:val="auto"/>
        </w:rPr>
        <w:t>” shall mean (i) any child, stepchild, grandchild, parent, stepparent, grandparent, spouse, former spouse, sibling, niece,</w:t>
      </w:r>
      <w:r>
        <w:rPr>
          <w:rFonts w:ascii="Arial" w:cs="Arial" w:eastAsia="Arial" w:hAnsi="Arial"/>
          <w:sz w:val="17"/>
          <w:szCs w:val="17"/>
          <w:b w:val="1"/>
          <w:bCs w:val="1"/>
          <w:color w:val="auto"/>
        </w:rPr>
        <w:t xml:space="preserve"> </w:t>
      </w:r>
      <w:r>
        <w:rPr>
          <w:rFonts w:ascii="Arial" w:cs="Arial" w:eastAsia="Arial" w:hAnsi="Arial"/>
          <w:sz w:val="17"/>
          <w:szCs w:val="17"/>
          <w:color w:val="auto"/>
        </w:rPr>
        <w:t>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63" w:lineRule="exact"/>
        <w:rPr>
          <w:rFonts w:ascii="Arial" w:cs="Arial" w:eastAsia="Arial" w:hAnsi="Arial"/>
          <w:sz w:val="17"/>
          <w:szCs w:val="17"/>
          <w:color w:val="auto"/>
        </w:rPr>
      </w:pPr>
    </w:p>
    <w:p>
      <w:pPr>
        <w:ind w:left="1120" w:hanging="249"/>
        <w:spacing w:after="0"/>
        <w:tabs>
          <w:tab w:leader="none" w:pos="11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16" w:lineRule="exact"/>
        <w:rPr>
          <w:rFonts w:ascii="Arial" w:cs="Arial" w:eastAsia="Arial" w:hAnsi="Arial"/>
          <w:sz w:val="18"/>
          <w:szCs w:val="18"/>
          <w:color w:val="auto"/>
        </w:rPr>
      </w:pPr>
    </w:p>
    <w:p>
      <w:pPr>
        <w:ind w:left="1080" w:hanging="209"/>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“Nonstatutory Option</w:t>
      </w:r>
      <w:r>
        <w:rPr>
          <w:rFonts w:ascii="Arial" w:cs="Arial" w:eastAsia="Arial" w:hAnsi="Arial"/>
          <w:sz w:val="18"/>
          <w:szCs w:val="18"/>
          <w:color w:val="auto"/>
        </w:rPr>
        <w:t>” shall mean a stock option not described in Sections 422(b) or 423(b) of the Code.</w:t>
      </w:r>
    </w:p>
    <w:p>
      <w:pPr>
        <w:spacing w:after="0" w:line="116" w:lineRule="exact"/>
        <w:rPr>
          <w:rFonts w:ascii="Arial" w:cs="Arial" w:eastAsia="Arial" w:hAnsi="Arial"/>
          <w:sz w:val="18"/>
          <w:szCs w:val="18"/>
          <w:color w:val="auto"/>
        </w:rPr>
      </w:pPr>
    </w:p>
    <w:p>
      <w:pPr>
        <w:ind w:left="1180" w:hanging="309"/>
        <w:spacing w:after="0"/>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shall mean an ISO or Nonstatutory Option granted under the Plan and entitling the holder to purchase Shares.</w:t>
      </w:r>
    </w:p>
    <w:p>
      <w:pPr>
        <w:sectPr>
          <w:pgSz w:w="11900" w:h="16838" w:orient="portrait"/>
          <w:cols w:equalWidth="0" w:num="1">
            <w:col w:w="10980"/>
          </w:cols>
          <w:pgMar w:left="460" w:top="269" w:right="459" w:bottom="1440" w:gutter="0" w:footer="0" w:header="0"/>
        </w:sectPr>
      </w:pPr>
    </w:p>
    <w:bookmarkStart w:id="338" w:name="page339"/>
    <w:bookmarkEnd w:id="338"/>
    <w:p>
      <w:pPr>
        <w:ind w:left="249" w:hanging="249"/>
        <w:spacing w:after="0"/>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“Optionee</w:t>
      </w:r>
      <w:r>
        <w:rPr>
          <w:rFonts w:ascii="Arial" w:cs="Arial" w:eastAsia="Arial" w:hAnsi="Arial"/>
          <w:sz w:val="18"/>
          <w:szCs w:val="18"/>
          <w:color w:val="auto"/>
        </w:rPr>
        <w:t>” shall mean a person who holds an Option.</w:t>
      </w:r>
    </w:p>
    <w:p>
      <w:pPr>
        <w:spacing w:after="0" w:line="116" w:lineRule="exact"/>
        <w:rPr>
          <w:rFonts w:ascii="Arial" w:cs="Arial" w:eastAsia="Arial" w:hAnsi="Arial"/>
          <w:sz w:val="18"/>
          <w:szCs w:val="18"/>
          <w:color w:val="auto"/>
        </w:rPr>
      </w:pPr>
    </w:p>
    <w:p>
      <w:pPr>
        <w:ind w:left="249" w:hanging="249"/>
        <w:spacing w:after="0"/>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6" w:lineRule="exact"/>
        <w:rPr>
          <w:rFonts w:ascii="Arial" w:cs="Arial" w:eastAsia="Arial" w:hAnsi="Arial"/>
          <w:sz w:val="18"/>
          <w:szCs w:val="18"/>
          <w:color w:val="auto"/>
        </w:rPr>
      </w:pPr>
    </w:p>
    <w:p>
      <w:pPr>
        <w:jc w:val="both"/>
        <w:ind w:left="-871" w:right="80" w:firstLine="871"/>
        <w:spacing w:after="0" w:line="260" w:lineRule="auto"/>
        <w:tabs>
          <w:tab w:leader="none" w:pos="26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4" w:lineRule="exact"/>
        <w:rPr>
          <w:rFonts w:ascii="Arial" w:cs="Arial" w:eastAsia="Arial" w:hAnsi="Arial"/>
          <w:sz w:val="18"/>
          <w:szCs w:val="18"/>
          <w:color w:val="auto"/>
        </w:rPr>
      </w:pPr>
    </w:p>
    <w:p>
      <w:pPr>
        <w:ind w:left="249" w:hanging="249"/>
        <w:spacing w:after="0"/>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“Plan</w:t>
      </w:r>
      <w:r>
        <w:rPr>
          <w:rFonts w:ascii="Arial" w:cs="Arial" w:eastAsia="Arial" w:hAnsi="Arial"/>
          <w:sz w:val="18"/>
          <w:szCs w:val="18"/>
          <w:color w:val="auto"/>
        </w:rPr>
        <w:t>” shall mean this SI-BONE, Inc. 2008 Stock Plan.</w:t>
      </w:r>
    </w:p>
    <w:p>
      <w:pPr>
        <w:spacing w:after="0" w:line="116" w:lineRule="exact"/>
        <w:rPr>
          <w:rFonts w:ascii="Arial" w:cs="Arial" w:eastAsia="Arial" w:hAnsi="Arial"/>
          <w:sz w:val="18"/>
          <w:szCs w:val="18"/>
          <w:color w:val="auto"/>
        </w:rPr>
      </w:pPr>
    </w:p>
    <w:p>
      <w:pPr>
        <w:ind w:left="-871" w:right="360" w:firstLine="871"/>
        <w:spacing w:after="0" w:line="281" w:lineRule="auto"/>
        <w:tabs>
          <w:tab w:leader="none" w:pos="23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consideration for which one Share may be acquired under the Plan (other than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as specified by the Board of Directors.</w:t>
      </w:r>
    </w:p>
    <w:p>
      <w:pPr>
        <w:spacing w:after="0" w:line="54" w:lineRule="exact"/>
        <w:rPr>
          <w:rFonts w:ascii="Arial" w:cs="Arial" w:eastAsia="Arial" w:hAnsi="Arial"/>
          <w:sz w:val="18"/>
          <w:szCs w:val="18"/>
          <w:color w:val="auto"/>
        </w:rPr>
      </w:pPr>
    </w:p>
    <w:p>
      <w:pPr>
        <w:ind w:left="-871" w:firstLine="871"/>
        <w:spacing w:after="0" w:line="281" w:lineRule="auto"/>
        <w:tabs>
          <w:tab w:leader="none" w:pos="24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 shall mean a person to whom the Board of Directors has offered the right to acquire Shares under the Plan (other than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w:t>
      </w:r>
    </w:p>
    <w:p>
      <w:pPr>
        <w:spacing w:after="0" w:line="54" w:lineRule="exact"/>
        <w:rPr>
          <w:rFonts w:ascii="Arial" w:cs="Arial" w:eastAsia="Arial" w:hAnsi="Arial"/>
          <w:sz w:val="18"/>
          <w:szCs w:val="18"/>
          <w:color w:val="auto"/>
        </w:rPr>
      </w:pPr>
    </w:p>
    <w:p>
      <w:pPr>
        <w:ind w:left="209" w:hanging="209"/>
        <w:spacing w:after="0"/>
        <w:tabs>
          <w:tab w:leader="none" w:pos="209"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6" w:lineRule="exact"/>
        <w:rPr>
          <w:rFonts w:ascii="Arial" w:cs="Arial" w:eastAsia="Arial" w:hAnsi="Arial"/>
          <w:sz w:val="18"/>
          <w:szCs w:val="18"/>
          <w:color w:val="auto"/>
        </w:rPr>
      </w:pPr>
    </w:p>
    <w:p>
      <w:pPr>
        <w:ind w:left="249" w:hanging="249"/>
        <w:spacing w:after="0"/>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8 (if applicable).</w:t>
      </w:r>
    </w:p>
    <w:p>
      <w:pPr>
        <w:spacing w:after="0" w:line="116" w:lineRule="exact"/>
        <w:rPr>
          <w:rFonts w:ascii="Arial" w:cs="Arial" w:eastAsia="Arial" w:hAnsi="Arial"/>
          <w:sz w:val="18"/>
          <w:szCs w:val="18"/>
          <w:color w:val="auto"/>
        </w:rPr>
      </w:pPr>
    </w:p>
    <w:p>
      <w:pPr>
        <w:ind w:left="249" w:hanging="249"/>
        <w:spacing w:after="0"/>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 shall mean the Series 1 Common Stock of the Company.</w:t>
      </w:r>
    </w:p>
    <w:p>
      <w:pPr>
        <w:spacing w:after="0" w:line="116" w:lineRule="exact"/>
        <w:rPr>
          <w:rFonts w:ascii="Arial" w:cs="Arial" w:eastAsia="Arial" w:hAnsi="Arial"/>
          <w:sz w:val="18"/>
          <w:szCs w:val="18"/>
          <w:color w:val="auto"/>
        </w:rPr>
      </w:pPr>
    </w:p>
    <w:p>
      <w:pPr>
        <w:ind w:left="-871" w:right="160" w:firstLine="871"/>
        <w:spacing w:after="0" w:line="281" w:lineRule="auto"/>
        <w:tabs>
          <w:tab w:leader="none" w:pos="30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“Stock Option Agreement</w:t>
      </w:r>
      <w:r>
        <w:rPr>
          <w:rFonts w:ascii="Arial" w:cs="Arial" w:eastAsia="Arial" w:hAnsi="Arial"/>
          <w:sz w:val="18"/>
          <w:szCs w:val="18"/>
          <w:color w:val="auto"/>
        </w:rPr>
        <w:t>” shall mean the agreement between the Company and an Optionee that contains the terms, conditions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pertaining to the Optionee’s Option.</w:t>
      </w:r>
    </w:p>
    <w:p>
      <w:pPr>
        <w:spacing w:after="0" w:line="54" w:lineRule="exact"/>
        <w:rPr>
          <w:rFonts w:ascii="Arial" w:cs="Arial" w:eastAsia="Arial" w:hAnsi="Arial"/>
          <w:sz w:val="18"/>
          <w:szCs w:val="18"/>
          <w:color w:val="auto"/>
        </w:rPr>
      </w:pPr>
    </w:p>
    <w:p>
      <w:pPr>
        <w:ind w:left="-871" w:right="280" w:firstLine="871"/>
        <w:spacing w:after="0" w:line="281" w:lineRule="auto"/>
        <w:tabs>
          <w:tab w:leader="none" w:pos="26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“Stock Purchase Agreement</w:t>
      </w:r>
      <w:r>
        <w:rPr>
          <w:rFonts w:ascii="Arial" w:cs="Arial" w:eastAsia="Arial" w:hAnsi="Arial"/>
          <w:sz w:val="18"/>
          <w:szCs w:val="18"/>
          <w:color w:val="auto"/>
        </w:rPr>
        <w:t>” shall mean the agreement between the Company and a Purchaser who acquires Shares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that contains the terms, conditions and restrictions pertaining to the acquisition of such Shares.</w:t>
      </w:r>
    </w:p>
    <w:p>
      <w:pPr>
        <w:spacing w:after="0" w:line="54" w:lineRule="exact"/>
        <w:rPr>
          <w:rFonts w:ascii="Arial" w:cs="Arial" w:eastAsia="Arial" w:hAnsi="Arial"/>
          <w:sz w:val="18"/>
          <w:szCs w:val="18"/>
          <w:color w:val="auto"/>
        </w:rPr>
      </w:pPr>
    </w:p>
    <w:p>
      <w:pPr>
        <w:jc w:val="both"/>
        <w:ind w:left="-871" w:right="60" w:firstLine="871"/>
        <w:spacing w:after="0" w:line="260" w:lineRule="auto"/>
        <w:tabs>
          <w:tab w:leader="none" w:pos="26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ectPr>
          <w:pgSz w:w="11900" w:h="16838" w:orient="portrait"/>
          <w:cols w:equalWidth="0" w:num="1">
            <w:col w:w="10089"/>
          </w:cols>
          <w:pgMar w:left="1331" w:top="270" w:right="47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0980"/>
          </w:cols>
          <w:pgMar w:left="460" w:top="270" w:right="459" w:bottom="1440" w:gutter="0" w:footer="0" w:header="0"/>
        </w:sect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540"/>
        <w:spacing w:after="0"/>
        <w:rPr>
          <w:sz w:val="20"/>
          <w:szCs w:val="20"/>
          <w:color w:val="auto"/>
        </w:rPr>
      </w:pPr>
      <w:r>
        <w:rPr>
          <w:rFonts w:ascii="Arial" w:cs="Arial" w:eastAsia="Arial" w:hAnsi="Arial"/>
          <w:sz w:val="15"/>
          <w:szCs w:val="15"/>
          <w:color w:val="auto"/>
        </w:rPr>
        <w:t>«Name»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584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0980"/>
          </w:cols>
          <w:pgMar w:left="460" w:top="270" w:right="459" w:bottom="1440" w:gutter="0" w:footer="0" w:header="0"/>
          <w:type w:val="continuous"/>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86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5"/>
          <w:szCs w:val="15"/>
          <w:color w:val="auto"/>
        </w:rPr>
        <w:t>«VestSchedule»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«VestComDate»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spacing w:after="0" w:line="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13 of the</w:t>
      </w:r>
      <w:r>
        <w:rPr>
          <w:rFonts w:ascii="Arial" w:cs="Arial" w:eastAsia="Arial" w:hAnsi="Arial"/>
          <w:sz w:val="18"/>
          <w:szCs w:val="18"/>
          <w:color w:val="auto"/>
        </w:rPr>
        <w:t xml:space="preserve"> </w:t>
      </w:r>
      <w:r>
        <w:rPr>
          <w:rFonts w:ascii="Arial" w:cs="Arial" w:eastAsia="Arial" w:hAnsi="Arial"/>
          <w:sz w:val="18"/>
          <w:szCs w:val="18"/>
          <w:b w:val="1"/>
          <w:bCs w:val="1"/>
          <w:color w:val="auto"/>
        </w:rPr>
        <w:t>Stock Option Agreement includes important acknowledgements of the Optionee</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SI-BONE, Inc.</w:t>
      </w: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98944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-1905</wp:posOffset>
            </wp:positionV>
            <wp:extent cx="286131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2861310" cy="8255"/>
                    </a:xfrm>
                    <a:prstGeom prst="rect">
                      <a:avLst/>
                    </a:prstGeom>
                    <a:noFill/>
                  </pic:spPr>
                </pic:pic>
              </a:graphicData>
            </a:graphic>
          </wp:anchor>
        </w:drawing>
      </w:r>
    </w:p>
    <w:p>
      <w:pPr>
        <w:sectPr>
          <w:pgSz w:w="11900" w:h="16838" w:orient="portrait"/>
          <w:cols w:equalWidth="0" w:num="1">
            <w:col w:w="10980"/>
          </w:cols>
          <w:pgMar w:left="460" w:top="270" w:right="459" w:bottom="1440" w:gutter="0" w:footer="0" w:header="0"/>
          <w:type w:val="continuous"/>
        </w:sectPr>
      </w:pPr>
    </w:p>
    <w:bookmarkStart w:id="340" w:name="page341"/>
    <w:bookmarkEnd w:id="340"/>
    <w:p>
      <w:pPr>
        <w:ind w:right="140"/>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right="440" w:firstLine="871"/>
        <w:spacing w:after="0" w:line="258" w:lineRule="auto"/>
        <w:tabs>
          <w:tab w:leader="none" w:pos="1135"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On the terms and conditions set forth in the Notice of Stock Option Grant and this Agreement, the Company grants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4" w:lineRule="exact"/>
        <w:rPr>
          <w:rFonts w:ascii="Arial" w:cs="Arial" w:eastAsia="Arial" w:hAnsi="Arial"/>
          <w:sz w:val="18"/>
          <w:szCs w:val="18"/>
          <w:b w:val="1"/>
          <w:bCs w:val="1"/>
          <w:color w:val="auto"/>
        </w:rPr>
      </w:pPr>
    </w:p>
    <w:p>
      <w:pPr>
        <w:ind w:right="120" w:firstLine="871"/>
        <w:spacing w:after="0" w:line="281" w:lineRule="auto"/>
        <w:tabs>
          <w:tab w:leader="none" w:pos="1145"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$100,000 Limitation. </w:t>
      </w:r>
      <w:r>
        <w:rPr>
          <w:rFonts w:ascii="Arial" w:cs="Arial" w:eastAsia="Arial" w:hAnsi="Arial"/>
          <w:sz w:val="18"/>
          <w:szCs w:val="18"/>
          <w:color w:val="auto"/>
        </w:rPr>
        <w:t>Even if this option is designated as an ISO in the Notice of Stock Option Grant, it shall be deemed to be an NSO</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(and only to the extent) required by the $100,000 annual limitation under Section 422(d) of the Code.</w:t>
      </w:r>
    </w:p>
    <w:p>
      <w:pPr>
        <w:spacing w:after="0" w:line="54" w:lineRule="exact"/>
        <w:rPr>
          <w:rFonts w:ascii="Arial" w:cs="Arial" w:eastAsia="Arial" w:hAnsi="Arial"/>
          <w:sz w:val="18"/>
          <w:szCs w:val="18"/>
          <w:b w:val="1"/>
          <w:bCs w:val="1"/>
          <w:color w:val="auto"/>
        </w:rPr>
      </w:pPr>
    </w:p>
    <w:p>
      <w:pPr>
        <w:ind w:right="580" w:firstLine="871"/>
        <w:spacing w:after="0" w:line="266" w:lineRule="auto"/>
        <w:tabs>
          <w:tab w:leader="none" w:pos="1125"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Plan and Defined Terms. </w:t>
      </w:r>
      <w:r>
        <w:rPr>
          <w:rFonts w:ascii="Arial" w:cs="Arial" w:eastAsia="Arial" w:hAnsi="Arial"/>
          <w:sz w:val="18"/>
          <w:szCs w:val="18"/>
          <w:color w:val="auto"/>
        </w:rPr>
        <w:t>This option is granted pursuant to the Plan, a copy of which the Optionee acknowledges having</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The provisions of the Plan are incorporated into this Agreement by this reference. Capitalized terms are defined in Section 14 of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ind w:firstLine="871"/>
        <w:spacing w:after="0" w:line="266" w:lineRule="auto"/>
        <w:tabs>
          <w:tab w:leader="none" w:pos="1135"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Exercisability. </w:t>
      </w:r>
      <w:r>
        <w:rPr>
          <w:rFonts w:ascii="Arial" w:cs="Arial" w:eastAsia="Arial" w:hAnsi="Arial"/>
          <w:sz w:val="18"/>
          <w:szCs w:val="18"/>
          <w:color w:val="auto"/>
        </w:rPr>
        <w:t>Subject to Subsection (b) below and the other conditions set forth in this Agreement, all or part of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its expiration at the time or times set forth in the Notice of Stock Option Grant. In addition, this option shall become exercisable in full if Section 8(b)(iv) of the Plan applies.</w:t>
      </w:r>
    </w:p>
    <w:p>
      <w:pPr>
        <w:spacing w:after="0" w:line="67" w:lineRule="exact"/>
        <w:rPr>
          <w:rFonts w:ascii="Arial" w:cs="Arial" w:eastAsia="Arial" w:hAnsi="Arial"/>
          <w:sz w:val="18"/>
          <w:szCs w:val="18"/>
          <w:b w:val="1"/>
          <w:bCs w:val="1"/>
          <w:color w:val="auto"/>
        </w:rPr>
      </w:pPr>
    </w:p>
    <w:p>
      <w:pPr>
        <w:ind w:right="300" w:firstLine="871"/>
        <w:spacing w:after="0" w:line="281" w:lineRule="auto"/>
        <w:tabs>
          <w:tab w:leader="none" w:pos="1145"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Any other provision of this Agreement notwithstanding, no portion of this option shall be exercisable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approval of the Plan by the Company’s stockholders.</w:t>
      </w:r>
    </w:p>
    <w:p>
      <w:pPr>
        <w:sectPr>
          <w:pgSz w:w="11900" w:h="16838" w:orient="portrait"/>
          <w:cols w:equalWidth="0" w:num="1">
            <w:col w:w="10980"/>
          </w:cols>
          <w:pgMar w:left="460" w:top="269" w:right="459" w:bottom="1440" w:gutter="0" w:footer="0" w:header="0"/>
        </w:sectPr>
      </w:pPr>
    </w:p>
    <w:bookmarkStart w:id="341" w:name="page342"/>
    <w:bookmarkEnd w:id="341"/>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left="10" w:right="240" w:firstLine="880"/>
        <w:spacing w:after="0" w:line="341"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left="10" w:right="40" w:firstLine="871"/>
        <w:spacing w:after="0" w:line="256" w:lineRule="auto"/>
        <w:tabs>
          <w:tab w:leader="none" w:pos="1145"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pacing w:after="0" w:line="78" w:lineRule="exact"/>
        <w:rPr>
          <w:rFonts w:ascii="Arial" w:cs="Arial" w:eastAsia="Arial" w:hAnsi="Arial"/>
          <w:sz w:val="18"/>
          <w:szCs w:val="18"/>
          <w:b w:val="1"/>
          <w:bCs w:val="1"/>
          <w:color w:val="auto"/>
        </w:rPr>
      </w:pPr>
    </w:p>
    <w:p>
      <w:pPr>
        <w:ind w:left="10" w:right="400" w:firstLine="871"/>
        <w:spacing w:after="0" w:line="293" w:lineRule="auto"/>
        <w:tabs>
          <w:tab w:leader="none" w:pos="1155" w:val="left"/>
        </w:tabs>
        <w:numPr>
          <w:ilvl w:val="1"/>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one or more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for which this option has been exercised. Such Shares shall be registered (i) in the name of the person exercising this option,</w:t>
      </w:r>
    </w:p>
    <w:p>
      <w:pPr>
        <w:ind w:left="10" w:right="480" w:hanging="10"/>
        <w:spacing w:after="0" w:line="255" w:lineRule="auto"/>
        <w:tabs>
          <w:tab w:leader="none" w:pos="27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77" w:lineRule="exact"/>
        <w:rPr>
          <w:rFonts w:ascii="Arial" w:cs="Arial" w:eastAsia="Arial" w:hAnsi="Arial"/>
          <w:sz w:val="18"/>
          <w:szCs w:val="18"/>
          <w:color w:val="auto"/>
        </w:rPr>
      </w:pPr>
    </w:p>
    <w:p>
      <w:pPr>
        <w:ind w:left="10" w:right="60" w:firstLine="871"/>
        <w:spacing w:after="0" w:line="260" w:lineRule="auto"/>
        <w:tabs>
          <w:tab w:leader="none" w:pos="1135"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29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30" w:hanging="249"/>
        <w:spacing w:after="0"/>
        <w:tabs>
          <w:tab w:leader="none" w:pos="113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All or part of the Purchase Price may be paid in cash or cash equivalents.</w:t>
      </w:r>
    </w:p>
    <w:p>
      <w:pPr>
        <w:spacing w:after="0" w:line="116" w:lineRule="exact"/>
        <w:rPr>
          <w:rFonts w:ascii="Arial" w:cs="Arial" w:eastAsia="Arial" w:hAnsi="Arial"/>
          <w:sz w:val="18"/>
          <w:szCs w:val="18"/>
          <w:b w:val="1"/>
          <w:bCs w:val="1"/>
          <w:color w:val="auto"/>
        </w:rPr>
      </w:pPr>
    </w:p>
    <w:p>
      <w:pPr>
        <w:ind w:left="10" w:firstLine="871"/>
        <w:spacing w:after="0" w:line="266" w:lineRule="auto"/>
        <w:tabs>
          <w:tab w:leader="none" w:pos="1155"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ectPr>
          <w:pgSz w:w="11900" w:h="16838" w:orient="portrait"/>
          <w:cols w:equalWidth="0" w:num="1">
            <w:col w:w="10970"/>
          </w:cols>
          <w:pgMar w:left="450" w:top="270" w:right="479" w:bottom="1440" w:gutter="0" w:footer="0" w:header="0"/>
        </w:sectPr>
      </w:pPr>
    </w:p>
    <w:bookmarkStart w:id="342" w:name="page343"/>
    <w:bookmarkEnd w:id="342"/>
    <w:p>
      <w:pPr>
        <w:ind w:right="40" w:firstLine="871"/>
        <w:spacing w:after="0" w:line="260" w:lineRule="auto"/>
        <w:tabs>
          <w:tab w:leader="none" w:pos="1125"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Exercise/Sale. </w:t>
      </w:r>
      <w:r>
        <w:rPr>
          <w:rFonts w:ascii="Arial" w:cs="Arial" w:eastAsia="Arial" w:hAnsi="Arial"/>
          <w:sz w:val="18"/>
          <w:szCs w:val="18"/>
          <w:color w:val="auto"/>
        </w:rPr>
        <w:t>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 AND EXPIRATION.</w:t>
      </w:r>
    </w:p>
    <w:p>
      <w:pPr>
        <w:spacing w:after="0" w:line="117" w:lineRule="exact"/>
        <w:rPr>
          <w:sz w:val="20"/>
          <w:szCs w:val="20"/>
          <w:color w:val="auto"/>
        </w:rPr>
      </w:pPr>
    </w:p>
    <w:p>
      <w:pPr>
        <w:ind w:right="160" w:firstLine="871"/>
        <w:spacing w:after="0" w:line="266" w:lineRule="auto"/>
        <w:tabs>
          <w:tab w:leader="none" w:pos="1135"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b w:val="1"/>
          <w:bCs w:val="1"/>
          <w:color w:val="auto"/>
        </w:rPr>
      </w:pPr>
    </w:p>
    <w:p>
      <w:pPr>
        <w:ind w:right="140" w:firstLine="871"/>
        <w:spacing w:after="0" w:line="281" w:lineRule="auto"/>
        <w:tabs>
          <w:tab w:leader="none" w:pos="1145"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8" w:lineRule="exact"/>
        <w:rPr>
          <w:rFonts w:ascii="Arial" w:cs="Arial" w:eastAsia="Arial" w:hAnsi="Arial"/>
          <w:sz w:val="18"/>
          <w:szCs w:val="18"/>
          <w:b w:val="1"/>
          <w:bCs w:val="1"/>
          <w:color w:val="auto"/>
        </w:rPr>
      </w:pPr>
    </w:p>
    <w:p>
      <w:pPr>
        <w:ind w:left="1500" w:hanging="224"/>
        <w:spacing w:after="0"/>
        <w:tabs>
          <w:tab w:leader="none" w:pos="15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6" w:lineRule="exact"/>
        <w:rPr>
          <w:rFonts w:ascii="Arial" w:cs="Arial" w:eastAsia="Arial" w:hAnsi="Arial"/>
          <w:sz w:val="18"/>
          <w:szCs w:val="18"/>
          <w:color w:val="auto"/>
        </w:rPr>
      </w:pPr>
    </w:p>
    <w:p>
      <w:pPr>
        <w:ind w:left="1600" w:hanging="324"/>
        <w:spacing w:after="0"/>
        <w:tabs>
          <w:tab w:leader="none" w:pos="16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65" w:lineRule="exact"/>
        <w:rPr>
          <w:sz w:val="20"/>
          <w:szCs w:val="20"/>
          <w:color w:val="auto"/>
        </w:rPr>
      </w:pPr>
    </w:p>
    <w:p>
      <w:pPr>
        <w:ind w:left="1120" w:hanging="249"/>
        <w:spacing w:after="0"/>
        <w:tabs>
          <w:tab w:leader="none" w:pos="112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the Optionee. </w:t>
      </w:r>
      <w:r>
        <w:rPr>
          <w:rFonts w:ascii="Arial" w:cs="Arial" w:eastAsia="Arial" w:hAnsi="Arial"/>
          <w:sz w:val="17"/>
          <w:szCs w:val="17"/>
          <w:color w:val="auto"/>
        </w:rPr>
        <w:t>If the Optionee dies while in Service, then this option shall expire on the earlier of the following dates:</w:t>
      </w:r>
    </w:p>
    <w:p>
      <w:pPr>
        <w:spacing w:after="0" w:line="132" w:lineRule="exact"/>
        <w:rPr>
          <w:rFonts w:ascii="Arial" w:cs="Arial" w:eastAsia="Arial" w:hAnsi="Arial"/>
          <w:sz w:val="17"/>
          <w:szCs w:val="17"/>
          <w:b w:val="1"/>
          <w:bCs w:val="1"/>
          <w:color w:val="auto"/>
        </w:rPr>
      </w:pPr>
    </w:p>
    <w:p>
      <w:pPr>
        <w:ind w:left="1500" w:hanging="224"/>
        <w:spacing w:after="0"/>
        <w:tabs>
          <w:tab w:leader="none" w:pos="150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ectPr>
          <w:pgSz w:w="11900" w:h="16838" w:orient="portrait"/>
          <w:cols w:equalWidth="0" w:num="1">
            <w:col w:w="11000"/>
          </w:cols>
          <w:pgMar w:left="460" w:top="270" w:right="439" w:bottom="1440" w:gutter="0" w:footer="0" w:header="0"/>
        </w:sectPr>
      </w:pPr>
    </w:p>
    <w:bookmarkStart w:id="343" w:name="page344"/>
    <w:bookmarkEnd w:id="343"/>
    <w:p>
      <w:pPr>
        <w:ind w:right="80" w:firstLine="871"/>
        <w:spacing w:after="0" w:line="271" w:lineRule="auto"/>
        <w:tabs>
          <w:tab w:leader="none" w:pos="1145"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Part-Time Employment and Leaves of Absence. </w:t>
      </w:r>
      <w:r>
        <w:rPr>
          <w:rFonts w:ascii="Arial" w:cs="Arial" w:eastAsia="Arial" w:hAnsi="Arial"/>
          <w:sz w:val="17"/>
          <w:szCs w:val="17"/>
          <w:color w:val="auto"/>
        </w:rPr>
        <w:t>If the Optionee commences working on a part-time basis, then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adjust 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b w:val="1"/>
          <w:bCs w:val="1"/>
          <w:i w:val="1"/>
          <w:iCs w:val="1"/>
          <w:color w:val="auto"/>
        </w:rPr>
        <w:t>bona fide</w:t>
      </w:r>
      <w:r>
        <w:rPr>
          <w:rFonts w:ascii="Arial" w:cs="Arial" w:eastAsia="Arial" w:hAnsi="Arial"/>
          <w:sz w:val="17"/>
          <w:szCs w:val="17"/>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76" w:lineRule="exact"/>
        <w:rPr>
          <w:rFonts w:ascii="Arial" w:cs="Arial" w:eastAsia="Arial" w:hAnsi="Arial"/>
          <w:sz w:val="17"/>
          <w:szCs w:val="17"/>
          <w:b w:val="1"/>
          <w:bCs w:val="1"/>
          <w:color w:val="auto"/>
        </w:rPr>
      </w:pPr>
    </w:p>
    <w:p>
      <w:pPr>
        <w:ind w:firstLine="871"/>
        <w:spacing w:after="0" w:line="281" w:lineRule="auto"/>
        <w:tabs>
          <w:tab w:leader="none" w:pos="1125"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ISO Treatment. </w:t>
      </w:r>
      <w:r>
        <w:rPr>
          <w:rFonts w:ascii="Arial" w:cs="Arial" w:eastAsia="Arial" w:hAnsi="Arial"/>
          <w:sz w:val="18"/>
          <w:szCs w:val="18"/>
          <w:color w:val="auto"/>
        </w:rPr>
        <w:t>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8" w:lineRule="exact"/>
        <w:rPr>
          <w:rFonts w:ascii="Arial" w:cs="Arial" w:eastAsia="Arial" w:hAnsi="Arial"/>
          <w:sz w:val="18"/>
          <w:szCs w:val="18"/>
          <w:b w:val="1"/>
          <w:bCs w:val="1"/>
          <w:color w:val="auto"/>
        </w:rPr>
      </w:pPr>
    </w:p>
    <w:p>
      <w:pPr>
        <w:ind w:left="440" w:right="200" w:firstLine="836"/>
        <w:spacing w:after="0" w:line="277" w:lineRule="auto"/>
        <w:tabs>
          <w:tab w:leader="none" w:pos="15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1" w:lineRule="exact"/>
        <w:rPr>
          <w:rFonts w:ascii="Arial" w:cs="Arial" w:eastAsia="Arial" w:hAnsi="Arial"/>
          <w:sz w:val="18"/>
          <w:szCs w:val="18"/>
          <w:color w:val="auto"/>
        </w:rPr>
      </w:pPr>
    </w:p>
    <w:p>
      <w:pPr>
        <w:ind w:left="440" w:right="220" w:firstLine="836"/>
        <w:spacing w:after="0" w:line="277" w:lineRule="auto"/>
        <w:tabs>
          <w:tab w:leader="none" w:pos="155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1" w:lineRule="exact"/>
        <w:rPr>
          <w:rFonts w:ascii="Arial" w:cs="Arial" w:eastAsia="Arial" w:hAnsi="Arial"/>
          <w:sz w:val="18"/>
          <w:szCs w:val="18"/>
          <w:color w:val="auto"/>
        </w:rPr>
      </w:pPr>
    </w:p>
    <w:p>
      <w:pPr>
        <w:ind w:left="440" w:right="520" w:firstLine="836"/>
        <w:spacing w:after="0" w:line="277" w:lineRule="auto"/>
        <w:tabs>
          <w:tab w:leader="none" w:pos="16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FIRST REFUSAL.</w:t>
      </w:r>
    </w:p>
    <w:p>
      <w:pPr>
        <w:spacing w:after="0" w:line="117" w:lineRule="exact"/>
        <w:rPr>
          <w:sz w:val="20"/>
          <w:szCs w:val="20"/>
          <w:color w:val="auto"/>
        </w:rPr>
      </w:pPr>
    </w:p>
    <w:p>
      <w:pPr>
        <w:ind w:right="20" w:firstLine="871"/>
        <w:spacing w:after="0" w:line="289" w:lineRule="auto"/>
        <w:tabs>
          <w:tab w:leader="none" w:pos="1135"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ectPr>
          <w:pgSz w:w="11900" w:h="16838" w:orient="portrait"/>
          <w:cols w:equalWidth="0" w:num="1">
            <w:col w:w="10960"/>
          </w:cols>
          <w:pgMar w:left="460" w:top="270" w:right="479" w:bottom="1440" w:gutter="0" w:footer="0" w:header="0"/>
        </w:sectPr>
      </w:pPr>
    </w:p>
    <w:bookmarkStart w:id="344" w:name="page345"/>
    <w:bookmarkEnd w:id="344"/>
    <w:p>
      <w:pPr>
        <w:ind w:right="140" w:firstLine="871"/>
        <w:spacing w:after="0" w:line="284" w:lineRule="auto"/>
        <w:tabs>
          <w:tab w:leader="none" w:pos="1145"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 of Shares. </w:t>
      </w:r>
      <w:r>
        <w:rPr>
          <w:rFonts w:ascii="Arial" w:cs="Arial" w:eastAsia="Arial" w:hAnsi="Arial"/>
          <w:sz w:val="16"/>
          <w:szCs w:val="16"/>
          <w:color w:val="auto"/>
        </w:rPr>
        <w:t>If the Company fails to exercise its Right of First Refusal within 30 days after the date when it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w:t>
      </w:r>
    </w:p>
    <w:p>
      <w:pPr>
        <w:spacing w:after="0" w:line="5" w:lineRule="exact"/>
        <w:rPr>
          <w:rFonts w:ascii="Arial" w:cs="Arial" w:eastAsia="Arial" w:hAnsi="Arial"/>
          <w:sz w:val="16"/>
          <w:szCs w:val="16"/>
          <w:b w:val="1"/>
          <w:bCs w:val="1"/>
          <w:color w:val="auto"/>
        </w:rPr>
      </w:pPr>
    </w:p>
    <w:p>
      <w:pPr>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80" w:lineRule="exact"/>
        <w:rPr>
          <w:rFonts w:ascii="Arial" w:cs="Arial" w:eastAsia="Arial" w:hAnsi="Arial"/>
          <w:sz w:val="16"/>
          <w:szCs w:val="16"/>
          <w:b w:val="1"/>
          <w:bCs w:val="1"/>
          <w:color w:val="auto"/>
        </w:rPr>
      </w:pPr>
    </w:p>
    <w:p>
      <w:pPr>
        <w:ind w:right="100" w:firstLine="871"/>
        <w:spacing w:after="0" w:line="294" w:lineRule="auto"/>
        <w:tabs>
          <w:tab w:leader="none" w:pos="1125"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or Exchanged Securities and Property. </w:t>
      </w:r>
      <w:r>
        <w:rPr>
          <w:rFonts w:ascii="Arial" w:cs="Arial" w:eastAsia="Arial" w:hAnsi="Arial"/>
          <w:sz w:val="16"/>
          <w:szCs w:val="16"/>
          <w:color w:val="auto"/>
        </w:rPr>
        <w:t>In the event of a merger or consolidation of the Company with or into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50" w:lineRule="exact"/>
        <w:rPr>
          <w:rFonts w:ascii="Arial" w:cs="Arial" w:eastAsia="Arial" w:hAnsi="Arial"/>
          <w:sz w:val="16"/>
          <w:szCs w:val="16"/>
          <w:b w:val="1"/>
          <w:bCs w:val="1"/>
          <w:color w:val="auto"/>
        </w:rPr>
      </w:pPr>
    </w:p>
    <w:p>
      <w:pPr>
        <w:jc w:val="both"/>
        <w:ind w:right="300" w:firstLine="871"/>
        <w:spacing w:after="0" w:line="288" w:lineRule="auto"/>
        <w:tabs>
          <w:tab w:leader="none" w:pos="1145"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 of First Refusal. </w:t>
      </w:r>
      <w:r>
        <w:rPr>
          <w:rFonts w:ascii="Arial" w:cs="Arial" w:eastAsia="Arial" w:hAnsi="Arial"/>
          <w:sz w:val="17"/>
          <w:szCs w:val="17"/>
          <w:color w:val="auto"/>
        </w:rPr>
        <w:t>Any other provision of this Section 7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51" w:lineRule="exact"/>
        <w:rPr>
          <w:rFonts w:ascii="Arial" w:cs="Arial" w:eastAsia="Arial" w:hAnsi="Arial"/>
          <w:sz w:val="17"/>
          <w:szCs w:val="17"/>
          <w:b w:val="1"/>
          <w:bCs w:val="1"/>
          <w:color w:val="auto"/>
        </w:rPr>
      </w:pPr>
    </w:p>
    <w:p>
      <w:pPr>
        <w:ind w:firstLine="871"/>
        <w:spacing w:after="0" w:line="256" w:lineRule="auto"/>
        <w:tabs>
          <w:tab w:leader="none" w:pos="1125"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Permitted Transfers. </w:t>
      </w:r>
      <w:r>
        <w:rPr>
          <w:rFonts w:ascii="Arial" w:cs="Arial" w:eastAsia="Arial" w:hAnsi="Arial"/>
          <w:sz w:val="18"/>
          <w:szCs w:val="18"/>
          <w:color w:val="auto"/>
        </w:rPr>
        <w:t>This Section 7 shall not apply to (i) a transfer by beneficiary designation, will or intestate succession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ectPr>
          <w:pgSz w:w="11900" w:h="16838" w:orient="portrait"/>
          <w:cols w:equalWidth="0" w:num="1">
            <w:col w:w="10940"/>
          </w:cols>
          <w:pgMar w:left="460" w:top="270" w:right="499" w:bottom="1440" w:gutter="0" w:footer="0" w:header="0"/>
        </w:sectPr>
      </w:pPr>
    </w:p>
    <w:bookmarkStart w:id="345" w:name="page346"/>
    <w:bookmarkEnd w:id="345"/>
    <w:p>
      <w:pPr>
        <w:ind w:right="60" w:firstLine="871"/>
        <w:spacing w:after="0" w:line="276" w:lineRule="auto"/>
        <w:tabs>
          <w:tab w:leader="none" w:pos="1105"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of Rights as Stockholder. </w:t>
      </w:r>
      <w:r>
        <w:rPr>
          <w:rFonts w:ascii="Arial" w:cs="Arial" w:eastAsia="Arial" w:hAnsi="Arial"/>
          <w:sz w:val="17"/>
          <w:szCs w:val="17"/>
          <w:color w:val="auto"/>
        </w:rPr>
        <w:t>If the Company makes available, at the time and place and in the amount and form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63" w:lineRule="exact"/>
        <w:rPr>
          <w:rFonts w:ascii="Arial" w:cs="Arial" w:eastAsia="Arial" w:hAnsi="Arial"/>
          <w:sz w:val="17"/>
          <w:szCs w:val="17"/>
          <w:b w:val="1"/>
          <w:bCs w:val="1"/>
          <w:color w:val="auto"/>
        </w:rPr>
      </w:pPr>
    </w:p>
    <w:p>
      <w:pPr>
        <w:jc w:val="both"/>
        <w:ind w:right="100" w:firstLine="871"/>
        <w:spacing w:after="0" w:line="266" w:lineRule="auto"/>
        <w:tabs>
          <w:tab w:leader="none" w:pos="1135"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Right of First Refusal. </w:t>
      </w:r>
      <w:r>
        <w:rPr>
          <w:rFonts w:ascii="Arial" w:cs="Arial" w:eastAsia="Arial" w:hAnsi="Arial"/>
          <w:sz w:val="18"/>
          <w:szCs w:val="18"/>
          <w:color w:val="auto"/>
        </w:rPr>
        <w:t>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LEGALITY OF INITIAL ISSUANCE.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40" w:right="120" w:firstLine="845"/>
        <w:spacing w:after="0" w:line="277" w:lineRule="auto"/>
        <w:rPr>
          <w:sz w:val="20"/>
          <w:szCs w:val="20"/>
          <w:color w:val="auto"/>
        </w:rPr>
      </w:pPr>
      <w:r>
        <w:rPr>
          <w:rFonts w:ascii="Arial" w:cs="Arial" w:eastAsia="Arial" w:hAnsi="Arial"/>
          <w:sz w:val="18"/>
          <w:szCs w:val="18"/>
          <w:color w:val="auto"/>
        </w:rPr>
        <w:t>a. It and the Optionee have taken any actions required to register the Shares under the Securities Act or to perfect an exemption from the registration requirements thereof;</w:t>
      </w:r>
    </w:p>
    <w:p>
      <w:pPr>
        <w:spacing w:after="0" w:line="62" w:lineRule="exact"/>
        <w:rPr>
          <w:sz w:val="20"/>
          <w:szCs w:val="20"/>
          <w:color w:val="auto"/>
        </w:rPr>
      </w:pPr>
    </w:p>
    <w:p>
      <w:pPr>
        <w:ind w:left="1280" w:right="20"/>
        <w:spacing w:after="0" w:line="402" w:lineRule="auto"/>
        <w:rPr>
          <w:sz w:val="20"/>
          <w:szCs w:val="20"/>
          <w:color w:val="auto"/>
        </w:rPr>
      </w:pPr>
      <w:r>
        <w:rPr>
          <w:rFonts w:ascii="Arial" w:cs="Arial" w:eastAsia="Arial" w:hAnsi="Arial"/>
          <w:sz w:val="18"/>
          <w:szCs w:val="18"/>
          <w:color w:val="auto"/>
        </w:rPr>
        <w:t>b. Any applicable listing requirement of any stock exchange or other securities market on which Stock is listed has been satisfied; and c. Any other applicable provision of federal, State or foreign law has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NO REGISTRATION RIGHTS.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not be obligated to take any affirmative action in order to cause the sale of Shares under this Agreement to comply with any law.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RESTRICTIONS ON TRANSFER OF SHARES.</w:t>
      </w:r>
    </w:p>
    <w:p>
      <w:pPr>
        <w:spacing w:after="0" w:line="117" w:lineRule="exact"/>
        <w:rPr>
          <w:sz w:val="20"/>
          <w:szCs w:val="20"/>
          <w:color w:val="auto"/>
        </w:rPr>
      </w:pPr>
    </w:p>
    <w:p>
      <w:pPr>
        <w:ind w:firstLine="871"/>
        <w:spacing w:after="0" w:line="258" w:lineRule="auto"/>
        <w:tabs>
          <w:tab w:leader="none" w:pos="1135"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ectPr>
          <w:pgSz w:w="11900" w:h="16838" w:orient="portrait"/>
          <w:cols w:equalWidth="0" w:num="1">
            <w:col w:w="10940"/>
          </w:cols>
          <w:pgMar w:left="460" w:top="270" w:right="499" w:bottom="1440" w:gutter="0" w:footer="0" w:header="0"/>
        </w:sectPr>
      </w:pPr>
    </w:p>
    <w:bookmarkStart w:id="346" w:name="page347"/>
    <w:bookmarkEnd w:id="346"/>
    <w:p>
      <w:pPr>
        <w:ind w:left="10" w:firstLine="871"/>
        <w:spacing w:after="0" w:line="284" w:lineRule="auto"/>
        <w:tabs>
          <w:tab w:leader="none" w:pos="1155"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Market Stand-Off. </w:t>
      </w:r>
      <w:r>
        <w:rPr>
          <w:rFonts w:ascii="Arial" w:cs="Arial" w:eastAsia="Arial" w:hAnsi="Arial"/>
          <w:sz w:val="16"/>
          <w:szCs w:val="16"/>
          <w:color w:val="auto"/>
        </w:rPr>
        <w:t>In connection with any underwritten public offering by the Company of its equity securities pursuant to an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w:t>
      </w:r>
    </w:p>
    <w:p>
      <w:pPr>
        <w:spacing w:after="0" w:line="1" w:lineRule="exact"/>
        <w:rPr>
          <w:rFonts w:ascii="Arial" w:cs="Arial" w:eastAsia="Arial" w:hAnsi="Arial"/>
          <w:sz w:val="16"/>
          <w:szCs w:val="16"/>
          <w:b w:val="1"/>
          <w:bCs w:val="1"/>
          <w:color w:val="auto"/>
        </w:rPr>
      </w:pPr>
    </w:p>
    <w:p>
      <w:pPr>
        <w:ind w:left="10" w:right="80" w:hanging="10"/>
        <w:spacing w:after="0" w:line="268" w:lineRule="auto"/>
        <w:tabs>
          <w:tab w:leader="none" w:pos="26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69" w:lineRule="exact"/>
        <w:rPr>
          <w:rFonts w:ascii="Arial" w:cs="Arial" w:eastAsia="Arial" w:hAnsi="Arial"/>
          <w:sz w:val="17"/>
          <w:szCs w:val="17"/>
          <w:color w:val="auto"/>
        </w:rPr>
      </w:pPr>
    </w:p>
    <w:p>
      <w:pPr>
        <w:ind w:left="10" w:right="420" w:firstLine="871"/>
        <w:spacing w:after="0" w:line="281" w:lineRule="auto"/>
        <w:tabs>
          <w:tab w:leader="none" w:pos="1135"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Intent at Grant. </w:t>
      </w:r>
      <w:r>
        <w:rPr>
          <w:rFonts w:ascii="Arial" w:cs="Arial" w:eastAsia="Arial" w:hAnsi="Arial"/>
          <w:sz w:val="18"/>
          <w:szCs w:val="18"/>
          <w:color w:val="auto"/>
        </w:rPr>
        <w:t>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4" w:lineRule="exact"/>
        <w:rPr>
          <w:rFonts w:ascii="Arial" w:cs="Arial" w:eastAsia="Arial" w:hAnsi="Arial"/>
          <w:sz w:val="18"/>
          <w:szCs w:val="18"/>
          <w:b w:val="1"/>
          <w:bCs w:val="1"/>
          <w:color w:val="auto"/>
        </w:rPr>
      </w:pPr>
    </w:p>
    <w:p>
      <w:pPr>
        <w:ind w:left="10" w:right="120" w:firstLine="871"/>
        <w:spacing w:after="0" w:line="280" w:lineRule="auto"/>
        <w:tabs>
          <w:tab w:leader="none" w:pos="1155" w:val="left"/>
        </w:tabs>
        <w:numPr>
          <w:ilvl w:val="1"/>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at Exercise. </w:t>
      </w:r>
      <w:r>
        <w:rPr>
          <w:rFonts w:ascii="Arial" w:cs="Arial" w:eastAsia="Arial" w:hAnsi="Arial"/>
          <w:sz w:val="17"/>
          <w:szCs w:val="17"/>
          <w:color w:val="auto"/>
        </w:rPr>
        <w:t>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59" w:lineRule="exact"/>
        <w:rPr>
          <w:rFonts w:ascii="Arial" w:cs="Arial" w:eastAsia="Arial" w:hAnsi="Arial"/>
          <w:sz w:val="17"/>
          <w:szCs w:val="17"/>
          <w:b w:val="1"/>
          <w:bCs w:val="1"/>
          <w:color w:val="auto"/>
        </w:rPr>
      </w:pPr>
    </w:p>
    <w:p>
      <w:pPr>
        <w:ind w:left="1130" w:hanging="249"/>
        <w:spacing w:after="0"/>
        <w:tabs>
          <w:tab w:leader="none" w:pos="1130"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Legends. </w:t>
      </w:r>
      <w:r>
        <w:rPr>
          <w:rFonts w:ascii="Arial" w:cs="Arial" w:eastAsia="Arial" w:hAnsi="Arial"/>
          <w:sz w:val="18"/>
          <w:szCs w:val="18"/>
          <w:color w:val="auto"/>
        </w:rPr>
        <w:t>All certificates evidencing Shares purchased under this Agreement shall bear the following legend:</w:t>
      </w:r>
    </w:p>
    <w:p>
      <w:pPr>
        <w:sectPr>
          <w:pgSz w:w="11900" w:h="16838" w:orient="portrait"/>
          <w:cols w:equalWidth="0" w:num="1">
            <w:col w:w="10990"/>
          </w:cols>
          <w:pgMar w:left="450" w:top="270" w:right="459" w:bottom="1440" w:gutter="0" w:footer="0" w:header="0"/>
        </w:sectPr>
      </w:pPr>
    </w:p>
    <w:bookmarkStart w:id="347" w:name="page348"/>
    <w:bookmarkEnd w:id="347"/>
    <w:p>
      <w:pPr>
        <w:ind w:left="44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9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4" w:lineRule="exact"/>
        <w:rPr>
          <w:sz w:val="20"/>
          <w:szCs w:val="20"/>
          <w:color w:val="auto"/>
        </w:rPr>
      </w:pPr>
    </w:p>
    <w:p>
      <w:pPr>
        <w:ind w:firstLine="871"/>
        <w:spacing w:after="0" w:line="266" w:lineRule="auto"/>
        <w:tabs>
          <w:tab w:leader="none" w:pos="1105"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of Legends. </w:t>
      </w:r>
      <w:r>
        <w:rPr>
          <w:rFonts w:ascii="Arial" w:cs="Arial" w:eastAsia="Arial" w:hAnsi="Arial"/>
          <w:sz w:val="18"/>
          <w:szCs w:val="18"/>
          <w:color w:val="auto"/>
        </w:rPr>
        <w:t>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b w:val="1"/>
          <w:bCs w:val="1"/>
          <w:color w:val="auto"/>
        </w:rPr>
      </w:pPr>
    </w:p>
    <w:p>
      <w:pPr>
        <w:ind w:right="240" w:firstLine="871"/>
        <w:spacing w:after="0" w:line="281" w:lineRule="auto"/>
        <w:tabs>
          <w:tab w:leader="none" w:pos="1135"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Any determination by the Company and its counsel in connection with any of the matters set forth in this Section 10</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 and binding on the Optionee and all other persons.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ADJUSTMENT OF SHARES.</w:t>
      </w:r>
    </w:p>
    <w:p>
      <w:pPr>
        <w:spacing w:after="0" w:line="121" w:lineRule="exact"/>
        <w:rPr>
          <w:sz w:val="20"/>
          <w:szCs w:val="20"/>
          <w:color w:val="auto"/>
        </w:rPr>
      </w:pPr>
    </w:p>
    <w:p>
      <w:pPr>
        <w:jc w:val="both"/>
        <w:ind w:right="160" w:firstLine="880"/>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 PROVISIONS.</w:t>
      </w:r>
    </w:p>
    <w:p>
      <w:pPr>
        <w:spacing w:after="0" w:line="117" w:lineRule="exact"/>
        <w:rPr>
          <w:sz w:val="20"/>
          <w:szCs w:val="20"/>
          <w:color w:val="auto"/>
        </w:rPr>
      </w:pPr>
    </w:p>
    <w:p>
      <w:pPr>
        <w:ind w:right="220" w:firstLine="871"/>
        <w:spacing w:after="0" w:line="266" w:lineRule="auto"/>
        <w:tabs>
          <w:tab w:leader="none" w:pos="1135"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representative shall have any rights as a stockholder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subject to this option until the Optionee or the Optionee’s representative becomes entitled to receive such Shares by filing a notice of exercise and paying the Purchase Price pursuant to Sections 4 and 5.</w:t>
      </w:r>
    </w:p>
    <w:p>
      <w:pPr>
        <w:sectPr>
          <w:pgSz w:w="11900" w:h="16838" w:orient="portrait"/>
          <w:cols w:equalWidth="0" w:num="1">
            <w:col w:w="11000"/>
          </w:cols>
          <w:pgMar w:left="460" w:top="274" w:right="439" w:bottom="1440" w:gutter="0" w:footer="0" w:header="0"/>
        </w:sectPr>
      </w:pPr>
    </w:p>
    <w:bookmarkStart w:id="348" w:name="page349"/>
    <w:bookmarkEnd w:id="348"/>
    <w:p>
      <w:pPr>
        <w:ind w:right="260" w:firstLine="871"/>
        <w:spacing w:after="0" w:line="260" w:lineRule="auto"/>
        <w:tabs>
          <w:tab w:leader="none" w:pos="114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Retention Rights. </w:t>
      </w:r>
      <w:r>
        <w:rPr>
          <w:rFonts w:ascii="Arial" w:cs="Arial" w:eastAsia="Arial" w:hAnsi="Arial"/>
          <w:sz w:val="18"/>
          <w:szCs w:val="18"/>
          <w:color w:val="auto"/>
        </w:rPr>
        <w:t>Nothing in this option or in the Plan shall confer upon the Optionee any right to continue in Service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4" w:lineRule="exact"/>
        <w:rPr>
          <w:rFonts w:ascii="Arial" w:cs="Arial" w:eastAsia="Arial" w:hAnsi="Arial"/>
          <w:sz w:val="18"/>
          <w:szCs w:val="18"/>
          <w:b w:val="1"/>
          <w:bCs w:val="1"/>
          <w:color w:val="auto"/>
        </w:rPr>
      </w:pPr>
    </w:p>
    <w:p>
      <w:pPr>
        <w:ind w:right="260" w:firstLine="871"/>
        <w:spacing w:after="0" w:line="280" w:lineRule="auto"/>
        <w:tabs>
          <w:tab w:leader="none" w:pos="1125"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9" w:lineRule="exact"/>
        <w:rPr>
          <w:rFonts w:ascii="Arial" w:cs="Arial" w:eastAsia="Arial" w:hAnsi="Arial"/>
          <w:sz w:val="17"/>
          <w:szCs w:val="17"/>
          <w:b w:val="1"/>
          <w:bCs w:val="1"/>
          <w:color w:val="auto"/>
        </w:rPr>
      </w:pPr>
    </w:p>
    <w:p>
      <w:pPr>
        <w:jc w:val="both"/>
        <w:ind w:right="300" w:firstLine="871"/>
        <w:spacing w:after="0" w:line="266" w:lineRule="auto"/>
        <w:tabs>
          <w:tab w:leader="none" w:pos="114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of Stock Option Grant, this Agreement and the Plan constitute the entire contract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b w:val="1"/>
          <w:bCs w:val="1"/>
          <w:color w:val="auto"/>
        </w:rPr>
      </w:pPr>
    </w:p>
    <w:p>
      <w:pPr>
        <w:ind w:right="40" w:firstLine="871"/>
        <w:spacing w:after="0" w:line="281" w:lineRule="auto"/>
        <w:tabs>
          <w:tab w:leader="none" w:pos="112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54" w:lineRule="exact"/>
        <w:rPr>
          <w:rFonts w:ascii="Arial" w:cs="Arial" w:eastAsia="Arial" w:hAnsi="Arial"/>
          <w:sz w:val="18"/>
          <w:szCs w:val="18"/>
          <w:b w:val="1"/>
          <w:bCs w:val="1"/>
          <w:color w:val="auto"/>
        </w:rPr>
      </w:pPr>
    </w:p>
    <w:p>
      <w:pPr>
        <w:ind w:right="140" w:firstLine="871"/>
        <w:spacing w:after="0" w:line="276" w:lineRule="auto"/>
        <w:tabs>
          <w:tab w:leader="none" w:pos="1105"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Discretionary. </w:t>
      </w:r>
      <w:r>
        <w:rPr>
          <w:rFonts w:ascii="Arial" w:cs="Arial" w:eastAsia="Arial" w:hAnsi="Arial"/>
          <w:sz w:val="17"/>
          <w:szCs w:val="17"/>
          <w:color w:val="auto"/>
        </w:rPr>
        <w:t>The Optionee understands and acknowledges that (i) the Plan is entirely discretionary, (ii)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63" w:lineRule="exact"/>
        <w:rPr>
          <w:rFonts w:ascii="Arial" w:cs="Arial" w:eastAsia="Arial" w:hAnsi="Arial"/>
          <w:sz w:val="17"/>
          <w:szCs w:val="17"/>
          <w:b w:val="1"/>
          <w:bCs w:val="1"/>
          <w:color w:val="auto"/>
        </w:rPr>
      </w:pPr>
    </w:p>
    <w:p>
      <w:pPr>
        <w:ind w:right="320" w:firstLine="871"/>
        <w:spacing w:after="0" w:line="314" w:lineRule="auto"/>
        <w:tabs>
          <w:tab w:leader="none" w:pos="1135"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Extraordinary Compensation. </w:t>
      </w:r>
      <w:r>
        <w:rPr>
          <w:rFonts w:ascii="Arial" w:cs="Arial" w:eastAsia="Arial" w:hAnsi="Arial"/>
          <w:sz w:val="16"/>
          <w:szCs w:val="16"/>
          <w:color w:val="auto"/>
        </w:rPr>
        <w:t>The value of this option shall be an extraordinary item of compensation outside the scope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33" w:lineRule="exact"/>
        <w:rPr>
          <w:rFonts w:ascii="Arial" w:cs="Arial" w:eastAsia="Arial" w:hAnsi="Arial"/>
          <w:sz w:val="16"/>
          <w:szCs w:val="16"/>
          <w:b w:val="1"/>
          <w:bCs w:val="1"/>
          <w:color w:val="auto"/>
        </w:rPr>
      </w:pPr>
    </w:p>
    <w:p>
      <w:pPr>
        <w:ind w:right="260" w:firstLine="871"/>
        <w:spacing w:after="0" w:line="281" w:lineRule="auto"/>
        <w:tabs>
          <w:tab w:leader="none" w:pos="114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The Optionee understands and acknowledges that participation in the Plan ceases upon termination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Service for any reason, except as may explicitly be provided otherwise in the Plan or this Agreement.</w:t>
      </w:r>
    </w:p>
    <w:p>
      <w:pPr>
        <w:spacing w:after="0" w:line="54" w:lineRule="exact"/>
        <w:rPr>
          <w:rFonts w:ascii="Arial" w:cs="Arial" w:eastAsia="Arial" w:hAnsi="Arial"/>
          <w:sz w:val="18"/>
          <w:szCs w:val="18"/>
          <w:b w:val="1"/>
          <w:bCs w:val="1"/>
          <w:color w:val="auto"/>
        </w:rPr>
      </w:pPr>
    </w:p>
    <w:p>
      <w:pPr>
        <w:ind w:right="80" w:firstLine="871"/>
        <w:spacing w:after="0" w:line="314" w:lineRule="auto"/>
        <w:tabs>
          <w:tab w:leader="none" w:pos="1095"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to Disclose. </w:t>
      </w:r>
      <w:r>
        <w:rPr>
          <w:rFonts w:ascii="Arial" w:cs="Arial" w:eastAsia="Arial" w:hAnsi="Arial"/>
          <w:sz w:val="16"/>
          <w:szCs w:val="16"/>
          <w:color w:val="auto"/>
        </w:rPr>
        <w:t>The Optionee hereby authorizes and directs the Optionee’s employer to disclose to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33" w:lineRule="exact"/>
        <w:rPr>
          <w:rFonts w:ascii="Arial" w:cs="Arial" w:eastAsia="Arial" w:hAnsi="Arial"/>
          <w:sz w:val="16"/>
          <w:szCs w:val="16"/>
          <w:b w:val="1"/>
          <w:bCs w:val="1"/>
          <w:color w:val="auto"/>
        </w:rPr>
      </w:pPr>
    </w:p>
    <w:p>
      <w:pPr>
        <w:ind w:left="1100" w:hanging="229"/>
        <w:spacing w:after="0"/>
        <w:tabs>
          <w:tab w:leader="none" w:pos="1100"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Personal Data Authorization. </w:t>
      </w:r>
      <w:r>
        <w:rPr>
          <w:rFonts w:ascii="Arial" w:cs="Arial" w:eastAsia="Arial" w:hAnsi="Arial"/>
          <w:sz w:val="16"/>
          <w:szCs w:val="16"/>
          <w:color w:val="auto"/>
        </w:rPr>
        <w:t>The Optionee consents to the collection, use and transfer of personal data as described in this Subsection</w:t>
      </w:r>
    </w:p>
    <w:p>
      <w:pPr>
        <w:spacing w:after="0" w:line="50" w:lineRule="exact"/>
        <w:rPr>
          <w:rFonts w:ascii="Arial" w:cs="Arial" w:eastAsia="Arial" w:hAnsi="Arial"/>
          <w:sz w:val="16"/>
          <w:szCs w:val="16"/>
          <w:b w:val="1"/>
          <w:bCs w:val="1"/>
          <w:color w:val="auto"/>
        </w:rPr>
      </w:pPr>
    </w:p>
    <w:p>
      <w:pPr>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(j).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“Data”).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(j) by contacting the Human Resources Department of the Company in writing.]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ACKNOWLEDGEMENTS OF THE OPTIONEE.</w:t>
      </w:r>
    </w:p>
    <w:p>
      <w:pPr>
        <w:spacing w:after="0" w:line="117" w:lineRule="exact"/>
        <w:rPr>
          <w:sz w:val="20"/>
          <w:szCs w:val="20"/>
          <w:color w:val="auto"/>
        </w:rPr>
      </w:pPr>
    </w:p>
    <w:p>
      <w:pPr>
        <w:ind w:right="40" w:firstLine="871"/>
        <w:spacing w:after="0" w:line="271" w:lineRule="auto"/>
        <w:tabs>
          <w:tab w:leader="none" w:pos="1135"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Consequences. </w:t>
      </w:r>
      <w:r>
        <w:rPr>
          <w:rFonts w:ascii="Arial" w:cs="Arial" w:eastAsia="Arial" w:hAnsi="Arial"/>
          <w:sz w:val="17"/>
          <w:szCs w:val="17"/>
          <w:color w:val="auto"/>
        </w:rPr>
        <w:t>The Optionee agrees that the Company does not have a duty to design or administer the Plan or its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6" w:lineRule="exact"/>
        <w:rPr>
          <w:rFonts w:ascii="Arial" w:cs="Arial" w:eastAsia="Arial" w:hAnsi="Arial"/>
          <w:sz w:val="17"/>
          <w:szCs w:val="17"/>
          <w:b w:val="1"/>
          <w:bCs w:val="1"/>
          <w:color w:val="auto"/>
        </w:rPr>
      </w:pPr>
    </w:p>
    <w:p>
      <w:pPr>
        <w:ind w:right="120" w:firstLine="871"/>
        <w:spacing w:after="0" w:line="276" w:lineRule="auto"/>
        <w:tabs>
          <w:tab w:leader="none" w:pos="1145"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of Documents. </w:t>
      </w:r>
      <w:r>
        <w:rPr>
          <w:rFonts w:ascii="Arial" w:cs="Arial" w:eastAsia="Arial" w:hAnsi="Arial"/>
          <w:sz w:val="17"/>
          <w:szCs w:val="17"/>
          <w:color w:val="auto"/>
        </w:rPr>
        <w:t>The Optionee agrees that the Company may deliver by email all documents relating to the Plan or</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ectPr>
          <w:pgSz w:w="11900" w:h="16838" w:orient="portrait"/>
          <w:cols w:equalWidth="0" w:num="1">
            <w:col w:w="11000"/>
          </w:cols>
          <w:pgMar w:left="460" w:top="269" w:right="4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14. DEFINITIONS.</w:t>
      </w:r>
    </w:p>
    <w:p>
      <w:pPr>
        <w:spacing w:after="0" w:line="117" w:lineRule="exact"/>
        <w:rPr>
          <w:sz w:val="20"/>
          <w:szCs w:val="20"/>
          <w:color w:val="auto"/>
        </w:rPr>
      </w:pPr>
    </w:p>
    <w:p>
      <w:pPr>
        <w:ind w:left="1120" w:hanging="249"/>
        <w:spacing w:after="0"/>
        <w:tabs>
          <w:tab w:leader="none" w:pos="11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Stock Option Agreement.</w:t>
      </w:r>
    </w:p>
    <w:p>
      <w:pPr>
        <w:spacing w:after="0" w:line="116" w:lineRule="exact"/>
        <w:rPr>
          <w:rFonts w:ascii="Arial" w:cs="Arial" w:eastAsia="Arial" w:hAnsi="Arial"/>
          <w:sz w:val="18"/>
          <w:szCs w:val="18"/>
          <w:b w:val="1"/>
          <w:bCs w:val="1"/>
          <w:color w:val="auto"/>
        </w:rPr>
      </w:pPr>
    </w:p>
    <w:p>
      <w:pPr>
        <w:ind w:right="140" w:firstLine="871"/>
        <w:spacing w:after="0" w:line="281" w:lineRule="auto"/>
        <w:tabs>
          <w:tab w:leader="none" w:pos="114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 or, if a Committee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such Committee.</w:t>
      </w:r>
    </w:p>
    <w:p>
      <w:pPr>
        <w:spacing w:after="0" w:line="54"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6" w:lineRule="exact"/>
        <w:rPr>
          <w:rFonts w:ascii="Arial" w:cs="Arial" w:eastAsia="Arial" w:hAnsi="Arial"/>
          <w:sz w:val="18"/>
          <w:szCs w:val="18"/>
          <w:b w:val="1"/>
          <w:bCs w:val="1"/>
          <w:color w:val="auto"/>
        </w:rPr>
      </w:pPr>
    </w:p>
    <w:p>
      <w:pPr>
        <w:ind w:left="1140" w:hanging="269"/>
        <w:spacing w:after="0"/>
        <w:tabs>
          <w:tab w:leader="none" w:pos="11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as described in Section 2 of the Plan.</w:t>
      </w:r>
    </w:p>
    <w:p>
      <w:pPr>
        <w:spacing w:after="0" w:line="116"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SI-BONE, Inc., a Delaware corporation.</w:t>
      </w:r>
    </w:p>
    <w:p>
      <w:pPr>
        <w:spacing w:after="0" w:line="116" w:lineRule="exact"/>
        <w:rPr>
          <w:rFonts w:ascii="Arial" w:cs="Arial" w:eastAsia="Arial" w:hAnsi="Arial"/>
          <w:sz w:val="18"/>
          <w:szCs w:val="18"/>
          <w:b w:val="1"/>
          <w:bCs w:val="1"/>
          <w:color w:val="auto"/>
        </w:rPr>
      </w:pPr>
    </w:p>
    <w:p>
      <w:pPr>
        <w:ind w:firstLine="871"/>
        <w:spacing w:after="0" w:line="281" w:lineRule="auto"/>
        <w:tabs>
          <w:tab w:leader="none" w:pos="110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4" w:lineRule="exact"/>
        <w:rPr>
          <w:rFonts w:ascii="Arial" w:cs="Arial" w:eastAsia="Arial" w:hAnsi="Arial"/>
          <w:sz w:val="18"/>
          <w:szCs w:val="18"/>
          <w:b w:val="1"/>
          <w:bCs w:val="1"/>
          <w:color w:val="auto"/>
        </w:rPr>
      </w:pPr>
    </w:p>
    <w:p>
      <w:pPr>
        <w:ind w:right="120" w:firstLine="871"/>
        <w:spacing w:after="0" w:line="281" w:lineRule="auto"/>
        <w:tabs>
          <w:tab w:leader="none" w:pos="113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date of grant specified in the Notice of Stock Option Grant, which date shall be the later of (i)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Board of Directors resolved to grant this option or (ii) the first day of the Optionee’s Service.</w:t>
      </w:r>
    </w:p>
    <w:p>
      <w:pPr>
        <w:spacing w:after="0" w:line="54" w:lineRule="exact"/>
        <w:rPr>
          <w:rFonts w:ascii="Arial" w:cs="Arial" w:eastAsia="Arial" w:hAnsi="Arial"/>
          <w:sz w:val="18"/>
          <w:szCs w:val="18"/>
          <w:b w:val="1"/>
          <w:bCs w:val="1"/>
          <w:color w:val="auto"/>
        </w:rPr>
      </w:pPr>
    </w:p>
    <w:p>
      <w:pPr>
        <w:ind w:right="940" w:firstLine="871"/>
        <w:spacing w:after="0" w:line="281" w:lineRule="auto"/>
        <w:tabs>
          <w:tab w:leader="none" w:pos="114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that the Optionee is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or mental impairment.</w:t>
      </w:r>
    </w:p>
    <w:p>
      <w:pPr>
        <w:spacing w:after="0" w:line="54" w:lineRule="exact"/>
        <w:rPr>
          <w:rFonts w:ascii="Arial" w:cs="Arial" w:eastAsia="Arial" w:hAnsi="Arial"/>
          <w:sz w:val="18"/>
          <w:szCs w:val="18"/>
          <w:b w:val="1"/>
          <w:bCs w:val="1"/>
          <w:color w:val="auto"/>
        </w:rPr>
      </w:pPr>
    </w:p>
    <w:p>
      <w:pPr>
        <w:ind w:left="1080" w:hanging="209"/>
        <w:spacing w:after="0"/>
        <w:tabs>
          <w:tab w:leader="none" w:pos="10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16" w:lineRule="exact"/>
        <w:rPr>
          <w:rFonts w:ascii="Arial" w:cs="Arial" w:eastAsia="Arial" w:hAnsi="Arial"/>
          <w:sz w:val="18"/>
          <w:szCs w:val="18"/>
          <w:b w:val="1"/>
          <w:bCs w:val="1"/>
          <w:color w:val="auto"/>
        </w:rPr>
      </w:pPr>
    </w:p>
    <w:p>
      <w:pPr>
        <w:ind w:right="140" w:firstLine="871"/>
        <w:spacing w:after="0" w:line="281" w:lineRule="auto"/>
        <w:tabs>
          <w:tab w:leader="none" w:pos="110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amount for which one Share may be purchased upon exercise of this option, as specified in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Option Grant.</w:t>
      </w:r>
    </w:p>
    <w:p>
      <w:pPr>
        <w:spacing w:after="0" w:line="54" w:lineRule="exact"/>
        <w:rPr>
          <w:rFonts w:ascii="Arial" w:cs="Arial" w:eastAsia="Arial" w:hAnsi="Arial"/>
          <w:sz w:val="18"/>
          <w:szCs w:val="18"/>
          <w:b w:val="1"/>
          <w:bCs w:val="1"/>
          <w:color w:val="auto"/>
        </w:rPr>
      </w:pPr>
    </w:p>
    <w:p>
      <w:pPr>
        <w:ind w:right="700" w:firstLine="871"/>
        <w:spacing w:after="0" w:line="281" w:lineRule="auto"/>
        <w:tabs>
          <w:tab w:leader="none" w:pos="114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shall mean the fair market value of a Share, as determined by the Board of Directors in good faith.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conclusive and binding on all persons.</w:t>
      </w:r>
    </w:p>
    <w:p>
      <w:pPr>
        <w:spacing w:after="0" w:line="54" w:lineRule="exact"/>
        <w:rPr>
          <w:rFonts w:ascii="Arial" w:cs="Arial" w:eastAsia="Arial" w:hAnsi="Arial"/>
          <w:sz w:val="18"/>
          <w:szCs w:val="18"/>
          <w:b w:val="1"/>
          <w:bCs w:val="1"/>
          <w:color w:val="auto"/>
        </w:rPr>
      </w:pPr>
    </w:p>
    <w:p>
      <w:pPr>
        <w:ind w:right="20" w:firstLine="871"/>
        <w:spacing w:after="0" w:line="281" w:lineRule="auto"/>
        <w:tabs>
          <w:tab w:leader="none" w:pos="109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“Immediate Family” </w:t>
      </w:r>
      <w:r>
        <w:rPr>
          <w:rFonts w:ascii="Arial" w:cs="Arial" w:eastAsia="Arial" w:hAnsi="Arial"/>
          <w:sz w:val="18"/>
          <w:szCs w:val="18"/>
          <w:color w:val="auto"/>
        </w:rPr>
        <w:t>shall mean any child, stepchild, grandchild, parent, stepparent, grandparent, spouse, sibling, mother-in-law, father-in-law, son-in-law, daughter-in-law, brother-in-law or sister-in-law and shall include adoptive relationships.</w:t>
      </w:r>
    </w:p>
    <w:p>
      <w:pPr>
        <w:spacing w:after="0" w:line="54" w:lineRule="exact"/>
        <w:rPr>
          <w:rFonts w:ascii="Arial" w:cs="Arial" w:eastAsia="Arial" w:hAnsi="Arial"/>
          <w:sz w:val="18"/>
          <w:szCs w:val="18"/>
          <w:b w:val="1"/>
          <w:bCs w:val="1"/>
          <w:color w:val="auto"/>
        </w:rPr>
      </w:pPr>
    </w:p>
    <w:p>
      <w:pPr>
        <w:ind w:left="1180" w:hanging="309"/>
        <w:spacing w:after="0"/>
        <w:tabs>
          <w:tab w:leader="none" w:pos="11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shall mean an employee incentive stock option described in Section 422(b) of the Code.</w:t>
      </w:r>
    </w:p>
    <w:p>
      <w:pPr>
        <w:sectPr>
          <w:pgSz w:w="11900" w:h="16838" w:orient="portrait"/>
          <w:cols w:equalWidth="0" w:num="1">
            <w:col w:w="10960"/>
          </w:cols>
          <w:pgMar w:left="460" w:top="269" w:right="479" w:bottom="1440" w:gutter="0" w:footer="0" w:header="0"/>
        </w:sectPr>
      </w:pPr>
    </w:p>
    <w:bookmarkStart w:id="350" w:name="page351"/>
    <w:bookmarkEnd w:id="350"/>
    <w:p>
      <w:pPr>
        <w:ind w:left="1140" w:hanging="269"/>
        <w:spacing w:after="0"/>
        <w:tabs>
          <w:tab w:leader="none" w:pos="11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of Stock Option Grant” </w:t>
      </w:r>
      <w:r>
        <w:rPr>
          <w:rFonts w:ascii="Arial" w:cs="Arial" w:eastAsia="Arial" w:hAnsi="Arial"/>
          <w:sz w:val="18"/>
          <w:szCs w:val="18"/>
          <w:color w:val="auto"/>
        </w:rPr>
        <w:t>shall mean the document so entitled to which this Agreement is attached.</w:t>
      </w:r>
    </w:p>
    <w:p>
      <w:pPr>
        <w:spacing w:after="0" w:line="116"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shall mean a stock option not described in Sections 422(b) or 423(b) of the Code.</w:t>
      </w:r>
    </w:p>
    <w:p>
      <w:pPr>
        <w:spacing w:after="0" w:line="116" w:lineRule="exact"/>
        <w:rPr>
          <w:rFonts w:ascii="Arial" w:cs="Arial" w:eastAsia="Arial" w:hAnsi="Arial"/>
          <w:sz w:val="18"/>
          <w:szCs w:val="18"/>
          <w:b w:val="1"/>
          <w:bCs w:val="1"/>
          <w:color w:val="auto"/>
        </w:rPr>
      </w:pPr>
    </w:p>
    <w:p>
      <w:pPr>
        <w:ind w:left="1140" w:hanging="269"/>
        <w:spacing w:after="0"/>
        <w:tabs>
          <w:tab w:leader="none" w:pos="11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Stock Option Grant.</w:t>
      </w:r>
    </w:p>
    <w:p>
      <w:pPr>
        <w:spacing w:after="0" w:line="116" w:lineRule="exact"/>
        <w:rPr>
          <w:rFonts w:ascii="Arial" w:cs="Arial" w:eastAsia="Arial" w:hAnsi="Arial"/>
          <w:sz w:val="18"/>
          <w:szCs w:val="18"/>
          <w:b w:val="1"/>
          <w:bCs w:val="1"/>
          <w:color w:val="auto"/>
        </w:rPr>
      </w:pPr>
    </w:p>
    <w:p>
      <w:pPr>
        <w:ind w:left="1140" w:hanging="269"/>
        <w:spacing w:after="0"/>
        <w:tabs>
          <w:tab w:leader="none" w:pos="11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shall mean a member of the Board of Directors who is not an Employee.</w:t>
      </w:r>
    </w:p>
    <w:p>
      <w:pPr>
        <w:spacing w:after="0" w:line="116" w:lineRule="exact"/>
        <w:rPr>
          <w:rFonts w:ascii="Arial" w:cs="Arial" w:eastAsia="Arial" w:hAnsi="Arial"/>
          <w:sz w:val="18"/>
          <w:szCs w:val="18"/>
          <w:b w:val="1"/>
          <w:bCs w:val="1"/>
          <w:color w:val="auto"/>
        </w:rPr>
      </w:pPr>
    </w:p>
    <w:p>
      <w:pPr>
        <w:jc w:val="both"/>
        <w:ind w:right="60" w:firstLine="871"/>
        <w:spacing w:after="0" w:line="266" w:lineRule="auto"/>
        <w:tabs>
          <w:tab w:leader="none" w:pos="112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100" w:hanging="229"/>
        <w:spacing w:after="0"/>
        <w:tabs>
          <w:tab w:leader="none" w:pos="110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SI-BONE, Inc. 2008 Stock Plan, as in effect on the Date of Grant.</w:t>
      </w:r>
    </w:p>
    <w:p>
      <w:pPr>
        <w:spacing w:after="0" w:line="116" w:lineRule="exact"/>
        <w:rPr>
          <w:rFonts w:ascii="Arial" w:cs="Arial" w:eastAsia="Arial" w:hAnsi="Arial"/>
          <w:sz w:val="18"/>
          <w:szCs w:val="18"/>
          <w:b w:val="1"/>
          <w:bCs w:val="1"/>
          <w:color w:val="auto"/>
        </w:rPr>
      </w:pPr>
    </w:p>
    <w:p>
      <w:pPr>
        <w:ind w:left="1100" w:hanging="229"/>
        <w:spacing w:after="0"/>
        <w:tabs>
          <w:tab w:leader="none" w:pos="1100"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shall mean the Exercise Price multiplied by the number of Shares with respect to which this option is being exercised.</w:t>
      </w:r>
    </w:p>
    <w:p>
      <w:pPr>
        <w:spacing w:after="0" w:line="139" w:lineRule="exact"/>
        <w:rPr>
          <w:rFonts w:ascii="Arial" w:cs="Arial" w:eastAsia="Arial" w:hAnsi="Arial"/>
          <w:sz w:val="16"/>
          <w:szCs w:val="16"/>
          <w:b w:val="1"/>
          <w:bCs w:val="1"/>
          <w:color w:val="auto"/>
        </w:rPr>
      </w:pPr>
    </w:p>
    <w:p>
      <w:pPr>
        <w:ind w:left="1140" w:hanging="269"/>
        <w:spacing w:after="0"/>
        <w:tabs>
          <w:tab w:leader="none" w:pos="11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shall mean the Company’s right of first refusal described in Section 7.</w:t>
      </w:r>
    </w:p>
    <w:p>
      <w:pPr>
        <w:spacing w:after="0" w:line="116"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116" w:lineRule="exact"/>
        <w:rPr>
          <w:rFonts w:ascii="Arial" w:cs="Arial" w:eastAsia="Arial" w:hAnsi="Arial"/>
          <w:sz w:val="18"/>
          <w:szCs w:val="18"/>
          <w:b w:val="1"/>
          <w:bCs w:val="1"/>
          <w:color w:val="auto"/>
        </w:rPr>
      </w:pPr>
    </w:p>
    <w:p>
      <w:pPr>
        <w:ind w:left="1160" w:hanging="289"/>
        <w:spacing w:after="0"/>
        <w:tabs>
          <w:tab w:leader="none" w:pos="11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service as an Employee, Outside Director or Consultant.</w:t>
      </w:r>
    </w:p>
    <w:p>
      <w:pPr>
        <w:spacing w:after="0" w:line="116"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shall mean one share of Stock, as adjusted in accordance with Section 8 of the Plan (if applicable).</w:t>
      </w:r>
    </w:p>
    <w:p>
      <w:pPr>
        <w:spacing w:after="0" w:line="116"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shall mean the Series 1 Common Stock of the Company.</w:t>
      </w:r>
    </w:p>
    <w:p>
      <w:pPr>
        <w:spacing w:after="0" w:line="116" w:lineRule="exact"/>
        <w:rPr>
          <w:rFonts w:ascii="Arial" w:cs="Arial" w:eastAsia="Arial" w:hAnsi="Arial"/>
          <w:sz w:val="18"/>
          <w:szCs w:val="18"/>
          <w:b w:val="1"/>
          <w:bCs w:val="1"/>
          <w:color w:val="auto"/>
        </w:rPr>
      </w:pPr>
    </w:p>
    <w:p>
      <w:pPr>
        <w:jc w:val="both"/>
        <w:ind w:right="40" w:firstLine="871"/>
        <w:spacing w:after="0" w:line="266" w:lineRule="auto"/>
        <w:tabs>
          <w:tab w:leader="none" w:pos="112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any corporation (other than the Company) in an unbroken chain of corporations beginning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if each of the corporations other than the last corporation in the unbroken chain owns stock possessing 50% or more of the total combined voting power of all classes of stock in one of the other corporations in such chain.</w:t>
      </w:r>
    </w:p>
    <w:p>
      <w:pPr>
        <w:spacing w:after="0" w:line="67" w:lineRule="exact"/>
        <w:rPr>
          <w:sz w:val="20"/>
          <w:szCs w:val="20"/>
          <w:color w:val="auto"/>
        </w:rPr>
      </w:pPr>
    </w:p>
    <w:p>
      <w:pPr>
        <w:ind w:left="1220" w:hanging="349"/>
        <w:spacing w:after="0"/>
        <w:tabs>
          <w:tab w:leader="none" w:pos="1220"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“Transferee” </w:t>
      </w:r>
      <w:r>
        <w:rPr>
          <w:rFonts w:ascii="Arial" w:cs="Arial" w:eastAsia="Arial" w:hAnsi="Arial"/>
          <w:sz w:val="17"/>
          <w:szCs w:val="17"/>
          <w:color w:val="auto"/>
        </w:rPr>
        <w:t>shall mean any person to whom the Optionee has directly or indirectly transferred any Share acquired under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8" w:lineRule="exact"/>
        <w:rPr>
          <w:sz w:val="20"/>
          <w:szCs w:val="20"/>
          <w:color w:val="auto"/>
        </w:rPr>
      </w:pPr>
    </w:p>
    <w:p>
      <w:pPr>
        <w:ind w:left="1240" w:hanging="369"/>
        <w:spacing w:after="0"/>
        <w:tabs>
          <w:tab w:leader="none" w:pos="12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Notice” </w:t>
      </w:r>
      <w:r>
        <w:rPr>
          <w:rFonts w:ascii="Arial" w:cs="Arial" w:eastAsia="Arial" w:hAnsi="Arial"/>
          <w:sz w:val="18"/>
          <w:szCs w:val="18"/>
          <w:color w:val="auto"/>
        </w:rPr>
        <w:t>shall mean the notice of a proposed transfer of Shares described in Section 7.</w:t>
      </w:r>
    </w:p>
    <w:p>
      <w:pPr>
        <w:sectPr>
          <w:pgSz w:w="11900" w:h="16838" w:orient="portrait"/>
          <w:cols w:equalWidth="0" w:num="1">
            <w:col w:w="10940"/>
          </w:cols>
          <w:pgMar w:left="460" w:top="270" w:right="499" w:bottom="1440" w:gutter="0" w:footer="0" w:header="0"/>
        </w:sectPr>
      </w:pPr>
    </w:p>
    <w:bookmarkStart w:id="351" w:name="page352"/>
    <w:bookmarkEnd w:id="351"/>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2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NOTICE OF STOCK OPTION EXERCISE</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You must sign this Notice on Page 3 before submitting it to the Company.</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64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20"/>
              <w:spacing w:after="0"/>
              <w:rPr>
                <w:sz w:val="20"/>
                <w:szCs w:val="20"/>
                <w:color w:val="auto"/>
              </w:rPr>
            </w:pPr>
            <w:r>
              <w:rPr>
                <w:rFonts w:ascii="Arial" w:cs="Arial" w:eastAsia="Arial" w:hAnsi="Arial"/>
                <w:sz w:val="18"/>
                <w:szCs w:val="18"/>
                <w:color w:val="auto"/>
              </w:rPr>
              <w:t>Social Security Number:</w:t>
            </w:r>
          </w:p>
        </w:tc>
        <w:tc>
          <w:tcPr>
            <w:tcW w:w="5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20"/>
              <w:spacing w:after="0"/>
              <w:rPr>
                <w:sz w:val="20"/>
                <w:szCs w:val="20"/>
                <w:color w:val="auto"/>
              </w:rPr>
            </w:pPr>
            <w:r>
              <w:rPr>
                <w:rFonts w:ascii="Arial" w:cs="Arial" w:eastAsia="Arial" w:hAnsi="Arial"/>
                <w:sz w:val="18"/>
                <w:szCs w:val="18"/>
                <w:color w:val="auto"/>
              </w:rPr>
              <w:t>Employee Number:</w:t>
            </w:r>
          </w:p>
        </w:tc>
        <w:tc>
          <w:tcPr>
            <w:tcW w:w="5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47"/>
        </w:trPr>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7"/>
        </w:trPr>
        <w:tc>
          <w:tcPr>
            <w:tcW w:w="5540" w:type="dxa"/>
            <w:vAlign w:val="bottom"/>
            <w:gridSpan w:val="5"/>
          </w:tcPr>
          <w:p>
            <w:pPr>
              <w:spacing w:after="0"/>
              <w:rPr>
                <w:sz w:val="20"/>
                <w:szCs w:val="20"/>
                <w:color w:val="auto"/>
              </w:rPr>
            </w:pPr>
            <w:r>
              <w:rPr>
                <w:rFonts w:ascii="Arial" w:cs="Arial" w:eastAsia="Arial" w:hAnsi="Arial"/>
                <w:sz w:val="18"/>
                <w:szCs w:val="18"/>
                <w:color w:val="auto"/>
              </w:rPr>
              <w:t>Date of Grant: _____________ ___, 20__</w:t>
            </w:r>
          </w:p>
        </w:tc>
        <w:tc>
          <w:tcPr>
            <w:tcW w:w="2520" w:type="dxa"/>
            <w:vAlign w:val="bottom"/>
          </w:tcPr>
          <w:p>
            <w:pPr>
              <w:ind w:left="300"/>
              <w:spacing w:after="0"/>
              <w:rPr>
                <w:sz w:val="20"/>
                <w:szCs w:val="20"/>
                <w:color w:val="auto"/>
              </w:rPr>
            </w:pPr>
            <w:r>
              <w:rPr>
                <w:rFonts w:ascii="Arial" w:cs="Arial" w:eastAsia="Arial" w:hAnsi="Arial"/>
                <w:sz w:val="18"/>
                <w:szCs w:val="18"/>
                <w:color w:val="auto"/>
              </w:rPr>
              <w:t>Type of Stock Option:</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83"/>
        </w:trPr>
        <w:tc>
          <w:tcPr>
            <w:tcW w:w="1980" w:type="dxa"/>
            <w:vAlign w:val="bottom"/>
            <w:gridSpan w:val="2"/>
          </w:tcPr>
          <w:p>
            <w:pPr>
              <w:spacing w:after="0"/>
              <w:rPr>
                <w:sz w:val="20"/>
                <w:szCs w:val="20"/>
                <w:color w:val="auto"/>
              </w:rPr>
            </w:pPr>
            <w:r>
              <w:rPr>
                <w:rFonts w:ascii="Arial" w:cs="Arial" w:eastAsia="Arial" w:hAnsi="Arial"/>
                <w:sz w:val="18"/>
                <w:szCs w:val="18"/>
                <w:color w:val="auto"/>
                <w:w w:val="89"/>
              </w:rPr>
              <w:t>Exercise Price per Share: $</w:t>
            </w:r>
          </w:p>
        </w:tc>
        <w:tc>
          <w:tcPr>
            <w:tcW w:w="540" w:type="dxa"/>
            <w:vAlign w:val="bottom"/>
            <w:tcBorders>
              <w:bottom w:val="single" w:sz="8" w:color="auto"/>
            </w:tcBorders>
          </w:tcPr>
          <w:p>
            <w:pPr>
              <w:spacing w:after="0"/>
              <w:rPr>
                <w:sz w:val="24"/>
                <w:szCs w:val="24"/>
                <w:color w:val="auto"/>
              </w:rPr>
            </w:pPr>
          </w:p>
        </w:tc>
        <w:tc>
          <w:tcPr>
            <w:tcW w:w="3020" w:type="dxa"/>
            <w:vAlign w:val="bottom"/>
            <w:gridSpan w:val="2"/>
          </w:tcPr>
          <w:p>
            <w:pPr>
              <w:spacing w:after="0"/>
              <w:rPr>
                <w:sz w:val="24"/>
                <w:szCs w:val="24"/>
                <w:color w:val="auto"/>
              </w:rPr>
            </w:pPr>
          </w:p>
        </w:tc>
        <w:tc>
          <w:tcPr>
            <w:tcW w:w="25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0"/>
        </w:trPr>
        <w:tc>
          <w:tcPr>
            <w:tcW w:w="5540" w:type="dxa"/>
            <w:vAlign w:val="bottom"/>
            <w:gridSpan w:val="5"/>
          </w:tcPr>
          <w:p>
            <w:pPr>
              <w:spacing w:after="0"/>
              <w:rPr>
                <w:sz w:val="20"/>
                <w:szCs w:val="20"/>
                <w:color w:val="auto"/>
              </w:rPr>
            </w:pPr>
            <w:r>
              <w:rPr>
                <w:rFonts w:ascii="Arial" w:cs="Arial" w:eastAsia="Arial" w:hAnsi="Arial"/>
                <w:sz w:val="18"/>
                <w:szCs w:val="18"/>
                <w:color w:val="auto"/>
                <w:w w:val="95"/>
              </w:rPr>
              <w:t>Total number of shares of Series 1 Common Stock of SI-BONE, Inc. (the</w:t>
            </w:r>
          </w:p>
        </w:tc>
        <w:tc>
          <w:tcPr>
            <w:tcW w:w="25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5540" w:type="dxa"/>
            <w:vAlign w:val="bottom"/>
            <w:gridSpan w:val="5"/>
          </w:tcPr>
          <w:p>
            <w:pPr>
              <w:spacing w:after="0"/>
              <w:rPr>
                <w:sz w:val="20"/>
                <w:szCs w:val="20"/>
                <w:color w:val="auto"/>
              </w:rPr>
            </w:pPr>
            <w:r>
              <w:rPr>
                <w:rFonts w:ascii="Arial" w:cs="Arial" w:eastAsia="Arial" w:hAnsi="Arial"/>
                <w:sz w:val="18"/>
                <w:szCs w:val="18"/>
                <w:color w:val="auto"/>
              </w:rPr>
              <w:t>“Company”) covered by the option:</w:t>
            </w: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w w:val="97"/>
              </w:rPr>
              <w:t>____________________</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9"/>
        </w:trPr>
        <w:tc>
          <w:tcPr>
            <w:tcW w:w="8060" w:type="dxa"/>
            <w:vAlign w:val="bottom"/>
            <w:gridSpan w:val="6"/>
          </w:tcPr>
          <w:p>
            <w:pPr>
              <w:spacing w:after="0"/>
              <w:rPr>
                <w:sz w:val="20"/>
                <w:szCs w:val="20"/>
                <w:color w:val="auto"/>
              </w:rPr>
            </w:pPr>
            <w:r>
              <w:rPr>
                <w:rFonts w:ascii="Arial" w:cs="Arial" w:eastAsia="Arial" w:hAnsi="Arial"/>
                <w:sz w:val="18"/>
                <w:szCs w:val="18"/>
                <w:color w:val="auto"/>
                <w:w w:val="94"/>
              </w:rPr>
              <w:t>Number of shares of Series 1 Common Stock of the Company for which the option is being exercised now:</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 (These shares are referred to below</w:t>
            </w:r>
          </w:p>
        </w:tc>
      </w:tr>
      <w:tr>
        <w:trPr>
          <w:trHeight w:val="230"/>
        </w:trPr>
        <w:tc>
          <w:tcPr>
            <w:tcW w:w="5540" w:type="dxa"/>
            <w:vAlign w:val="bottom"/>
            <w:gridSpan w:val="5"/>
          </w:tcPr>
          <w:p>
            <w:pPr>
              <w:spacing w:after="0"/>
              <w:rPr>
                <w:sz w:val="20"/>
                <w:szCs w:val="20"/>
                <w:color w:val="auto"/>
              </w:rPr>
            </w:pPr>
            <w:r>
              <w:rPr>
                <w:rFonts w:ascii="Arial" w:cs="Arial" w:eastAsia="Arial" w:hAnsi="Arial"/>
                <w:sz w:val="18"/>
                <w:szCs w:val="18"/>
                <w:color w:val="auto"/>
              </w:rPr>
              <w:t>as the “Purchased Shares.”)</w:t>
            </w: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Total Exercise Price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-10160</wp:posOffset>
            </wp:positionV>
            <wp:extent cx="3422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5"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0" w:lineRule="exact"/>
        <w:rPr>
          <w:sz w:val="20"/>
          <w:szCs w:val="20"/>
          <w:color w:val="auto"/>
        </w:rPr>
      </w:pPr>
    </w:p>
    <w:p>
      <w:pPr>
        <w:ind w:left="430" w:hanging="430"/>
        <w:spacing w:after="0"/>
        <w:tabs>
          <w:tab w:leader="none" w:pos="430" w:val="left"/>
        </w:tabs>
        <w:numPr>
          <w:ilvl w:val="0"/>
          <w:numId w:val="307"/>
        </w:numPr>
        <w:rPr>
          <w:rFonts w:ascii="MS PGothic" w:cs="MS PGothic" w:eastAsia="MS PGothic" w:hAnsi="MS PGothic"/>
          <w:sz w:val="18"/>
          <w:szCs w:val="18"/>
          <w:color w:val="auto"/>
        </w:rPr>
      </w:pPr>
      <w:r>
        <w:rPr>
          <w:rFonts w:ascii="Arial" w:cs="Arial" w:eastAsia="Arial" w:hAnsi="Arial"/>
          <w:sz w:val="18"/>
          <w:szCs w:val="18"/>
          <w:color w:val="auto"/>
        </w:rPr>
        <w:t>Check for $</w:t>
      </w:r>
      <w:r>
        <w:rPr>
          <w:rFonts w:ascii="Arial" w:cs="Arial" w:eastAsia="Arial" w:hAnsi="Arial"/>
          <w:sz w:val="16"/>
          <w:szCs w:val="16"/>
          <w:color w:val="auto"/>
        </w:rPr>
        <w:t>, payable to “SI-BONE, Inc.”</w:t>
      </w:r>
    </w:p>
    <w:p>
      <w:pPr>
        <w:spacing w:after="0" w:line="98" w:lineRule="exact"/>
        <w:rPr>
          <w:sz w:val="20"/>
          <w:szCs w:val="20"/>
          <w:color w:val="auto"/>
        </w:rPr>
      </w:pPr>
    </w:p>
    <w:p>
      <w:pPr>
        <w:ind w:left="430" w:right="260" w:hanging="419"/>
        <w:spacing w:after="0" w:line="277" w:lineRule="auto"/>
        <w:tabs>
          <w:tab w:leader="none" w:pos="409"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Certificate(s) for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75" w:lineRule="exact"/>
        <w:rPr>
          <w:sz w:val="20"/>
          <w:szCs w:val="20"/>
          <w:color w:val="auto"/>
        </w:rPr>
      </w:pPr>
    </w:p>
    <w:p>
      <w:pPr>
        <w:ind w:left="430" w:right="440" w:hanging="419"/>
        <w:spacing w:after="0" w:line="277" w:lineRule="auto"/>
        <w:tabs>
          <w:tab w:leader="none" w:pos="409"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Attestation Form covering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202" w:lineRule="exact"/>
        <w:rPr>
          <w:sz w:val="20"/>
          <w:szCs w:val="20"/>
          <w:color w:val="auto"/>
        </w:rPr>
      </w:pPr>
    </w:p>
    <w:p>
      <w:pPr>
        <w:ind w:left="10" w:right="280"/>
        <w:spacing w:after="0" w:line="277" w:lineRule="auto"/>
        <w:rPr>
          <w:sz w:val="20"/>
          <w:szCs w:val="20"/>
          <w:color w:val="auto"/>
        </w:rPr>
      </w:pPr>
      <w:r>
        <w:rPr>
          <w:rFonts w:ascii="Arial" w:cs="Arial" w:eastAsia="Arial" w:hAnsi="Arial"/>
          <w:sz w:val="18"/>
          <w:szCs w:val="18"/>
          <w:color w:val="auto"/>
        </w:rPr>
        <w:t xml:space="preserve">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check one box]</w:t>
      </w:r>
      <w:r>
        <w:rPr>
          <w:rFonts w:ascii="Arial" w:cs="Arial" w:eastAsia="Arial" w:hAnsi="Arial"/>
          <w:sz w:val="18"/>
          <w:szCs w:val="18"/>
          <w:color w:val="auto"/>
        </w:rPr>
        <w:t>:</w:t>
      </w:r>
    </w:p>
    <w:p>
      <w:pPr>
        <w:spacing w:after="0" w:line="75" w:lineRule="exact"/>
        <w:rPr>
          <w:sz w:val="20"/>
          <w:szCs w:val="20"/>
          <w:color w:val="auto"/>
        </w:rPr>
      </w:pPr>
    </w:p>
    <w:p>
      <w:pPr>
        <w:ind w:left="450" w:hanging="450"/>
        <w:spacing w:after="0"/>
        <w:tabs>
          <w:tab w:leader="none" w:pos="450" w:val="left"/>
        </w:tabs>
        <w:numPr>
          <w:ilvl w:val="0"/>
          <w:numId w:val="308"/>
        </w:numPr>
        <w:rPr>
          <w:rFonts w:ascii="MS PGothic" w:cs="MS PGothic" w:eastAsia="MS PGothic" w:hAnsi="MS PGothic"/>
          <w:sz w:val="18"/>
          <w:szCs w:val="18"/>
          <w:color w:val="auto"/>
        </w:rPr>
      </w:pPr>
      <w:r>
        <w:rPr>
          <w:rFonts w:ascii="Arial" w:cs="Arial" w:eastAsia="Arial" w:hAnsi="Arial"/>
          <w:sz w:val="18"/>
          <w:szCs w:val="18"/>
          <w:color w:val="auto"/>
        </w:rPr>
        <w:t>In my name only</w:t>
      </w:r>
    </w:p>
    <w:p>
      <w:pPr>
        <w:spacing w:after="0" w:line="84" w:lineRule="exact"/>
        <w:rPr>
          <w:sz w:val="20"/>
          <w:szCs w:val="20"/>
          <w:color w:val="auto"/>
        </w:rPr>
      </w:pPr>
    </w:p>
    <w:p>
      <w:pPr>
        <w:ind w:left="10"/>
        <w:spacing w:after="0"/>
        <w:tabs>
          <w:tab w:leader="none" w:pos="429" w:val="left"/>
          <w:tab w:leader="none" w:pos="5929"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49" w:lineRule="exact"/>
        <w:rPr>
          <w:sz w:val="20"/>
          <w:szCs w:val="20"/>
          <w:color w:val="auto"/>
        </w:rPr>
      </w:pPr>
    </w:p>
    <w:p>
      <w:pPr>
        <w:ind w:left="450" w:right="5440" w:hanging="450"/>
        <w:spacing w:after="0" w:line="277" w:lineRule="auto"/>
        <w:tabs>
          <w:tab w:leader="none" w:pos="450" w:val="left"/>
        </w:tabs>
        <w:numPr>
          <w:ilvl w:val="0"/>
          <w:numId w:val="309"/>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-156845</wp:posOffset>
            </wp:positionV>
            <wp:extent cx="32124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3212465" cy="8255"/>
                    </a:xfrm>
                    <a:prstGeom prst="rect">
                      <a:avLst/>
                    </a:prstGeom>
                    <a:noFill/>
                  </pic:spPr>
                </pic:pic>
              </a:graphicData>
            </a:graphic>
          </wp:anchor>
        </w:drawing>
      </w:r>
    </w:p>
    <w:p>
      <w:pPr>
        <w:sectPr>
          <w:pgSz w:w="11900" w:h="16838" w:orient="portrait"/>
          <w:cols w:equalWidth="0" w:num="1">
            <w:col w:w="11010"/>
          </w:cols>
          <w:pgMar w:left="450" w:top="270" w:right="439" w:bottom="1440" w:gutter="0" w:footer="0" w:header="0"/>
        </w:sectPr>
      </w:pPr>
    </w:p>
    <w:bookmarkStart w:id="352" w:name="page353"/>
    <w:bookmarkEnd w:id="352"/>
    <w:p>
      <w:pPr>
        <w:ind w:left="250" w:right="5860" w:hanging="250"/>
        <w:spacing w:after="0" w:line="277" w:lineRule="auto"/>
        <w:tabs>
          <w:tab w:leader="none" w:pos="250" w:val="left"/>
        </w:tabs>
        <w:numPr>
          <w:ilvl w:val="0"/>
          <w:numId w:val="310"/>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names of my spouse and myself as joint tenants with the right of survivorship</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name of an eligible revocable trust </w:t>
            </w:r>
            <w:r>
              <w:rPr>
                <w:rFonts w:ascii="Arial" w:cs="Arial" w:eastAsia="Arial" w:hAnsi="Arial"/>
                <w:sz w:val="18"/>
                <w:szCs w:val="18"/>
                <w:b w:val="1"/>
                <w:bCs w:val="1"/>
                <w:i w:val="1"/>
                <w:iCs w:val="1"/>
                <w:color w:val="auto"/>
              </w:rPr>
              <w:t>[requires Stock Transfer</w:t>
            </w:r>
          </w:p>
        </w:tc>
        <w:tc>
          <w:tcPr>
            <w:tcW w:w="4720" w:type="dxa"/>
            <w:vAlign w:val="bottom"/>
          </w:tcPr>
          <w:p>
            <w:pPr>
              <w:spacing w:after="0"/>
              <w:rPr>
                <w:sz w:val="20"/>
                <w:szCs w:val="20"/>
                <w:color w:val="auto"/>
              </w:rPr>
            </w:pPr>
            <w:r>
              <w:rPr>
                <w:rFonts w:ascii="Arial" w:cs="Arial" w:eastAsia="Arial" w:hAnsi="Arial"/>
                <w:sz w:val="18"/>
                <w:szCs w:val="18"/>
                <w:color w:val="auto"/>
              </w:rPr>
              <w:t>Full legal name of revocable trust:</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Agreement]</w:t>
            </w:r>
          </w:p>
        </w:tc>
        <w:tc>
          <w:tcPr>
            <w:tcW w:w="4720" w:type="dxa"/>
            <w:vAlign w:val="bottom"/>
            <w:tcBorders>
              <w:bottom w:val="single" w:sz="8" w:color="auto"/>
            </w:tcBorders>
          </w:tcPr>
          <w:p>
            <w:pPr>
              <w:spacing w:after="0"/>
              <w:rPr>
                <w:sz w:val="20"/>
                <w:szCs w:val="20"/>
                <w:color w:val="auto"/>
              </w:rPr>
            </w:pPr>
          </w:p>
        </w:tc>
      </w:tr>
      <w:tr>
        <w:trPr>
          <w:trHeight w:val="209"/>
        </w:trPr>
        <w:tc>
          <w:tcPr>
            <w:tcW w:w="628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r>
    </w:tbl>
    <w:p>
      <w:pPr>
        <w:spacing w:after="0" w:line="215"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certificate for the Purchased Shares should be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14605</wp:posOffset>
            </wp:positionV>
            <wp:extent cx="35547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13970</wp:posOffset>
            </wp:positionV>
            <wp:extent cx="35547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355473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160020</wp:posOffset>
            </wp:positionV>
            <wp:extent cx="35547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355473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305435</wp:posOffset>
            </wp:positionV>
            <wp:extent cx="35547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 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3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I REPRESENT AND WARRANT TO THE COMPANY THAT I AM ACQUIRING AND WILL HOLD THE PURCHASED SHARES</w:t>
      </w:r>
    </w:p>
    <w:p>
      <w:pPr>
        <w:spacing w:after="0" w:line="39" w:lineRule="exact"/>
        <w:rPr>
          <w:sz w:val="20"/>
          <w:szCs w:val="20"/>
          <w:color w:val="auto"/>
        </w:rPr>
      </w:pPr>
    </w:p>
    <w:p>
      <w:pPr>
        <w:ind w:left="450" w:right="100"/>
        <w:spacing w:after="0" w:line="255" w:lineRule="auto"/>
        <w:rPr>
          <w:sz w:val="20"/>
          <w:szCs w:val="20"/>
          <w:color w:val="auto"/>
        </w:rPr>
      </w:pP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“SECURITIES ACT”).</w:t>
      </w:r>
    </w:p>
    <w:p>
      <w:pPr>
        <w:spacing w:after="0" w:line="185" w:lineRule="exact"/>
        <w:rPr>
          <w:sz w:val="20"/>
          <w:szCs w:val="20"/>
          <w:color w:val="auto"/>
        </w:rPr>
      </w:pPr>
    </w:p>
    <w:p>
      <w:pPr>
        <w:ind w:left="450" w:right="220" w:hanging="422"/>
        <w:spacing w:after="0" w:line="280"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 UNDERSTAND THAT THE PURCHASED SHARES HAVE NOT BEEN REGISTERED UNDER THE SECURITIES ACT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I ACKNOWLEDGE THAT THE COMPANY IS UNDER NO OBLIGATION TO REGISTER THE PURCHASED SHARES.</w:t>
      </w:r>
    </w:p>
    <w:p>
      <w:pPr>
        <w:spacing w:after="0" w:line="225" w:lineRule="exact"/>
        <w:rPr>
          <w:sz w:val="20"/>
          <w:szCs w:val="20"/>
          <w:color w:val="auto"/>
        </w:rPr>
      </w:pPr>
    </w:p>
    <w:p>
      <w:pPr>
        <w:ind w:left="450" w:right="40" w:hanging="422"/>
        <w:spacing w:after="0" w:line="254"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I AM AWARE OF THE ADOPTION OF RULE 144 BY THE SECURITIES AND EXCHANGE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87" w:lineRule="exact"/>
        <w:rPr>
          <w:sz w:val="20"/>
          <w:szCs w:val="20"/>
          <w:color w:val="auto"/>
        </w:rPr>
      </w:pPr>
    </w:p>
    <w:p>
      <w:pPr>
        <w:ind w:left="450" w:right="480" w:hanging="422"/>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I WILL NOT SELL, TRANSFER OR OTHERWISE DISPOSE OF THE PURCHASED SHARES IN VIOLATION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THE SECURITIES EXCHANGE ACT OF 1934, OR THE RULES PROMULGATED THEREUNDER, INCLUDING RULE 144 UNDER THE SECURITIES ACT.</w:t>
      </w:r>
    </w:p>
    <w:p>
      <w:pPr>
        <w:sectPr>
          <w:pgSz w:w="11900" w:h="16838" w:orient="portrait"/>
          <w:cols w:equalWidth="0" w:num="1">
            <w:col w:w="11010"/>
          </w:cols>
          <w:pgMar w:left="450" w:top="274" w:right="439" w:bottom="1440" w:gutter="0" w:footer="0" w:header="0"/>
        </w:sectPr>
      </w:pPr>
    </w:p>
    <w:bookmarkStart w:id="353" w:name="page354"/>
    <w:bookmarkEnd w:id="353"/>
    <w:p>
      <w:pPr>
        <w:ind w:hanging="422"/>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color w:val="auto"/>
        </w:rPr>
        <w:t>I ACKNOWLEDGE THAT I HAVE RECEIVED AND HAD ACCESS TO SUCH INFORMATION AS I CONSIDER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DECIDING WHETHER TO INVEST IN THE PURCHASED SHARES AND THAT I HAD AN OPPORTUNITY TO ASK QUESTIONS AND RECEIVE ANSWERS FROM THE COMPANY REGARDING THE TERMS AND CONDITIONS OF THE ISSUANCE OF THE PURCHASED SHARES.</w:t>
      </w:r>
    </w:p>
    <w:p>
      <w:pPr>
        <w:spacing w:after="0" w:line="182" w:lineRule="exact"/>
        <w:rPr>
          <w:sz w:val="20"/>
          <w:szCs w:val="20"/>
          <w:color w:val="auto"/>
        </w:rPr>
      </w:pPr>
    </w:p>
    <w:p>
      <w:pPr>
        <w:ind w:right="340" w:hanging="422"/>
        <w:spacing w:after="0" w:line="260"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I AM AWARE THAT MY INVESTMENT IN THE COMPANY IS A SPECULATIVE INVESTMENT THAT HAS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LIQUIDITY AND IS SUBJECT TO THE RISK OF COMPLETE LOSS. I AM ABLE, WITHOUT IMPAIRING MY FINANCIAL CONDITION, TO HOLD THE PURCHASED SHARES FOR AN INDEFINITE PERIOD AND TO SUFFER A COMPLETE LOSS OF MY INVESTMENT IN THE PURCHASED SHARES.</w:t>
      </w:r>
    </w:p>
    <w:p>
      <w:pPr>
        <w:spacing w:after="0" w:line="182" w:lineRule="exact"/>
        <w:rPr>
          <w:sz w:val="20"/>
          <w:szCs w:val="20"/>
          <w:color w:val="auto"/>
        </w:rPr>
      </w:pPr>
    </w:p>
    <w:p>
      <w:pPr>
        <w:ind w:right="140" w:hanging="422"/>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I ACKNOWLEDGE THAT THE PURCHASED SHARES REMAIN SUBJECT TO THE COMPANY’S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STAND-OFF (SOMETIMES REFERRED TO AS THE “LOCK-UP”), ALL IN ACCORDANCE WITH THE APPLICABLE NOTICE OF STOCK OPTION GRANT AND STOCK OPTION AGREEMENT.</w:t>
      </w:r>
    </w:p>
    <w:p>
      <w:pPr>
        <w:spacing w:after="0" w:line="175" w:lineRule="exact"/>
        <w:rPr>
          <w:sz w:val="20"/>
          <w:szCs w:val="20"/>
          <w:color w:val="auto"/>
        </w:rPr>
      </w:pPr>
    </w:p>
    <w:p>
      <w:pPr>
        <w:ind w:right="80" w:hanging="422"/>
        <w:spacing w:after="0" w:line="281"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I ACKNOWLEDGE THAT I AM ACQUIRING THE PURCHASED SHARES SUBJECT TO ALL OTHER TERMS OF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OPTION GRANT AND STOCK OPTION AGREEMENT.</w:t>
      </w:r>
    </w:p>
    <w:p>
      <w:pPr>
        <w:spacing w:after="0" w:line="163" w:lineRule="exact"/>
        <w:rPr>
          <w:sz w:val="20"/>
          <w:szCs w:val="20"/>
          <w:color w:val="auto"/>
        </w:rPr>
      </w:pPr>
    </w:p>
    <w:p>
      <w:pPr>
        <w:ind w:right="20" w:hanging="422"/>
        <w:spacing w:after="0" w:line="254"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I ACKNOWLEDGE THAT I HAVE RECEIVED A COPY OF THE COMPANY’S EXPLANATION OF THE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87" w:lineRule="exact"/>
        <w:rPr>
          <w:sz w:val="20"/>
          <w:szCs w:val="20"/>
          <w:color w:val="auto"/>
        </w:rPr>
      </w:pPr>
    </w:p>
    <w:p>
      <w:pPr>
        <w:ind w:hanging="422"/>
        <w:spacing w:after="0" w:line="288"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I ACKNOWLEDGE THAT I HAVE RECEIVED A COPY OF THE COMPANY’S EXPLANATION OF THE FEDERAL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CONSEQUENCES OF AN OPTION EXERCISE. I ACKNOWLEDGE THAT THE COMPANY HAS ENCOURAGED ME TO CONSULT MY OWN ADVISER TO DETERMINE THE TAX CONSEQUENCES OF ACQUIRING THE PURCHASED SHARES AT THIS TIME.</w:t>
      </w:r>
    </w:p>
    <w:p>
      <w:pPr>
        <w:spacing w:after="0" w:line="160" w:lineRule="exact"/>
        <w:rPr>
          <w:sz w:val="20"/>
          <w:szCs w:val="20"/>
          <w:color w:val="auto"/>
        </w:rPr>
      </w:pPr>
    </w:p>
    <w:p>
      <w:pPr>
        <w:ind w:right="160" w:hanging="422"/>
        <w:spacing w:after="0" w:line="25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I AGREE THAT THE COMPANY DOES NOT HAVE A DUTY TO DESIGN OR ADMINISTER THE 2008 STOCK PLAN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w:t>
      </w:r>
    </w:p>
    <w:p>
      <w:pPr>
        <w:sectPr>
          <w:pgSz w:w="11900" w:h="16838" w:orient="portrait"/>
          <w:cols w:equalWidth="0" w:num="1">
            <w:col w:w="10560"/>
          </w:cols>
          <w:pgMar w:left="900" w:top="270" w:right="439" w:bottom="1440" w:gutter="0" w:footer="0" w:header="0"/>
        </w:sectPr>
      </w:pPr>
    </w:p>
    <w:bookmarkStart w:id="354" w:name="page355"/>
    <w:bookmarkEnd w:id="354"/>
    <w:p>
      <w:pPr>
        <w:ind w:left="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VALUE PER SHARE OF THE COMPANY’S SERIES 1 COMMON STOCK AT THE TIME THE OPTION WAS GRANTED BY THE COMPANY’S BOARD OF DIRECTORS. SINCE SHARES OF THE COMPANY’S SERIES 1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86" w:lineRule="exact"/>
        <w:rPr>
          <w:sz w:val="20"/>
          <w:szCs w:val="20"/>
          <w:color w:val="auto"/>
        </w:rPr>
      </w:pPr>
    </w:p>
    <w:p>
      <w:pPr>
        <w:ind w:left="440" w:right="20" w:hanging="422"/>
        <w:spacing w:after="0" w:line="281"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I AGREE TO SEEK THE CONSENT OF MY SPOUSE TO THE EXTENT REQUIRED BY THE COMPANY TO ENFORCE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w:t>
      </w:r>
    </w:p>
    <w:p>
      <w:pPr>
        <w:spacing w:after="0" w:line="19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222885</wp:posOffset>
            </wp:positionV>
            <wp:extent cx="357187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3571875" cy="825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196850</wp:posOffset>
            </wp:positionV>
            <wp:extent cx="9131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ectPr>
          <w:pgSz w:w="11900" w:h="16838" w:orient="portrait"/>
          <w:cols w:equalWidth="0" w:num="1">
            <w:col w:w="10740"/>
          </w:cols>
          <w:pgMar w:left="460" w:top="273" w:right="699" w:bottom="1440" w:gutter="0" w:footer="0" w:header="0"/>
        </w:sectPr>
      </w:pPr>
    </w:p>
    <w:bookmarkStart w:id="355" w:name="page356"/>
    <w:bookmarkEnd w:id="3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0980"/>
          </w:cols>
          <w:pgMar w:left="460" w:top="270" w:right="459" w:bottom="1440" w:gutter="0" w:footer="0" w:header="0"/>
        </w:sect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151"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582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0980"/>
          </w:cols>
          <w:pgMar w:left="460" w:top="270" w:right="459" w:bottom="1440" w:gutter="0" w:footer="0" w:header="0"/>
          <w:type w:val="continuous"/>
        </w:sectPr>
      </w:pP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88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option may be exercised at any time after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all or any part of the Shares subject to this option.</w:t>
      </w:r>
    </w:p>
    <w:p>
      <w:pPr>
        <w:spacing w:after="0" w:line="102"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«VestComDate»</w:t>
      </w:r>
    </w:p>
    <w:p>
      <w:pPr>
        <w:spacing w:after="0" w:line="151"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15"/>
          <w:szCs w:val="15"/>
          <w:color w:val="auto"/>
        </w:rPr>
        <w:t>«VestSchedule»</w:t>
      </w:r>
    </w:p>
    <w:p>
      <w:pPr>
        <w:spacing w:after="0" w:line="151"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100" w:space="720"/>
            <w:col w:w="5160"/>
          </w:cols>
          <w:pgMar w:left="460" w:top="270" w:right="459" w:bottom="1440" w:gutter="0" w:footer="0" w:header="0"/>
          <w:type w:val="continuous"/>
        </w:sectPr>
      </w:pPr>
    </w:p>
    <w:p>
      <w:pPr>
        <w:spacing w:after="0" w:line="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14 of the</w:t>
      </w:r>
      <w:r>
        <w:rPr>
          <w:rFonts w:ascii="Arial" w:cs="Arial" w:eastAsia="Arial" w:hAnsi="Arial"/>
          <w:sz w:val="18"/>
          <w:szCs w:val="18"/>
          <w:color w:val="auto"/>
        </w:rPr>
        <w:t xml:space="preserve"> </w:t>
      </w:r>
      <w:r>
        <w:rPr>
          <w:rFonts w:ascii="Arial" w:cs="Arial" w:eastAsia="Arial" w:hAnsi="Arial"/>
          <w:sz w:val="18"/>
          <w:szCs w:val="18"/>
          <w:b w:val="1"/>
          <w:bCs w:val="1"/>
          <w:color w:val="auto"/>
        </w:rPr>
        <w:t>Stock Option Agreement includes important acknowledgements of the Optionee</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388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23495</wp:posOffset>
            </wp:positionV>
            <wp:extent cx="314388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3143885" cy="825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-121920</wp:posOffset>
            </wp:positionV>
            <wp:extent cx="314388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0980"/>
          </w:cols>
          <w:pgMar w:left="460" w:top="270" w:right="459" w:bottom="1440" w:gutter="0" w:footer="0" w:header="0"/>
          <w:type w:val="continuous"/>
        </w:sectPr>
      </w:pPr>
    </w:p>
    <w:bookmarkStart w:id="356" w:name="page357"/>
    <w:bookmarkEnd w:id="356"/>
    <w:p>
      <w:pPr>
        <w:ind w:right="140"/>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firstLine="430"/>
        <w:spacing w:after="0" w:line="258" w:lineRule="auto"/>
        <w:tabs>
          <w:tab w:leader="none" w:pos="695"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On the terms and conditions set forth in the Notice of Stock Option Grant and this Agreement, the Company grants to the Optionee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4" w:lineRule="exact"/>
        <w:rPr>
          <w:rFonts w:ascii="Arial" w:cs="Arial" w:eastAsia="Arial" w:hAnsi="Arial"/>
          <w:sz w:val="18"/>
          <w:szCs w:val="18"/>
          <w:b w:val="1"/>
          <w:bCs w:val="1"/>
          <w:color w:val="auto"/>
        </w:rPr>
      </w:pPr>
    </w:p>
    <w:p>
      <w:pPr>
        <w:ind w:right="120" w:firstLine="430"/>
        <w:spacing w:after="0" w:line="281" w:lineRule="auto"/>
        <w:tabs>
          <w:tab w:leader="none" w:pos="705"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$100,000 Limitation. </w:t>
      </w:r>
      <w:r>
        <w:rPr>
          <w:rFonts w:ascii="Arial" w:cs="Arial" w:eastAsia="Arial" w:hAnsi="Arial"/>
          <w:sz w:val="18"/>
          <w:szCs w:val="18"/>
          <w:color w:val="auto"/>
        </w:rPr>
        <w:t>Even if this option is designated as an ISO in the Notice of Stock Option Grant, it shall be deemed to be an NSO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(and only to the extent) required by the $100,000 annual limitation under Section 422(d) of the Code.</w:t>
      </w:r>
    </w:p>
    <w:p>
      <w:pPr>
        <w:spacing w:after="0" w:line="54" w:lineRule="exact"/>
        <w:rPr>
          <w:rFonts w:ascii="Arial" w:cs="Arial" w:eastAsia="Arial" w:hAnsi="Arial"/>
          <w:sz w:val="18"/>
          <w:szCs w:val="18"/>
          <w:b w:val="1"/>
          <w:bCs w:val="1"/>
          <w:color w:val="auto"/>
        </w:rPr>
      </w:pPr>
    </w:p>
    <w:p>
      <w:pPr>
        <w:ind w:firstLine="430"/>
        <w:spacing w:after="0" w:line="347" w:lineRule="auto"/>
        <w:tabs>
          <w:tab w:leader="none" w:pos="685"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Plan and Defined Terms. </w:t>
      </w:r>
      <w:r>
        <w:rPr>
          <w:rFonts w:ascii="Arial" w:cs="Arial" w:eastAsia="Arial" w:hAnsi="Arial"/>
          <w:sz w:val="16"/>
          <w:szCs w:val="16"/>
          <w:color w:val="auto"/>
        </w:rPr>
        <w:t>This option is granted pursuant to the Plan, a copy of which the Optionee acknowledges having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are incorporated into this Agreement by this reference. Capitalized terms are defined in Section 15 of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jc w:val="both"/>
        <w:ind w:right="20" w:firstLine="430"/>
        <w:spacing w:after="0" w:line="266" w:lineRule="auto"/>
        <w:tabs>
          <w:tab w:leader="none" w:pos="695"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Exercisability. </w:t>
      </w:r>
      <w:r>
        <w:rPr>
          <w:rFonts w:ascii="Arial" w:cs="Arial" w:eastAsia="Arial" w:hAnsi="Arial"/>
          <w:sz w:val="18"/>
          <w:szCs w:val="18"/>
          <w:color w:val="auto"/>
        </w:rPr>
        <w:t>Subject to Subsection (b) below and the other conditions set forth in this Agreement, all or part of this option may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its expiration at the time or times set forth in the Notice of Stock Option Grant. Shares purchased by exercising this option may be subject to the Right of Repurchase under Section 7.</w:t>
      </w:r>
    </w:p>
    <w:p>
      <w:pPr>
        <w:spacing w:after="0" w:line="67" w:lineRule="exact"/>
        <w:rPr>
          <w:rFonts w:ascii="Arial" w:cs="Arial" w:eastAsia="Arial" w:hAnsi="Arial"/>
          <w:sz w:val="18"/>
          <w:szCs w:val="18"/>
          <w:b w:val="1"/>
          <w:bCs w:val="1"/>
          <w:color w:val="auto"/>
        </w:rPr>
      </w:pPr>
    </w:p>
    <w:p>
      <w:pPr>
        <w:ind w:right="360" w:firstLine="430"/>
        <w:spacing w:after="0" w:line="281" w:lineRule="auto"/>
        <w:tabs>
          <w:tab w:leader="none" w:pos="705"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Any other provision of this Agreement notwithstanding, no portion of this option shall be exercisable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approval of the Plan by the Company’s stockholders.</w:t>
      </w:r>
    </w:p>
    <w:p>
      <w:pPr>
        <w:sectPr>
          <w:pgSz w:w="11900" w:h="16838" w:orient="portrait"/>
          <w:cols w:equalWidth="0" w:num="1">
            <w:col w:w="10980"/>
          </w:cols>
          <w:pgMar w:left="460" w:top="269" w:right="459" w:bottom="1440" w:gutter="0" w:footer="0" w:header="0"/>
        </w:sectPr>
      </w:pPr>
    </w:p>
    <w:bookmarkStart w:id="357" w:name="page358"/>
    <w:bookmarkEnd w:id="357"/>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left="10" w:right="240" w:firstLine="880"/>
        <w:spacing w:after="0" w:line="341"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left="10" w:right="40" w:firstLine="871"/>
        <w:spacing w:after="0" w:line="272" w:lineRule="auto"/>
        <w:tabs>
          <w:tab w:leader="none" w:pos="1145" w:val="left"/>
        </w:tabs>
        <w:numPr>
          <w:ilvl w:val="1"/>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Exercise. </w:t>
      </w:r>
      <w:r>
        <w:rPr>
          <w:rFonts w:ascii="Arial" w:cs="Arial" w:eastAsia="Arial" w:hAnsi="Arial"/>
          <w:sz w:val="17"/>
          <w:szCs w:val="17"/>
          <w:color w:val="auto"/>
        </w:rPr>
        <w:t>The Optionee or the Optionee’s representative may exercise this option by giving written notice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67" w:lineRule="exact"/>
        <w:rPr>
          <w:rFonts w:ascii="Arial" w:cs="Arial" w:eastAsia="Arial" w:hAnsi="Arial"/>
          <w:sz w:val="17"/>
          <w:szCs w:val="17"/>
          <w:b w:val="1"/>
          <w:bCs w:val="1"/>
          <w:color w:val="auto"/>
        </w:rPr>
      </w:pPr>
    </w:p>
    <w:p>
      <w:pPr>
        <w:ind w:left="10" w:right="400" w:firstLine="871"/>
        <w:spacing w:after="0" w:line="293" w:lineRule="auto"/>
        <w:tabs>
          <w:tab w:leader="none" w:pos="1155" w:val="left"/>
        </w:tabs>
        <w:numPr>
          <w:ilvl w:val="1"/>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one or more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for which this option has been exercised. Such Shares shall be registered (i) in the name of the person exercising this option,</w:t>
      </w:r>
    </w:p>
    <w:p>
      <w:pPr>
        <w:ind w:left="10" w:right="440" w:hanging="10"/>
        <w:spacing w:after="0" w:line="253" w:lineRule="auto"/>
        <w:tabs>
          <w:tab w:leader="none" w:pos="27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80" w:lineRule="exact"/>
        <w:rPr>
          <w:rFonts w:ascii="Arial" w:cs="Arial" w:eastAsia="Arial" w:hAnsi="Arial"/>
          <w:sz w:val="18"/>
          <w:szCs w:val="18"/>
          <w:color w:val="auto"/>
        </w:rPr>
      </w:pPr>
    </w:p>
    <w:p>
      <w:pPr>
        <w:ind w:left="10" w:right="60" w:firstLine="871"/>
        <w:spacing w:after="0" w:line="280" w:lineRule="auto"/>
        <w:tabs>
          <w:tab w:leader="none" w:pos="1135" w:val="left"/>
        </w:tabs>
        <w:numPr>
          <w:ilvl w:val="1"/>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In the event that the Company determines that it is required to withhold any tax as a result of the exercise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30" w:hanging="249"/>
        <w:spacing w:after="0"/>
        <w:tabs>
          <w:tab w:leader="none" w:pos="113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All or part of the Purchase Price may be paid in cash or cash equivalents.</w:t>
      </w:r>
    </w:p>
    <w:p>
      <w:pPr>
        <w:spacing w:after="0" w:line="116" w:lineRule="exact"/>
        <w:rPr>
          <w:rFonts w:ascii="Arial" w:cs="Arial" w:eastAsia="Arial" w:hAnsi="Arial"/>
          <w:sz w:val="18"/>
          <w:szCs w:val="18"/>
          <w:b w:val="1"/>
          <w:bCs w:val="1"/>
          <w:color w:val="auto"/>
        </w:rPr>
      </w:pPr>
    </w:p>
    <w:p>
      <w:pPr>
        <w:ind w:left="10" w:firstLine="871"/>
        <w:spacing w:after="0" w:line="266" w:lineRule="auto"/>
        <w:tabs>
          <w:tab w:leader="none" w:pos="1155"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70"/>
          </w:cols>
          <w:pgMar w:left="450" w:top="270" w:right="479" w:bottom="1440" w:gutter="0" w:footer="0" w:header="0"/>
        </w:sectPr>
      </w:pPr>
    </w:p>
    <w:bookmarkStart w:id="358" w:name="page359"/>
    <w:bookmarkEnd w:id="358"/>
    <w:p>
      <w:pPr>
        <w:ind w:firstLine="871"/>
        <w:spacing w:after="0" w:line="260" w:lineRule="auto"/>
        <w:tabs>
          <w:tab w:leader="none" w:pos="1125"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Exercise/Sale. </w:t>
      </w:r>
      <w:r>
        <w:rPr>
          <w:rFonts w:ascii="Arial" w:cs="Arial" w:eastAsia="Arial" w:hAnsi="Arial"/>
          <w:sz w:val="18"/>
          <w:szCs w:val="18"/>
          <w:color w:val="auto"/>
        </w:rPr>
        <w:t>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 AND EXPIRATION.</w:t>
      </w:r>
    </w:p>
    <w:p>
      <w:pPr>
        <w:spacing w:after="0" w:line="117" w:lineRule="exact"/>
        <w:rPr>
          <w:sz w:val="20"/>
          <w:szCs w:val="20"/>
          <w:color w:val="auto"/>
        </w:rPr>
      </w:pPr>
    </w:p>
    <w:p>
      <w:pPr>
        <w:ind w:right="120" w:firstLine="871"/>
        <w:spacing w:after="0" w:line="266" w:lineRule="auto"/>
        <w:tabs>
          <w:tab w:leader="none" w:pos="1135"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b w:val="1"/>
          <w:bCs w:val="1"/>
          <w:color w:val="auto"/>
        </w:rPr>
      </w:pPr>
    </w:p>
    <w:p>
      <w:pPr>
        <w:ind w:right="100" w:firstLine="871"/>
        <w:spacing w:after="0" w:line="281" w:lineRule="auto"/>
        <w:tabs>
          <w:tab w:leader="none" w:pos="1145"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8" w:lineRule="exact"/>
        <w:rPr>
          <w:rFonts w:ascii="Arial" w:cs="Arial" w:eastAsia="Arial" w:hAnsi="Arial"/>
          <w:sz w:val="18"/>
          <w:szCs w:val="18"/>
          <w:b w:val="1"/>
          <w:bCs w:val="1"/>
          <w:color w:val="auto"/>
        </w:rPr>
      </w:pPr>
    </w:p>
    <w:p>
      <w:pPr>
        <w:ind w:left="1500" w:hanging="224"/>
        <w:spacing w:after="0"/>
        <w:tabs>
          <w:tab w:leader="none" w:pos="15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6" w:lineRule="exact"/>
        <w:rPr>
          <w:rFonts w:ascii="Arial" w:cs="Arial" w:eastAsia="Arial" w:hAnsi="Arial"/>
          <w:sz w:val="18"/>
          <w:szCs w:val="18"/>
          <w:color w:val="auto"/>
        </w:rPr>
      </w:pPr>
    </w:p>
    <w:p>
      <w:pPr>
        <w:ind w:left="1600" w:hanging="324"/>
        <w:spacing w:after="0"/>
        <w:tabs>
          <w:tab w:leader="none" w:pos="16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81" w:lineRule="exact"/>
        <w:rPr>
          <w:sz w:val="20"/>
          <w:szCs w:val="20"/>
          <w:color w:val="auto"/>
        </w:rPr>
      </w:pPr>
    </w:p>
    <w:p>
      <w:pPr>
        <w:ind w:left="1120" w:hanging="249"/>
        <w:spacing w:after="0"/>
        <w:tabs>
          <w:tab w:leader="none" w:pos="1120"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the Optionee. </w:t>
      </w:r>
      <w:r>
        <w:rPr>
          <w:rFonts w:ascii="Arial" w:cs="Arial" w:eastAsia="Arial" w:hAnsi="Arial"/>
          <w:sz w:val="17"/>
          <w:szCs w:val="17"/>
          <w:color w:val="auto"/>
        </w:rPr>
        <w:t>If the Optionee dies while in Service, then this option shall expire on the earlier of the following dates:</w:t>
      </w:r>
    </w:p>
    <w:p>
      <w:pPr>
        <w:spacing w:after="0" w:line="132" w:lineRule="exact"/>
        <w:rPr>
          <w:rFonts w:ascii="Arial" w:cs="Arial" w:eastAsia="Arial" w:hAnsi="Arial"/>
          <w:sz w:val="17"/>
          <w:szCs w:val="17"/>
          <w:b w:val="1"/>
          <w:bCs w:val="1"/>
          <w:color w:val="auto"/>
        </w:rPr>
      </w:pPr>
    </w:p>
    <w:p>
      <w:pPr>
        <w:ind w:left="1500" w:hanging="224"/>
        <w:spacing w:after="0"/>
        <w:tabs>
          <w:tab w:leader="none" w:pos="150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0" w:right="479" w:bottom="1440" w:gutter="0" w:footer="0" w:header="0"/>
        </w:sectPr>
      </w:pPr>
    </w:p>
    <w:bookmarkStart w:id="359" w:name="page360"/>
    <w:bookmarkEnd w:id="359"/>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44" w:lineRule="exact"/>
        <w:rPr>
          <w:sz w:val="20"/>
          <w:szCs w:val="20"/>
          <w:color w:val="auto"/>
        </w:rPr>
      </w:pPr>
    </w:p>
    <w:p>
      <w:pPr>
        <w:ind w:right="80" w:firstLine="871"/>
        <w:spacing w:after="0" w:line="271" w:lineRule="auto"/>
        <w:tabs>
          <w:tab w:leader="none" w:pos="1145" w:val="left"/>
        </w:tabs>
        <w:numPr>
          <w:ilvl w:val="1"/>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Part-Time Employment and Leaves of Absence. </w:t>
      </w:r>
      <w:r>
        <w:rPr>
          <w:rFonts w:ascii="Arial" w:cs="Arial" w:eastAsia="Arial" w:hAnsi="Arial"/>
          <w:sz w:val="17"/>
          <w:szCs w:val="17"/>
          <w:color w:val="auto"/>
        </w:rPr>
        <w:t>If the Optionee commences working on a part-time basis, then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adjust 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b w:val="1"/>
          <w:bCs w:val="1"/>
          <w:i w:val="1"/>
          <w:iCs w:val="1"/>
          <w:color w:val="auto"/>
        </w:rPr>
        <w:t>bona fide</w:t>
      </w:r>
      <w:r>
        <w:rPr>
          <w:rFonts w:ascii="Arial" w:cs="Arial" w:eastAsia="Arial" w:hAnsi="Arial"/>
          <w:sz w:val="17"/>
          <w:szCs w:val="17"/>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76" w:lineRule="exact"/>
        <w:rPr>
          <w:rFonts w:ascii="Arial" w:cs="Arial" w:eastAsia="Arial" w:hAnsi="Arial"/>
          <w:sz w:val="17"/>
          <w:szCs w:val="17"/>
          <w:b w:val="1"/>
          <w:bCs w:val="1"/>
          <w:color w:val="auto"/>
        </w:rPr>
      </w:pPr>
    </w:p>
    <w:p>
      <w:pPr>
        <w:ind w:firstLine="871"/>
        <w:spacing w:after="0" w:line="281" w:lineRule="auto"/>
        <w:tabs>
          <w:tab w:leader="none" w:pos="1125" w:val="left"/>
        </w:tabs>
        <w:numPr>
          <w:ilvl w:val="1"/>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ISO Treatment. </w:t>
      </w:r>
      <w:r>
        <w:rPr>
          <w:rFonts w:ascii="Arial" w:cs="Arial" w:eastAsia="Arial" w:hAnsi="Arial"/>
          <w:sz w:val="18"/>
          <w:szCs w:val="18"/>
          <w:color w:val="auto"/>
        </w:rPr>
        <w:t>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8" w:lineRule="exact"/>
        <w:rPr>
          <w:rFonts w:ascii="Arial" w:cs="Arial" w:eastAsia="Arial" w:hAnsi="Arial"/>
          <w:sz w:val="18"/>
          <w:szCs w:val="18"/>
          <w:b w:val="1"/>
          <w:bCs w:val="1"/>
          <w:color w:val="auto"/>
        </w:rPr>
      </w:pPr>
    </w:p>
    <w:p>
      <w:pPr>
        <w:ind w:left="440" w:right="320" w:firstLine="413"/>
        <w:spacing w:after="0" w:line="277" w:lineRule="auto"/>
        <w:tabs>
          <w:tab w:leader="none" w:pos="107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1" w:lineRule="exact"/>
        <w:rPr>
          <w:rFonts w:ascii="Arial" w:cs="Arial" w:eastAsia="Arial" w:hAnsi="Arial"/>
          <w:sz w:val="18"/>
          <w:szCs w:val="18"/>
          <w:color w:val="auto"/>
        </w:rPr>
      </w:pPr>
    </w:p>
    <w:p>
      <w:pPr>
        <w:ind w:left="440" w:right="60" w:firstLine="413"/>
        <w:spacing w:after="0" w:line="277" w:lineRule="auto"/>
        <w:tabs>
          <w:tab w:leader="none" w:pos="112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1" w:lineRule="exact"/>
        <w:rPr>
          <w:rFonts w:ascii="Arial" w:cs="Arial" w:eastAsia="Arial" w:hAnsi="Arial"/>
          <w:sz w:val="18"/>
          <w:szCs w:val="18"/>
          <w:color w:val="auto"/>
        </w:rPr>
      </w:pPr>
    </w:p>
    <w:p>
      <w:pPr>
        <w:ind w:left="440" w:right="960" w:firstLine="413"/>
        <w:spacing w:after="0" w:line="277" w:lineRule="auto"/>
        <w:tabs>
          <w:tab w:leader="none" w:pos="117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REPURCHASE.</w:t>
      </w:r>
    </w:p>
    <w:p>
      <w:pPr>
        <w:spacing w:after="0" w:line="117" w:lineRule="exact"/>
        <w:rPr>
          <w:sz w:val="20"/>
          <w:szCs w:val="20"/>
          <w:color w:val="auto"/>
        </w:rPr>
      </w:pPr>
    </w:p>
    <w:p>
      <w:pPr>
        <w:ind w:right="80" w:firstLine="871"/>
        <w:spacing w:after="0" w:line="258" w:lineRule="auto"/>
        <w:tabs>
          <w:tab w:leader="none" w:pos="1135"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Scope of Repurchase Right. </w:t>
      </w:r>
      <w:r>
        <w:rPr>
          <w:rFonts w:ascii="Arial" w:cs="Arial" w:eastAsia="Arial" w:hAnsi="Arial"/>
          <w:sz w:val="18"/>
          <w:szCs w:val="18"/>
          <w:color w:val="auto"/>
        </w:rPr>
        <w:t>Until they vest in accordance with the Notice of Stock Option Grant and Subsection (b) below,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The Right of Repurchase may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3" w:right="479" w:bottom="1440" w:gutter="0" w:footer="0" w:header="0"/>
        </w:sectPr>
      </w:pPr>
    </w:p>
    <w:bookmarkStart w:id="360" w:name="page361"/>
    <w:bookmarkEnd w:id="360"/>
    <w:p>
      <w:pPr>
        <w:jc w:val="both"/>
        <w:ind w:left="1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71" w:lineRule="exact"/>
        <w:rPr>
          <w:sz w:val="20"/>
          <w:szCs w:val="20"/>
          <w:color w:val="auto"/>
        </w:rPr>
      </w:pPr>
    </w:p>
    <w:p>
      <w:pPr>
        <w:ind w:left="10" w:right="160" w:firstLine="871"/>
        <w:spacing w:after="0" w:line="281" w:lineRule="auto"/>
        <w:tabs>
          <w:tab w:leader="none" w:pos="1155" w:val="left"/>
        </w:tabs>
        <w:numPr>
          <w:ilvl w:val="1"/>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Lapse of Repurchase Right. </w:t>
      </w:r>
      <w:r>
        <w:rPr>
          <w:rFonts w:ascii="Arial" w:cs="Arial" w:eastAsia="Arial" w:hAnsi="Arial"/>
          <w:sz w:val="18"/>
          <w:szCs w:val="18"/>
          <w:color w:val="auto"/>
        </w:rPr>
        <w:t>The Right of Repurchase shall lapse with respect to the Restricted Shares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Notice of Stock Option Grant.</w:t>
      </w:r>
    </w:p>
    <w:p>
      <w:pPr>
        <w:spacing w:after="0" w:line="54" w:lineRule="exact"/>
        <w:rPr>
          <w:rFonts w:ascii="Arial" w:cs="Arial" w:eastAsia="Arial" w:hAnsi="Arial"/>
          <w:sz w:val="18"/>
          <w:szCs w:val="18"/>
          <w:b w:val="1"/>
          <w:bCs w:val="1"/>
          <w:color w:val="auto"/>
        </w:rPr>
      </w:pPr>
    </w:p>
    <w:p>
      <w:pPr>
        <w:ind w:left="10" w:right="80" w:firstLine="871"/>
        <w:spacing w:after="0" w:line="287" w:lineRule="auto"/>
        <w:tabs>
          <w:tab w:leader="none" w:pos="1135" w:val="left"/>
        </w:tabs>
        <w:numPr>
          <w:ilvl w:val="1"/>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Upon issuance, the certificate(s) for Restricted Shares shall be deposited in escrow with the Company to be held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w:t>
      </w:r>
    </w:p>
    <w:p>
      <w:pPr>
        <w:spacing w:after="0" w:line="1" w:lineRule="exact"/>
        <w:rPr>
          <w:rFonts w:ascii="Arial" w:cs="Arial" w:eastAsia="Arial" w:hAnsi="Arial"/>
          <w:sz w:val="16"/>
          <w:szCs w:val="16"/>
          <w:b w:val="1"/>
          <w:bCs w:val="1"/>
          <w:color w:val="auto"/>
        </w:rPr>
      </w:pPr>
    </w:p>
    <w:p>
      <w:pPr>
        <w:jc w:val="both"/>
        <w:ind w:left="10" w:right="160" w:hanging="10"/>
        <w:spacing w:after="0" w:line="295" w:lineRule="auto"/>
        <w:tabs>
          <w:tab w:leader="none" w:pos="22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48" w:lineRule="exact"/>
        <w:rPr>
          <w:rFonts w:ascii="Arial" w:cs="Arial" w:eastAsia="Arial" w:hAnsi="Arial"/>
          <w:sz w:val="16"/>
          <w:szCs w:val="16"/>
          <w:color w:val="auto"/>
        </w:rPr>
      </w:pPr>
    </w:p>
    <w:p>
      <w:pPr>
        <w:ind w:left="10" w:right="140" w:firstLine="871"/>
        <w:spacing w:after="0" w:line="255" w:lineRule="auto"/>
        <w:tabs>
          <w:tab w:leader="none" w:pos="1155" w:val="left"/>
        </w:tabs>
        <w:numPr>
          <w:ilvl w:val="1"/>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of Repurchase Right. </w:t>
      </w:r>
      <w:r>
        <w:rPr>
          <w:rFonts w:ascii="Arial" w:cs="Arial" w:eastAsia="Arial" w:hAnsi="Arial"/>
          <w:sz w:val="18"/>
          <w:szCs w:val="18"/>
          <w:color w:val="auto"/>
        </w:rPr>
        <w:t>The Company shall be deemed to have exercised its Right of Repurchase automatically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Shares as of the commencement of the Repurchase Period, unless the Company during the Repurchase Period notifies the holder of the Restricted Shares pursuant to Section 13(c) that it will not exercise its Right of Repurchase for some or all of the Restricted Shares. During the Repurchase Period,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79" w:lineRule="exact"/>
        <w:rPr>
          <w:rFonts w:ascii="Arial" w:cs="Arial" w:eastAsia="Arial" w:hAnsi="Arial"/>
          <w:sz w:val="18"/>
          <w:szCs w:val="18"/>
          <w:b w:val="1"/>
          <w:bCs w:val="1"/>
          <w:color w:val="auto"/>
        </w:rPr>
      </w:pPr>
    </w:p>
    <w:p>
      <w:pPr>
        <w:ind w:left="10" w:right="120" w:firstLine="871"/>
        <w:spacing w:after="0" w:line="276" w:lineRule="auto"/>
        <w:tabs>
          <w:tab w:leader="none" w:pos="1135" w:val="left"/>
        </w:tabs>
        <w:numPr>
          <w:ilvl w:val="1"/>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Rights as Stockholder. </w:t>
      </w:r>
      <w:r>
        <w:rPr>
          <w:rFonts w:ascii="Arial" w:cs="Arial" w:eastAsia="Arial" w:hAnsi="Arial"/>
          <w:sz w:val="17"/>
          <w:szCs w:val="17"/>
          <w:color w:val="auto"/>
        </w:rPr>
        <w:t>If the Right of Repurchase is exercised in accordance with this Section 7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08"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70"/>
          </w:cols>
          <w:pgMar w:left="450" w:top="274" w:right="479" w:bottom="1440" w:gutter="0" w:footer="0" w:header="0"/>
        </w:sectPr>
      </w:pPr>
    </w:p>
    <w:bookmarkStart w:id="361" w:name="page362"/>
    <w:bookmarkEnd w:id="361"/>
    <w:p>
      <w:pPr>
        <w:ind w:firstLine="871"/>
        <w:spacing w:after="0" w:line="270" w:lineRule="auto"/>
        <w:tabs>
          <w:tab w:leader="none" w:pos="1105"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or Exchanged Securities and Property. </w:t>
      </w:r>
      <w:r>
        <w:rPr>
          <w:rFonts w:ascii="Arial" w:cs="Arial" w:eastAsia="Arial" w:hAnsi="Arial"/>
          <w:sz w:val="17"/>
          <w:szCs w:val="17"/>
          <w:color w:val="auto"/>
        </w:rPr>
        <w:t>In the event of a merger or consolidation of the Company with or into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71" w:lineRule="exact"/>
        <w:rPr>
          <w:rFonts w:ascii="Arial" w:cs="Arial" w:eastAsia="Arial" w:hAnsi="Arial"/>
          <w:sz w:val="17"/>
          <w:szCs w:val="17"/>
          <w:b w:val="1"/>
          <w:bCs w:val="1"/>
          <w:color w:val="auto"/>
        </w:rPr>
      </w:pPr>
    </w:p>
    <w:p>
      <w:pPr>
        <w:ind w:right="20" w:firstLine="871"/>
        <w:spacing w:after="0" w:line="297" w:lineRule="auto"/>
        <w:tabs>
          <w:tab w:leader="none" w:pos="1135"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of Restricted Shares. </w:t>
      </w:r>
      <w:r>
        <w:rPr>
          <w:rFonts w:ascii="Arial" w:cs="Arial" w:eastAsia="Arial" w:hAnsi="Arial"/>
          <w:sz w:val="16"/>
          <w:szCs w:val="16"/>
          <w:color w:val="auto"/>
        </w:rPr>
        <w:t>The Optionee shall not transfer, assign, encumber or otherwise dispose of any Restricted Shares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48" w:lineRule="exact"/>
        <w:rPr>
          <w:rFonts w:ascii="Arial" w:cs="Arial" w:eastAsia="Arial" w:hAnsi="Arial"/>
          <w:sz w:val="16"/>
          <w:szCs w:val="16"/>
          <w:b w:val="1"/>
          <w:bCs w:val="1"/>
          <w:color w:val="auto"/>
        </w:rPr>
      </w:pPr>
    </w:p>
    <w:p>
      <w:pPr>
        <w:ind w:right="140" w:firstLine="871"/>
        <w:spacing w:after="0" w:line="266" w:lineRule="auto"/>
        <w:tabs>
          <w:tab w:leader="none" w:pos="1145"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Repurchase Right. </w:t>
      </w:r>
      <w:r>
        <w:rPr>
          <w:rFonts w:ascii="Arial" w:cs="Arial" w:eastAsia="Arial" w:hAnsi="Arial"/>
          <w:sz w:val="18"/>
          <w:szCs w:val="18"/>
          <w:color w:val="auto"/>
        </w:rPr>
        <w:t>The Board of Directors may freely assign the Company’s Right of Repurchase,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Repurchase from the Company shall assume all of the Company’s rights and obligations under this Section 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RIGHT OF FIRST REFUSAL.</w:t>
      </w:r>
    </w:p>
    <w:p>
      <w:pPr>
        <w:spacing w:after="0" w:line="117" w:lineRule="exact"/>
        <w:rPr>
          <w:sz w:val="20"/>
          <w:szCs w:val="20"/>
          <w:color w:val="auto"/>
        </w:rPr>
      </w:pPr>
    </w:p>
    <w:p>
      <w:pPr>
        <w:ind w:right="40" w:firstLine="871"/>
        <w:spacing w:after="0" w:line="289" w:lineRule="auto"/>
        <w:tabs>
          <w:tab w:leader="none" w:pos="1135"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362" w:name="page363"/>
    <w:bookmarkEnd w:id="362"/>
    <w:p>
      <w:pPr>
        <w:ind w:right="140" w:firstLine="871"/>
        <w:spacing w:after="0" w:line="284" w:lineRule="auto"/>
        <w:tabs>
          <w:tab w:leader="none" w:pos="1145"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 of Shares. </w:t>
      </w:r>
      <w:r>
        <w:rPr>
          <w:rFonts w:ascii="Arial" w:cs="Arial" w:eastAsia="Arial" w:hAnsi="Arial"/>
          <w:sz w:val="16"/>
          <w:szCs w:val="16"/>
          <w:color w:val="auto"/>
        </w:rPr>
        <w:t>If the Company fails to exercise its Right of First Refusal within 30 days after the date when it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w:t>
      </w:r>
    </w:p>
    <w:p>
      <w:pPr>
        <w:spacing w:after="0" w:line="5" w:lineRule="exact"/>
        <w:rPr>
          <w:rFonts w:ascii="Arial" w:cs="Arial" w:eastAsia="Arial" w:hAnsi="Arial"/>
          <w:sz w:val="16"/>
          <w:szCs w:val="16"/>
          <w:b w:val="1"/>
          <w:bCs w:val="1"/>
          <w:color w:val="auto"/>
        </w:rPr>
      </w:pPr>
    </w:p>
    <w:p>
      <w:pPr>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80" w:lineRule="exact"/>
        <w:rPr>
          <w:rFonts w:ascii="Arial" w:cs="Arial" w:eastAsia="Arial" w:hAnsi="Arial"/>
          <w:sz w:val="16"/>
          <w:szCs w:val="16"/>
          <w:b w:val="1"/>
          <w:bCs w:val="1"/>
          <w:color w:val="auto"/>
        </w:rPr>
      </w:pPr>
    </w:p>
    <w:p>
      <w:pPr>
        <w:ind w:right="100" w:firstLine="871"/>
        <w:spacing w:after="0" w:line="294" w:lineRule="auto"/>
        <w:tabs>
          <w:tab w:leader="none" w:pos="1125"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or Exchanged Securities and Property. </w:t>
      </w:r>
      <w:r>
        <w:rPr>
          <w:rFonts w:ascii="Arial" w:cs="Arial" w:eastAsia="Arial" w:hAnsi="Arial"/>
          <w:sz w:val="16"/>
          <w:szCs w:val="16"/>
          <w:color w:val="auto"/>
        </w:rPr>
        <w:t>In the event of a merger or consolidation of the Company with or into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50" w:lineRule="exact"/>
        <w:rPr>
          <w:rFonts w:ascii="Arial" w:cs="Arial" w:eastAsia="Arial" w:hAnsi="Arial"/>
          <w:sz w:val="16"/>
          <w:szCs w:val="16"/>
          <w:b w:val="1"/>
          <w:bCs w:val="1"/>
          <w:color w:val="auto"/>
        </w:rPr>
      </w:pPr>
    </w:p>
    <w:p>
      <w:pPr>
        <w:jc w:val="both"/>
        <w:ind w:right="300" w:firstLine="871"/>
        <w:spacing w:after="0" w:line="288" w:lineRule="auto"/>
        <w:tabs>
          <w:tab w:leader="none" w:pos="1145"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 of First Refusal. </w:t>
      </w:r>
      <w:r>
        <w:rPr>
          <w:rFonts w:ascii="Arial" w:cs="Arial" w:eastAsia="Arial" w:hAnsi="Arial"/>
          <w:sz w:val="17"/>
          <w:szCs w:val="17"/>
          <w:color w:val="auto"/>
        </w:rPr>
        <w:t>Any other provision of this Section 8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51" w:lineRule="exact"/>
        <w:rPr>
          <w:rFonts w:ascii="Arial" w:cs="Arial" w:eastAsia="Arial" w:hAnsi="Arial"/>
          <w:sz w:val="17"/>
          <w:szCs w:val="17"/>
          <w:b w:val="1"/>
          <w:bCs w:val="1"/>
          <w:color w:val="auto"/>
        </w:rPr>
      </w:pPr>
    </w:p>
    <w:p>
      <w:pPr>
        <w:ind w:firstLine="871"/>
        <w:spacing w:after="0" w:line="256" w:lineRule="auto"/>
        <w:tabs>
          <w:tab w:leader="none" w:pos="112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Permitted Transfers. </w:t>
      </w:r>
      <w:r>
        <w:rPr>
          <w:rFonts w:ascii="Arial" w:cs="Arial" w:eastAsia="Arial" w:hAnsi="Arial"/>
          <w:sz w:val="18"/>
          <w:szCs w:val="18"/>
          <w:color w:val="auto"/>
        </w:rPr>
        <w:t>This Section 8 shall not apply to (i) a transfer by beneficiary designation, will or intestate succession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60" w:top="270" w:right="499" w:bottom="1440" w:gutter="0" w:footer="0" w:header="0"/>
        </w:sectPr>
      </w:pPr>
    </w:p>
    <w:bookmarkStart w:id="363" w:name="page364"/>
    <w:bookmarkEnd w:id="363"/>
    <w:p>
      <w:pPr>
        <w:ind w:right="60" w:firstLine="871"/>
        <w:spacing w:after="0" w:line="276" w:lineRule="auto"/>
        <w:tabs>
          <w:tab w:leader="none" w:pos="1105"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of Rights as Stockholder. </w:t>
      </w:r>
      <w:r>
        <w:rPr>
          <w:rFonts w:ascii="Arial" w:cs="Arial" w:eastAsia="Arial" w:hAnsi="Arial"/>
          <w:sz w:val="17"/>
          <w:szCs w:val="17"/>
          <w:color w:val="auto"/>
        </w:rPr>
        <w:t>If the Company makes available, at the time and place and in the amount and form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63" w:lineRule="exact"/>
        <w:rPr>
          <w:rFonts w:ascii="Arial" w:cs="Arial" w:eastAsia="Arial" w:hAnsi="Arial"/>
          <w:sz w:val="17"/>
          <w:szCs w:val="17"/>
          <w:b w:val="1"/>
          <w:bCs w:val="1"/>
          <w:color w:val="auto"/>
        </w:rPr>
      </w:pPr>
    </w:p>
    <w:p>
      <w:pPr>
        <w:jc w:val="both"/>
        <w:ind w:right="100" w:firstLine="871"/>
        <w:spacing w:after="0" w:line="266" w:lineRule="auto"/>
        <w:tabs>
          <w:tab w:leader="none" w:pos="1135"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Right of First Refusal. </w:t>
      </w:r>
      <w:r>
        <w:rPr>
          <w:rFonts w:ascii="Arial" w:cs="Arial" w:eastAsia="Arial" w:hAnsi="Arial"/>
          <w:sz w:val="18"/>
          <w:szCs w:val="18"/>
          <w:color w:val="auto"/>
        </w:rPr>
        <w:t>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LEGALITY OF INITIAL ISSUANCE.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40" w:right="120" w:firstLine="845"/>
        <w:spacing w:after="0" w:line="277" w:lineRule="auto"/>
        <w:rPr>
          <w:sz w:val="20"/>
          <w:szCs w:val="20"/>
          <w:color w:val="auto"/>
        </w:rPr>
      </w:pPr>
      <w:r>
        <w:rPr>
          <w:rFonts w:ascii="Arial" w:cs="Arial" w:eastAsia="Arial" w:hAnsi="Arial"/>
          <w:sz w:val="18"/>
          <w:szCs w:val="18"/>
          <w:color w:val="auto"/>
        </w:rPr>
        <w:t>a. It and the Optionee have taken any actions required to register the Shares under the Securities Act or to perfect an exemption from the registration requirements thereof;</w:t>
      </w:r>
    </w:p>
    <w:p>
      <w:pPr>
        <w:spacing w:after="0" w:line="62" w:lineRule="exact"/>
        <w:rPr>
          <w:sz w:val="20"/>
          <w:szCs w:val="20"/>
          <w:color w:val="auto"/>
        </w:rPr>
      </w:pPr>
    </w:p>
    <w:p>
      <w:pPr>
        <w:ind w:left="1280" w:right="20"/>
        <w:spacing w:after="0" w:line="402" w:lineRule="auto"/>
        <w:rPr>
          <w:sz w:val="20"/>
          <w:szCs w:val="20"/>
          <w:color w:val="auto"/>
        </w:rPr>
      </w:pPr>
      <w:r>
        <w:rPr>
          <w:rFonts w:ascii="Arial" w:cs="Arial" w:eastAsia="Arial" w:hAnsi="Arial"/>
          <w:sz w:val="18"/>
          <w:szCs w:val="18"/>
          <w:color w:val="auto"/>
        </w:rPr>
        <w:t>b. Any applicable listing requirement of any stock exchange or other securities market on which Stock is listed has been satisfied; and c. Any other applicable provision of federal, State or foreign law has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REGISTRATION RIGHTS.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not be obligated to take any affirmative action in order to cause the sale of Shares under this Agreement to comply with any law.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RESTRICTIONS ON TRANSFER OF SHARES.</w:t>
      </w:r>
    </w:p>
    <w:p>
      <w:pPr>
        <w:spacing w:after="0" w:line="117" w:lineRule="exact"/>
        <w:rPr>
          <w:sz w:val="20"/>
          <w:szCs w:val="20"/>
          <w:color w:val="auto"/>
        </w:rPr>
      </w:pPr>
    </w:p>
    <w:p>
      <w:pPr>
        <w:ind w:firstLine="871"/>
        <w:spacing w:after="0" w:line="258" w:lineRule="auto"/>
        <w:tabs>
          <w:tab w:leader="none" w:pos="1135"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60" w:top="270" w:right="499" w:bottom="1440" w:gutter="0" w:footer="0" w:header="0"/>
        </w:sectPr>
      </w:pPr>
    </w:p>
    <w:bookmarkStart w:id="364" w:name="page365"/>
    <w:bookmarkEnd w:id="364"/>
    <w:p>
      <w:pPr>
        <w:ind w:left="10" w:firstLine="871"/>
        <w:spacing w:after="0" w:line="284" w:lineRule="auto"/>
        <w:tabs>
          <w:tab w:leader="none" w:pos="1155" w:val="left"/>
        </w:tabs>
        <w:numPr>
          <w:ilvl w:val="1"/>
          <w:numId w:val="32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Market Stand-Off. </w:t>
      </w:r>
      <w:r>
        <w:rPr>
          <w:rFonts w:ascii="Arial" w:cs="Arial" w:eastAsia="Arial" w:hAnsi="Arial"/>
          <w:sz w:val="16"/>
          <w:szCs w:val="16"/>
          <w:color w:val="auto"/>
        </w:rPr>
        <w:t>In connection with any underwritten public offering by the Company of its equity securities pursuant to an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w:t>
      </w:r>
    </w:p>
    <w:p>
      <w:pPr>
        <w:spacing w:after="0" w:line="1" w:lineRule="exact"/>
        <w:rPr>
          <w:rFonts w:ascii="Arial" w:cs="Arial" w:eastAsia="Arial" w:hAnsi="Arial"/>
          <w:sz w:val="16"/>
          <w:szCs w:val="16"/>
          <w:b w:val="1"/>
          <w:bCs w:val="1"/>
          <w:color w:val="auto"/>
        </w:rPr>
      </w:pPr>
    </w:p>
    <w:p>
      <w:pPr>
        <w:ind w:left="10" w:right="80" w:hanging="10"/>
        <w:spacing w:after="0" w:line="268" w:lineRule="auto"/>
        <w:tabs>
          <w:tab w:leader="none" w:pos="26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69" w:lineRule="exact"/>
        <w:rPr>
          <w:rFonts w:ascii="Arial" w:cs="Arial" w:eastAsia="Arial" w:hAnsi="Arial"/>
          <w:sz w:val="17"/>
          <w:szCs w:val="17"/>
          <w:color w:val="auto"/>
        </w:rPr>
      </w:pPr>
    </w:p>
    <w:p>
      <w:pPr>
        <w:ind w:left="10" w:right="420" w:firstLine="871"/>
        <w:spacing w:after="0" w:line="281" w:lineRule="auto"/>
        <w:tabs>
          <w:tab w:leader="none" w:pos="1135" w:val="left"/>
        </w:tabs>
        <w:numPr>
          <w:ilvl w:val="1"/>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Intent at Grant. </w:t>
      </w:r>
      <w:r>
        <w:rPr>
          <w:rFonts w:ascii="Arial" w:cs="Arial" w:eastAsia="Arial" w:hAnsi="Arial"/>
          <w:sz w:val="18"/>
          <w:szCs w:val="18"/>
          <w:color w:val="auto"/>
        </w:rPr>
        <w:t>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4" w:lineRule="exact"/>
        <w:rPr>
          <w:rFonts w:ascii="Arial" w:cs="Arial" w:eastAsia="Arial" w:hAnsi="Arial"/>
          <w:sz w:val="18"/>
          <w:szCs w:val="18"/>
          <w:b w:val="1"/>
          <w:bCs w:val="1"/>
          <w:color w:val="auto"/>
        </w:rPr>
      </w:pPr>
    </w:p>
    <w:p>
      <w:pPr>
        <w:ind w:left="10" w:right="120" w:firstLine="871"/>
        <w:spacing w:after="0" w:line="280" w:lineRule="auto"/>
        <w:tabs>
          <w:tab w:leader="none" w:pos="1155" w:val="left"/>
        </w:tabs>
        <w:numPr>
          <w:ilvl w:val="1"/>
          <w:numId w:val="3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at Exercise. </w:t>
      </w:r>
      <w:r>
        <w:rPr>
          <w:rFonts w:ascii="Arial" w:cs="Arial" w:eastAsia="Arial" w:hAnsi="Arial"/>
          <w:sz w:val="17"/>
          <w:szCs w:val="17"/>
          <w:color w:val="auto"/>
        </w:rPr>
        <w:t>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0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0"/>
          </w:cols>
          <w:pgMar w:left="450" w:top="270" w:right="459" w:bottom="1440" w:gutter="0" w:footer="0" w:header="0"/>
        </w:sectPr>
      </w:pPr>
    </w:p>
    <w:bookmarkStart w:id="365" w:name="page366"/>
    <w:bookmarkEnd w:id="365"/>
    <w:p>
      <w:pPr>
        <w:ind w:left="1120" w:hanging="249"/>
        <w:spacing w:after="0"/>
        <w:tabs>
          <w:tab w:leader="none" w:pos="112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Legends. </w:t>
      </w:r>
      <w:r>
        <w:rPr>
          <w:rFonts w:ascii="Arial" w:cs="Arial" w:eastAsia="Arial" w:hAnsi="Arial"/>
          <w:sz w:val="18"/>
          <w:szCs w:val="18"/>
          <w:color w:val="auto"/>
        </w:rPr>
        <w:t>All certificates evidencing Shares purchased under this Agreement shall bear the following legend:</w:t>
      </w:r>
    </w:p>
    <w:p>
      <w:pPr>
        <w:spacing w:after="0" w:line="12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4" w:lineRule="exact"/>
        <w:rPr>
          <w:sz w:val="20"/>
          <w:szCs w:val="20"/>
          <w:color w:val="auto"/>
        </w:rPr>
      </w:pPr>
    </w:p>
    <w:p>
      <w:pPr>
        <w:ind w:firstLine="871"/>
        <w:spacing w:after="0" w:line="266" w:lineRule="auto"/>
        <w:tabs>
          <w:tab w:leader="none" w:pos="1105"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of Legends. </w:t>
      </w:r>
      <w:r>
        <w:rPr>
          <w:rFonts w:ascii="Arial" w:cs="Arial" w:eastAsia="Arial" w:hAnsi="Arial"/>
          <w:sz w:val="18"/>
          <w:szCs w:val="18"/>
          <w:color w:val="auto"/>
        </w:rPr>
        <w:t>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b w:val="1"/>
          <w:bCs w:val="1"/>
          <w:color w:val="auto"/>
        </w:rPr>
      </w:pPr>
    </w:p>
    <w:p>
      <w:pPr>
        <w:ind w:right="260" w:firstLine="871"/>
        <w:spacing w:after="0" w:line="281" w:lineRule="auto"/>
        <w:tabs>
          <w:tab w:leader="none" w:pos="1135"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Any determination by the Company and its counsel in connection with any of the matters set forth in this 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 and binding on the Optionee and all other persons.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ADJUSTMENT OF SHARES.</w:t>
      </w:r>
    </w:p>
    <w:p>
      <w:pPr>
        <w:spacing w:after="0" w:line="121" w:lineRule="exact"/>
        <w:rPr>
          <w:sz w:val="20"/>
          <w:szCs w:val="20"/>
          <w:color w:val="auto"/>
        </w:rPr>
      </w:pPr>
    </w:p>
    <w:p>
      <w:pPr>
        <w:jc w:val="both"/>
        <w:ind w:right="160" w:firstLine="880"/>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MISCELLANEOUS PROVISIONS.</w:t>
      </w:r>
    </w:p>
    <w:p>
      <w:pPr>
        <w:spacing w:after="0" w:line="117" w:lineRule="exact"/>
        <w:rPr>
          <w:sz w:val="20"/>
          <w:szCs w:val="20"/>
          <w:color w:val="auto"/>
        </w:rPr>
      </w:pPr>
    </w:p>
    <w:p>
      <w:pPr>
        <w:ind w:right="220" w:firstLine="871"/>
        <w:spacing w:after="0" w:line="266" w:lineRule="auto"/>
        <w:tabs>
          <w:tab w:leader="none" w:pos="1135"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representative shall have any rights as a stockholder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subject to this option until the Optionee or the Optionee’s representative becomes entitled to receive such Shares by filing a notice of exercise and paying the Purchase Price pursuant to Sections 4 and 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366" w:name="page367"/>
    <w:bookmarkEnd w:id="366"/>
    <w:p>
      <w:pPr>
        <w:ind w:right="260" w:firstLine="871"/>
        <w:spacing w:after="0" w:line="260" w:lineRule="auto"/>
        <w:tabs>
          <w:tab w:leader="none" w:pos="1145"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Retention Rights. </w:t>
      </w:r>
      <w:r>
        <w:rPr>
          <w:rFonts w:ascii="Arial" w:cs="Arial" w:eastAsia="Arial" w:hAnsi="Arial"/>
          <w:sz w:val="18"/>
          <w:szCs w:val="18"/>
          <w:color w:val="auto"/>
        </w:rPr>
        <w:t>Nothing in this option or in the Plan shall confer upon the Optionee any right to continue in Service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4" w:lineRule="exact"/>
        <w:rPr>
          <w:rFonts w:ascii="Arial" w:cs="Arial" w:eastAsia="Arial" w:hAnsi="Arial"/>
          <w:sz w:val="18"/>
          <w:szCs w:val="18"/>
          <w:b w:val="1"/>
          <w:bCs w:val="1"/>
          <w:color w:val="auto"/>
        </w:rPr>
      </w:pPr>
    </w:p>
    <w:p>
      <w:pPr>
        <w:ind w:right="260" w:firstLine="871"/>
        <w:spacing w:after="0" w:line="280" w:lineRule="auto"/>
        <w:tabs>
          <w:tab w:leader="none" w:pos="1125"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9" w:lineRule="exact"/>
        <w:rPr>
          <w:rFonts w:ascii="Arial" w:cs="Arial" w:eastAsia="Arial" w:hAnsi="Arial"/>
          <w:sz w:val="17"/>
          <w:szCs w:val="17"/>
          <w:b w:val="1"/>
          <w:bCs w:val="1"/>
          <w:color w:val="auto"/>
        </w:rPr>
      </w:pPr>
    </w:p>
    <w:p>
      <w:pPr>
        <w:jc w:val="both"/>
        <w:ind w:right="300" w:firstLine="871"/>
        <w:spacing w:after="0" w:line="266" w:lineRule="auto"/>
        <w:tabs>
          <w:tab w:leader="none" w:pos="1145"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of Stock Option Grant, this Agreement and the Plan constitute the entire contract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b w:val="1"/>
          <w:bCs w:val="1"/>
          <w:color w:val="auto"/>
        </w:rPr>
      </w:pPr>
    </w:p>
    <w:p>
      <w:pPr>
        <w:ind w:right="40" w:firstLine="871"/>
        <w:spacing w:after="0" w:line="281" w:lineRule="auto"/>
        <w:tabs>
          <w:tab w:leader="none" w:pos="1125"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54" w:lineRule="exact"/>
        <w:rPr>
          <w:rFonts w:ascii="Arial" w:cs="Arial" w:eastAsia="Arial" w:hAnsi="Arial"/>
          <w:sz w:val="18"/>
          <w:szCs w:val="18"/>
          <w:b w:val="1"/>
          <w:bCs w:val="1"/>
          <w:color w:val="auto"/>
        </w:rPr>
      </w:pPr>
    </w:p>
    <w:p>
      <w:pPr>
        <w:ind w:right="140" w:firstLine="871"/>
        <w:spacing w:after="0" w:line="276" w:lineRule="auto"/>
        <w:tabs>
          <w:tab w:leader="none" w:pos="1105"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Discretionary. </w:t>
      </w:r>
      <w:r>
        <w:rPr>
          <w:rFonts w:ascii="Arial" w:cs="Arial" w:eastAsia="Arial" w:hAnsi="Arial"/>
          <w:sz w:val="17"/>
          <w:szCs w:val="17"/>
          <w:color w:val="auto"/>
        </w:rPr>
        <w:t>The Optionee understands and acknowledges that (i) the Plan is entirely discretionary, (ii)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63" w:lineRule="exact"/>
        <w:rPr>
          <w:rFonts w:ascii="Arial" w:cs="Arial" w:eastAsia="Arial" w:hAnsi="Arial"/>
          <w:sz w:val="17"/>
          <w:szCs w:val="17"/>
          <w:b w:val="1"/>
          <w:bCs w:val="1"/>
          <w:color w:val="auto"/>
        </w:rPr>
      </w:pPr>
    </w:p>
    <w:p>
      <w:pPr>
        <w:ind w:right="320" w:firstLine="871"/>
        <w:spacing w:after="0" w:line="314" w:lineRule="auto"/>
        <w:tabs>
          <w:tab w:leader="none" w:pos="1135"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Extraordinary Compensation. </w:t>
      </w:r>
      <w:r>
        <w:rPr>
          <w:rFonts w:ascii="Arial" w:cs="Arial" w:eastAsia="Arial" w:hAnsi="Arial"/>
          <w:sz w:val="16"/>
          <w:szCs w:val="16"/>
          <w:color w:val="auto"/>
        </w:rPr>
        <w:t>The value of this option shall be an extraordinary item of compensation outside the scope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33" w:lineRule="exact"/>
        <w:rPr>
          <w:rFonts w:ascii="Arial" w:cs="Arial" w:eastAsia="Arial" w:hAnsi="Arial"/>
          <w:sz w:val="16"/>
          <w:szCs w:val="16"/>
          <w:b w:val="1"/>
          <w:bCs w:val="1"/>
          <w:color w:val="auto"/>
        </w:rPr>
      </w:pPr>
    </w:p>
    <w:p>
      <w:pPr>
        <w:ind w:right="260" w:firstLine="871"/>
        <w:spacing w:after="0" w:line="281" w:lineRule="auto"/>
        <w:tabs>
          <w:tab w:leader="none" w:pos="1145"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The Optionee understands and acknowledges that participation in the Plan ceases upon termination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Service for any reason, except as may explicitly be provided otherwise in the Plan or this Agreement.</w:t>
      </w:r>
    </w:p>
    <w:p>
      <w:pPr>
        <w:spacing w:after="0" w:line="54" w:lineRule="exact"/>
        <w:rPr>
          <w:rFonts w:ascii="Arial" w:cs="Arial" w:eastAsia="Arial" w:hAnsi="Arial"/>
          <w:sz w:val="18"/>
          <w:szCs w:val="18"/>
          <w:b w:val="1"/>
          <w:bCs w:val="1"/>
          <w:color w:val="auto"/>
        </w:rPr>
      </w:pPr>
    </w:p>
    <w:p>
      <w:pPr>
        <w:ind w:right="80" w:firstLine="871"/>
        <w:spacing w:after="0" w:line="314" w:lineRule="auto"/>
        <w:tabs>
          <w:tab w:leader="none" w:pos="1095"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to Disclose. </w:t>
      </w:r>
      <w:r>
        <w:rPr>
          <w:rFonts w:ascii="Arial" w:cs="Arial" w:eastAsia="Arial" w:hAnsi="Arial"/>
          <w:sz w:val="16"/>
          <w:szCs w:val="16"/>
          <w:color w:val="auto"/>
        </w:rPr>
        <w:t>The Optionee hereby authorizes and directs the Optionee’s employer to disclose to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33" w:lineRule="exact"/>
        <w:rPr>
          <w:rFonts w:ascii="Arial" w:cs="Arial" w:eastAsia="Arial" w:hAnsi="Arial"/>
          <w:sz w:val="16"/>
          <w:szCs w:val="16"/>
          <w:b w:val="1"/>
          <w:bCs w:val="1"/>
          <w:color w:val="auto"/>
        </w:rPr>
      </w:pPr>
    </w:p>
    <w:p>
      <w:pPr>
        <w:ind w:left="1100" w:hanging="229"/>
        <w:spacing w:after="0"/>
        <w:tabs>
          <w:tab w:leader="none" w:pos="11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Personal Data Authorization. </w:t>
      </w:r>
      <w:r>
        <w:rPr>
          <w:rFonts w:ascii="Arial" w:cs="Arial" w:eastAsia="Arial" w:hAnsi="Arial"/>
          <w:sz w:val="16"/>
          <w:szCs w:val="16"/>
          <w:color w:val="auto"/>
        </w:rPr>
        <w:t>The Optionee consents to the collection, use and transfer of personal data as described in this Subsection</w:t>
      </w:r>
    </w:p>
    <w:p>
      <w:pPr>
        <w:spacing w:after="0" w:line="50" w:lineRule="exact"/>
        <w:rPr>
          <w:rFonts w:ascii="Arial" w:cs="Arial" w:eastAsia="Arial" w:hAnsi="Arial"/>
          <w:sz w:val="16"/>
          <w:szCs w:val="16"/>
          <w:b w:val="1"/>
          <w:bCs w:val="1"/>
          <w:color w:val="auto"/>
        </w:rPr>
      </w:pPr>
    </w:p>
    <w:p>
      <w:pPr>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(j).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“Data”).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(j) by contacting the Human Resources Department of the Company in writing.]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ACKNOWLEDGEMENTS OF THE OPTIONEE.</w:t>
      </w:r>
    </w:p>
    <w:p>
      <w:pPr>
        <w:spacing w:after="0" w:line="117" w:lineRule="exact"/>
        <w:rPr>
          <w:sz w:val="20"/>
          <w:szCs w:val="20"/>
          <w:color w:val="auto"/>
        </w:rPr>
      </w:pPr>
    </w:p>
    <w:p>
      <w:pPr>
        <w:ind w:right="40" w:firstLine="871"/>
        <w:spacing w:after="0" w:line="271" w:lineRule="auto"/>
        <w:tabs>
          <w:tab w:leader="none" w:pos="1135"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Consequences. </w:t>
      </w:r>
      <w:r>
        <w:rPr>
          <w:rFonts w:ascii="Arial" w:cs="Arial" w:eastAsia="Arial" w:hAnsi="Arial"/>
          <w:sz w:val="17"/>
          <w:szCs w:val="17"/>
          <w:color w:val="auto"/>
        </w:rPr>
        <w:t>The Optionee agrees that the Company does not have a duty to design or administer the Plan or its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6" w:lineRule="exact"/>
        <w:rPr>
          <w:rFonts w:ascii="Arial" w:cs="Arial" w:eastAsia="Arial" w:hAnsi="Arial"/>
          <w:sz w:val="17"/>
          <w:szCs w:val="17"/>
          <w:b w:val="1"/>
          <w:bCs w:val="1"/>
          <w:color w:val="auto"/>
        </w:rPr>
      </w:pPr>
    </w:p>
    <w:p>
      <w:pPr>
        <w:ind w:right="120" w:firstLine="871"/>
        <w:spacing w:after="0" w:line="276" w:lineRule="auto"/>
        <w:tabs>
          <w:tab w:leader="none" w:pos="1145"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of Documents. </w:t>
      </w:r>
      <w:r>
        <w:rPr>
          <w:rFonts w:ascii="Arial" w:cs="Arial" w:eastAsia="Arial" w:hAnsi="Arial"/>
          <w:sz w:val="17"/>
          <w:szCs w:val="17"/>
          <w:color w:val="auto"/>
        </w:rPr>
        <w:t>The Optionee agrees that the Company may deliver by email all documents relating to the Plan or</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ectPr>
          <w:pgSz w:w="11900" w:h="16838" w:orient="portrait"/>
          <w:cols w:equalWidth="0" w:num="1">
            <w:col w:w="11000"/>
          </w:cols>
          <w:pgMar w:left="460" w:top="270" w:right="439" w:bottom="1440" w:gutter="0" w:footer="0" w:header="0"/>
        </w:sectPr>
      </w:pP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00"/>
          </w:cols>
          <w:pgMar w:left="460" w:top="270" w:right="439" w:bottom="1440" w:gutter="0" w:footer="0" w:header="0"/>
          <w:type w:val="continuous"/>
        </w:sectPr>
      </w:pPr>
    </w:p>
    <w:bookmarkStart w:id="367" w:name="page368"/>
    <w:bookmarkEnd w:id="3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15. DEFINITIONS.</w:t>
      </w:r>
    </w:p>
    <w:p>
      <w:pPr>
        <w:spacing w:after="0" w:line="117" w:lineRule="exact"/>
        <w:rPr>
          <w:sz w:val="20"/>
          <w:szCs w:val="20"/>
          <w:color w:val="auto"/>
        </w:rPr>
      </w:pPr>
    </w:p>
    <w:p>
      <w:pPr>
        <w:ind w:left="1120" w:hanging="249"/>
        <w:spacing w:after="0"/>
        <w:tabs>
          <w:tab w:leader="none" w:pos="112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Stock Option Agreement.</w:t>
      </w:r>
    </w:p>
    <w:p>
      <w:pPr>
        <w:spacing w:after="0" w:line="116" w:lineRule="exact"/>
        <w:rPr>
          <w:rFonts w:ascii="Arial" w:cs="Arial" w:eastAsia="Arial" w:hAnsi="Arial"/>
          <w:sz w:val="18"/>
          <w:szCs w:val="18"/>
          <w:b w:val="1"/>
          <w:bCs w:val="1"/>
          <w:color w:val="auto"/>
        </w:rPr>
      </w:pPr>
    </w:p>
    <w:p>
      <w:pPr>
        <w:ind w:right="140" w:firstLine="871"/>
        <w:spacing w:after="0" w:line="281" w:lineRule="auto"/>
        <w:tabs>
          <w:tab w:leader="none" w:pos="114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 or, if a Committee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such Committee.</w:t>
      </w:r>
    </w:p>
    <w:p>
      <w:pPr>
        <w:spacing w:after="0" w:line="54"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6" w:lineRule="exact"/>
        <w:rPr>
          <w:rFonts w:ascii="Arial" w:cs="Arial" w:eastAsia="Arial" w:hAnsi="Arial"/>
          <w:sz w:val="18"/>
          <w:szCs w:val="18"/>
          <w:b w:val="1"/>
          <w:bCs w:val="1"/>
          <w:color w:val="auto"/>
        </w:rPr>
      </w:pPr>
    </w:p>
    <w:p>
      <w:pPr>
        <w:ind w:left="1140" w:hanging="269"/>
        <w:spacing w:after="0"/>
        <w:tabs>
          <w:tab w:leader="none" w:pos="114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as described in Section 2 of the Plan.</w:t>
      </w:r>
    </w:p>
    <w:p>
      <w:pPr>
        <w:spacing w:after="0" w:line="116" w:lineRule="exact"/>
        <w:rPr>
          <w:rFonts w:ascii="Arial" w:cs="Arial" w:eastAsia="Arial" w:hAnsi="Arial"/>
          <w:sz w:val="18"/>
          <w:szCs w:val="18"/>
          <w:b w:val="1"/>
          <w:bCs w:val="1"/>
          <w:color w:val="auto"/>
        </w:rPr>
      </w:pPr>
    </w:p>
    <w:p>
      <w:pPr>
        <w:ind w:left="1120" w:hanging="249"/>
        <w:spacing w:after="0"/>
        <w:tabs>
          <w:tab w:leader="none" w:pos="112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SI-BONE, Inc., a Delaware corporation.</w:t>
      </w:r>
    </w:p>
    <w:p>
      <w:pPr>
        <w:spacing w:after="0" w:line="116" w:lineRule="exact"/>
        <w:rPr>
          <w:rFonts w:ascii="Arial" w:cs="Arial" w:eastAsia="Arial" w:hAnsi="Arial"/>
          <w:sz w:val="18"/>
          <w:szCs w:val="18"/>
          <w:b w:val="1"/>
          <w:bCs w:val="1"/>
          <w:color w:val="auto"/>
        </w:rPr>
      </w:pPr>
    </w:p>
    <w:p>
      <w:pPr>
        <w:ind w:firstLine="871"/>
        <w:spacing w:after="0" w:line="281" w:lineRule="auto"/>
        <w:tabs>
          <w:tab w:leader="none" w:pos="110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4" w:lineRule="exact"/>
        <w:rPr>
          <w:rFonts w:ascii="Arial" w:cs="Arial" w:eastAsia="Arial" w:hAnsi="Arial"/>
          <w:sz w:val="18"/>
          <w:szCs w:val="18"/>
          <w:b w:val="1"/>
          <w:bCs w:val="1"/>
          <w:color w:val="auto"/>
        </w:rPr>
      </w:pPr>
    </w:p>
    <w:p>
      <w:pPr>
        <w:ind w:right="120" w:firstLine="871"/>
        <w:spacing w:after="0" w:line="281" w:lineRule="auto"/>
        <w:tabs>
          <w:tab w:leader="none" w:pos="113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date of grant specified in the Notice of Stock Option Grant, which date shall be the later of (i)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Board of Directors resolved to grant this option or (ii) the first day of the Optionee’s Service.</w:t>
      </w:r>
    </w:p>
    <w:p>
      <w:pPr>
        <w:spacing w:after="0" w:line="54" w:lineRule="exact"/>
        <w:rPr>
          <w:rFonts w:ascii="Arial" w:cs="Arial" w:eastAsia="Arial" w:hAnsi="Arial"/>
          <w:sz w:val="18"/>
          <w:szCs w:val="18"/>
          <w:b w:val="1"/>
          <w:bCs w:val="1"/>
          <w:color w:val="auto"/>
        </w:rPr>
      </w:pPr>
    </w:p>
    <w:p>
      <w:pPr>
        <w:ind w:right="940" w:firstLine="871"/>
        <w:spacing w:after="0" w:line="281" w:lineRule="auto"/>
        <w:tabs>
          <w:tab w:leader="none" w:pos="114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that the Optionee is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or mental impairment.</w:t>
      </w:r>
    </w:p>
    <w:p>
      <w:pPr>
        <w:spacing w:after="0" w:line="54" w:lineRule="exact"/>
        <w:rPr>
          <w:rFonts w:ascii="Arial" w:cs="Arial" w:eastAsia="Arial" w:hAnsi="Arial"/>
          <w:sz w:val="18"/>
          <w:szCs w:val="18"/>
          <w:b w:val="1"/>
          <w:bCs w:val="1"/>
          <w:color w:val="auto"/>
        </w:rPr>
      </w:pPr>
    </w:p>
    <w:p>
      <w:pPr>
        <w:ind w:left="1080" w:hanging="209"/>
        <w:spacing w:after="0"/>
        <w:tabs>
          <w:tab w:leader="none" w:pos="108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16" w:lineRule="exact"/>
        <w:rPr>
          <w:rFonts w:ascii="Arial" w:cs="Arial" w:eastAsia="Arial" w:hAnsi="Arial"/>
          <w:sz w:val="18"/>
          <w:szCs w:val="18"/>
          <w:b w:val="1"/>
          <w:bCs w:val="1"/>
          <w:color w:val="auto"/>
        </w:rPr>
      </w:pPr>
    </w:p>
    <w:p>
      <w:pPr>
        <w:ind w:right="140" w:firstLine="871"/>
        <w:spacing w:after="0" w:line="281" w:lineRule="auto"/>
        <w:tabs>
          <w:tab w:leader="none" w:pos="110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amount for which one Share may be purchased upon exercise of this option, as specified in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Option Grant.</w:t>
      </w:r>
    </w:p>
    <w:p>
      <w:pPr>
        <w:spacing w:after="0" w:line="54" w:lineRule="exact"/>
        <w:rPr>
          <w:rFonts w:ascii="Arial" w:cs="Arial" w:eastAsia="Arial" w:hAnsi="Arial"/>
          <w:sz w:val="18"/>
          <w:szCs w:val="18"/>
          <w:b w:val="1"/>
          <w:bCs w:val="1"/>
          <w:color w:val="auto"/>
        </w:rPr>
      </w:pPr>
    </w:p>
    <w:p>
      <w:pPr>
        <w:ind w:right="700" w:firstLine="871"/>
        <w:spacing w:after="0" w:line="281" w:lineRule="auto"/>
        <w:tabs>
          <w:tab w:leader="none" w:pos="114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shall mean the fair market value of a Share, as determined by the Board of Directors in good faith.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conclusive and binding on all persons.</w:t>
      </w:r>
    </w:p>
    <w:p>
      <w:pPr>
        <w:spacing w:after="0" w:line="54" w:lineRule="exact"/>
        <w:rPr>
          <w:rFonts w:ascii="Arial" w:cs="Arial" w:eastAsia="Arial" w:hAnsi="Arial"/>
          <w:sz w:val="18"/>
          <w:szCs w:val="18"/>
          <w:b w:val="1"/>
          <w:bCs w:val="1"/>
          <w:color w:val="auto"/>
        </w:rPr>
      </w:pPr>
    </w:p>
    <w:p>
      <w:pPr>
        <w:ind w:right="20" w:firstLine="871"/>
        <w:spacing w:after="0" w:line="281" w:lineRule="auto"/>
        <w:tabs>
          <w:tab w:leader="none" w:pos="109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“Immediate Family” </w:t>
      </w:r>
      <w:r>
        <w:rPr>
          <w:rFonts w:ascii="Arial" w:cs="Arial" w:eastAsia="Arial" w:hAnsi="Arial"/>
          <w:sz w:val="18"/>
          <w:szCs w:val="18"/>
          <w:color w:val="auto"/>
        </w:rPr>
        <w:t>shall mean any child, stepchild, grandchild, parent, stepparent, grandparent, spouse, sibling, mother-in-law, father-in-law, son-in-law, daughter-in-law, brother-in-law or sister-in-law and shall include adoptive relationships.</w:t>
      </w:r>
    </w:p>
    <w:p>
      <w:pPr>
        <w:spacing w:after="0" w:line="54" w:lineRule="exact"/>
        <w:rPr>
          <w:rFonts w:ascii="Arial" w:cs="Arial" w:eastAsia="Arial" w:hAnsi="Arial"/>
          <w:sz w:val="18"/>
          <w:szCs w:val="18"/>
          <w:b w:val="1"/>
          <w:bCs w:val="1"/>
          <w:color w:val="auto"/>
        </w:rPr>
      </w:pPr>
    </w:p>
    <w:p>
      <w:pPr>
        <w:ind w:left="1180" w:hanging="309"/>
        <w:spacing w:after="0"/>
        <w:tabs>
          <w:tab w:leader="none" w:pos="118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shall mean an employee incentive stock option described in Section 422(b) of the Code.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0" w:right="479" w:bottom="1440" w:gutter="0" w:footer="0" w:header="0"/>
        </w:sectPr>
      </w:pPr>
    </w:p>
    <w:bookmarkStart w:id="368" w:name="page369"/>
    <w:bookmarkEnd w:id="368"/>
    <w:p>
      <w:pPr>
        <w:ind w:left="1100" w:hanging="269"/>
        <w:spacing w:after="0"/>
        <w:tabs>
          <w:tab w:leader="none" w:pos="11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of Stock Option Grant” </w:t>
      </w:r>
      <w:r>
        <w:rPr>
          <w:rFonts w:ascii="Arial" w:cs="Arial" w:eastAsia="Arial" w:hAnsi="Arial"/>
          <w:sz w:val="18"/>
          <w:szCs w:val="18"/>
          <w:color w:val="auto"/>
        </w:rPr>
        <w:t>shall mean the document so entitled to which this Agreement is attached.</w:t>
      </w:r>
    </w:p>
    <w:p>
      <w:pPr>
        <w:spacing w:after="0" w:line="116" w:lineRule="exact"/>
        <w:rPr>
          <w:rFonts w:ascii="Arial" w:cs="Arial" w:eastAsia="Arial" w:hAnsi="Arial"/>
          <w:sz w:val="18"/>
          <w:szCs w:val="18"/>
          <w:b w:val="1"/>
          <w:bCs w:val="1"/>
          <w:color w:val="auto"/>
        </w:rPr>
      </w:pPr>
    </w:p>
    <w:p>
      <w:pPr>
        <w:ind w:left="1080" w:hanging="249"/>
        <w:spacing w:after="0"/>
        <w:tabs>
          <w:tab w:leader="none" w:pos="108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shall mean a stock option not described in Sections 422(b) or 423(b) of the Code.</w:t>
      </w:r>
    </w:p>
    <w:p>
      <w:pPr>
        <w:spacing w:after="0" w:line="116" w:lineRule="exact"/>
        <w:rPr>
          <w:rFonts w:ascii="Arial" w:cs="Arial" w:eastAsia="Arial" w:hAnsi="Arial"/>
          <w:sz w:val="18"/>
          <w:szCs w:val="18"/>
          <w:b w:val="1"/>
          <w:bCs w:val="1"/>
          <w:color w:val="auto"/>
        </w:rPr>
      </w:pPr>
    </w:p>
    <w:p>
      <w:pPr>
        <w:ind w:left="1100" w:hanging="269"/>
        <w:spacing w:after="0"/>
        <w:tabs>
          <w:tab w:leader="none" w:pos="11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Stock Option Grant.</w:t>
      </w:r>
    </w:p>
    <w:p>
      <w:pPr>
        <w:spacing w:after="0" w:line="116" w:lineRule="exact"/>
        <w:rPr>
          <w:rFonts w:ascii="Arial" w:cs="Arial" w:eastAsia="Arial" w:hAnsi="Arial"/>
          <w:sz w:val="18"/>
          <w:szCs w:val="18"/>
          <w:b w:val="1"/>
          <w:bCs w:val="1"/>
          <w:color w:val="auto"/>
        </w:rPr>
      </w:pPr>
    </w:p>
    <w:p>
      <w:pPr>
        <w:ind w:left="1100" w:hanging="269"/>
        <w:spacing w:after="0"/>
        <w:tabs>
          <w:tab w:leader="none" w:pos="11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shall mean a member of the Board of Directors who is not an Employee.</w:t>
      </w:r>
    </w:p>
    <w:p>
      <w:pPr>
        <w:spacing w:after="0" w:line="116" w:lineRule="exact"/>
        <w:rPr>
          <w:rFonts w:ascii="Arial" w:cs="Arial" w:eastAsia="Arial" w:hAnsi="Arial"/>
          <w:sz w:val="18"/>
          <w:szCs w:val="18"/>
          <w:b w:val="1"/>
          <w:bCs w:val="1"/>
          <w:color w:val="auto"/>
        </w:rPr>
      </w:pPr>
    </w:p>
    <w:p>
      <w:pPr>
        <w:jc w:val="both"/>
        <w:ind w:left="-40" w:right="60" w:firstLine="871"/>
        <w:spacing w:after="0" w:line="266" w:lineRule="auto"/>
        <w:tabs>
          <w:tab w:leader="none" w:pos="1085"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060" w:hanging="229"/>
        <w:spacing w:after="0"/>
        <w:tabs>
          <w:tab w:leader="none" w:pos="10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SI-BONE, Inc. 2008 Stock Plan, as in effect on the Date of Grant.</w:t>
      </w:r>
    </w:p>
    <w:p>
      <w:pPr>
        <w:spacing w:after="0" w:line="116" w:lineRule="exact"/>
        <w:rPr>
          <w:rFonts w:ascii="Arial" w:cs="Arial" w:eastAsia="Arial" w:hAnsi="Arial"/>
          <w:sz w:val="18"/>
          <w:szCs w:val="18"/>
          <w:b w:val="1"/>
          <w:bCs w:val="1"/>
          <w:color w:val="auto"/>
        </w:rPr>
      </w:pPr>
    </w:p>
    <w:p>
      <w:pPr>
        <w:ind w:left="1060" w:hanging="229"/>
        <w:spacing w:after="0"/>
        <w:tabs>
          <w:tab w:leader="none" w:pos="106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shall mean the Exercise Price multiplied by the number of Shares with respect to which this option is being exercised.</w:t>
      </w:r>
    </w:p>
    <w:p>
      <w:pPr>
        <w:spacing w:after="0" w:line="139" w:lineRule="exact"/>
        <w:rPr>
          <w:rFonts w:ascii="Arial" w:cs="Arial" w:eastAsia="Arial" w:hAnsi="Arial"/>
          <w:sz w:val="16"/>
          <w:szCs w:val="16"/>
          <w:b w:val="1"/>
          <w:bCs w:val="1"/>
          <w:color w:val="auto"/>
        </w:rPr>
      </w:pPr>
    </w:p>
    <w:p>
      <w:pPr>
        <w:ind w:left="-40" w:right="60" w:firstLine="871"/>
        <w:spacing w:after="0" w:line="281" w:lineRule="auto"/>
        <w:tabs>
          <w:tab w:leader="none" w:pos="1105"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 Period” </w:t>
      </w:r>
      <w:r>
        <w:rPr>
          <w:rFonts w:ascii="Arial" w:cs="Arial" w:eastAsia="Arial" w:hAnsi="Arial"/>
          <w:sz w:val="18"/>
          <w:szCs w:val="18"/>
          <w:color w:val="auto"/>
        </w:rPr>
        <w:t>shall mean a period of 90 consecutive days commencing on the date when the Optionee’s Service terminates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including (without limitation) death or disability.</w:t>
      </w:r>
    </w:p>
    <w:p>
      <w:pPr>
        <w:spacing w:after="0" w:line="54" w:lineRule="exact"/>
        <w:rPr>
          <w:rFonts w:ascii="Arial" w:cs="Arial" w:eastAsia="Arial" w:hAnsi="Arial"/>
          <w:sz w:val="18"/>
          <w:szCs w:val="18"/>
          <w:b w:val="1"/>
          <w:bCs w:val="1"/>
          <w:color w:val="auto"/>
        </w:rPr>
      </w:pPr>
    </w:p>
    <w:p>
      <w:pPr>
        <w:ind w:left="1080" w:hanging="249"/>
        <w:spacing w:after="0"/>
        <w:tabs>
          <w:tab w:leader="none" w:pos="108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Share” </w:t>
      </w:r>
      <w:r>
        <w:rPr>
          <w:rFonts w:ascii="Arial" w:cs="Arial" w:eastAsia="Arial" w:hAnsi="Arial"/>
          <w:sz w:val="18"/>
          <w:szCs w:val="18"/>
          <w:color w:val="auto"/>
        </w:rPr>
        <w:t>shall mean a Share that is subject to the Right of Repurchase.</w:t>
      </w:r>
    </w:p>
    <w:p>
      <w:pPr>
        <w:spacing w:after="0" w:line="116" w:lineRule="exact"/>
        <w:rPr>
          <w:rFonts w:ascii="Arial" w:cs="Arial" w:eastAsia="Arial" w:hAnsi="Arial"/>
          <w:sz w:val="18"/>
          <w:szCs w:val="18"/>
          <w:b w:val="1"/>
          <w:bCs w:val="1"/>
          <w:color w:val="auto"/>
        </w:rPr>
      </w:pPr>
    </w:p>
    <w:p>
      <w:pPr>
        <w:ind w:left="1120" w:hanging="289"/>
        <w:spacing w:after="0"/>
        <w:tabs>
          <w:tab w:leader="none" w:pos="112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shall mean the Company’s right of first refusal described in Section 8.</w:t>
      </w:r>
    </w:p>
    <w:p>
      <w:pPr>
        <w:spacing w:after="0" w:line="116" w:lineRule="exact"/>
        <w:rPr>
          <w:rFonts w:ascii="Arial" w:cs="Arial" w:eastAsia="Arial" w:hAnsi="Arial"/>
          <w:sz w:val="18"/>
          <w:szCs w:val="18"/>
          <w:b w:val="1"/>
          <w:bCs w:val="1"/>
          <w:color w:val="auto"/>
        </w:rPr>
      </w:pPr>
    </w:p>
    <w:p>
      <w:pPr>
        <w:ind w:left="1080" w:hanging="249"/>
        <w:spacing w:after="0"/>
        <w:tabs>
          <w:tab w:leader="none" w:pos="108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Repurchase” </w:t>
      </w:r>
      <w:r>
        <w:rPr>
          <w:rFonts w:ascii="Arial" w:cs="Arial" w:eastAsia="Arial" w:hAnsi="Arial"/>
          <w:sz w:val="18"/>
          <w:szCs w:val="18"/>
          <w:color w:val="auto"/>
        </w:rPr>
        <w:t>shall mean the Company’s right of repurchase described in Section 7.</w:t>
      </w:r>
    </w:p>
    <w:p>
      <w:pPr>
        <w:spacing w:after="0" w:line="116" w:lineRule="exact"/>
        <w:rPr>
          <w:rFonts w:ascii="Arial" w:cs="Arial" w:eastAsia="Arial" w:hAnsi="Arial"/>
          <w:sz w:val="18"/>
          <w:szCs w:val="18"/>
          <w:b w:val="1"/>
          <w:bCs w:val="1"/>
          <w:color w:val="auto"/>
        </w:rPr>
      </w:pPr>
    </w:p>
    <w:p>
      <w:pPr>
        <w:ind w:left="1080" w:hanging="249"/>
        <w:spacing w:after="0"/>
        <w:tabs>
          <w:tab w:leader="none" w:pos="108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116" w:lineRule="exact"/>
        <w:rPr>
          <w:rFonts w:ascii="Arial" w:cs="Arial" w:eastAsia="Arial" w:hAnsi="Arial"/>
          <w:sz w:val="18"/>
          <w:szCs w:val="18"/>
          <w:b w:val="1"/>
          <w:bCs w:val="1"/>
          <w:color w:val="auto"/>
        </w:rPr>
      </w:pPr>
    </w:p>
    <w:p>
      <w:pPr>
        <w:ind w:left="1080" w:hanging="249"/>
        <w:spacing w:after="0"/>
        <w:tabs>
          <w:tab w:leader="none" w:pos="108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service as an Employee, Outside Director or Consultant.</w:t>
      </w:r>
    </w:p>
    <w:p>
      <w:pPr>
        <w:spacing w:after="0" w:line="117" w:lineRule="exact"/>
        <w:rPr>
          <w:sz w:val="20"/>
          <w:szCs w:val="20"/>
          <w:color w:val="auto"/>
        </w:rPr>
      </w:pPr>
    </w:p>
    <w:p>
      <w:pPr>
        <w:ind w:left="1180" w:hanging="349"/>
        <w:spacing w:after="0"/>
        <w:tabs>
          <w:tab w:leader="none" w:pos="118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shall mean one share of Stock, as adjusted in accordance with Section 8 of the Plan (if applicable).</w:t>
      </w:r>
    </w:p>
    <w:p>
      <w:pPr>
        <w:spacing w:after="0" w:line="116" w:lineRule="exact"/>
        <w:rPr>
          <w:rFonts w:ascii="Arial" w:cs="Arial" w:eastAsia="Arial" w:hAnsi="Arial"/>
          <w:sz w:val="18"/>
          <w:szCs w:val="18"/>
          <w:b w:val="1"/>
          <w:bCs w:val="1"/>
          <w:color w:val="auto"/>
        </w:rPr>
      </w:pPr>
    </w:p>
    <w:p>
      <w:pPr>
        <w:ind w:left="1200" w:hanging="369"/>
        <w:spacing w:after="0"/>
        <w:tabs>
          <w:tab w:leader="none" w:pos="12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shall mean the Series 1 Common Stock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69" w:right="499" w:bottom="1440" w:gutter="0" w:footer="0" w:header="0"/>
        </w:sectPr>
      </w:pPr>
    </w:p>
    <w:bookmarkStart w:id="369" w:name="page370"/>
    <w:bookmarkEnd w:id="369"/>
    <w:p>
      <w:pPr>
        <w:jc w:val="both"/>
        <w:ind w:firstLine="871"/>
        <w:spacing w:after="0" w:line="266" w:lineRule="auto"/>
        <w:tabs>
          <w:tab w:leader="none" w:pos="1205"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w:t>
      </w:r>
      <w:r>
        <w:rPr>
          <w:rFonts w:ascii="Arial" w:cs="Arial" w:eastAsia="Arial" w:hAnsi="Arial"/>
          <w:sz w:val="18"/>
          <w:szCs w:val="18"/>
          <w:color w:val="auto"/>
        </w:rPr>
        <w:t>shall mean any corporation (other than the Company) in an unbroken chain of corporations beginning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if each of the corporations other than the last corporation in the unbroken chain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240" w:hanging="369"/>
        <w:spacing w:after="0"/>
        <w:tabs>
          <w:tab w:leader="none" w:pos="1240" w:val="left"/>
        </w:tabs>
        <w:numPr>
          <w:ilvl w:val="0"/>
          <w:numId w:val="3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“Transferee” </w:t>
      </w:r>
      <w:r>
        <w:rPr>
          <w:rFonts w:ascii="Arial" w:cs="Arial" w:eastAsia="Arial" w:hAnsi="Arial"/>
          <w:sz w:val="17"/>
          <w:szCs w:val="17"/>
          <w:color w:val="auto"/>
        </w:rPr>
        <w:t>shall mean any person to whom the Optionee has directly or indirectly transferred any Share acquired under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98" w:lineRule="exact"/>
        <w:rPr>
          <w:rFonts w:ascii="Arial" w:cs="Arial" w:eastAsia="Arial" w:hAnsi="Arial"/>
          <w:sz w:val="17"/>
          <w:szCs w:val="17"/>
          <w:b w:val="1"/>
          <w:bCs w:val="1"/>
          <w:color w:val="auto"/>
        </w:rPr>
      </w:pPr>
    </w:p>
    <w:p>
      <w:pPr>
        <w:ind w:left="1200" w:hanging="329"/>
        <w:spacing w:after="0"/>
        <w:tabs>
          <w:tab w:leader="none" w:pos="120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Notice” </w:t>
      </w:r>
      <w:r>
        <w:rPr>
          <w:rFonts w:ascii="Arial" w:cs="Arial" w:eastAsia="Arial" w:hAnsi="Arial"/>
          <w:sz w:val="18"/>
          <w:szCs w:val="18"/>
          <w:color w:val="auto"/>
        </w:rPr>
        <w:t>shall mean the notice of a proposed transfer of Shares described in Section 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0" w:right="479" w:bottom="1440" w:gutter="0" w:footer="0" w:header="0"/>
        </w:sectPr>
      </w:pPr>
    </w:p>
    <w:bookmarkStart w:id="370" w:name="page371"/>
    <w:bookmarkEnd w:id="370"/>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2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NOTICE OF STOCK OPTION EXERCISE (EARLY EXERCISE)</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You must sign this Notice on Page 3 before submitting it to the Company.</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64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20"/>
              <w:spacing w:after="0"/>
              <w:rPr>
                <w:sz w:val="20"/>
                <w:szCs w:val="20"/>
                <w:color w:val="auto"/>
              </w:rPr>
            </w:pPr>
            <w:r>
              <w:rPr>
                <w:rFonts w:ascii="Arial" w:cs="Arial" w:eastAsia="Arial" w:hAnsi="Arial"/>
                <w:sz w:val="18"/>
                <w:szCs w:val="18"/>
                <w:color w:val="auto"/>
              </w:rPr>
              <w:t>Social Security Number:</w:t>
            </w:r>
          </w:p>
        </w:tc>
        <w:tc>
          <w:tcPr>
            <w:tcW w:w="5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20"/>
              <w:spacing w:after="0"/>
              <w:rPr>
                <w:sz w:val="20"/>
                <w:szCs w:val="20"/>
                <w:color w:val="auto"/>
              </w:rPr>
            </w:pPr>
            <w:r>
              <w:rPr>
                <w:rFonts w:ascii="Arial" w:cs="Arial" w:eastAsia="Arial" w:hAnsi="Arial"/>
                <w:sz w:val="18"/>
                <w:szCs w:val="18"/>
                <w:color w:val="auto"/>
              </w:rPr>
              <w:t>Employee Number:</w:t>
            </w:r>
          </w:p>
        </w:tc>
        <w:tc>
          <w:tcPr>
            <w:tcW w:w="5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39"/>
        </w:trPr>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7"/>
        </w:trPr>
        <w:tc>
          <w:tcPr>
            <w:tcW w:w="5540" w:type="dxa"/>
            <w:vAlign w:val="bottom"/>
            <w:gridSpan w:val="5"/>
          </w:tcPr>
          <w:p>
            <w:pPr>
              <w:spacing w:after="0"/>
              <w:rPr>
                <w:sz w:val="20"/>
                <w:szCs w:val="20"/>
                <w:color w:val="auto"/>
              </w:rPr>
            </w:pPr>
            <w:r>
              <w:rPr>
                <w:rFonts w:ascii="Arial" w:cs="Arial" w:eastAsia="Arial" w:hAnsi="Arial"/>
                <w:sz w:val="18"/>
                <w:szCs w:val="18"/>
                <w:color w:val="auto"/>
              </w:rPr>
              <w:t>Date of Grant: _____________ ___, 20__</w:t>
            </w:r>
          </w:p>
        </w:tc>
        <w:tc>
          <w:tcPr>
            <w:tcW w:w="2520" w:type="dxa"/>
            <w:vAlign w:val="bottom"/>
          </w:tcPr>
          <w:p>
            <w:pPr>
              <w:ind w:left="300"/>
              <w:spacing w:after="0"/>
              <w:rPr>
                <w:sz w:val="20"/>
                <w:szCs w:val="20"/>
                <w:color w:val="auto"/>
              </w:rPr>
            </w:pPr>
            <w:r>
              <w:rPr>
                <w:rFonts w:ascii="Arial" w:cs="Arial" w:eastAsia="Arial" w:hAnsi="Arial"/>
                <w:sz w:val="18"/>
                <w:szCs w:val="18"/>
                <w:color w:val="auto"/>
              </w:rPr>
              <w:t>Type of Stock Option:</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83"/>
        </w:trPr>
        <w:tc>
          <w:tcPr>
            <w:tcW w:w="1940" w:type="dxa"/>
            <w:vAlign w:val="bottom"/>
            <w:gridSpan w:val="2"/>
          </w:tcPr>
          <w:p>
            <w:pPr>
              <w:spacing w:after="0"/>
              <w:rPr>
                <w:sz w:val="20"/>
                <w:szCs w:val="20"/>
                <w:color w:val="auto"/>
              </w:rPr>
            </w:pPr>
            <w:r>
              <w:rPr>
                <w:rFonts w:ascii="Arial" w:cs="Arial" w:eastAsia="Arial" w:hAnsi="Arial"/>
                <w:sz w:val="18"/>
                <w:szCs w:val="18"/>
                <w:color w:val="auto"/>
                <w:w w:val="87"/>
              </w:rPr>
              <w:t>Exercise Price per Share: $</w:t>
            </w:r>
          </w:p>
        </w:tc>
        <w:tc>
          <w:tcPr>
            <w:tcW w:w="540" w:type="dxa"/>
            <w:vAlign w:val="bottom"/>
            <w:tcBorders>
              <w:bottom w:val="single" w:sz="8" w:color="auto"/>
            </w:tcBorders>
          </w:tcPr>
          <w:p>
            <w:pPr>
              <w:spacing w:after="0"/>
              <w:rPr>
                <w:sz w:val="24"/>
                <w:szCs w:val="24"/>
                <w:color w:val="auto"/>
              </w:rPr>
            </w:pPr>
          </w:p>
        </w:tc>
        <w:tc>
          <w:tcPr>
            <w:tcW w:w="3060" w:type="dxa"/>
            <w:vAlign w:val="bottom"/>
            <w:gridSpan w:val="2"/>
          </w:tcPr>
          <w:p>
            <w:pPr>
              <w:spacing w:after="0"/>
              <w:rPr>
                <w:sz w:val="24"/>
                <w:szCs w:val="24"/>
                <w:color w:val="auto"/>
              </w:rPr>
            </w:pPr>
          </w:p>
        </w:tc>
        <w:tc>
          <w:tcPr>
            <w:tcW w:w="25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0"/>
        </w:trPr>
        <w:tc>
          <w:tcPr>
            <w:tcW w:w="5540" w:type="dxa"/>
            <w:vAlign w:val="bottom"/>
            <w:gridSpan w:val="5"/>
          </w:tcPr>
          <w:p>
            <w:pPr>
              <w:spacing w:after="0"/>
              <w:rPr>
                <w:sz w:val="20"/>
                <w:szCs w:val="20"/>
                <w:color w:val="auto"/>
              </w:rPr>
            </w:pPr>
            <w:r>
              <w:rPr>
                <w:rFonts w:ascii="Arial" w:cs="Arial" w:eastAsia="Arial" w:hAnsi="Arial"/>
                <w:sz w:val="18"/>
                <w:szCs w:val="18"/>
                <w:color w:val="auto"/>
                <w:w w:val="95"/>
              </w:rPr>
              <w:t>Total number of shares of Series 1 Common Stock of SI-BONE, Inc. (the</w:t>
            </w:r>
          </w:p>
        </w:tc>
        <w:tc>
          <w:tcPr>
            <w:tcW w:w="25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0"/>
        </w:trPr>
        <w:tc>
          <w:tcPr>
            <w:tcW w:w="5540" w:type="dxa"/>
            <w:vAlign w:val="bottom"/>
            <w:gridSpan w:val="5"/>
          </w:tcPr>
          <w:p>
            <w:pPr>
              <w:spacing w:after="0"/>
              <w:rPr>
                <w:sz w:val="20"/>
                <w:szCs w:val="20"/>
                <w:color w:val="auto"/>
              </w:rPr>
            </w:pPr>
            <w:r>
              <w:rPr>
                <w:rFonts w:ascii="Arial" w:cs="Arial" w:eastAsia="Arial" w:hAnsi="Arial"/>
                <w:sz w:val="18"/>
                <w:szCs w:val="18"/>
                <w:color w:val="auto"/>
              </w:rPr>
              <w:t>“Company”) covered by the option:</w:t>
            </w: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18"/>
                <w:szCs w:val="18"/>
                <w:color w:val="auto"/>
                <w:w w:val="91"/>
              </w:rPr>
              <w:t>_____________________</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32"/>
        </w:trPr>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9"/>
        </w:trPr>
        <w:tc>
          <w:tcPr>
            <w:tcW w:w="8060" w:type="dxa"/>
            <w:vAlign w:val="bottom"/>
            <w:gridSpan w:val="6"/>
          </w:tcPr>
          <w:p>
            <w:pPr>
              <w:spacing w:after="0"/>
              <w:rPr>
                <w:sz w:val="20"/>
                <w:szCs w:val="20"/>
                <w:color w:val="auto"/>
              </w:rPr>
            </w:pPr>
            <w:r>
              <w:rPr>
                <w:rFonts w:ascii="Arial" w:cs="Arial" w:eastAsia="Arial" w:hAnsi="Arial"/>
                <w:sz w:val="18"/>
                <w:szCs w:val="18"/>
                <w:color w:val="auto"/>
                <w:w w:val="94"/>
              </w:rPr>
              <w:t>Number of shares of Series 1 Common Stock of the Company for which the option is being exercised now:</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 (These shares are referred to below</w:t>
            </w:r>
          </w:p>
        </w:tc>
      </w:tr>
      <w:tr>
        <w:trPr>
          <w:trHeight w:val="230"/>
        </w:trPr>
        <w:tc>
          <w:tcPr>
            <w:tcW w:w="5540" w:type="dxa"/>
            <w:vAlign w:val="bottom"/>
            <w:gridSpan w:val="5"/>
          </w:tcPr>
          <w:p>
            <w:pPr>
              <w:spacing w:after="0"/>
              <w:rPr>
                <w:sz w:val="20"/>
                <w:szCs w:val="20"/>
                <w:color w:val="auto"/>
              </w:rPr>
            </w:pPr>
            <w:r>
              <w:rPr>
                <w:rFonts w:ascii="Arial" w:cs="Arial" w:eastAsia="Arial" w:hAnsi="Arial"/>
                <w:sz w:val="18"/>
                <w:szCs w:val="18"/>
                <w:color w:val="auto"/>
              </w:rPr>
              <w:t>as the “Purchased Shares.”)</w:t>
            </w: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9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Total Exercise Price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-10160</wp:posOffset>
            </wp:positionV>
            <wp:extent cx="3422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5"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0" w:lineRule="exact"/>
        <w:rPr>
          <w:sz w:val="20"/>
          <w:szCs w:val="20"/>
          <w:color w:val="auto"/>
        </w:rPr>
      </w:pPr>
    </w:p>
    <w:p>
      <w:pPr>
        <w:ind w:left="430" w:hanging="430"/>
        <w:spacing w:after="0"/>
        <w:tabs>
          <w:tab w:leader="none" w:pos="430" w:val="left"/>
        </w:tabs>
        <w:numPr>
          <w:ilvl w:val="0"/>
          <w:numId w:val="340"/>
        </w:numPr>
        <w:rPr>
          <w:rFonts w:ascii="MS PGothic" w:cs="MS PGothic" w:eastAsia="MS PGothic" w:hAnsi="MS PGothic"/>
          <w:sz w:val="18"/>
          <w:szCs w:val="18"/>
          <w:color w:val="auto"/>
        </w:rPr>
      </w:pPr>
      <w:r>
        <w:rPr>
          <w:rFonts w:ascii="Arial" w:cs="Arial" w:eastAsia="Arial" w:hAnsi="Arial"/>
          <w:sz w:val="18"/>
          <w:szCs w:val="18"/>
          <w:color w:val="auto"/>
        </w:rPr>
        <w:t>Check for $</w:t>
      </w:r>
      <w:r>
        <w:rPr>
          <w:rFonts w:ascii="Arial" w:cs="Arial" w:eastAsia="Arial" w:hAnsi="Arial"/>
          <w:sz w:val="16"/>
          <w:szCs w:val="16"/>
          <w:color w:val="auto"/>
        </w:rPr>
        <w:t>, payable to “SI-BONE, Inc.”</w:t>
      </w:r>
    </w:p>
    <w:p>
      <w:pPr>
        <w:spacing w:after="0" w:line="98" w:lineRule="exact"/>
        <w:rPr>
          <w:sz w:val="20"/>
          <w:szCs w:val="20"/>
          <w:color w:val="auto"/>
        </w:rPr>
      </w:pPr>
    </w:p>
    <w:p>
      <w:pPr>
        <w:ind w:left="430" w:right="260" w:hanging="419"/>
        <w:spacing w:after="0" w:line="277" w:lineRule="auto"/>
        <w:tabs>
          <w:tab w:leader="none" w:pos="409"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Certificate(s) for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75" w:lineRule="exact"/>
        <w:rPr>
          <w:sz w:val="20"/>
          <w:szCs w:val="20"/>
          <w:color w:val="auto"/>
        </w:rPr>
      </w:pPr>
    </w:p>
    <w:p>
      <w:pPr>
        <w:ind w:left="430" w:right="440" w:hanging="419"/>
        <w:spacing w:after="0" w:line="277" w:lineRule="auto"/>
        <w:tabs>
          <w:tab w:leader="none" w:pos="409"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Attestation Form covering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94" w:lineRule="exact"/>
        <w:rPr>
          <w:sz w:val="20"/>
          <w:szCs w:val="20"/>
          <w:color w:val="auto"/>
        </w:rPr>
      </w:pPr>
    </w:p>
    <w:p>
      <w:pPr>
        <w:ind w:left="10" w:right="280"/>
        <w:spacing w:after="0" w:line="277" w:lineRule="auto"/>
        <w:rPr>
          <w:sz w:val="20"/>
          <w:szCs w:val="20"/>
          <w:color w:val="auto"/>
        </w:rPr>
      </w:pPr>
      <w:r>
        <w:rPr>
          <w:rFonts w:ascii="Arial" w:cs="Arial" w:eastAsia="Arial" w:hAnsi="Arial"/>
          <w:sz w:val="18"/>
          <w:szCs w:val="18"/>
          <w:color w:val="auto"/>
        </w:rPr>
        <w:t xml:space="preserve">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check one box]</w:t>
      </w:r>
      <w:r>
        <w:rPr>
          <w:rFonts w:ascii="Arial" w:cs="Arial" w:eastAsia="Arial" w:hAnsi="Arial"/>
          <w:sz w:val="18"/>
          <w:szCs w:val="18"/>
          <w:color w:val="auto"/>
        </w:rPr>
        <w:t>:</w:t>
      </w:r>
    </w:p>
    <w:p>
      <w:pPr>
        <w:spacing w:after="0" w:line="75" w:lineRule="exact"/>
        <w:rPr>
          <w:sz w:val="20"/>
          <w:szCs w:val="20"/>
          <w:color w:val="auto"/>
        </w:rPr>
      </w:pPr>
    </w:p>
    <w:p>
      <w:pPr>
        <w:ind w:left="450" w:hanging="450"/>
        <w:spacing w:after="0"/>
        <w:tabs>
          <w:tab w:leader="none" w:pos="450" w:val="left"/>
        </w:tabs>
        <w:numPr>
          <w:ilvl w:val="0"/>
          <w:numId w:val="341"/>
        </w:numPr>
        <w:rPr>
          <w:rFonts w:ascii="MS PGothic" w:cs="MS PGothic" w:eastAsia="MS PGothic" w:hAnsi="MS PGothic"/>
          <w:sz w:val="18"/>
          <w:szCs w:val="18"/>
          <w:color w:val="auto"/>
        </w:rPr>
      </w:pPr>
      <w:r>
        <w:rPr>
          <w:rFonts w:ascii="Arial" w:cs="Arial" w:eastAsia="Arial" w:hAnsi="Arial"/>
          <w:sz w:val="18"/>
          <w:szCs w:val="18"/>
          <w:color w:val="auto"/>
        </w:rPr>
        <w:t>In my name only</w:t>
      </w:r>
    </w:p>
    <w:p>
      <w:pPr>
        <w:spacing w:after="0" w:line="84" w:lineRule="exact"/>
        <w:rPr>
          <w:sz w:val="20"/>
          <w:szCs w:val="20"/>
          <w:color w:val="auto"/>
        </w:rPr>
      </w:pPr>
    </w:p>
    <w:p>
      <w:pPr>
        <w:ind w:left="10"/>
        <w:spacing w:after="0"/>
        <w:tabs>
          <w:tab w:leader="none" w:pos="429" w:val="left"/>
          <w:tab w:leader="none" w:pos="5929"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49" w:lineRule="exact"/>
        <w:rPr>
          <w:sz w:val="20"/>
          <w:szCs w:val="20"/>
          <w:color w:val="auto"/>
        </w:rPr>
      </w:pPr>
    </w:p>
    <w:p>
      <w:pPr>
        <w:ind w:left="450" w:right="5440" w:hanging="450"/>
        <w:spacing w:after="0" w:line="277" w:lineRule="auto"/>
        <w:tabs>
          <w:tab w:leader="none" w:pos="450" w:val="left"/>
        </w:tabs>
        <w:numPr>
          <w:ilvl w:val="0"/>
          <w:numId w:val="342"/>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-156845</wp:posOffset>
            </wp:positionV>
            <wp:extent cx="321246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6">
                      <a:extLst>
                        <a:ext uri="{28A0092B-C50C-407E-A947-70E740481C1C}"/>
                      </a:extLst>
                    </a:blip>
                    <a:srcRect/>
                    <a:stretch>
                      <a:fillRect/>
                    </a:stretch>
                  </pic:blipFill>
                  <pic:spPr bwMode="auto">
                    <a:xfrm>
                      <a:off x="0" y="0"/>
                      <a:ext cx="3212465" cy="8255"/>
                    </a:xfrm>
                    <a:prstGeom prst="rect">
                      <a:avLst/>
                    </a:prstGeom>
                    <a:noFill/>
                  </pic:spPr>
                </pic:pic>
              </a:graphicData>
            </a:graphic>
          </wp:anchor>
        </w:drawing>
      </w:r>
    </w:p>
    <w:p>
      <w:pPr>
        <w:spacing w:after="0" w:line="8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10"/>
          </w:cols>
          <w:pgMar w:left="450" w:top="270" w:right="439" w:bottom="1440" w:gutter="0" w:footer="0" w:header="0"/>
        </w:sectPr>
      </w:pPr>
    </w:p>
    <w:bookmarkStart w:id="371" w:name="page372"/>
    <w:bookmarkEnd w:id="371"/>
    <w:p>
      <w:pPr>
        <w:ind w:left="250" w:right="5860" w:hanging="250"/>
        <w:spacing w:after="0" w:line="277" w:lineRule="auto"/>
        <w:tabs>
          <w:tab w:leader="none" w:pos="250" w:val="left"/>
        </w:tabs>
        <w:numPr>
          <w:ilvl w:val="0"/>
          <w:numId w:val="343"/>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names of my spouse and myself as joint tenants with the right of survivorship</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2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name of an eligible revocable trust </w:t>
            </w:r>
            <w:r>
              <w:rPr>
                <w:rFonts w:ascii="Arial" w:cs="Arial" w:eastAsia="Arial" w:hAnsi="Arial"/>
                <w:sz w:val="18"/>
                <w:szCs w:val="18"/>
                <w:b w:val="1"/>
                <w:bCs w:val="1"/>
                <w:i w:val="1"/>
                <w:iCs w:val="1"/>
                <w:color w:val="auto"/>
              </w:rPr>
              <w:t>[requires Stock Transfer</w:t>
            </w:r>
          </w:p>
        </w:tc>
        <w:tc>
          <w:tcPr>
            <w:tcW w:w="4720" w:type="dxa"/>
            <w:vAlign w:val="bottom"/>
          </w:tcPr>
          <w:p>
            <w:pPr>
              <w:spacing w:after="0"/>
              <w:rPr>
                <w:sz w:val="20"/>
                <w:szCs w:val="20"/>
                <w:color w:val="auto"/>
              </w:rPr>
            </w:pPr>
            <w:r>
              <w:rPr>
                <w:rFonts w:ascii="Arial" w:cs="Arial" w:eastAsia="Arial" w:hAnsi="Arial"/>
                <w:sz w:val="18"/>
                <w:szCs w:val="18"/>
                <w:color w:val="auto"/>
              </w:rPr>
              <w:t>Full legal name of revocable trust:</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Agreement]</w:t>
            </w:r>
          </w:p>
        </w:tc>
        <w:tc>
          <w:tcPr>
            <w:tcW w:w="4720" w:type="dxa"/>
            <w:vAlign w:val="bottom"/>
            <w:tcBorders>
              <w:bottom w:val="single" w:sz="8" w:color="auto"/>
            </w:tcBorders>
          </w:tcPr>
          <w:p>
            <w:pPr>
              <w:spacing w:after="0"/>
              <w:rPr>
                <w:sz w:val="20"/>
                <w:szCs w:val="20"/>
                <w:color w:val="auto"/>
              </w:rPr>
            </w:pPr>
          </w:p>
        </w:tc>
      </w:tr>
      <w:tr>
        <w:trPr>
          <w:trHeight w:val="209"/>
        </w:trPr>
        <w:tc>
          <w:tcPr>
            <w:tcW w:w="628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r>
    </w:tbl>
    <w:p>
      <w:pPr>
        <w:spacing w:after="0" w:line="215"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certificate for the Purchased Shares should be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-113030</wp:posOffset>
            </wp:positionV>
            <wp:extent cx="35547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-88265</wp:posOffset>
            </wp:positionV>
            <wp:extent cx="355473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9">
                      <a:extLst>
                        <a:ext uri="{28A0092B-C50C-407E-A947-70E740481C1C}"/>
                      </a:extLst>
                    </a:blip>
                    <a:srcRect/>
                    <a:stretch>
                      <a:fillRect/>
                    </a:stretch>
                  </pic:blipFill>
                  <pic:spPr bwMode="auto">
                    <a:xfrm>
                      <a:off x="0" y="0"/>
                      <a:ext cx="355473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57150</wp:posOffset>
            </wp:positionV>
            <wp:extent cx="35547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0">
                      <a:extLst>
                        <a:ext uri="{28A0092B-C50C-407E-A947-70E740481C1C}"/>
                      </a:extLst>
                    </a:blip>
                    <a:srcRect/>
                    <a:stretch>
                      <a:fillRect/>
                    </a:stretch>
                  </pic:blipFill>
                  <pic:spPr bwMode="auto">
                    <a:xfrm>
                      <a:off x="0" y="0"/>
                      <a:ext cx="3554730"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202565</wp:posOffset>
            </wp:positionV>
            <wp:extent cx="35547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 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3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I REPRESENT AND WARRANT TO THE COMPANY THAT I AM ACQUIRING AND WILL HOLD THE PURCHASED SHARES</w:t>
      </w:r>
    </w:p>
    <w:p>
      <w:pPr>
        <w:spacing w:after="0" w:line="39" w:lineRule="exact"/>
        <w:rPr>
          <w:sz w:val="20"/>
          <w:szCs w:val="20"/>
          <w:color w:val="auto"/>
        </w:rPr>
      </w:pPr>
    </w:p>
    <w:p>
      <w:pPr>
        <w:ind w:left="450" w:right="100"/>
        <w:spacing w:after="0" w:line="255" w:lineRule="auto"/>
        <w:rPr>
          <w:sz w:val="20"/>
          <w:szCs w:val="20"/>
          <w:color w:val="auto"/>
        </w:rPr>
      </w:pP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“SECURITIES ACT”).</w:t>
      </w:r>
    </w:p>
    <w:p>
      <w:pPr>
        <w:spacing w:after="0" w:line="185" w:lineRule="exact"/>
        <w:rPr>
          <w:sz w:val="20"/>
          <w:szCs w:val="20"/>
          <w:color w:val="auto"/>
        </w:rPr>
      </w:pPr>
    </w:p>
    <w:p>
      <w:pPr>
        <w:ind w:left="450" w:right="220" w:hanging="422"/>
        <w:spacing w:after="0" w:line="280"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 UNDERSTAND THAT THE PURCHASED SHARES HAVE NOT BEEN REGISTERED UNDER THE SECURITIES ACT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I ACKNOWLEDGE THAT THE COMPANY IS UNDER NO OBLIGATION TO REGISTER THE PURCHASED SHARES.</w:t>
      </w:r>
    </w:p>
    <w:p>
      <w:pPr>
        <w:spacing w:after="0" w:line="225" w:lineRule="exact"/>
        <w:rPr>
          <w:sz w:val="20"/>
          <w:szCs w:val="20"/>
          <w:color w:val="auto"/>
        </w:rPr>
      </w:pPr>
    </w:p>
    <w:p>
      <w:pPr>
        <w:ind w:left="450" w:right="40" w:hanging="422"/>
        <w:spacing w:after="0" w:line="254"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I AM AWARE OF THE ADOPTION OF RULE 144 BY THE SECURITIES AND EXCHANGE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87" w:lineRule="exact"/>
        <w:rPr>
          <w:sz w:val="20"/>
          <w:szCs w:val="20"/>
          <w:color w:val="auto"/>
        </w:rPr>
      </w:pPr>
    </w:p>
    <w:p>
      <w:pPr>
        <w:ind w:left="450" w:right="480" w:hanging="422"/>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I WILL NOT SELL, TRANSFER OR OTHERWISE DISPOSE OF THE PURCHASED SHARES IN VIOLATION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THE SECURITIES EXCHANGE ACT OF 1934, OR THE RULES PROMULGATED THEREUNDER, INCLUDING RULE 144 UNDER THE SECURITIES ACT.</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10"/>
          </w:cols>
          <w:pgMar w:left="450" w:top="274" w:right="439" w:bottom="1440" w:gutter="0" w:footer="0" w:header="0"/>
        </w:sectPr>
      </w:pPr>
    </w:p>
    <w:bookmarkStart w:id="372" w:name="page373"/>
    <w:bookmarkEnd w:id="372"/>
    <w:p>
      <w:pPr>
        <w:ind w:left="440" w:hanging="422"/>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color w:val="auto"/>
        </w:rPr>
        <w:t>I ACKNOWLEDGE THAT I HAVE RECEIVED AND HAD ACCESS TO SUCH INFORMATION AS I CONSIDER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DECIDING WHETHER TO INVEST IN THE PURCHASED SHARES AND THAT I HAD AN OPPORTUNITY TO ASK QUESTIONS AND RECEIVE ANSWERS FROM THE COMPANY REGARDING THE TERMS AND CONDITIONS OF THE ISSUANCE OF THE PURCHASED SHARES.</w:t>
      </w:r>
    </w:p>
    <w:p>
      <w:pPr>
        <w:spacing w:after="0" w:line="182" w:lineRule="exact"/>
        <w:rPr>
          <w:sz w:val="20"/>
          <w:szCs w:val="20"/>
          <w:color w:val="auto"/>
        </w:rPr>
      </w:pPr>
    </w:p>
    <w:p>
      <w:pPr>
        <w:ind w:left="440" w:right="340" w:hanging="422"/>
        <w:spacing w:after="0" w:line="260"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I AM AWARE THAT MY INVESTMENT IN THE COMPANY IS A SPECULATIVE INVESTMENT THAT HAS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LIQUIDITY AND IS SUBJECT TO THE RISK OF COMPLETE LOSS. I AM ABLE, WITHOUT IMPAIRING MY FINANCIAL CONDITION, TO HOLD THE PURCHASED SHARES FOR AN INDEFINITE PERIOD AND TO SUFFER A COMPLETE LOSS OF MY INVESTMENT IN THE PURCHASED SHARES.</w:t>
      </w:r>
    </w:p>
    <w:p>
      <w:pPr>
        <w:spacing w:after="0" w:line="182" w:lineRule="exact"/>
        <w:rPr>
          <w:sz w:val="20"/>
          <w:szCs w:val="20"/>
          <w:color w:val="auto"/>
        </w:rPr>
      </w:pPr>
    </w:p>
    <w:p>
      <w:pPr>
        <w:ind w:left="440" w:right="140" w:hanging="422"/>
        <w:spacing w:after="0" w:line="260"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I ACKNOWLEDGE THAT THE PURCHASED SHARES REMAIN SUBJECT TO THE COMPANY’S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STAND-OFF (SOMETIMES REFERRED TO AS THE “LOCK-UP”) AND MAY REMAIN SUBJECT TO THE COMPANY’S RIGHT OF REPURCHASE AT THE EXERCISE PRICE, ALL IN ACCORDANCE WITH THE APPLICABLE NOTICE OF STOCK OPTION GRANT AND STOCK OPTION AGREEMENT.</w:t>
      </w:r>
    </w:p>
    <w:p>
      <w:pPr>
        <w:spacing w:after="0" w:line="182" w:lineRule="exact"/>
        <w:rPr>
          <w:sz w:val="20"/>
          <w:szCs w:val="20"/>
          <w:color w:val="auto"/>
        </w:rPr>
      </w:pPr>
    </w:p>
    <w:p>
      <w:pPr>
        <w:ind w:left="440" w:right="80" w:hanging="422"/>
        <w:spacing w:after="0" w:line="281"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I ACKNOWLEDGE THAT I AM ACQUIRING THE PURCHASED SHARES SUBJECT TO ALL OTHER TERMS OF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OPTION GRANT AND STOCK OPTION AGREEMENT.</w:t>
      </w:r>
    </w:p>
    <w:p>
      <w:pPr>
        <w:spacing w:after="0" w:line="163" w:lineRule="exact"/>
        <w:rPr>
          <w:sz w:val="20"/>
          <w:szCs w:val="20"/>
          <w:color w:val="auto"/>
        </w:rPr>
      </w:pPr>
    </w:p>
    <w:p>
      <w:pPr>
        <w:ind w:left="440" w:right="20" w:hanging="422"/>
        <w:spacing w:after="0" w:line="254"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I ACKNOWLEDGE THAT I HAVE RECEIVED A COPY OF THE COMPANY’S EXPLANATION OF THE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87" w:lineRule="exact"/>
        <w:rPr>
          <w:sz w:val="20"/>
          <w:szCs w:val="20"/>
          <w:color w:val="auto"/>
        </w:rPr>
      </w:pPr>
    </w:p>
    <w:p>
      <w:pPr>
        <w:ind w:left="440" w:right="200" w:hanging="422"/>
        <w:spacing w:after="0" w:line="255"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I ACKNOWLEDGE THAT I HAVE RECEIVED A COPY OF THE COMPANY’S EXPLANATION OF THE FEDERAL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0" w:right="439" w:bottom="1440" w:gutter="0" w:footer="0" w:header="0"/>
        </w:sectPr>
      </w:pPr>
    </w:p>
    <w:bookmarkStart w:id="373" w:name="page374"/>
    <w:bookmarkEnd w:id="373"/>
    <w:p>
      <w:pPr>
        <w:ind w:left="440" w:hanging="422"/>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 </w:t>
      </w:r>
      <w:r>
        <w:rPr>
          <w:rFonts w:ascii="Arial" w:cs="Arial" w:eastAsia="Arial" w:hAnsi="Arial"/>
          <w:sz w:val="18"/>
          <w:szCs w:val="18"/>
          <w:color w:val="auto"/>
        </w:rPr>
        <w:t>I AGREE THAT THE COMPANY DOES NOT HAVE A DUTY TO DESIGN OR ADMINISTER THE 2008 STOCK PLAN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SERIES 1 COMMON STOCK AT THE TIME THE OPTION WAS GRANTED BY THE COMPANY’S BOARD OF DIRECTORS. SINCE SHARES OF THE COMPANY’S SERIES 1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96" w:lineRule="exact"/>
        <w:rPr>
          <w:sz w:val="20"/>
          <w:szCs w:val="20"/>
          <w:color w:val="auto"/>
        </w:rPr>
      </w:pPr>
    </w:p>
    <w:p>
      <w:pPr>
        <w:ind w:left="440" w:right="220" w:hanging="422"/>
        <w:spacing w:after="0" w:line="281"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I AGREE TO SEEK THE CONSENT OF MY SPOUSE TO THE EXTENT REQUIRED BY THE COMPANY TO ENFORCE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w:t>
      </w:r>
    </w:p>
    <w:p>
      <w:pPr>
        <w:spacing w:after="0" w:line="190"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244983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4">
                      <a:extLst>
                        <a:ext uri="{28A0092B-C50C-407E-A947-70E740481C1C}"/>
                      </a:extLst>
                    </a:blip>
                    <a:srcRect/>
                    <a:stretch>
                      <a:fillRect/>
                    </a:stretch>
                  </pic:blipFill>
                  <pic:spPr bwMode="auto">
                    <a:xfrm>
                      <a:off x="0" y="0"/>
                      <a:ext cx="244983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265430</wp:posOffset>
            </wp:positionV>
            <wp:extent cx="6851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69" w:right="479" w:bottom="1440" w:gutter="0" w:footer="0" w:header="0"/>
        </w:sectPr>
      </w:pPr>
    </w:p>
    <w:bookmarkStart w:id="374" w:name="page375"/>
    <w:bookmarkEnd w:id="3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 WITH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0980"/>
          </w:cols>
          <w:pgMar w:left="460" w:top="270" w:right="459" w:bottom="1440" w:gutter="0" w:footer="0" w:header="0"/>
        </w:sect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540"/>
        <w:spacing w:after="0"/>
        <w:rPr>
          <w:sz w:val="20"/>
          <w:szCs w:val="20"/>
          <w:color w:val="auto"/>
        </w:rPr>
      </w:pPr>
      <w:r>
        <w:rPr>
          <w:rFonts w:ascii="Arial" w:cs="Arial" w:eastAsia="Arial" w:hAnsi="Arial"/>
          <w:sz w:val="15"/>
          <w:szCs w:val="15"/>
          <w:color w:val="auto"/>
        </w:rPr>
        <w:t>«Name»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584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0980"/>
          </w:cols>
          <w:pgMar w:left="460" w:top="270" w:right="459" w:bottom="1440" w:gutter="0" w:footer="0" w:header="0"/>
          <w:type w:val="continuous"/>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86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This option may be exercised at any time after the Date of Grant for all or any part of the Shares subject to this option.</w:t>
      </w:r>
    </w:p>
    <w:p>
      <w:pPr>
        <w:spacing w:after="0" w:line="62"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«VestComDate»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5"/>
          <w:szCs w:val="15"/>
          <w:color w:val="auto"/>
        </w:rPr>
        <w:t>«VestSchedule»</w:t>
      </w:r>
    </w:p>
    <w:p>
      <w:pPr>
        <w:spacing w:after="0" w:line="151"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120" w:space="720"/>
            <w:col w:w="5140"/>
          </w:cols>
          <w:pgMar w:left="460" w:top="270" w:right="459" w:bottom="1440" w:gutter="0" w:footer="0" w:header="0"/>
          <w:type w:val="continuous"/>
        </w:sectPr>
      </w:pPr>
    </w:p>
    <w:p>
      <w:pPr>
        <w:spacing w:after="0" w:line="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14 of the</w:t>
      </w:r>
      <w:r>
        <w:rPr>
          <w:rFonts w:ascii="Arial" w:cs="Arial" w:eastAsia="Arial" w:hAnsi="Arial"/>
          <w:sz w:val="18"/>
          <w:szCs w:val="18"/>
          <w:color w:val="auto"/>
        </w:rPr>
        <w:t xml:space="preserve"> </w:t>
      </w:r>
      <w:r>
        <w:rPr>
          <w:rFonts w:ascii="Arial" w:cs="Arial" w:eastAsia="Arial" w:hAnsi="Arial"/>
          <w:sz w:val="18"/>
          <w:szCs w:val="18"/>
          <w:b w:val="1"/>
          <w:bCs w:val="1"/>
          <w:color w:val="auto"/>
        </w:rPr>
        <w:t>Stock Option Agreement includes important acknowledgements of the Optionee</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9894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14605</wp:posOffset>
            </wp:positionV>
            <wp:extent cx="30753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8">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ectPr>
          <w:pgSz w:w="11900" w:h="16838" w:orient="portrait"/>
          <w:cols w:equalWidth="0" w:num="1">
            <w:col w:w="10980"/>
          </w:cols>
          <w:pgMar w:left="460" w:top="270" w:right="459" w:bottom="1440" w:gutter="0" w:footer="0" w:header="0"/>
          <w:type w:val="continuous"/>
        </w:sectPr>
      </w:pPr>
    </w:p>
    <w:bookmarkStart w:id="375" w:name="page376"/>
    <w:bookmarkEnd w:id="375"/>
    <w:p>
      <w:pPr>
        <w:spacing w:after="0" w:line="26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right="300" w:firstLine="871"/>
        <w:spacing w:after="0" w:line="258" w:lineRule="auto"/>
        <w:tabs>
          <w:tab w:leader="none" w:pos="1125"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On the terms and conditions set forth in the Notice of Stock Option Grant and this Agreement, the Company grants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4" w:lineRule="exact"/>
        <w:rPr>
          <w:rFonts w:ascii="Arial" w:cs="Arial" w:eastAsia="Arial" w:hAnsi="Arial"/>
          <w:sz w:val="18"/>
          <w:szCs w:val="18"/>
          <w:color w:val="auto"/>
        </w:rPr>
      </w:pPr>
    </w:p>
    <w:p>
      <w:pPr>
        <w:ind w:firstLine="871"/>
        <w:spacing w:after="0" w:line="281" w:lineRule="auto"/>
        <w:tabs>
          <w:tab w:leader="none" w:pos="1135"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$100,000 Limitation</w:t>
      </w:r>
      <w:r>
        <w:rPr>
          <w:rFonts w:ascii="Arial" w:cs="Arial" w:eastAsia="Arial" w:hAnsi="Arial"/>
          <w:sz w:val="18"/>
          <w:szCs w:val="18"/>
          <w:color w:val="auto"/>
        </w:rPr>
        <w:t>. Even if this option is designated as an ISO in the Notice of Stock Option Grant, it shall be deemed to be an NSO</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(and only to the extent) required by the $100,000 annual limitation under Section 422(d) of the Code.</w:t>
      </w:r>
    </w:p>
    <w:p>
      <w:pPr>
        <w:spacing w:after="0" w:line="54" w:lineRule="exact"/>
        <w:rPr>
          <w:rFonts w:ascii="Arial" w:cs="Arial" w:eastAsia="Arial" w:hAnsi="Arial"/>
          <w:sz w:val="18"/>
          <w:szCs w:val="18"/>
          <w:color w:val="auto"/>
        </w:rPr>
      </w:pPr>
    </w:p>
    <w:p>
      <w:pPr>
        <w:ind w:right="440" w:firstLine="871"/>
        <w:spacing w:after="0" w:line="266" w:lineRule="auto"/>
        <w:tabs>
          <w:tab w:leader="none" w:pos="1125"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Stock Plan and Defined Terms</w:t>
      </w:r>
      <w:r>
        <w:rPr>
          <w:rFonts w:ascii="Arial" w:cs="Arial" w:eastAsia="Arial" w:hAnsi="Arial"/>
          <w:sz w:val="18"/>
          <w:szCs w:val="18"/>
          <w:color w:val="auto"/>
        </w:rPr>
        <w:t>. This option is granted pursuant to the Plan, a copy of which the Optionee acknowledges having</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The provisions of the Plan are incorporated into this Agreement by this reference. Capitalized terms are defined in Section 15 of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jc w:val="both"/>
        <w:ind w:right="180" w:firstLine="871"/>
        <w:spacing w:after="0" w:line="266" w:lineRule="auto"/>
        <w:tabs>
          <w:tab w:leader="none" w:pos="1125"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Exercisability</w:t>
      </w:r>
      <w:r>
        <w:rPr>
          <w:rFonts w:ascii="Arial" w:cs="Arial" w:eastAsia="Arial" w:hAnsi="Arial"/>
          <w:sz w:val="18"/>
          <w:szCs w:val="18"/>
          <w:color w:val="auto"/>
        </w:rPr>
        <w:t>. Subject to Subsection (b) below and the other conditions set forth in this Agreement, all or part of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its expiration at the time or times set forth in the Notice of Stock Option Grant. Shares purchased by exercising this option may be subject to the Right of Repurchase under Section 7.</w:t>
      </w:r>
    </w:p>
    <w:p>
      <w:pPr>
        <w:spacing w:after="0" w:line="67" w:lineRule="exact"/>
        <w:rPr>
          <w:rFonts w:ascii="Arial" w:cs="Arial" w:eastAsia="Arial" w:hAnsi="Arial"/>
          <w:sz w:val="18"/>
          <w:szCs w:val="18"/>
          <w:color w:val="auto"/>
        </w:rPr>
      </w:pPr>
    </w:p>
    <w:p>
      <w:pPr>
        <w:ind w:right="160" w:firstLine="871"/>
        <w:spacing w:after="0" w:line="281" w:lineRule="auto"/>
        <w:tabs>
          <w:tab w:leader="none" w:pos="1135"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Any other provision of this Agreement notwithstanding, no portion of this option shall be exercisable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approval of the Plan by the Company’s stockholders.</w:t>
      </w:r>
    </w:p>
    <w:p>
      <w:pPr>
        <w:sectPr>
          <w:pgSz w:w="11900" w:h="16838" w:orient="portrait"/>
          <w:cols w:equalWidth="0" w:num="1">
            <w:col w:w="10840"/>
          </w:cols>
          <w:pgMar w:left="460" w:top="269" w:right="599" w:bottom="1440" w:gutter="0" w:footer="0" w:header="0"/>
        </w:sectPr>
      </w:pPr>
    </w:p>
    <w:bookmarkStart w:id="376" w:name="page377"/>
    <w:bookmarkEnd w:id="376"/>
    <w:p>
      <w:pPr>
        <w:ind w:left="1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left="10" w:right="240" w:firstLine="880"/>
        <w:spacing w:after="0" w:line="341"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left="10" w:right="40" w:firstLine="871"/>
        <w:spacing w:after="0" w:line="272" w:lineRule="auto"/>
        <w:tabs>
          <w:tab w:leader="none" w:pos="1135" w:val="left"/>
        </w:tabs>
        <w:numPr>
          <w:ilvl w:val="1"/>
          <w:numId w:val="346"/>
        </w:numPr>
        <w:rPr>
          <w:rFonts w:ascii="Arial" w:cs="Arial" w:eastAsia="Arial" w:hAnsi="Arial"/>
          <w:sz w:val="17"/>
          <w:szCs w:val="17"/>
          <w:color w:val="auto"/>
        </w:rPr>
      </w:pPr>
      <w:r>
        <w:rPr>
          <w:rFonts w:ascii="Arial" w:cs="Arial" w:eastAsia="Arial" w:hAnsi="Arial"/>
          <w:sz w:val="17"/>
          <w:szCs w:val="17"/>
          <w:b w:val="1"/>
          <w:bCs w:val="1"/>
          <w:color w:val="auto"/>
        </w:rPr>
        <w:t>Notice of Exercise</w:t>
      </w:r>
      <w:r>
        <w:rPr>
          <w:rFonts w:ascii="Arial" w:cs="Arial" w:eastAsia="Arial" w:hAnsi="Arial"/>
          <w:sz w:val="17"/>
          <w:szCs w:val="17"/>
          <w:color w:val="auto"/>
        </w:rPr>
        <w:t>. The Optionee or the Optionee’s representative may exercise this option by giving written notice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67" w:lineRule="exact"/>
        <w:rPr>
          <w:rFonts w:ascii="Arial" w:cs="Arial" w:eastAsia="Arial" w:hAnsi="Arial"/>
          <w:sz w:val="17"/>
          <w:szCs w:val="17"/>
          <w:color w:val="auto"/>
        </w:rPr>
      </w:pPr>
    </w:p>
    <w:p>
      <w:pPr>
        <w:ind w:left="10" w:right="400" w:firstLine="871"/>
        <w:spacing w:after="0" w:line="293" w:lineRule="auto"/>
        <w:tabs>
          <w:tab w:leader="none" w:pos="1145" w:val="left"/>
        </w:tabs>
        <w:numPr>
          <w:ilvl w:val="1"/>
          <w:numId w:val="346"/>
        </w:numPr>
        <w:rPr>
          <w:rFonts w:ascii="Arial" w:cs="Arial" w:eastAsia="Arial" w:hAnsi="Arial"/>
          <w:sz w:val="16"/>
          <w:szCs w:val="16"/>
          <w:color w:val="auto"/>
        </w:rPr>
      </w:pPr>
      <w:r>
        <w:rPr>
          <w:rFonts w:ascii="Arial" w:cs="Arial" w:eastAsia="Arial" w:hAnsi="Arial"/>
          <w:sz w:val="16"/>
          <w:szCs w:val="16"/>
          <w:b w:val="1"/>
          <w:bCs w:val="1"/>
          <w:color w:val="auto"/>
        </w:rPr>
        <w:t>Issuance of Shares</w:t>
      </w:r>
      <w:r>
        <w:rPr>
          <w:rFonts w:ascii="Arial" w:cs="Arial" w:eastAsia="Arial" w:hAnsi="Arial"/>
          <w:sz w:val="16"/>
          <w:szCs w:val="16"/>
          <w:color w:val="auto"/>
        </w:rPr>
        <w:t>. After receiving a proper notice of exercise, the Company shall cause to be issued one or more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for which this option has been exercised. Such Shares shall be registered (i) in the name of the person exercising this option,</w:t>
      </w:r>
    </w:p>
    <w:p>
      <w:pPr>
        <w:ind w:left="10" w:right="440" w:hanging="10"/>
        <w:spacing w:after="0" w:line="253" w:lineRule="auto"/>
        <w:tabs>
          <w:tab w:leader="none" w:pos="27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80" w:lineRule="exact"/>
        <w:rPr>
          <w:rFonts w:ascii="Arial" w:cs="Arial" w:eastAsia="Arial" w:hAnsi="Arial"/>
          <w:sz w:val="18"/>
          <w:szCs w:val="18"/>
          <w:color w:val="auto"/>
        </w:rPr>
      </w:pPr>
    </w:p>
    <w:p>
      <w:pPr>
        <w:ind w:left="10" w:right="60" w:firstLine="871"/>
        <w:spacing w:after="0" w:line="280" w:lineRule="auto"/>
        <w:tabs>
          <w:tab w:leader="none" w:pos="1135" w:val="left"/>
        </w:tabs>
        <w:numPr>
          <w:ilvl w:val="1"/>
          <w:numId w:val="347"/>
        </w:numPr>
        <w:rPr>
          <w:rFonts w:ascii="Arial" w:cs="Arial" w:eastAsia="Arial" w:hAnsi="Arial"/>
          <w:sz w:val="17"/>
          <w:szCs w:val="17"/>
          <w:color w:val="auto"/>
        </w:rPr>
      </w:pPr>
      <w:r>
        <w:rPr>
          <w:rFonts w:ascii="Arial" w:cs="Arial" w:eastAsia="Arial" w:hAnsi="Arial"/>
          <w:sz w:val="17"/>
          <w:szCs w:val="17"/>
          <w:b w:val="1"/>
          <w:bCs w:val="1"/>
          <w:color w:val="auto"/>
        </w:rPr>
        <w:t>Withholding Taxes</w:t>
      </w:r>
      <w:r>
        <w:rPr>
          <w:rFonts w:ascii="Arial" w:cs="Arial" w:eastAsia="Arial" w:hAnsi="Arial"/>
          <w:sz w:val="17"/>
          <w:szCs w:val="17"/>
          <w:color w:val="auto"/>
        </w:rPr>
        <w:t>. In the event that the Company determines that it is required to withhold any tax as a result of the exercise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30" w:hanging="249"/>
        <w:spacing w:after="0"/>
        <w:tabs>
          <w:tab w:leader="none" w:pos="1130"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Cash</w:t>
      </w:r>
      <w:r>
        <w:rPr>
          <w:rFonts w:ascii="Arial" w:cs="Arial" w:eastAsia="Arial" w:hAnsi="Arial"/>
          <w:sz w:val="18"/>
          <w:szCs w:val="18"/>
          <w:color w:val="auto"/>
        </w:rPr>
        <w:t>. All or part of the Purchase Price may be paid in cash or cash equivalents.</w:t>
      </w:r>
    </w:p>
    <w:p>
      <w:pPr>
        <w:spacing w:after="0" w:line="116" w:lineRule="exact"/>
        <w:rPr>
          <w:rFonts w:ascii="Arial" w:cs="Arial" w:eastAsia="Arial" w:hAnsi="Arial"/>
          <w:sz w:val="18"/>
          <w:szCs w:val="18"/>
          <w:color w:val="auto"/>
        </w:rPr>
      </w:pPr>
    </w:p>
    <w:p>
      <w:pPr>
        <w:ind w:left="10" w:firstLine="871"/>
        <w:spacing w:after="0" w:line="266" w:lineRule="auto"/>
        <w:tabs>
          <w:tab w:leader="none" w:pos="1145"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Surrender of Stock</w:t>
      </w:r>
      <w:r>
        <w:rPr>
          <w:rFonts w:ascii="Arial" w:cs="Arial" w:eastAsia="Arial" w:hAnsi="Arial"/>
          <w:sz w:val="18"/>
          <w:szCs w:val="18"/>
          <w:color w:val="auto"/>
        </w:rPr>
        <w:t>. 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67" w:lineRule="exact"/>
        <w:rPr>
          <w:rFonts w:ascii="Arial" w:cs="Arial" w:eastAsia="Arial" w:hAnsi="Arial"/>
          <w:sz w:val="18"/>
          <w:szCs w:val="18"/>
          <w:color w:val="auto"/>
        </w:rPr>
      </w:pPr>
    </w:p>
    <w:p>
      <w:pPr>
        <w:ind w:left="10" w:firstLine="871"/>
        <w:spacing w:after="0" w:line="260" w:lineRule="auto"/>
        <w:tabs>
          <w:tab w:leader="none" w:pos="1135"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Exercise/Sale</w:t>
      </w:r>
      <w:r>
        <w:rPr>
          <w:rFonts w:ascii="Arial" w:cs="Arial" w:eastAsia="Arial" w:hAnsi="Arial"/>
          <w:sz w:val="18"/>
          <w:szCs w:val="18"/>
          <w:color w:val="auto"/>
        </w:rPr>
        <w:t>. 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70"/>
          </w:cols>
          <w:pgMar w:left="450" w:top="270" w:right="47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TERM AND EXPIRATION.</w:t>
      </w:r>
    </w:p>
    <w:p>
      <w:pPr>
        <w:spacing w:after="0" w:line="117" w:lineRule="exact"/>
        <w:rPr>
          <w:sz w:val="20"/>
          <w:szCs w:val="20"/>
          <w:color w:val="auto"/>
        </w:rPr>
      </w:pPr>
    </w:p>
    <w:p>
      <w:pPr>
        <w:ind w:right="100" w:firstLine="871"/>
        <w:spacing w:after="0" w:line="266" w:lineRule="auto"/>
        <w:tabs>
          <w:tab w:leader="none" w:pos="1125"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Basic Term</w:t>
      </w:r>
      <w:r>
        <w:rPr>
          <w:rFonts w:ascii="Arial" w:cs="Arial" w:eastAsia="Arial" w:hAnsi="Arial"/>
          <w:sz w:val="18"/>
          <w:szCs w:val="18"/>
          <w:color w:val="auto"/>
        </w:rPr>
        <w:t>. 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color w:val="auto"/>
        </w:rPr>
      </w:pPr>
    </w:p>
    <w:p>
      <w:pPr>
        <w:ind w:right="60" w:firstLine="871"/>
        <w:spacing w:after="0" w:line="281" w:lineRule="auto"/>
        <w:tabs>
          <w:tab w:leader="none" w:pos="1135"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Termination of Service (Except by Death)</w:t>
      </w:r>
      <w:r>
        <w:rPr>
          <w:rFonts w:ascii="Arial" w:cs="Arial" w:eastAsia="Arial" w:hAnsi="Arial"/>
          <w:sz w:val="18"/>
          <w:szCs w:val="18"/>
          <w:color w:val="auto"/>
        </w:rPr>
        <w:t>. 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8" w:lineRule="exact"/>
        <w:rPr>
          <w:rFonts w:ascii="Arial" w:cs="Arial" w:eastAsia="Arial" w:hAnsi="Arial"/>
          <w:sz w:val="18"/>
          <w:szCs w:val="18"/>
          <w:color w:val="auto"/>
        </w:rPr>
      </w:pPr>
    </w:p>
    <w:p>
      <w:pPr>
        <w:ind w:left="1500" w:hanging="224"/>
        <w:spacing w:after="0"/>
        <w:tabs>
          <w:tab w:leader="none" w:pos="15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6" w:lineRule="exact"/>
        <w:rPr>
          <w:rFonts w:ascii="Arial" w:cs="Arial" w:eastAsia="Arial" w:hAnsi="Arial"/>
          <w:sz w:val="18"/>
          <w:szCs w:val="18"/>
          <w:color w:val="auto"/>
        </w:rPr>
      </w:pPr>
    </w:p>
    <w:p>
      <w:pPr>
        <w:ind w:left="1600" w:hanging="324"/>
        <w:spacing w:after="0"/>
        <w:tabs>
          <w:tab w:leader="none" w:pos="160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81" w:lineRule="exact"/>
        <w:rPr>
          <w:sz w:val="20"/>
          <w:szCs w:val="20"/>
          <w:color w:val="auto"/>
        </w:rPr>
      </w:pPr>
    </w:p>
    <w:p>
      <w:pPr>
        <w:ind w:left="1120" w:hanging="249"/>
        <w:spacing w:after="0"/>
        <w:tabs>
          <w:tab w:leader="none" w:pos="1120" w:val="left"/>
        </w:tabs>
        <w:numPr>
          <w:ilvl w:val="0"/>
          <w:numId w:val="350"/>
        </w:numPr>
        <w:rPr>
          <w:rFonts w:ascii="Arial" w:cs="Arial" w:eastAsia="Arial" w:hAnsi="Arial"/>
          <w:sz w:val="17"/>
          <w:szCs w:val="17"/>
          <w:color w:val="auto"/>
        </w:rPr>
      </w:pPr>
      <w:r>
        <w:rPr>
          <w:rFonts w:ascii="Arial" w:cs="Arial" w:eastAsia="Arial" w:hAnsi="Arial"/>
          <w:sz w:val="17"/>
          <w:szCs w:val="17"/>
          <w:b w:val="1"/>
          <w:bCs w:val="1"/>
          <w:color w:val="auto"/>
        </w:rPr>
        <w:t>Death of the Optionee</w:t>
      </w:r>
      <w:r>
        <w:rPr>
          <w:rFonts w:ascii="Arial" w:cs="Arial" w:eastAsia="Arial" w:hAnsi="Arial"/>
          <w:sz w:val="17"/>
          <w:szCs w:val="17"/>
          <w:color w:val="auto"/>
        </w:rPr>
        <w:t>. If the Optionee dies while in Service, then this option shall expire on the earlier of the following dates:</w:t>
      </w:r>
    </w:p>
    <w:p>
      <w:pPr>
        <w:spacing w:after="0" w:line="132" w:lineRule="exact"/>
        <w:rPr>
          <w:rFonts w:ascii="Arial" w:cs="Arial" w:eastAsia="Arial" w:hAnsi="Arial"/>
          <w:sz w:val="17"/>
          <w:szCs w:val="17"/>
          <w:color w:val="auto"/>
        </w:rPr>
      </w:pPr>
    </w:p>
    <w:p>
      <w:pPr>
        <w:ind w:left="1500" w:hanging="224"/>
        <w:spacing w:after="0"/>
        <w:tabs>
          <w:tab w:leader="none" w:pos="15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6" w:lineRule="exact"/>
        <w:rPr>
          <w:rFonts w:ascii="Arial" w:cs="Arial" w:eastAsia="Arial" w:hAnsi="Arial"/>
          <w:sz w:val="18"/>
          <w:szCs w:val="18"/>
          <w:color w:val="auto"/>
        </w:rPr>
      </w:pPr>
    </w:p>
    <w:p>
      <w:pPr>
        <w:ind w:left="1540" w:hanging="264"/>
        <w:spacing w:after="0"/>
        <w:tabs>
          <w:tab w:leader="none" w:pos="15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60" w:top="270" w:right="519" w:bottom="1440" w:gutter="0" w:footer="0" w:header="0"/>
        </w:sectPr>
      </w:pPr>
    </w:p>
    <w:bookmarkStart w:id="378" w:name="page379"/>
    <w:bookmarkEnd w:id="378"/>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71" w:lineRule="exact"/>
        <w:rPr>
          <w:sz w:val="20"/>
          <w:szCs w:val="20"/>
          <w:color w:val="auto"/>
        </w:rPr>
      </w:pPr>
    </w:p>
    <w:p>
      <w:pPr>
        <w:ind w:right="100" w:firstLine="871"/>
        <w:spacing w:after="0" w:line="271" w:lineRule="auto"/>
        <w:tabs>
          <w:tab w:leader="none" w:pos="1135" w:val="left"/>
        </w:tabs>
        <w:numPr>
          <w:ilvl w:val="0"/>
          <w:numId w:val="351"/>
        </w:numPr>
        <w:rPr>
          <w:rFonts w:ascii="Arial" w:cs="Arial" w:eastAsia="Arial" w:hAnsi="Arial"/>
          <w:sz w:val="17"/>
          <w:szCs w:val="17"/>
          <w:color w:val="auto"/>
        </w:rPr>
      </w:pPr>
      <w:r>
        <w:rPr>
          <w:rFonts w:ascii="Arial" w:cs="Arial" w:eastAsia="Arial" w:hAnsi="Arial"/>
          <w:sz w:val="17"/>
          <w:szCs w:val="17"/>
          <w:b w:val="1"/>
          <w:bCs w:val="1"/>
          <w:color w:val="auto"/>
        </w:rPr>
        <w:t>Part-Time Employment and Leaves of Absence</w:t>
      </w:r>
      <w:r>
        <w:rPr>
          <w:rFonts w:ascii="Arial" w:cs="Arial" w:eastAsia="Arial" w:hAnsi="Arial"/>
          <w:sz w:val="17"/>
          <w:szCs w:val="17"/>
          <w:color w:val="auto"/>
        </w:rPr>
        <w:t>. If the Optionee commences working on a part-time basis, then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adjust 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68" w:lineRule="exact"/>
        <w:rPr>
          <w:rFonts w:ascii="Arial" w:cs="Arial" w:eastAsia="Arial" w:hAnsi="Arial"/>
          <w:sz w:val="17"/>
          <w:szCs w:val="17"/>
          <w:color w:val="auto"/>
        </w:rPr>
      </w:pPr>
    </w:p>
    <w:p>
      <w:pPr>
        <w:ind w:right="40" w:firstLine="871"/>
        <w:spacing w:after="0" w:line="281" w:lineRule="auto"/>
        <w:tabs>
          <w:tab w:leader="none" w:pos="1125"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Notice Concerning ISO Treatment</w:t>
      </w:r>
      <w:r>
        <w:rPr>
          <w:rFonts w:ascii="Arial" w:cs="Arial" w:eastAsia="Arial" w:hAnsi="Arial"/>
          <w:sz w:val="18"/>
          <w:szCs w:val="18"/>
          <w:color w:val="auto"/>
        </w:rPr>
        <w:t>. 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8" w:lineRule="exact"/>
        <w:rPr>
          <w:rFonts w:ascii="Arial" w:cs="Arial" w:eastAsia="Arial" w:hAnsi="Arial"/>
          <w:sz w:val="18"/>
          <w:szCs w:val="18"/>
          <w:color w:val="auto"/>
        </w:rPr>
      </w:pPr>
    </w:p>
    <w:p>
      <w:pPr>
        <w:ind w:left="880" w:right="220" w:firstLine="396"/>
        <w:spacing w:after="0" w:line="277" w:lineRule="auto"/>
        <w:tabs>
          <w:tab w:leader="none" w:pos="15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1" w:lineRule="exact"/>
        <w:rPr>
          <w:rFonts w:ascii="Arial" w:cs="Arial" w:eastAsia="Arial" w:hAnsi="Arial"/>
          <w:sz w:val="18"/>
          <w:szCs w:val="18"/>
          <w:color w:val="auto"/>
        </w:rPr>
      </w:pPr>
    </w:p>
    <w:p>
      <w:pPr>
        <w:ind w:left="880" w:right="240" w:firstLine="396"/>
        <w:spacing w:after="0" w:line="277" w:lineRule="auto"/>
        <w:tabs>
          <w:tab w:leader="none" w:pos="155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1" w:lineRule="exact"/>
        <w:rPr>
          <w:rFonts w:ascii="Arial" w:cs="Arial" w:eastAsia="Arial" w:hAnsi="Arial"/>
          <w:sz w:val="18"/>
          <w:szCs w:val="18"/>
          <w:color w:val="auto"/>
        </w:rPr>
      </w:pPr>
    </w:p>
    <w:p>
      <w:pPr>
        <w:ind w:left="880" w:right="540" w:firstLine="396"/>
        <w:spacing w:after="0" w:line="277" w:lineRule="auto"/>
        <w:tabs>
          <w:tab w:leader="none" w:pos="16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REPURCHASE.</w:t>
      </w:r>
    </w:p>
    <w:p>
      <w:pPr>
        <w:spacing w:after="0" w:line="117" w:lineRule="exact"/>
        <w:rPr>
          <w:sz w:val="20"/>
          <w:szCs w:val="20"/>
          <w:color w:val="auto"/>
        </w:rPr>
      </w:pPr>
    </w:p>
    <w:p>
      <w:pPr>
        <w:ind w:firstLine="871"/>
        <w:spacing w:after="0" w:line="255" w:lineRule="auto"/>
        <w:tabs>
          <w:tab w:leader="none" w:pos="1125"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Scope of Repurchase Right</w:t>
      </w:r>
      <w:r>
        <w:rPr>
          <w:rFonts w:ascii="Arial" w:cs="Arial" w:eastAsia="Arial" w:hAnsi="Arial"/>
          <w:sz w:val="18"/>
          <w:szCs w:val="18"/>
          <w:color w:val="auto"/>
        </w:rPr>
        <w:t>. Until they vest in accordance with the Notice of Stock Option Grant and Subsection (b) below,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3" w:right="459" w:bottom="1440" w:gutter="0" w:footer="0" w:header="0"/>
        </w:sectPr>
      </w:pPr>
    </w:p>
    <w:bookmarkStart w:id="379" w:name="page380"/>
    <w:bookmarkEnd w:id="379"/>
    <w:p>
      <w:pPr>
        <w:ind w:left="10" w:right="80" w:firstLine="871"/>
        <w:spacing w:after="0" w:line="293" w:lineRule="auto"/>
        <w:tabs>
          <w:tab w:leader="none" w:pos="1145" w:val="left"/>
        </w:tabs>
        <w:numPr>
          <w:ilvl w:val="0"/>
          <w:numId w:val="35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Lapse of Repurchase Right</w:t>
      </w:r>
      <w:r>
        <w:rPr>
          <w:rFonts w:ascii="Arial" w:cs="Arial" w:eastAsia="Arial" w:hAnsi="Arial"/>
          <w:sz w:val="16"/>
          <w:szCs w:val="16"/>
          <w:color w:val="auto"/>
        </w:rPr>
        <w:t>. The Right of Repurchase shall lapse with respect to the Restricted Shares in accordance with the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set forth in the Notice of Stock Option Grant. [In addition, if the Company is subject to a Change in Control before the Optionee’s Service</w:t>
      </w:r>
    </w:p>
    <w:p>
      <w:pPr>
        <w:spacing w:after="0" w:line="1" w:lineRule="exact"/>
        <w:rPr>
          <w:sz w:val="20"/>
          <w:szCs w:val="20"/>
          <w:color w:val="auto"/>
        </w:rPr>
      </w:pPr>
    </w:p>
    <w:p>
      <w:pPr>
        <w:ind w:left="10" w:right="160"/>
        <w:spacing w:after="0" w:line="281" w:lineRule="auto"/>
        <w:rPr>
          <w:sz w:val="20"/>
          <w:szCs w:val="20"/>
          <w:color w:val="auto"/>
        </w:rPr>
      </w:pPr>
      <w:r>
        <w:rPr>
          <w:rFonts w:ascii="Arial" w:cs="Arial" w:eastAsia="Arial" w:hAnsi="Arial"/>
          <w:sz w:val="16"/>
          <w:szCs w:val="16"/>
          <w:color w:val="auto"/>
        </w:rPr>
        <w:t>terminates, the Right of Repurchase shall lapse with respect to % of the Shares subject to this option.][In addition, if the Company is subject to a Change in Control before the Optionee’s service terminates, then all of the Restricted Shares shall vest and the Right of Repurchase shall lapse in full provided that the Optionee agrees to provide service as a full-time Employee or Consultant for the acquirer or the surviving entity for a period not to</w:t>
      </w:r>
    </w:p>
    <w:p>
      <w:pPr>
        <w:spacing w:after="0" w:line="1" w:lineRule="exact"/>
        <w:rPr>
          <w:sz w:val="20"/>
          <w:szCs w:val="20"/>
          <w:color w:val="auto"/>
        </w:rPr>
      </w:pPr>
    </w:p>
    <w:p>
      <w:pPr>
        <w:ind w:left="10"/>
        <w:spacing w:after="0"/>
        <w:tabs>
          <w:tab w:leader="none" w:pos="1109" w:val="left"/>
        </w:tabs>
        <w:rPr>
          <w:sz w:val="20"/>
          <w:szCs w:val="20"/>
          <w:color w:val="auto"/>
        </w:rPr>
      </w:pPr>
      <w:r>
        <w:rPr>
          <w:rFonts w:ascii="Arial" w:cs="Arial" w:eastAsia="Arial" w:hAnsi="Arial"/>
          <w:sz w:val="18"/>
          <w:szCs w:val="18"/>
          <w:color w:val="auto"/>
        </w:rPr>
        <w:t>exceed</w:t>
      </w:r>
      <w:r>
        <w:rPr>
          <w:sz w:val="20"/>
          <w:szCs w:val="20"/>
          <w:color w:val="auto"/>
        </w:rPr>
        <w:tab/>
      </w:r>
      <w:r>
        <w:rPr>
          <w:rFonts w:ascii="Arial" w:cs="Arial" w:eastAsia="Arial" w:hAnsi="Arial"/>
          <w:sz w:val="18"/>
          <w:szCs w:val="18"/>
          <w:color w:val="auto"/>
        </w:rPr>
        <w:t>unless otherwise agreed to by the Optionee, the Company and the acquirer or surviving entity.]</w:t>
      </w:r>
    </w:p>
    <w:p>
      <w:pPr>
        <w:spacing w:after="0" w:line="98" w:lineRule="exact"/>
        <w:rPr>
          <w:sz w:val="20"/>
          <w:szCs w:val="20"/>
          <w:color w:val="auto"/>
        </w:rPr>
      </w:pPr>
    </w:p>
    <w:p>
      <w:pPr>
        <w:ind w:left="10" w:firstLine="871"/>
        <w:spacing w:after="0" w:line="287" w:lineRule="auto"/>
        <w:tabs>
          <w:tab w:leader="none" w:pos="1135" w:val="left"/>
        </w:tabs>
        <w:numPr>
          <w:ilvl w:val="1"/>
          <w:numId w:val="354"/>
        </w:numPr>
        <w:rPr>
          <w:rFonts w:ascii="Arial" w:cs="Arial" w:eastAsia="Arial" w:hAnsi="Arial"/>
          <w:sz w:val="16"/>
          <w:szCs w:val="16"/>
          <w:color w:val="auto"/>
        </w:rPr>
      </w:pPr>
      <w:r>
        <w:rPr>
          <w:rFonts w:ascii="Arial" w:cs="Arial" w:eastAsia="Arial" w:hAnsi="Arial"/>
          <w:sz w:val="16"/>
          <w:szCs w:val="16"/>
          <w:b w:val="1"/>
          <w:bCs w:val="1"/>
          <w:color w:val="auto"/>
        </w:rPr>
        <w:t>Escrow</w:t>
      </w:r>
      <w:r>
        <w:rPr>
          <w:rFonts w:ascii="Arial" w:cs="Arial" w:eastAsia="Arial" w:hAnsi="Arial"/>
          <w:sz w:val="16"/>
          <w:szCs w:val="16"/>
          <w:color w:val="auto"/>
        </w:rPr>
        <w:t>. Upon issuance, the certificate(s) for Restricted Shares shall be deposited in escrow with the Company to be held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w:t>
      </w:r>
    </w:p>
    <w:p>
      <w:pPr>
        <w:spacing w:after="0" w:line="1" w:lineRule="exact"/>
        <w:rPr>
          <w:rFonts w:ascii="Arial" w:cs="Arial" w:eastAsia="Arial" w:hAnsi="Arial"/>
          <w:sz w:val="16"/>
          <w:szCs w:val="16"/>
          <w:color w:val="auto"/>
        </w:rPr>
      </w:pPr>
    </w:p>
    <w:p>
      <w:pPr>
        <w:jc w:val="both"/>
        <w:ind w:left="10" w:right="80" w:hanging="10"/>
        <w:spacing w:after="0" w:line="295" w:lineRule="auto"/>
        <w:tabs>
          <w:tab w:leader="none" w:pos="22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48" w:lineRule="exact"/>
        <w:rPr>
          <w:rFonts w:ascii="Arial" w:cs="Arial" w:eastAsia="Arial" w:hAnsi="Arial"/>
          <w:sz w:val="16"/>
          <w:szCs w:val="16"/>
          <w:color w:val="auto"/>
        </w:rPr>
      </w:pPr>
    </w:p>
    <w:p>
      <w:pPr>
        <w:ind w:left="10" w:right="60" w:firstLine="871"/>
        <w:spacing w:after="0" w:line="255" w:lineRule="auto"/>
        <w:tabs>
          <w:tab w:leader="none" w:pos="1145" w:val="left"/>
        </w:tabs>
        <w:numPr>
          <w:ilvl w:val="1"/>
          <w:numId w:val="355"/>
        </w:numPr>
        <w:rPr>
          <w:rFonts w:ascii="Arial" w:cs="Arial" w:eastAsia="Arial" w:hAnsi="Arial"/>
          <w:sz w:val="18"/>
          <w:szCs w:val="18"/>
          <w:color w:val="auto"/>
        </w:rPr>
      </w:pPr>
      <w:r>
        <w:rPr>
          <w:rFonts w:ascii="Arial" w:cs="Arial" w:eastAsia="Arial" w:hAnsi="Arial"/>
          <w:sz w:val="18"/>
          <w:szCs w:val="18"/>
          <w:b w:val="1"/>
          <w:bCs w:val="1"/>
          <w:color w:val="auto"/>
        </w:rPr>
        <w:t>Exercise of Repurchase Right</w:t>
      </w:r>
      <w:r>
        <w:rPr>
          <w:rFonts w:ascii="Arial" w:cs="Arial" w:eastAsia="Arial" w:hAnsi="Arial"/>
          <w:sz w:val="18"/>
          <w:szCs w:val="18"/>
          <w:color w:val="auto"/>
        </w:rPr>
        <w:t>. The Company shall be deemed to have exercised its Right of Repurchase automatically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Shares as of the commencement of the Repurchase Period, unless the Company during the Repurchase Period notifies the holder of the Restricted Shares pursuant to Section 13(c) that it will not exercise its Right of Repurchase for some or all of the Restricted Shares. During the Repurchase Period,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79" w:lineRule="exact"/>
        <w:rPr>
          <w:rFonts w:ascii="Arial" w:cs="Arial" w:eastAsia="Arial" w:hAnsi="Arial"/>
          <w:sz w:val="18"/>
          <w:szCs w:val="18"/>
          <w:color w:val="auto"/>
        </w:rPr>
      </w:pPr>
    </w:p>
    <w:p>
      <w:pPr>
        <w:ind w:left="10" w:right="40" w:firstLine="871"/>
        <w:spacing w:after="0" w:line="276" w:lineRule="auto"/>
        <w:tabs>
          <w:tab w:leader="none" w:pos="1135" w:val="left"/>
        </w:tabs>
        <w:numPr>
          <w:ilvl w:val="1"/>
          <w:numId w:val="355"/>
        </w:numPr>
        <w:rPr>
          <w:rFonts w:ascii="Arial" w:cs="Arial" w:eastAsia="Arial" w:hAnsi="Arial"/>
          <w:sz w:val="17"/>
          <w:szCs w:val="17"/>
          <w:color w:val="auto"/>
        </w:rPr>
      </w:pPr>
      <w:r>
        <w:rPr>
          <w:rFonts w:ascii="Arial" w:cs="Arial" w:eastAsia="Arial" w:hAnsi="Arial"/>
          <w:sz w:val="17"/>
          <w:szCs w:val="17"/>
          <w:b w:val="1"/>
          <w:bCs w:val="1"/>
          <w:color w:val="auto"/>
        </w:rPr>
        <w:t>Termination of Rights as Stockholder</w:t>
      </w:r>
      <w:r>
        <w:rPr>
          <w:rFonts w:ascii="Arial" w:cs="Arial" w:eastAsia="Arial" w:hAnsi="Arial"/>
          <w:sz w:val="17"/>
          <w:szCs w:val="17"/>
          <w:color w:val="auto"/>
        </w:rPr>
        <w:t>. If the Right of Repurchase is exercised in accordance with this Section 7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08" w:lineRule="exact"/>
        <w:rPr>
          <w:sz w:val="20"/>
          <w:szCs w:val="20"/>
          <w:color w:val="auto"/>
        </w:rPr>
      </w:pPr>
    </w:p>
    <w:p>
      <w:pPr>
        <w:jc w:val="center"/>
        <w:ind w:right="-12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90"/>
          </w:cols>
          <w:pgMar w:left="450" w:top="270" w:right="559" w:bottom="1440" w:gutter="0" w:footer="0" w:header="0"/>
        </w:sectPr>
      </w:pPr>
    </w:p>
    <w:bookmarkStart w:id="380" w:name="page381"/>
    <w:bookmarkEnd w:id="380"/>
    <w:p>
      <w:pPr>
        <w:ind w:firstLine="871"/>
        <w:spacing w:after="0" w:line="270" w:lineRule="auto"/>
        <w:tabs>
          <w:tab w:leader="none" w:pos="1105"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or Exchanged Securities and Property</w:t>
      </w:r>
      <w:r>
        <w:rPr>
          <w:rFonts w:ascii="Arial" w:cs="Arial" w:eastAsia="Arial" w:hAnsi="Arial"/>
          <w:sz w:val="17"/>
          <w:szCs w:val="17"/>
          <w:color w:val="auto"/>
        </w:rPr>
        <w:t>. In the event of a merger or consolidation of the Company with or into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71" w:lineRule="exact"/>
        <w:rPr>
          <w:rFonts w:ascii="Arial" w:cs="Arial" w:eastAsia="Arial" w:hAnsi="Arial"/>
          <w:sz w:val="17"/>
          <w:szCs w:val="17"/>
          <w:color w:val="auto"/>
        </w:rPr>
      </w:pPr>
    </w:p>
    <w:p>
      <w:pPr>
        <w:ind w:right="20" w:firstLine="871"/>
        <w:spacing w:after="0" w:line="297" w:lineRule="auto"/>
        <w:tabs>
          <w:tab w:leader="none" w:pos="1135" w:val="left"/>
        </w:tabs>
        <w:numPr>
          <w:ilvl w:val="0"/>
          <w:numId w:val="356"/>
        </w:numPr>
        <w:rPr>
          <w:rFonts w:ascii="Arial" w:cs="Arial" w:eastAsia="Arial" w:hAnsi="Arial"/>
          <w:sz w:val="16"/>
          <w:szCs w:val="16"/>
          <w:color w:val="auto"/>
        </w:rPr>
      </w:pPr>
      <w:r>
        <w:rPr>
          <w:rFonts w:ascii="Arial" w:cs="Arial" w:eastAsia="Arial" w:hAnsi="Arial"/>
          <w:sz w:val="16"/>
          <w:szCs w:val="16"/>
          <w:b w:val="1"/>
          <w:bCs w:val="1"/>
          <w:color w:val="auto"/>
        </w:rPr>
        <w:t>Transfer of Restricted Shares</w:t>
      </w:r>
      <w:r>
        <w:rPr>
          <w:rFonts w:ascii="Arial" w:cs="Arial" w:eastAsia="Arial" w:hAnsi="Arial"/>
          <w:sz w:val="16"/>
          <w:szCs w:val="16"/>
          <w:color w:val="auto"/>
        </w:rPr>
        <w:t>. The Optionee shall not transfer, assign, encumber or otherwise dispose of any Restricted Shares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48" w:lineRule="exact"/>
        <w:rPr>
          <w:rFonts w:ascii="Arial" w:cs="Arial" w:eastAsia="Arial" w:hAnsi="Arial"/>
          <w:sz w:val="16"/>
          <w:szCs w:val="16"/>
          <w:color w:val="auto"/>
        </w:rPr>
      </w:pPr>
    </w:p>
    <w:p>
      <w:pPr>
        <w:jc w:val="both"/>
        <w:ind w:right="140" w:firstLine="871"/>
        <w:spacing w:after="0" w:line="266" w:lineRule="auto"/>
        <w:tabs>
          <w:tab w:leader="none" w:pos="1135"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Assignment of Repurchase Right</w:t>
      </w:r>
      <w:r>
        <w:rPr>
          <w:rFonts w:ascii="Arial" w:cs="Arial" w:eastAsia="Arial" w:hAnsi="Arial"/>
          <w:sz w:val="18"/>
          <w:szCs w:val="18"/>
          <w:color w:val="auto"/>
        </w:rPr>
        <w:t>. The Board of Directors may freely assign the Company’s Right of Repurchase,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Repurchase from the Company shall assume all of the Company’s rights and obligations under this Section 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RIGHT OF FIRST REFUSAL.</w:t>
      </w:r>
    </w:p>
    <w:p>
      <w:pPr>
        <w:spacing w:after="0" w:line="117" w:lineRule="exact"/>
        <w:rPr>
          <w:sz w:val="20"/>
          <w:szCs w:val="20"/>
          <w:color w:val="auto"/>
        </w:rPr>
      </w:pPr>
    </w:p>
    <w:p>
      <w:pPr>
        <w:ind w:right="40" w:firstLine="871"/>
        <w:spacing w:after="0" w:line="289" w:lineRule="auto"/>
        <w:tabs>
          <w:tab w:leader="none" w:pos="1125"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381" w:name="page382"/>
    <w:bookmarkEnd w:id="381"/>
    <w:p>
      <w:pPr>
        <w:ind w:firstLine="871"/>
        <w:spacing w:after="0" w:line="269" w:lineRule="auto"/>
        <w:tabs>
          <w:tab w:leader="none" w:pos="1135"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of Shares</w:t>
      </w:r>
      <w:r>
        <w:rPr>
          <w:rFonts w:ascii="Arial" w:cs="Arial" w:eastAsia="Arial" w:hAnsi="Arial"/>
          <w:sz w:val="17"/>
          <w:szCs w:val="17"/>
          <w:color w:val="auto"/>
        </w:rPr>
        <w:t>. If the Company fails to exercise its Right of First Refusal within 30 days after the date when it received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2" w:lineRule="exact"/>
        <w:rPr>
          <w:rFonts w:ascii="Arial" w:cs="Arial" w:eastAsia="Arial" w:hAnsi="Arial"/>
          <w:sz w:val="17"/>
          <w:szCs w:val="17"/>
          <w:color w:val="auto"/>
        </w:rPr>
      </w:pPr>
    </w:p>
    <w:p>
      <w:pPr>
        <w:ind w:right="160" w:firstLine="871"/>
        <w:spacing w:after="0" w:line="294" w:lineRule="auto"/>
        <w:tabs>
          <w:tab w:leader="none" w:pos="1125"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Additional or Exchanged Securities and Property</w:t>
      </w:r>
      <w:r>
        <w:rPr>
          <w:rFonts w:ascii="Arial" w:cs="Arial" w:eastAsia="Arial" w:hAnsi="Arial"/>
          <w:sz w:val="16"/>
          <w:szCs w:val="16"/>
          <w:color w:val="auto"/>
        </w:rPr>
        <w:t>. In the event of a merger or consolidation of the Company with or into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50" w:lineRule="exact"/>
        <w:rPr>
          <w:rFonts w:ascii="Arial" w:cs="Arial" w:eastAsia="Arial" w:hAnsi="Arial"/>
          <w:sz w:val="16"/>
          <w:szCs w:val="16"/>
          <w:color w:val="auto"/>
        </w:rPr>
      </w:pPr>
    </w:p>
    <w:p>
      <w:pPr>
        <w:jc w:val="both"/>
        <w:ind w:right="360" w:firstLine="871"/>
        <w:spacing w:after="0" w:line="288" w:lineRule="auto"/>
        <w:tabs>
          <w:tab w:leader="none" w:pos="1135"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Termination of Right of First Refusal</w:t>
      </w:r>
      <w:r>
        <w:rPr>
          <w:rFonts w:ascii="Arial" w:cs="Arial" w:eastAsia="Arial" w:hAnsi="Arial"/>
          <w:sz w:val="17"/>
          <w:szCs w:val="17"/>
          <w:color w:val="auto"/>
        </w:rPr>
        <w:t>. Any other provision of this Section 8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51" w:lineRule="exact"/>
        <w:rPr>
          <w:rFonts w:ascii="Arial" w:cs="Arial" w:eastAsia="Arial" w:hAnsi="Arial"/>
          <w:sz w:val="17"/>
          <w:szCs w:val="17"/>
          <w:color w:val="auto"/>
        </w:rPr>
      </w:pPr>
    </w:p>
    <w:p>
      <w:pPr>
        <w:ind w:right="60" w:firstLine="871"/>
        <w:spacing w:after="0" w:line="256" w:lineRule="auto"/>
        <w:tabs>
          <w:tab w:leader="none" w:pos="1125"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This Section 8 shall not apply to (i) a transfer by beneficiary designation, will or intestate succession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78" w:lineRule="exact"/>
        <w:rPr>
          <w:rFonts w:ascii="Arial" w:cs="Arial" w:eastAsia="Arial" w:hAnsi="Arial"/>
          <w:sz w:val="18"/>
          <w:szCs w:val="18"/>
          <w:color w:val="auto"/>
        </w:rPr>
      </w:pPr>
    </w:p>
    <w:p>
      <w:pPr>
        <w:ind w:right="140" w:firstLine="871"/>
        <w:spacing w:after="0" w:line="281" w:lineRule="auto"/>
        <w:tabs>
          <w:tab w:leader="none" w:pos="1105"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Termination of Rights as Stockholder</w:t>
      </w:r>
      <w:r>
        <w:rPr>
          <w:rFonts w:ascii="Arial" w:cs="Arial" w:eastAsia="Arial" w:hAnsi="Arial"/>
          <w:sz w:val="18"/>
          <w:szCs w:val="18"/>
          <w:color w:val="auto"/>
        </w:rPr>
        <w:t>. If the Company makes available, at the time and place and in the amount and form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consideration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382" w:name="page383"/>
    <w:bookmarkEnd w:id="38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74" w:lineRule="exact"/>
        <w:rPr>
          <w:sz w:val="20"/>
          <w:szCs w:val="20"/>
          <w:color w:val="auto"/>
        </w:rPr>
      </w:pPr>
    </w:p>
    <w:p>
      <w:pPr>
        <w:jc w:val="both"/>
        <w:ind w:right="140" w:firstLine="871"/>
        <w:spacing w:after="0" w:line="266" w:lineRule="auto"/>
        <w:tabs>
          <w:tab w:leader="none" w:pos="1135"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Assignment of Right of First Refusal</w:t>
      </w:r>
      <w:r>
        <w:rPr>
          <w:rFonts w:ascii="Arial" w:cs="Arial" w:eastAsia="Arial" w:hAnsi="Arial"/>
          <w:sz w:val="18"/>
          <w:szCs w:val="18"/>
          <w:color w:val="auto"/>
        </w:rPr>
        <w:t>. 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LEGALITY OF INITIAL ISSUANCE.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880" w:right="80" w:firstLine="396"/>
        <w:spacing w:after="0" w:line="277" w:lineRule="auto"/>
        <w:tabs>
          <w:tab w:leader="none" w:pos="152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It and the Optionee have taken any actions required to register the Shares under the Securities Act or to perfect an exemption from the registration requirements thereof;</w:t>
      </w:r>
    </w:p>
    <w:p>
      <w:pPr>
        <w:spacing w:after="0" w:line="61" w:lineRule="exact"/>
        <w:rPr>
          <w:rFonts w:ascii="Arial" w:cs="Arial" w:eastAsia="Arial" w:hAnsi="Arial"/>
          <w:sz w:val="18"/>
          <w:szCs w:val="18"/>
          <w:color w:val="auto"/>
        </w:rPr>
      </w:pPr>
    </w:p>
    <w:p>
      <w:pPr>
        <w:ind w:left="1540" w:hanging="264"/>
        <w:spacing w:after="0"/>
        <w:tabs>
          <w:tab w:leader="none" w:pos="15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Any applicable listing requirement of any stock exchange or other securities market on which Stock is listed has been satisfied; and</w:t>
      </w:r>
    </w:p>
    <w:p>
      <w:pPr>
        <w:spacing w:after="0" w:line="139" w:lineRule="exact"/>
        <w:rPr>
          <w:rFonts w:ascii="Arial" w:cs="Arial" w:eastAsia="Arial" w:hAnsi="Arial"/>
          <w:sz w:val="16"/>
          <w:szCs w:val="16"/>
          <w:color w:val="auto"/>
        </w:rPr>
      </w:pPr>
    </w:p>
    <w:p>
      <w:pPr>
        <w:ind w:left="1520" w:hanging="244"/>
        <w:spacing w:after="0"/>
        <w:tabs>
          <w:tab w:leader="none" w:pos="15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other applicable provision of federal, State or foreign law has been satisfied.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REGISTRATION RIGHTS.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not be obligated to take any affirmative action in order to cause the sale of Shares under this Agreement to comply with any law.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RESTRICTIONS ON TRANSFER OF SHARES.</w:t>
      </w:r>
    </w:p>
    <w:p>
      <w:pPr>
        <w:spacing w:after="0" w:line="117" w:lineRule="exact"/>
        <w:rPr>
          <w:sz w:val="20"/>
          <w:szCs w:val="20"/>
          <w:color w:val="auto"/>
        </w:rPr>
      </w:pPr>
    </w:p>
    <w:p>
      <w:pPr>
        <w:ind w:right="40" w:firstLine="871"/>
        <w:spacing w:after="0" w:line="258" w:lineRule="auto"/>
        <w:tabs>
          <w:tab w:leader="none" w:pos="1125"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Securities Law Restrictions</w:t>
      </w:r>
      <w:r>
        <w:rPr>
          <w:rFonts w:ascii="Arial" w:cs="Arial" w:eastAsia="Arial" w:hAnsi="Arial"/>
          <w:sz w:val="18"/>
          <w:szCs w:val="18"/>
          <w:color w:val="auto"/>
        </w:rPr>
        <w:t>. 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4" w:lineRule="exact"/>
        <w:rPr>
          <w:rFonts w:ascii="Arial" w:cs="Arial" w:eastAsia="Arial" w:hAnsi="Arial"/>
          <w:sz w:val="18"/>
          <w:szCs w:val="18"/>
          <w:color w:val="auto"/>
        </w:rPr>
      </w:pPr>
    </w:p>
    <w:p>
      <w:pPr>
        <w:ind w:right="40" w:firstLine="871"/>
        <w:spacing w:after="0" w:line="266" w:lineRule="auto"/>
        <w:tabs>
          <w:tab w:leader="none" w:pos="1135"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Market Stand-Off</w:t>
      </w:r>
      <w:r>
        <w:rPr>
          <w:rFonts w:ascii="Arial" w:cs="Arial" w:eastAsia="Arial" w:hAnsi="Arial"/>
          <w:sz w:val="18"/>
          <w:szCs w:val="18"/>
          <w:color w:val="auto"/>
        </w:rPr>
        <w:t>. In connection with any underwritten public offering by the Company of its equity securities pursuant to an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filed under the Securities Act, including the Company’s initial public offering, the Optionee or a Transferee shall not directly or indirectly sell, make any short sale of, loan, hypothecate, pledge, offer, grant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383" w:name="page384"/>
    <w:bookmarkEnd w:id="3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56" w:lineRule="exact"/>
        <w:rPr>
          <w:sz w:val="20"/>
          <w:szCs w:val="20"/>
          <w:color w:val="auto"/>
        </w:rPr>
      </w:pPr>
    </w:p>
    <w:p>
      <w:pPr>
        <w:ind w:right="380" w:firstLine="871"/>
        <w:spacing w:after="0" w:line="281" w:lineRule="auto"/>
        <w:tabs>
          <w:tab w:leader="none" w:pos="1125"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Investment Intent at Grant</w:t>
      </w:r>
      <w:r>
        <w:rPr>
          <w:rFonts w:ascii="Arial" w:cs="Arial" w:eastAsia="Arial" w:hAnsi="Arial"/>
          <w:sz w:val="18"/>
          <w:szCs w:val="18"/>
          <w:color w:val="auto"/>
        </w:rPr>
        <w:t>. 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4" w:lineRule="exact"/>
        <w:rPr>
          <w:rFonts w:ascii="Arial" w:cs="Arial" w:eastAsia="Arial" w:hAnsi="Arial"/>
          <w:sz w:val="18"/>
          <w:szCs w:val="18"/>
          <w:color w:val="auto"/>
        </w:rPr>
      </w:pPr>
    </w:p>
    <w:p>
      <w:pPr>
        <w:ind w:right="80" w:firstLine="871"/>
        <w:spacing w:after="0" w:line="280" w:lineRule="auto"/>
        <w:tabs>
          <w:tab w:leader="none" w:pos="1135" w:val="left"/>
        </w:tabs>
        <w:numPr>
          <w:ilvl w:val="0"/>
          <w:numId w:val="362"/>
        </w:numPr>
        <w:rPr>
          <w:rFonts w:ascii="Arial" w:cs="Arial" w:eastAsia="Arial" w:hAnsi="Arial"/>
          <w:sz w:val="17"/>
          <w:szCs w:val="17"/>
          <w:color w:val="auto"/>
        </w:rPr>
      </w:pPr>
      <w:r>
        <w:rPr>
          <w:rFonts w:ascii="Arial" w:cs="Arial" w:eastAsia="Arial" w:hAnsi="Arial"/>
          <w:sz w:val="17"/>
          <w:szCs w:val="17"/>
          <w:b w:val="1"/>
          <w:bCs w:val="1"/>
          <w:color w:val="auto"/>
        </w:rPr>
        <w:t>Investment Intent at Exercise</w:t>
      </w:r>
      <w:r>
        <w:rPr>
          <w:rFonts w:ascii="Arial" w:cs="Arial" w:eastAsia="Arial" w:hAnsi="Arial"/>
          <w:sz w:val="17"/>
          <w:szCs w:val="17"/>
          <w:color w:val="auto"/>
        </w:rPr>
        <w:t>. 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59" w:lineRule="exact"/>
        <w:rPr>
          <w:rFonts w:ascii="Arial" w:cs="Arial" w:eastAsia="Arial" w:hAnsi="Arial"/>
          <w:sz w:val="17"/>
          <w:szCs w:val="17"/>
          <w:color w:val="auto"/>
        </w:rPr>
      </w:pPr>
    </w:p>
    <w:p>
      <w:pPr>
        <w:ind w:left="1120" w:hanging="249"/>
        <w:spacing w:after="0"/>
        <w:tabs>
          <w:tab w:leader="none" w:pos="112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Legends</w:t>
      </w:r>
      <w:r>
        <w:rPr>
          <w:rFonts w:ascii="Arial" w:cs="Arial" w:eastAsia="Arial" w:hAnsi="Arial"/>
          <w:sz w:val="18"/>
          <w:szCs w:val="18"/>
          <w:color w:val="auto"/>
        </w:rPr>
        <w:t>. All certificates evidencing Shares purchased under this Agreement shall bear the following legend:</w:t>
      </w:r>
    </w:p>
    <w:p>
      <w:pPr>
        <w:spacing w:after="0" w:line="121"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60" w:top="273" w:right="499" w:bottom="1440" w:gutter="0" w:footer="0" w:header="0"/>
        </w:sectPr>
      </w:pPr>
    </w:p>
    <w:bookmarkStart w:id="384" w:name="page385"/>
    <w:bookmarkEnd w:id="384"/>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4" w:lineRule="exact"/>
        <w:rPr>
          <w:sz w:val="20"/>
          <w:szCs w:val="20"/>
          <w:color w:val="auto"/>
        </w:rPr>
      </w:pPr>
    </w:p>
    <w:p>
      <w:pPr>
        <w:ind w:firstLine="871"/>
        <w:spacing w:after="0" w:line="266" w:lineRule="auto"/>
        <w:tabs>
          <w:tab w:leader="none" w:pos="1105"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Removal of Legends</w:t>
      </w:r>
      <w:r>
        <w:rPr>
          <w:rFonts w:ascii="Arial" w:cs="Arial" w:eastAsia="Arial" w:hAnsi="Arial"/>
          <w:sz w:val="18"/>
          <w:szCs w:val="18"/>
          <w:color w:val="auto"/>
        </w:rPr>
        <w:t>. 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color w:val="auto"/>
        </w:rPr>
      </w:pPr>
    </w:p>
    <w:p>
      <w:pPr>
        <w:ind w:right="260" w:firstLine="871"/>
        <w:spacing w:after="0" w:line="281" w:lineRule="auto"/>
        <w:tabs>
          <w:tab w:leader="none" w:pos="1135"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Any determination by the Company and its counsel in connection with any of the matters set forth in this 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 and binding on the Optionee and all other persons.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ADJUSTMENT OF SHARES.</w:t>
      </w:r>
    </w:p>
    <w:p>
      <w:pPr>
        <w:spacing w:after="0" w:line="121" w:lineRule="exact"/>
        <w:rPr>
          <w:sz w:val="20"/>
          <w:szCs w:val="20"/>
          <w:color w:val="auto"/>
        </w:rPr>
      </w:pPr>
    </w:p>
    <w:p>
      <w:pPr>
        <w:jc w:val="both"/>
        <w:ind w:right="160" w:firstLine="880"/>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MISCELLANEOUS PROVISIONS.</w:t>
      </w:r>
    </w:p>
    <w:p>
      <w:pPr>
        <w:spacing w:after="0" w:line="117" w:lineRule="exact"/>
        <w:rPr>
          <w:sz w:val="20"/>
          <w:szCs w:val="20"/>
          <w:color w:val="auto"/>
        </w:rPr>
      </w:pPr>
    </w:p>
    <w:p>
      <w:pPr>
        <w:ind w:right="220" w:firstLine="871"/>
        <w:spacing w:after="0" w:line="266" w:lineRule="auto"/>
        <w:tabs>
          <w:tab w:leader="none" w:pos="1125"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Rights as a Stockholder</w:t>
      </w:r>
      <w:r>
        <w:rPr>
          <w:rFonts w:ascii="Arial" w:cs="Arial" w:eastAsia="Arial" w:hAnsi="Arial"/>
          <w:sz w:val="18"/>
          <w:szCs w:val="18"/>
          <w:color w:val="auto"/>
        </w:rPr>
        <w:t>. Neither the Optionee nor the Optionee’s representative shall have any rights as a stockholder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subject to this option until the Optionee or the Optionee’s representative becomes entitled to receive such Shares by filing a notice of exercise and paying the Purchase Price pursuant to Sections 4 and 5.</w:t>
      </w:r>
    </w:p>
    <w:p>
      <w:pPr>
        <w:spacing w:after="0" w:line="67" w:lineRule="exact"/>
        <w:rPr>
          <w:rFonts w:ascii="Arial" w:cs="Arial" w:eastAsia="Arial" w:hAnsi="Arial"/>
          <w:sz w:val="18"/>
          <w:szCs w:val="18"/>
          <w:color w:val="auto"/>
        </w:rPr>
      </w:pPr>
    </w:p>
    <w:p>
      <w:pPr>
        <w:ind w:firstLine="871"/>
        <w:spacing w:after="0" w:line="260" w:lineRule="auto"/>
        <w:tabs>
          <w:tab w:leader="none" w:pos="1135"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option or in the Plan shall confer upon the Optionee any right to continue in Service for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4" w:lineRule="exact"/>
        <w:rPr>
          <w:rFonts w:ascii="Arial" w:cs="Arial" w:eastAsia="Arial" w:hAnsi="Arial"/>
          <w:sz w:val="18"/>
          <w:szCs w:val="18"/>
          <w:color w:val="auto"/>
        </w:rPr>
      </w:pPr>
    </w:p>
    <w:p>
      <w:pPr>
        <w:ind w:right="460" w:firstLine="871"/>
        <w:spacing w:after="0" w:line="312" w:lineRule="auto"/>
        <w:tabs>
          <w:tab w:leader="none" w:pos="1125" w:val="left"/>
        </w:tabs>
        <w:numPr>
          <w:ilvl w:val="0"/>
          <w:numId w:val="364"/>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4" w:right="439" w:bottom="1440" w:gutter="0" w:footer="0" w:header="0"/>
        </w:sectPr>
      </w:pPr>
    </w:p>
    <w:bookmarkStart w:id="385" w:name="page386"/>
    <w:bookmarkEnd w:id="385"/>
    <w:p>
      <w:pPr>
        <w:ind w:left="10" w:right="60" w:hanging="10"/>
        <w:spacing w:after="0" w:line="307" w:lineRule="auto"/>
        <w:tabs>
          <w:tab w:leader="none" w:pos="324" w:val="left"/>
        </w:tabs>
        <w:numPr>
          <w:ilvl w:val="0"/>
          <w:numId w:val="3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35" w:lineRule="exact"/>
        <w:rPr>
          <w:rFonts w:ascii="Arial" w:cs="Arial" w:eastAsia="Arial" w:hAnsi="Arial"/>
          <w:sz w:val="17"/>
          <w:szCs w:val="17"/>
          <w:color w:val="auto"/>
        </w:rPr>
      </w:pPr>
    </w:p>
    <w:p>
      <w:pPr>
        <w:jc w:val="both"/>
        <w:ind w:left="10" w:right="320" w:firstLine="871"/>
        <w:spacing w:after="0" w:line="266" w:lineRule="auto"/>
        <w:tabs>
          <w:tab w:leader="none" w:pos="1145" w:val="left"/>
        </w:tabs>
        <w:numPr>
          <w:ilvl w:val="1"/>
          <w:numId w:val="365"/>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Notice of Stock Option Grant, this Agreement and the Plan constitute the entire contract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color w:val="auto"/>
        </w:rPr>
      </w:pPr>
    </w:p>
    <w:p>
      <w:pPr>
        <w:ind w:left="10" w:right="40" w:firstLine="871"/>
        <w:spacing w:after="0" w:line="281" w:lineRule="auto"/>
        <w:tabs>
          <w:tab w:leader="none" w:pos="1135" w:val="left"/>
        </w:tabs>
        <w:numPr>
          <w:ilvl w:val="1"/>
          <w:numId w:val="365"/>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54" w:lineRule="exact"/>
        <w:rPr>
          <w:rFonts w:ascii="Arial" w:cs="Arial" w:eastAsia="Arial" w:hAnsi="Arial"/>
          <w:sz w:val="18"/>
          <w:szCs w:val="18"/>
          <w:color w:val="auto"/>
        </w:rPr>
      </w:pPr>
    </w:p>
    <w:p>
      <w:pPr>
        <w:ind w:left="10" w:right="140" w:firstLine="871"/>
        <w:spacing w:after="0" w:line="276" w:lineRule="auto"/>
        <w:tabs>
          <w:tab w:leader="none" w:pos="1115" w:val="left"/>
        </w:tabs>
        <w:numPr>
          <w:ilvl w:val="1"/>
          <w:numId w:val="365"/>
        </w:numPr>
        <w:rPr>
          <w:rFonts w:ascii="Arial" w:cs="Arial" w:eastAsia="Arial" w:hAnsi="Arial"/>
          <w:sz w:val="17"/>
          <w:szCs w:val="17"/>
          <w:color w:val="auto"/>
        </w:rPr>
      </w:pPr>
      <w:r>
        <w:rPr>
          <w:rFonts w:ascii="Arial" w:cs="Arial" w:eastAsia="Arial" w:hAnsi="Arial"/>
          <w:sz w:val="17"/>
          <w:szCs w:val="17"/>
          <w:b w:val="1"/>
          <w:bCs w:val="1"/>
          <w:color w:val="auto"/>
        </w:rPr>
        <w:t>[Plan Discretionary</w:t>
      </w:r>
      <w:r>
        <w:rPr>
          <w:rFonts w:ascii="Arial" w:cs="Arial" w:eastAsia="Arial" w:hAnsi="Arial"/>
          <w:sz w:val="17"/>
          <w:szCs w:val="17"/>
          <w:color w:val="auto"/>
        </w:rPr>
        <w:t>. The Optionee understands and acknowledges that (i) the Plan is entirely discretionary, (ii)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63" w:lineRule="exact"/>
        <w:rPr>
          <w:rFonts w:ascii="Arial" w:cs="Arial" w:eastAsia="Arial" w:hAnsi="Arial"/>
          <w:sz w:val="17"/>
          <w:szCs w:val="17"/>
          <w:color w:val="auto"/>
        </w:rPr>
      </w:pPr>
    </w:p>
    <w:p>
      <w:pPr>
        <w:ind w:left="10" w:right="320" w:firstLine="871"/>
        <w:spacing w:after="0" w:line="314" w:lineRule="auto"/>
        <w:tabs>
          <w:tab w:leader="none" w:pos="1145" w:val="left"/>
        </w:tabs>
        <w:numPr>
          <w:ilvl w:val="1"/>
          <w:numId w:val="365"/>
        </w:numPr>
        <w:rPr>
          <w:rFonts w:ascii="Arial" w:cs="Arial" w:eastAsia="Arial" w:hAnsi="Arial"/>
          <w:sz w:val="16"/>
          <w:szCs w:val="16"/>
          <w:color w:val="auto"/>
        </w:rPr>
      </w:pPr>
      <w:r>
        <w:rPr>
          <w:rFonts w:ascii="Arial" w:cs="Arial" w:eastAsia="Arial" w:hAnsi="Arial"/>
          <w:sz w:val="16"/>
          <w:szCs w:val="16"/>
          <w:b w:val="1"/>
          <w:bCs w:val="1"/>
          <w:color w:val="auto"/>
        </w:rPr>
        <w:t>Extraordinary Compensation</w:t>
      </w:r>
      <w:r>
        <w:rPr>
          <w:rFonts w:ascii="Arial" w:cs="Arial" w:eastAsia="Arial" w:hAnsi="Arial"/>
          <w:sz w:val="16"/>
          <w:szCs w:val="16"/>
          <w:color w:val="auto"/>
        </w:rPr>
        <w:t>. The value of this option shall be an extraordinary item of compensation outside the scope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33" w:lineRule="exact"/>
        <w:rPr>
          <w:rFonts w:ascii="Arial" w:cs="Arial" w:eastAsia="Arial" w:hAnsi="Arial"/>
          <w:sz w:val="16"/>
          <w:szCs w:val="16"/>
          <w:color w:val="auto"/>
        </w:rPr>
      </w:pPr>
    </w:p>
    <w:p>
      <w:pPr>
        <w:ind w:left="10" w:right="280" w:firstLine="871"/>
        <w:spacing w:after="0" w:line="281" w:lineRule="auto"/>
        <w:tabs>
          <w:tab w:leader="none" w:pos="1145" w:val="left"/>
        </w:tabs>
        <w:numPr>
          <w:ilvl w:val="1"/>
          <w:numId w:val="365"/>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Optionee understands and acknowledges that participation in the Plan ceases upon termination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Service for any reason, except as may explicitly be provided otherwise in the Plan or this Agreement.</w:t>
      </w:r>
    </w:p>
    <w:p>
      <w:pPr>
        <w:spacing w:after="0" w:line="54" w:lineRule="exact"/>
        <w:rPr>
          <w:rFonts w:ascii="Arial" w:cs="Arial" w:eastAsia="Arial" w:hAnsi="Arial"/>
          <w:sz w:val="18"/>
          <w:szCs w:val="18"/>
          <w:color w:val="auto"/>
        </w:rPr>
      </w:pPr>
    </w:p>
    <w:p>
      <w:pPr>
        <w:ind w:left="10" w:right="80" w:firstLine="871"/>
        <w:spacing w:after="0" w:line="314" w:lineRule="auto"/>
        <w:tabs>
          <w:tab w:leader="none" w:pos="1105" w:val="left"/>
        </w:tabs>
        <w:numPr>
          <w:ilvl w:val="1"/>
          <w:numId w:val="365"/>
        </w:numPr>
        <w:rPr>
          <w:rFonts w:ascii="Arial" w:cs="Arial" w:eastAsia="Arial" w:hAnsi="Arial"/>
          <w:sz w:val="16"/>
          <w:szCs w:val="16"/>
          <w:color w:val="auto"/>
        </w:rPr>
      </w:pPr>
      <w:r>
        <w:rPr>
          <w:rFonts w:ascii="Arial" w:cs="Arial" w:eastAsia="Arial" w:hAnsi="Arial"/>
          <w:sz w:val="16"/>
          <w:szCs w:val="16"/>
          <w:b w:val="1"/>
          <w:bCs w:val="1"/>
          <w:color w:val="auto"/>
        </w:rPr>
        <w:t>Authorization to Disclose</w:t>
      </w:r>
      <w:r>
        <w:rPr>
          <w:rFonts w:ascii="Arial" w:cs="Arial" w:eastAsia="Arial" w:hAnsi="Arial"/>
          <w:sz w:val="16"/>
          <w:szCs w:val="16"/>
          <w:color w:val="auto"/>
        </w:rPr>
        <w:t>. The Optionee hereby authorizes and directs the Optionee’s employer to disclose to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33" w:lineRule="exact"/>
        <w:rPr>
          <w:rFonts w:ascii="Arial" w:cs="Arial" w:eastAsia="Arial" w:hAnsi="Arial"/>
          <w:sz w:val="16"/>
          <w:szCs w:val="16"/>
          <w:color w:val="auto"/>
        </w:rPr>
      </w:pPr>
    </w:p>
    <w:p>
      <w:pPr>
        <w:ind w:left="1090" w:hanging="209"/>
        <w:spacing w:after="0"/>
        <w:tabs>
          <w:tab w:leader="none" w:pos="1090" w:val="left"/>
        </w:tabs>
        <w:numPr>
          <w:ilvl w:val="1"/>
          <w:numId w:val="365"/>
        </w:numPr>
        <w:rPr>
          <w:rFonts w:ascii="Arial" w:cs="Arial" w:eastAsia="Arial" w:hAnsi="Arial"/>
          <w:sz w:val="16"/>
          <w:szCs w:val="16"/>
          <w:color w:val="auto"/>
        </w:rPr>
      </w:pPr>
      <w:r>
        <w:rPr>
          <w:rFonts w:ascii="Arial" w:cs="Arial" w:eastAsia="Arial" w:hAnsi="Arial"/>
          <w:sz w:val="16"/>
          <w:szCs w:val="16"/>
          <w:b w:val="1"/>
          <w:bCs w:val="1"/>
          <w:color w:val="auto"/>
        </w:rPr>
        <w:t>Personal Data Authorization</w:t>
      </w:r>
      <w:r>
        <w:rPr>
          <w:rFonts w:ascii="Arial" w:cs="Arial" w:eastAsia="Arial" w:hAnsi="Arial"/>
          <w:sz w:val="16"/>
          <w:szCs w:val="16"/>
          <w:color w:val="auto"/>
        </w:rPr>
        <w:t>. The Optionee consents to the collection, use and transfer of personal data as described in this Subsection</w:t>
      </w:r>
    </w:p>
    <w:p>
      <w:pPr>
        <w:spacing w:after="0" w:line="50" w:lineRule="exact"/>
        <w:rPr>
          <w:rFonts w:ascii="Arial" w:cs="Arial" w:eastAsia="Arial" w:hAnsi="Arial"/>
          <w:sz w:val="16"/>
          <w:szCs w:val="16"/>
          <w:color w:val="auto"/>
        </w:rPr>
      </w:pPr>
    </w:p>
    <w:p>
      <w:pPr>
        <w:ind w:left="10" w:hanging="10"/>
        <w:spacing w:after="0" w:line="252" w:lineRule="auto"/>
        <w:tabs>
          <w:tab w:leader="none" w:pos="26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“Data”). The Optionee further understands and acknowledges that the</w:t>
      </w:r>
    </w:p>
    <w:p>
      <w:pPr>
        <w:spacing w:after="0" w:line="12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10"/>
          </w:cols>
          <w:pgMar w:left="450" w:top="274" w:right="439" w:bottom="1440" w:gutter="0" w:footer="0" w:header="0"/>
        </w:sectPr>
      </w:pPr>
    </w:p>
    <w:bookmarkStart w:id="386" w:name="page387"/>
    <w:bookmarkEnd w:id="38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(j) by contacting the Human Resources Department of the Company in writing.]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ACKNOWLEDGEMENTS OF THE OPTIONEE.</w:t>
      </w:r>
    </w:p>
    <w:p>
      <w:pPr>
        <w:spacing w:after="0" w:line="117" w:lineRule="exact"/>
        <w:rPr>
          <w:sz w:val="20"/>
          <w:szCs w:val="20"/>
          <w:color w:val="auto"/>
        </w:rPr>
      </w:pPr>
    </w:p>
    <w:p>
      <w:pPr>
        <w:ind w:firstLine="871"/>
        <w:spacing w:after="0" w:line="271" w:lineRule="auto"/>
        <w:tabs>
          <w:tab w:leader="none" w:pos="1125"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Tax Consequences</w:t>
      </w:r>
      <w:r>
        <w:rPr>
          <w:rFonts w:ascii="Arial" w:cs="Arial" w:eastAsia="Arial" w:hAnsi="Arial"/>
          <w:sz w:val="17"/>
          <w:szCs w:val="17"/>
          <w:color w:val="auto"/>
        </w:rPr>
        <w:t>. The Optionee agrees that the Company does not have a duty to design or administer the Plan or its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68" w:lineRule="exact"/>
        <w:rPr>
          <w:rFonts w:ascii="Arial" w:cs="Arial" w:eastAsia="Arial" w:hAnsi="Arial"/>
          <w:sz w:val="17"/>
          <w:szCs w:val="17"/>
          <w:color w:val="auto"/>
        </w:rPr>
      </w:pPr>
    </w:p>
    <w:p>
      <w:pPr>
        <w:ind w:right="80" w:firstLine="871"/>
        <w:spacing w:after="0" w:line="276" w:lineRule="auto"/>
        <w:tabs>
          <w:tab w:leader="none" w:pos="1135" w:val="left"/>
        </w:tabs>
        <w:numPr>
          <w:ilvl w:val="0"/>
          <w:numId w:val="367"/>
        </w:numPr>
        <w:rPr>
          <w:rFonts w:ascii="Arial" w:cs="Arial" w:eastAsia="Arial" w:hAnsi="Arial"/>
          <w:sz w:val="17"/>
          <w:szCs w:val="17"/>
          <w:color w:val="auto"/>
        </w:rPr>
      </w:pPr>
      <w:r>
        <w:rPr>
          <w:rFonts w:ascii="Arial" w:cs="Arial" w:eastAsia="Arial" w:hAnsi="Arial"/>
          <w:sz w:val="17"/>
          <w:szCs w:val="17"/>
          <w:b w:val="1"/>
          <w:bCs w:val="1"/>
          <w:color w:val="auto"/>
        </w:rPr>
        <w:t>Electronic Delivery of Documents</w:t>
      </w:r>
      <w:r>
        <w:rPr>
          <w:rFonts w:ascii="Arial" w:cs="Arial" w:eastAsia="Arial" w:hAnsi="Arial"/>
          <w:sz w:val="17"/>
          <w:szCs w:val="17"/>
          <w:color w:val="auto"/>
        </w:rPr>
        <w:t>. The Optionee agrees that the Company may deliver by email all documents relating to the Plan or</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DEFINITIONS.</w:t>
      </w:r>
    </w:p>
    <w:p>
      <w:pPr>
        <w:spacing w:after="0" w:line="117" w:lineRule="exact"/>
        <w:rPr>
          <w:sz w:val="20"/>
          <w:szCs w:val="20"/>
          <w:color w:val="auto"/>
        </w:rPr>
      </w:pPr>
    </w:p>
    <w:p>
      <w:pPr>
        <w:ind w:left="1120" w:hanging="249"/>
        <w:spacing w:after="0"/>
        <w:tabs>
          <w:tab w:leader="none" w:pos="11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Stock Option Agreement.</w:t>
      </w:r>
    </w:p>
    <w:p>
      <w:pPr>
        <w:spacing w:after="0" w:line="116" w:lineRule="exact"/>
        <w:rPr>
          <w:rFonts w:ascii="Arial" w:cs="Arial" w:eastAsia="Arial" w:hAnsi="Arial"/>
          <w:sz w:val="18"/>
          <w:szCs w:val="18"/>
          <w:color w:val="auto"/>
        </w:rPr>
      </w:pPr>
    </w:p>
    <w:p>
      <w:pPr>
        <w:ind w:right="160" w:firstLine="871"/>
        <w:spacing w:after="0" w:line="281" w:lineRule="auto"/>
        <w:tabs>
          <w:tab w:leader="none" w:pos="113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 as constituted from time to time or, if a Committee has been appointed, such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387" w:name="page388"/>
    <w:bookmarkEnd w:id="387"/>
    <w:p>
      <w:pPr>
        <w:ind w:left="1130" w:hanging="249"/>
        <w:spacing w:after="0"/>
        <w:tabs>
          <w:tab w:leader="none" w:pos="1130" w:val="left"/>
        </w:tabs>
        <w:numPr>
          <w:ilvl w:val="1"/>
          <w:numId w:val="3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Change in Control</w:t>
      </w:r>
      <w:r>
        <w:rPr>
          <w:rFonts w:ascii="Arial" w:cs="Arial" w:eastAsia="Arial" w:hAnsi="Arial"/>
          <w:sz w:val="17"/>
          <w:szCs w:val="17"/>
          <w:color w:val="auto"/>
        </w:rPr>
        <w:t>” shall mean (i) the consummation of a merger or consolidation of the Company with or into another entity or</w:t>
      </w:r>
    </w:p>
    <w:p>
      <w:pPr>
        <w:spacing w:after="0" w:line="38" w:lineRule="exact"/>
        <w:rPr>
          <w:rFonts w:ascii="Arial" w:cs="Arial" w:eastAsia="Arial" w:hAnsi="Arial"/>
          <w:sz w:val="17"/>
          <w:szCs w:val="17"/>
          <w:color w:val="auto"/>
        </w:rPr>
      </w:pPr>
    </w:p>
    <w:p>
      <w:pPr>
        <w:ind w:left="10" w:hanging="10"/>
        <w:spacing w:after="0" w:line="252" w:lineRule="auto"/>
        <w:tabs>
          <w:tab w:leader="none" w:pos="27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2" w:lineRule="exact"/>
        <w:rPr>
          <w:rFonts w:ascii="Arial" w:cs="Arial" w:eastAsia="Arial" w:hAnsi="Arial"/>
          <w:sz w:val="18"/>
          <w:szCs w:val="18"/>
          <w:color w:val="auto"/>
        </w:rPr>
      </w:pPr>
    </w:p>
    <w:p>
      <w:pPr>
        <w:ind w:left="1130" w:hanging="249"/>
        <w:spacing w:after="0"/>
        <w:tabs>
          <w:tab w:leader="none" w:pos="113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6" w:lineRule="exact"/>
        <w:rPr>
          <w:rFonts w:ascii="Arial" w:cs="Arial" w:eastAsia="Arial" w:hAnsi="Arial"/>
          <w:sz w:val="18"/>
          <w:szCs w:val="18"/>
          <w:color w:val="auto"/>
        </w:rPr>
      </w:pPr>
    </w:p>
    <w:p>
      <w:pPr>
        <w:ind w:left="1130" w:hanging="249"/>
        <w:spacing w:after="0"/>
        <w:tabs>
          <w:tab w:leader="none" w:pos="113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 of the Plan.</w:t>
      </w:r>
    </w:p>
    <w:p>
      <w:pPr>
        <w:spacing w:after="0" w:line="116" w:lineRule="exact"/>
        <w:rPr>
          <w:rFonts w:ascii="Arial" w:cs="Arial" w:eastAsia="Arial" w:hAnsi="Arial"/>
          <w:sz w:val="18"/>
          <w:szCs w:val="18"/>
          <w:color w:val="auto"/>
        </w:rPr>
      </w:pPr>
    </w:p>
    <w:p>
      <w:pPr>
        <w:ind w:left="1110" w:hanging="229"/>
        <w:spacing w:after="0"/>
        <w:tabs>
          <w:tab w:leader="none" w:pos="111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SI-BONE, Inc., a Delaware corporation.</w:t>
      </w:r>
    </w:p>
    <w:p>
      <w:pPr>
        <w:spacing w:after="0" w:line="116" w:lineRule="exact"/>
        <w:rPr>
          <w:rFonts w:ascii="Arial" w:cs="Arial" w:eastAsia="Arial" w:hAnsi="Arial"/>
          <w:sz w:val="18"/>
          <w:szCs w:val="18"/>
          <w:color w:val="auto"/>
        </w:rPr>
      </w:pPr>
    </w:p>
    <w:p>
      <w:pPr>
        <w:ind w:left="10" w:right="20" w:firstLine="871"/>
        <w:spacing w:after="0" w:line="281" w:lineRule="auto"/>
        <w:tabs>
          <w:tab w:leader="none" w:pos="114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 excluding Employees and Outside Directors.</w:t>
      </w:r>
    </w:p>
    <w:p>
      <w:pPr>
        <w:spacing w:after="0" w:line="54" w:lineRule="exact"/>
        <w:rPr>
          <w:rFonts w:ascii="Arial" w:cs="Arial" w:eastAsia="Arial" w:hAnsi="Arial"/>
          <w:sz w:val="18"/>
          <w:szCs w:val="18"/>
          <w:color w:val="auto"/>
        </w:rPr>
      </w:pPr>
    </w:p>
    <w:p>
      <w:pPr>
        <w:ind w:left="10" w:right="160" w:firstLine="871"/>
        <w:spacing w:after="0" w:line="281" w:lineRule="auto"/>
        <w:tabs>
          <w:tab w:leader="none" w:pos="114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54" w:lineRule="exact"/>
        <w:rPr>
          <w:rFonts w:ascii="Arial" w:cs="Arial" w:eastAsia="Arial" w:hAnsi="Arial"/>
          <w:sz w:val="18"/>
          <w:szCs w:val="18"/>
          <w:color w:val="auto"/>
        </w:rPr>
      </w:pPr>
    </w:p>
    <w:p>
      <w:pPr>
        <w:ind w:left="10" w:right="40" w:firstLine="871"/>
        <w:spacing w:after="0" w:line="281" w:lineRule="auto"/>
        <w:tabs>
          <w:tab w:leader="none" w:pos="110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that the Optionee is unable to engage in any substantial gainful activity by reason of any medically determinable physical or mental impairment.</w:t>
      </w:r>
    </w:p>
    <w:p>
      <w:pPr>
        <w:spacing w:after="0" w:line="54" w:lineRule="exact"/>
        <w:rPr>
          <w:rFonts w:ascii="Arial" w:cs="Arial" w:eastAsia="Arial" w:hAnsi="Arial"/>
          <w:sz w:val="18"/>
          <w:szCs w:val="18"/>
          <w:color w:val="auto"/>
        </w:rPr>
      </w:pPr>
    </w:p>
    <w:p>
      <w:pPr>
        <w:ind w:left="1090" w:hanging="209"/>
        <w:spacing w:after="0"/>
        <w:tabs>
          <w:tab w:leader="none" w:pos="109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6" w:lineRule="exact"/>
        <w:rPr>
          <w:rFonts w:ascii="Arial" w:cs="Arial" w:eastAsia="Arial" w:hAnsi="Arial"/>
          <w:sz w:val="18"/>
          <w:szCs w:val="18"/>
          <w:color w:val="auto"/>
        </w:rPr>
      </w:pPr>
    </w:p>
    <w:p>
      <w:pPr>
        <w:ind w:left="10" w:right="140" w:firstLine="871"/>
        <w:spacing w:after="0" w:line="281" w:lineRule="auto"/>
        <w:tabs>
          <w:tab w:leader="none" w:pos="114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this option, as specified in the Notice of Stock Option Grant.</w:t>
      </w:r>
    </w:p>
    <w:p>
      <w:pPr>
        <w:spacing w:after="0" w:line="54" w:lineRule="exact"/>
        <w:rPr>
          <w:rFonts w:ascii="Arial" w:cs="Arial" w:eastAsia="Arial" w:hAnsi="Arial"/>
          <w:sz w:val="18"/>
          <w:szCs w:val="18"/>
          <w:color w:val="auto"/>
        </w:rPr>
      </w:pPr>
    </w:p>
    <w:p>
      <w:pPr>
        <w:ind w:left="10" w:right="780" w:firstLine="871"/>
        <w:spacing w:after="0" w:line="281" w:lineRule="auto"/>
        <w:tabs>
          <w:tab w:leader="none" w:pos="110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good faith. Such determination shall be conclusive and binding on all persons.</w:t>
      </w:r>
    </w:p>
    <w:p>
      <w:pPr>
        <w:spacing w:after="0" w:line="54" w:lineRule="exact"/>
        <w:rPr>
          <w:rFonts w:ascii="Arial" w:cs="Arial" w:eastAsia="Arial" w:hAnsi="Arial"/>
          <w:sz w:val="18"/>
          <w:szCs w:val="18"/>
          <w:color w:val="auto"/>
        </w:rPr>
      </w:pPr>
    </w:p>
    <w:p>
      <w:pPr>
        <w:ind w:left="10" w:right="480" w:firstLine="871"/>
        <w:spacing w:after="0" w:line="281" w:lineRule="auto"/>
        <w:tabs>
          <w:tab w:leader="none" w:pos="119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54" w:lineRule="exact"/>
        <w:rPr>
          <w:rFonts w:ascii="Arial" w:cs="Arial" w:eastAsia="Arial" w:hAnsi="Arial"/>
          <w:sz w:val="18"/>
          <w:szCs w:val="18"/>
          <w:color w:val="auto"/>
        </w:rPr>
      </w:pPr>
    </w:p>
    <w:p>
      <w:pPr>
        <w:ind w:left="1130" w:hanging="249"/>
        <w:spacing w:after="0"/>
        <w:tabs>
          <w:tab w:leader="none" w:pos="113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16" w:lineRule="exact"/>
        <w:rPr>
          <w:rFonts w:ascii="Arial" w:cs="Arial" w:eastAsia="Arial" w:hAnsi="Arial"/>
          <w:sz w:val="18"/>
          <w:szCs w:val="18"/>
          <w:color w:val="auto"/>
        </w:rPr>
      </w:pPr>
    </w:p>
    <w:p>
      <w:pPr>
        <w:ind w:left="1130" w:hanging="249"/>
        <w:spacing w:after="0"/>
        <w:tabs>
          <w:tab w:leader="none" w:pos="113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Stock Option Grant</w:t>
      </w:r>
      <w:r>
        <w:rPr>
          <w:rFonts w:ascii="Arial" w:cs="Arial" w:eastAsia="Arial" w:hAnsi="Arial"/>
          <w:sz w:val="18"/>
          <w:szCs w:val="18"/>
          <w:color w:val="auto"/>
        </w:rPr>
        <w:t>” shall mean the document so entitled to which this Agreement is attached.</w:t>
      </w:r>
    </w:p>
    <w:p>
      <w:pPr>
        <w:spacing w:after="0" w:line="161"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0"/>
          </w:cols>
          <w:pgMar w:left="450" w:top="269" w:right="459" w:bottom="1440" w:gutter="0" w:footer="0" w:header="0"/>
        </w:sectPr>
      </w:pPr>
    </w:p>
    <w:bookmarkStart w:id="388" w:name="page389"/>
    <w:bookmarkEnd w:id="388"/>
    <w:p>
      <w:pPr>
        <w:ind w:left="1100" w:hanging="249"/>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NSO</w:t>
      </w:r>
      <w:r>
        <w:rPr>
          <w:rFonts w:ascii="Arial" w:cs="Arial" w:eastAsia="Arial" w:hAnsi="Arial"/>
          <w:sz w:val="18"/>
          <w:szCs w:val="18"/>
          <w:color w:val="auto"/>
        </w:rPr>
        <w:t>” shall mean a stock option not described in Sections 422(b) or 423(b) of the Code.</w:t>
      </w:r>
    </w:p>
    <w:p>
      <w:pPr>
        <w:spacing w:after="0" w:line="116" w:lineRule="exact"/>
        <w:rPr>
          <w:rFonts w:ascii="Arial" w:cs="Arial" w:eastAsia="Arial" w:hAnsi="Arial"/>
          <w:sz w:val="18"/>
          <w:szCs w:val="18"/>
          <w:color w:val="auto"/>
        </w:rPr>
      </w:pPr>
    </w:p>
    <w:p>
      <w:pPr>
        <w:ind w:left="1100" w:hanging="249"/>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shall mean the person named in the Notice of Stock Option Grant.</w:t>
      </w:r>
    </w:p>
    <w:p>
      <w:pPr>
        <w:spacing w:after="0" w:line="116" w:lineRule="exact"/>
        <w:rPr>
          <w:rFonts w:ascii="Arial" w:cs="Arial" w:eastAsia="Arial" w:hAnsi="Arial"/>
          <w:sz w:val="18"/>
          <w:szCs w:val="18"/>
          <w:color w:val="auto"/>
        </w:rPr>
      </w:pPr>
    </w:p>
    <w:p>
      <w:pPr>
        <w:ind w:left="1080" w:hanging="229"/>
        <w:spacing w:after="0"/>
        <w:tabs>
          <w:tab w:leader="none" w:pos="10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6" w:lineRule="exact"/>
        <w:rPr>
          <w:rFonts w:ascii="Arial" w:cs="Arial" w:eastAsia="Arial" w:hAnsi="Arial"/>
          <w:sz w:val="18"/>
          <w:szCs w:val="18"/>
          <w:color w:val="auto"/>
        </w:rPr>
      </w:pPr>
    </w:p>
    <w:p>
      <w:pPr>
        <w:jc w:val="both"/>
        <w:ind w:left="-20" w:right="80" w:firstLine="871"/>
        <w:spacing w:after="0" w:line="266" w:lineRule="auto"/>
        <w:tabs>
          <w:tab w:leader="none" w:pos="109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color w:val="auto"/>
        </w:rPr>
      </w:pPr>
    </w:p>
    <w:p>
      <w:pPr>
        <w:ind w:left="1060" w:hanging="209"/>
        <w:spacing w:after="0"/>
        <w:tabs>
          <w:tab w:leader="none" w:pos="10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the SI-BONE, Inc. 2008 Stock Plan, as in effect on the Date of Grant.</w:t>
      </w:r>
    </w:p>
    <w:p>
      <w:pPr>
        <w:spacing w:after="0" w:line="116" w:lineRule="exact"/>
        <w:rPr>
          <w:rFonts w:ascii="Arial" w:cs="Arial" w:eastAsia="Arial" w:hAnsi="Arial"/>
          <w:sz w:val="18"/>
          <w:szCs w:val="18"/>
          <w:color w:val="auto"/>
        </w:rPr>
      </w:pPr>
    </w:p>
    <w:p>
      <w:pPr>
        <w:ind w:left="1100" w:hanging="249"/>
        <w:spacing w:after="0"/>
        <w:tabs>
          <w:tab w:leader="none" w:pos="11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shall mean the Exercise Price multiplied by the number of Shares with respect to which this option is being exercised.</w:t>
      </w:r>
    </w:p>
    <w:p>
      <w:pPr>
        <w:spacing w:after="0" w:line="139" w:lineRule="exact"/>
        <w:rPr>
          <w:rFonts w:ascii="Arial" w:cs="Arial" w:eastAsia="Arial" w:hAnsi="Arial"/>
          <w:sz w:val="16"/>
          <w:szCs w:val="16"/>
          <w:color w:val="auto"/>
        </w:rPr>
      </w:pPr>
    </w:p>
    <w:p>
      <w:pPr>
        <w:ind w:left="-20" w:right="120" w:firstLine="871"/>
        <w:spacing w:after="0" w:line="281" w:lineRule="auto"/>
        <w:tabs>
          <w:tab w:leader="none" w:pos="111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Period</w:t>
      </w:r>
      <w:r>
        <w:rPr>
          <w:rFonts w:ascii="Arial" w:cs="Arial" w:eastAsia="Arial" w:hAnsi="Arial"/>
          <w:sz w:val="18"/>
          <w:szCs w:val="18"/>
          <w:color w:val="auto"/>
        </w:rPr>
        <w:t>” shall mean a period of 90 consecutive days commencing on the date when the Optionee’s Service terminates for any reason, including (without limitation) death or disability.</w:t>
      </w:r>
    </w:p>
    <w:p>
      <w:pPr>
        <w:spacing w:after="0" w:line="54" w:lineRule="exact"/>
        <w:rPr>
          <w:rFonts w:ascii="Arial" w:cs="Arial" w:eastAsia="Arial" w:hAnsi="Arial"/>
          <w:sz w:val="18"/>
          <w:szCs w:val="18"/>
          <w:color w:val="auto"/>
        </w:rPr>
      </w:pPr>
    </w:p>
    <w:p>
      <w:pPr>
        <w:ind w:left="1140" w:hanging="289"/>
        <w:spacing w:after="0"/>
        <w:tabs>
          <w:tab w:leader="none" w:pos="11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shall mean a Share that is subject to the Right of Repurchase.</w:t>
      </w:r>
    </w:p>
    <w:p>
      <w:pPr>
        <w:spacing w:after="0" w:line="116" w:lineRule="exact"/>
        <w:rPr>
          <w:rFonts w:ascii="Arial" w:cs="Arial" w:eastAsia="Arial" w:hAnsi="Arial"/>
          <w:sz w:val="18"/>
          <w:szCs w:val="18"/>
          <w:color w:val="auto"/>
        </w:rPr>
      </w:pPr>
    </w:p>
    <w:p>
      <w:pPr>
        <w:ind w:left="1100" w:hanging="249"/>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w:t>
      </w:r>
      <w:r>
        <w:rPr>
          <w:rFonts w:ascii="Arial" w:cs="Arial" w:eastAsia="Arial" w:hAnsi="Arial"/>
          <w:sz w:val="18"/>
          <w:szCs w:val="18"/>
          <w:color w:val="auto"/>
        </w:rPr>
        <w:t>” shall mean the Company’s right of first refusal described in Section 8.</w:t>
      </w:r>
    </w:p>
    <w:p>
      <w:pPr>
        <w:spacing w:after="0" w:line="116" w:lineRule="exact"/>
        <w:rPr>
          <w:rFonts w:ascii="Arial" w:cs="Arial" w:eastAsia="Arial" w:hAnsi="Arial"/>
          <w:sz w:val="18"/>
          <w:szCs w:val="18"/>
          <w:color w:val="auto"/>
        </w:rPr>
      </w:pPr>
    </w:p>
    <w:p>
      <w:pPr>
        <w:ind w:left="1100" w:hanging="249"/>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Repurchase</w:t>
      </w:r>
      <w:r>
        <w:rPr>
          <w:rFonts w:ascii="Arial" w:cs="Arial" w:eastAsia="Arial" w:hAnsi="Arial"/>
          <w:sz w:val="18"/>
          <w:szCs w:val="18"/>
          <w:color w:val="auto"/>
        </w:rPr>
        <w:t>” shall mean the Company’s right of repurchase described in Section 7.</w:t>
      </w:r>
    </w:p>
    <w:p>
      <w:pPr>
        <w:spacing w:after="0" w:line="116" w:lineRule="exact"/>
        <w:rPr>
          <w:rFonts w:ascii="Arial" w:cs="Arial" w:eastAsia="Arial" w:hAnsi="Arial"/>
          <w:sz w:val="18"/>
          <w:szCs w:val="18"/>
          <w:color w:val="auto"/>
        </w:rPr>
      </w:pPr>
    </w:p>
    <w:p>
      <w:pPr>
        <w:ind w:left="1100" w:hanging="249"/>
        <w:spacing w:after="0"/>
        <w:tabs>
          <w:tab w:leader="none" w:pos="11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17" w:lineRule="exact"/>
        <w:rPr>
          <w:sz w:val="20"/>
          <w:szCs w:val="20"/>
          <w:color w:val="auto"/>
        </w:rPr>
      </w:pPr>
    </w:p>
    <w:p>
      <w:pPr>
        <w:ind w:left="1180" w:hanging="329"/>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6" w:lineRule="exact"/>
        <w:rPr>
          <w:rFonts w:ascii="Arial" w:cs="Arial" w:eastAsia="Arial" w:hAnsi="Arial"/>
          <w:sz w:val="18"/>
          <w:szCs w:val="18"/>
          <w:color w:val="auto"/>
        </w:rPr>
      </w:pPr>
    </w:p>
    <w:p>
      <w:pPr>
        <w:ind w:left="1200" w:hanging="349"/>
        <w:spacing w:after="0"/>
        <w:tabs>
          <w:tab w:leader="none" w:pos="12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8 of the Plan (if applicable).</w:t>
      </w:r>
    </w:p>
    <w:p>
      <w:pPr>
        <w:spacing w:after="0" w:line="116" w:lineRule="exact"/>
        <w:rPr>
          <w:rFonts w:ascii="Arial" w:cs="Arial" w:eastAsia="Arial" w:hAnsi="Arial"/>
          <w:sz w:val="18"/>
          <w:szCs w:val="18"/>
          <w:color w:val="auto"/>
        </w:rPr>
      </w:pPr>
    </w:p>
    <w:p>
      <w:pPr>
        <w:ind w:left="1180" w:hanging="329"/>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shall mean the Series 1 Common Stock of the Company.</w:t>
      </w:r>
    </w:p>
    <w:p>
      <w:pPr>
        <w:spacing w:after="0" w:line="116" w:lineRule="exact"/>
        <w:rPr>
          <w:rFonts w:ascii="Arial" w:cs="Arial" w:eastAsia="Arial" w:hAnsi="Arial"/>
          <w:sz w:val="18"/>
          <w:szCs w:val="18"/>
          <w:color w:val="auto"/>
        </w:rPr>
      </w:pPr>
    </w:p>
    <w:p>
      <w:pPr>
        <w:jc w:val="both"/>
        <w:ind w:left="-20" w:firstLine="871"/>
        <w:spacing w:after="0" w:line="266" w:lineRule="auto"/>
        <w:tabs>
          <w:tab w:leader="none" w:pos="120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80" w:top="270" w:right="479" w:bottom="1440" w:gutter="0" w:footer="0" w:header="0"/>
        </w:sectPr>
      </w:pPr>
    </w:p>
    <w:bookmarkStart w:id="389" w:name="page390"/>
    <w:bookmarkEnd w:id="389"/>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(ee) “</w:t>
      </w:r>
      <w:r>
        <w:rPr>
          <w:rFonts w:ascii="Arial" w:cs="Arial" w:eastAsia="Arial" w:hAnsi="Arial"/>
          <w:sz w:val="16"/>
          <w:szCs w:val="16"/>
          <w:b w:val="1"/>
          <w:bCs w:val="1"/>
          <w:color w:val="auto"/>
        </w:rPr>
        <w:t>Transferee</w:t>
      </w:r>
      <w:r>
        <w:rPr>
          <w:rFonts w:ascii="Arial" w:cs="Arial" w:eastAsia="Arial" w:hAnsi="Arial"/>
          <w:sz w:val="16"/>
          <w:szCs w:val="16"/>
          <w:color w:val="auto"/>
        </w:rPr>
        <w:t>” shall mean any person to whom the Optionee has directly or indirectly transferred any Share acquired under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8" w:lineRule="exact"/>
        <w:rPr>
          <w:sz w:val="20"/>
          <w:szCs w:val="20"/>
          <w:color w:val="auto"/>
        </w:rPr>
      </w:pPr>
    </w:p>
    <w:p>
      <w:pPr>
        <w:ind w:left="5400" w:right="2180" w:hanging="4529"/>
        <w:spacing w:after="0" w:line="453" w:lineRule="auto"/>
        <w:tabs>
          <w:tab w:leader="none" w:pos="114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shall mean the notice of a proposed transfer of Shares described in Section 8. 15</w:t>
      </w:r>
    </w:p>
    <w:p>
      <w:pPr>
        <w:sectPr>
          <w:pgSz w:w="11900" w:h="16838" w:orient="portrait"/>
          <w:cols w:equalWidth="0" w:num="1">
            <w:col w:w="10280"/>
          </w:cols>
          <w:pgMar w:left="460" w:top="269" w:right="115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left="333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26, 2018</w:t>
      </w:r>
    </w:p>
    <w:p>
      <w:pPr>
        <w:spacing w:after="0" w:line="27" w:lineRule="exact"/>
        <w:rPr>
          <w:sz w:val="20"/>
          <w:szCs w:val="20"/>
          <w:color w:val="auto"/>
        </w:rPr>
      </w:pPr>
    </w:p>
    <w:p>
      <w:pPr>
        <w:ind w:left="339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4, 2018</w:t>
      </w:r>
    </w:p>
    <w:p>
      <w:pPr>
        <w:spacing w:after="0" w:line="9" w:lineRule="exact"/>
        <w:rPr>
          <w:sz w:val="20"/>
          <w:szCs w:val="20"/>
          <w:color w:val="auto"/>
        </w:rPr>
      </w:pPr>
    </w:p>
    <w:tbl>
      <w:tblPr>
        <w:tblLayout w:type="fixed"/>
        <w:tblInd w:w="413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pacing w:after="0" w:line="179" w:lineRule="exact"/>
        <w:rPr>
          <w:sz w:val="20"/>
          <w:szCs w:val="20"/>
          <w:color w:val="auto"/>
        </w:rPr>
      </w:pPr>
    </w:p>
    <w:p>
      <w:pPr>
        <w:ind w:left="310" w:hanging="310"/>
        <w:spacing w:after="0"/>
        <w:tabs>
          <w:tab w:leader="none" w:pos="31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60" w:firstLine="430"/>
        <w:spacing w:after="0" w:line="260" w:lineRule="auto"/>
        <w:tabs>
          <w:tab w:leader="none" w:pos="839" w:val="left"/>
        </w:tabs>
        <w:numPr>
          <w:ilvl w:val="1"/>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and Plan Purposes. </w:t>
      </w:r>
      <w:r>
        <w:rPr>
          <w:rFonts w:ascii="Arial" w:cs="Arial" w:eastAsia="Arial" w:hAnsi="Arial"/>
          <w:sz w:val="18"/>
          <w:szCs w:val="18"/>
          <w:color w:val="auto"/>
        </w:rPr>
        <w:t>Employees, Directors and Consultants are eligible to receive Awards under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means of the Plan, seeks to secure and retain the services of such persons, to provide incentives for such persons to exert maximum efforts for the success of the Company and any Affiliate and to provide a means by which such eligible recipients may be given an opportunity to benefit from increases in value of the Common Stock through the granting of Awards.</w:t>
      </w:r>
    </w:p>
    <w:p>
      <w:pPr>
        <w:spacing w:after="0" w:line="182" w:lineRule="exact"/>
        <w:rPr>
          <w:rFonts w:ascii="Arial" w:cs="Arial" w:eastAsia="Arial" w:hAnsi="Arial"/>
          <w:sz w:val="18"/>
          <w:szCs w:val="18"/>
          <w:b w:val="1"/>
          <w:bCs w:val="1"/>
          <w:color w:val="auto"/>
        </w:rPr>
      </w:pPr>
    </w:p>
    <w:p>
      <w:pPr>
        <w:ind w:left="10" w:right="280" w:firstLine="430"/>
        <w:spacing w:after="0" w:line="276" w:lineRule="auto"/>
        <w:tabs>
          <w:tab w:leader="none" w:pos="849" w:val="left"/>
        </w:tabs>
        <w:numPr>
          <w:ilvl w:val="1"/>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types of Awards: (i) Incentive Stock Options, (ii) Nonstatutory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(iii) Stock Appreciation Rights (iv) Restricted Stock Awards, (v) Restricted Stock Unit Awards, (vi) Performance Stock Awards,</w:t>
      </w:r>
    </w:p>
    <w:p>
      <w:pPr>
        <w:ind w:left="10"/>
        <w:spacing w:after="0"/>
        <w:rPr>
          <w:rFonts w:ascii="Arial" w:cs="Arial" w:eastAsia="Arial" w:hAnsi="Arial"/>
          <w:sz w:val="17"/>
          <w:szCs w:val="17"/>
          <w:b w:val="1"/>
          <w:bCs w:val="1"/>
          <w:color w:val="auto"/>
        </w:rPr>
      </w:pPr>
      <w:r>
        <w:rPr>
          <w:rFonts w:ascii="Arial" w:cs="Arial" w:eastAsia="Arial" w:hAnsi="Arial"/>
          <w:sz w:val="18"/>
          <w:szCs w:val="18"/>
          <w:color w:val="auto"/>
        </w:rPr>
        <w:t>(vii) Performance Cash Awards, and (viii) Other Stock Awards.</w:t>
      </w:r>
    </w:p>
    <w:p>
      <w:pPr>
        <w:spacing w:after="0" w:line="314" w:lineRule="exact"/>
        <w:rPr>
          <w:rFonts w:ascii="Arial" w:cs="Arial" w:eastAsia="Arial" w:hAnsi="Arial"/>
          <w:sz w:val="17"/>
          <w:szCs w:val="17"/>
          <w:b w:val="1"/>
          <w:bCs w:val="1"/>
          <w:color w:val="auto"/>
        </w:rPr>
      </w:pPr>
    </w:p>
    <w:p>
      <w:pPr>
        <w:ind w:left="310" w:hanging="310"/>
        <w:spacing w:after="0"/>
        <w:tabs>
          <w:tab w:leader="none" w:pos="31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520" w:firstLine="430"/>
        <w:spacing w:after="0" w:line="281" w:lineRule="auto"/>
        <w:tabs>
          <w:tab w:leader="none" w:pos="839" w:val="left"/>
        </w:tabs>
        <w:numPr>
          <w:ilvl w:val="1"/>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2" w:lineRule="exact"/>
        <w:rPr>
          <w:rFonts w:ascii="Arial" w:cs="Arial" w:eastAsia="Arial" w:hAnsi="Arial"/>
          <w:sz w:val="18"/>
          <w:szCs w:val="18"/>
          <w:b w:val="1"/>
          <w:bCs w:val="1"/>
          <w:color w:val="auto"/>
        </w:rPr>
      </w:pPr>
    </w:p>
    <w:p>
      <w:pPr>
        <w:ind w:left="830" w:hanging="390"/>
        <w:spacing w:after="0"/>
        <w:tabs>
          <w:tab w:leader="none" w:pos="830" w:val="left"/>
        </w:tabs>
        <w:numPr>
          <w:ilvl w:val="1"/>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8" w:lineRule="exact"/>
        <w:rPr>
          <w:rFonts w:ascii="Arial" w:cs="Arial" w:eastAsia="Arial" w:hAnsi="Arial"/>
          <w:sz w:val="18"/>
          <w:szCs w:val="18"/>
          <w:b w:val="1"/>
          <w:bCs w:val="1"/>
          <w:color w:val="auto"/>
        </w:rPr>
      </w:pPr>
    </w:p>
    <w:p>
      <w:pPr>
        <w:ind w:left="1230" w:hanging="349"/>
        <w:spacing w:after="0"/>
        <w:tabs>
          <w:tab w:leader="none" w:pos="1230" w:val="left"/>
        </w:tabs>
        <w:numPr>
          <w:ilvl w:val="2"/>
          <w:numId w:val="374"/>
        </w:numPr>
        <w:rPr>
          <w:rFonts w:ascii="Arial" w:cs="Arial" w:eastAsia="Arial" w:hAnsi="Arial"/>
          <w:sz w:val="16"/>
          <w:szCs w:val="16"/>
          <w:b w:val="1"/>
          <w:bCs w:val="1"/>
          <w:color w:val="auto"/>
        </w:rPr>
      </w:pPr>
      <w:r>
        <w:rPr>
          <w:rFonts w:ascii="Arial" w:cs="Arial" w:eastAsia="Arial" w:hAnsi="Arial"/>
          <w:sz w:val="16"/>
          <w:szCs w:val="16"/>
          <w:color w:val="auto"/>
        </w:rPr>
        <w:t>To determine (A) which of the persons eligible under the Plan will be granted Awards; (B) when and how each Award will be granted;</w:t>
      </w:r>
    </w:p>
    <w:p>
      <w:pPr>
        <w:spacing w:after="0" w:line="46" w:lineRule="exact"/>
        <w:rPr>
          <w:rFonts w:ascii="Arial" w:cs="Arial" w:eastAsia="Arial" w:hAnsi="Arial"/>
          <w:sz w:val="16"/>
          <w:szCs w:val="16"/>
          <w:b w:val="1"/>
          <w:bCs w:val="1"/>
          <w:color w:val="auto"/>
        </w:rPr>
      </w:pPr>
    </w:p>
    <w:p>
      <w:pPr>
        <w:jc w:val="both"/>
        <w:ind w:left="10" w:right="2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9" w:lineRule="exact"/>
        <w:rPr>
          <w:rFonts w:ascii="Arial" w:cs="Arial" w:eastAsia="Arial" w:hAnsi="Arial"/>
          <w:sz w:val="16"/>
          <w:szCs w:val="16"/>
          <w:b w:val="1"/>
          <w:bCs w:val="1"/>
          <w:color w:val="auto"/>
        </w:rPr>
      </w:pPr>
    </w:p>
    <w:p>
      <w:pPr>
        <w:ind w:left="10" w:right="160" w:firstLine="871"/>
        <w:spacing w:after="0" w:line="259" w:lineRule="auto"/>
        <w:tabs>
          <w:tab w:leader="none" w:pos="1286" w:val="left"/>
        </w:tabs>
        <w:numPr>
          <w:ilvl w:val="2"/>
          <w:numId w:val="37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5" w:lineRule="exact"/>
        <w:rPr>
          <w:rFonts w:ascii="Arial" w:cs="Arial" w:eastAsia="Arial" w:hAnsi="Arial"/>
          <w:sz w:val="18"/>
          <w:szCs w:val="18"/>
          <w:b w:val="1"/>
          <w:bCs w:val="1"/>
          <w:color w:val="auto"/>
        </w:rPr>
      </w:pPr>
    </w:p>
    <w:p>
      <w:pPr>
        <w:ind w:left="1330" w:hanging="449"/>
        <w:spacing w:after="0"/>
        <w:tabs>
          <w:tab w:leader="none" w:pos="1330" w:val="left"/>
        </w:tabs>
        <w:numPr>
          <w:ilvl w:val="2"/>
          <w:numId w:val="37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4" w:lineRule="exact"/>
        <w:rPr>
          <w:rFonts w:ascii="Arial" w:cs="Arial" w:eastAsia="Arial" w:hAnsi="Arial"/>
          <w:sz w:val="18"/>
          <w:szCs w:val="18"/>
          <w:b w:val="1"/>
          <w:bCs w:val="1"/>
          <w:color w:val="auto"/>
        </w:rPr>
      </w:pPr>
    </w:p>
    <w:p>
      <w:pPr>
        <w:ind w:left="10" w:right="460" w:firstLine="871"/>
        <w:spacing w:after="0" w:line="341" w:lineRule="auto"/>
        <w:tabs>
          <w:tab w:leader="none" w:pos="1326" w:val="left"/>
        </w:tabs>
        <w:numPr>
          <w:ilvl w:val="2"/>
          <w:numId w:val="374"/>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1" w:right="439" w:bottom="1440" w:gutter="0" w:footer="0" w:header="0"/>
        </w:sectPr>
      </w:pPr>
    </w:p>
    <w:bookmarkStart w:id="391" w:name="page392"/>
    <w:bookmarkEnd w:id="391"/>
    <w:p>
      <w:pPr>
        <w:ind w:left="10" w:right="60" w:firstLine="871"/>
        <w:spacing w:after="0" w:line="259" w:lineRule="auto"/>
        <w:tabs>
          <w:tab w:leader="none" w:pos="1276"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prohibit the exercise of any Option, SAR or other exercisable Award during a period of up to thirty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5" w:lineRule="exact"/>
        <w:rPr>
          <w:rFonts w:ascii="Arial" w:cs="Arial" w:eastAsia="Arial" w:hAnsi="Arial"/>
          <w:sz w:val="18"/>
          <w:szCs w:val="18"/>
          <w:b w:val="1"/>
          <w:bCs w:val="1"/>
          <w:color w:val="auto"/>
        </w:rPr>
      </w:pPr>
    </w:p>
    <w:p>
      <w:pPr>
        <w:jc w:val="both"/>
        <w:ind w:left="10" w:right="580" w:firstLine="871"/>
        <w:spacing w:after="0" w:line="263" w:lineRule="auto"/>
        <w:tabs>
          <w:tab w:leader="none" w:pos="1326"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impair a Participant’s rights under his or her then-outstanding Award without his or her written consent except as provided in subsection (viii) below.</w:t>
      </w:r>
    </w:p>
    <w:p>
      <w:pPr>
        <w:spacing w:after="0" w:line="182" w:lineRule="exact"/>
        <w:rPr>
          <w:rFonts w:ascii="Arial" w:cs="Arial" w:eastAsia="Arial" w:hAnsi="Arial"/>
          <w:sz w:val="18"/>
          <w:szCs w:val="18"/>
          <w:b w:val="1"/>
          <w:bCs w:val="1"/>
          <w:color w:val="auto"/>
        </w:rPr>
      </w:pPr>
    </w:p>
    <w:p>
      <w:pPr>
        <w:ind w:left="10" w:right="20" w:firstLine="871"/>
        <w:spacing w:after="0" w:line="284" w:lineRule="auto"/>
        <w:tabs>
          <w:tab w:leader="none" w:pos="1376" w:val="left"/>
        </w:tabs>
        <w:numPr>
          <w:ilvl w:val="1"/>
          <w:numId w:val="375"/>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10(a)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w:t>
      </w:r>
    </w:p>
    <w:p>
      <w:pPr>
        <w:spacing w:after="0" w:line="1" w:lineRule="exact"/>
        <w:rPr>
          <w:rFonts w:ascii="Arial" w:cs="Arial" w:eastAsia="Arial" w:hAnsi="Arial"/>
          <w:sz w:val="16"/>
          <w:szCs w:val="16"/>
          <w:b w:val="1"/>
          <w:bCs w:val="1"/>
          <w:color w:val="auto"/>
        </w:rPr>
      </w:pPr>
    </w:p>
    <w:p>
      <w:pPr>
        <w:ind w:left="10" w:right="280" w:hanging="10"/>
        <w:spacing w:after="0" w:line="281" w:lineRule="auto"/>
        <w:tabs>
          <w:tab w:leader="none" w:pos="30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materially reduces the price at which shares of Common Stock may be issued or purchased under the Plan, (E) materially extends the term of the Plan, or (F) materially expands the types of Awards available for issuance under the Plan. Except as provided in the Plan (including subsection</w:t>
      </w:r>
    </w:p>
    <w:p>
      <w:pPr>
        <w:ind w:left="10" w:right="140"/>
        <w:spacing w:after="0" w:line="260" w:lineRule="auto"/>
        <w:rPr>
          <w:rFonts w:ascii="Arial" w:cs="Arial" w:eastAsia="Arial" w:hAnsi="Arial"/>
          <w:sz w:val="16"/>
          <w:szCs w:val="16"/>
          <w:color w:val="auto"/>
        </w:rPr>
      </w:pPr>
      <w:r>
        <w:rPr>
          <w:rFonts w:ascii="Arial" w:cs="Arial" w:eastAsia="Arial" w:hAnsi="Arial"/>
          <w:sz w:val="18"/>
          <w:szCs w:val="18"/>
          <w:color w:val="auto"/>
        </w:rPr>
        <w:t>(viii) below) or an Award Agreement, no amendment of the Plan will impair a Participant’s rights under an outstanding Award unless (1) the Company requests the consent of the affected Participant, and (2) such Participant consents in writing.</w:t>
      </w:r>
    </w:p>
    <w:p>
      <w:pPr>
        <w:spacing w:after="0" w:line="184" w:lineRule="exact"/>
        <w:rPr>
          <w:rFonts w:ascii="Arial" w:cs="Arial" w:eastAsia="Arial" w:hAnsi="Arial"/>
          <w:sz w:val="16"/>
          <w:szCs w:val="16"/>
          <w:color w:val="auto"/>
        </w:rPr>
      </w:pPr>
    </w:p>
    <w:p>
      <w:pPr>
        <w:ind w:left="1410" w:hanging="529"/>
        <w:spacing w:after="0"/>
        <w:tabs>
          <w:tab w:leader="none" w:pos="1410" w:val="left"/>
        </w:tabs>
        <w:numPr>
          <w:ilvl w:val="1"/>
          <w:numId w:val="376"/>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24" w:lineRule="exact"/>
        <w:rPr>
          <w:rFonts w:ascii="Arial" w:cs="Arial" w:eastAsia="Arial" w:hAnsi="Arial"/>
          <w:sz w:val="18"/>
          <w:szCs w:val="18"/>
          <w:b w:val="1"/>
          <w:bCs w:val="1"/>
          <w:color w:val="auto"/>
        </w:rPr>
      </w:pPr>
    </w:p>
    <w:p>
      <w:pPr>
        <w:ind w:left="10" w:firstLine="871"/>
        <w:spacing w:after="0" w:line="269" w:lineRule="auto"/>
        <w:tabs>
          <w:tab w:leader="none" w:pos="1326" w:val="left"/>
        </w:tabs>
        <w:numPr>
          <w:ilvl w:val="1"/>
          <w:numId w:val="376"/>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1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4" w:right="459" w:bottom="1440" w:gutter="0" w:footer="0" w:header="0"/>
        </w:sectPr>
      </w:pPr>
    </w:p>
    <w:bookmarkStart w:id="392" w:name="page393"/>
    <w:bookmarkEnd w:id="392"/>
    <w:p>
      <w:pPr>
        <w:ind w:left="-20" w:right="20" w:firstLine="871"/>
        <w:spacing w:after="0" w:line="277" w:lineRule="auto"/>
        <w:tabs>
          <w:tab w:leader="none" w:pos="1250"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169" w:lineRule="exact"/>
        <w:rPr>
          <w:rFonts w:ascii="Arial" w:cs="Arial" w:eastAsia="Arial" w:hAnsi="Arial"/>
          <w:sz w:val="18"/>
          <w:szCs w:val="18"/>
          <w:b w:val="1"/>
          <w:bCs w:val="1"/>
          <w:color w:val="auto"/>
        </w:rPr>
      </w:pPr>
    </w:p>
    <w:p>
      <w:pPr>
        <w:ind w:left="-20" w:right="60" w:firstLine="871"/>
        <w:spacing w:after="0" w:line="259" w:lineRule="auto"/>
        <w:tabs>
          <w:tab w:leader="none" w:pos="1296"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To adopt such rules, procedures and sub-plans related to the operation and administration of the Plan as are necessary or appropriate under local laws and regulations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or regulations of the relevant foreign jurisdiction).</w:t>
      </w:r>
    </w:p>
    <w:p>
      <w:pPr>
        <w:spacing w:after="0" w:line="185" w:lineRule="exact"/>
        <w:rPr>
          <w:rFonts w:ascii="Arial" w:cs="Arial" w:eastAsia="Arial" w:hAnsi="Arial"/>
          <w:sz w:val="18"/>
          <w:szCs w:val="18"/>
          <w:b w:val="1"/>
          <w:bCs w:val="1"/>
          <w:color w:val="auto"/>
        </w:rPr>
      </w:pPr>
    </w:p>
    <w:p>
      <w:pPr>
        <w:ind w:left="-20" w:right="20" w:firstLine="871"/>
        <w:spacing w:after="0" w:line="256" w:lineRule="auto"/>
        <w:tabs>
          <w:tab w:leader="none" w:pos="1346"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To effect at any time or from time to time, with the consent of any adversely affected Participant, (A) the reduction of the exercise, purchase or strike price of any outstanding Option or SAR under the Plan; (B) the cancellation of any outstanding Option or SAR under the Plan and the grant in substitution therefor of a new (1) Option or SAR under the Plan, (2) a Restricted Stock Award, (3) a Restricted Stock Unit Award, (4) an Other Stock Award, (5) cash and/or (6) other valuable consideration determined by the Board, in its sole discretion; or (C) any other action that is treated as a repricing under generally accepted accounting principles.</w:t>
      </w:r>
    </w:p>
    <w:p>
      <w:pPr>
        <w:spacing w:after="0" w:line="294" w:lineRule="exact"/>
        <w:rPr>
          <w:rFonts w:ascii="Arial" w:cs="Arial" w:eastAsia="Arial" w:hAnsi="Arial"/>
          <w:sz w:val="18"/>
          <w:szCs w:val="18"/>
          <w:b w:val="1"/>
          <w:bCs w:val="1"/>
          <w:color w:val="auto"/>
        </w:rPr>
      </w:pPr>
    </w:p>
    <w:p>
      <w:pPr>
        <w:ind w:left="780" w:hanging="370"/>
        <w:spacing w:after="0"/>
        <w:tabs>
          <w:tab w:leader="none" w:pos="78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6" w:lineRule="exact"/>
        <w:rPr>
          <w:rFonts w:ascii="Arial" w:cs="Arial" w:eastAsia="Arial" w:hAnsi="Arial"/>
          <w:sz w:val="18"/>
          <w:szCs w:val="18"/>
          <w:b w:val="1"/>
          <w:bCs w:val="1"/>
          <w:color w:val="auto"/>
        </w:rPr>
      </w:pPr>
    </w:p>
    <w:p>
      <w:pPr>
        <w:ind w:left="-20" w:right="20" w:firstLine="871"/>
        <w:spacing w:after="0" w:line="271" w:lineRule="auto"/>
        <w:tabs>
          <w:tab w:leader="none" w:pos="1210" w:val="left"/>
        </w:tabs>
        <w:numPr>
          <w:ilvl w:val="1"/>
          <w:numId w:val="3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76" w:lineRule="exact"/>
        <w:rPr>
          <w:rFonts w:ascii="Arial" w:cs="Arial" w:eastAsia="Arial" w:hAnsi="Arial"/>
          <w:sz w:val="17"/>
          <w:szCs w:val="17"/>
          <w:b w:val="1"/>
          <w:bCs w:val="1"/>
          <w:color w:val="auto"/>
        </w:rPr>
      </w:pPr>
    </w:p>
    <w:p>
      <w:pPr>
        <w:ind w:left="1260" w:hanging="409"/>
        <w:spacing w:after="0"/>
        <w:tabs>
          <w:tab w:leader="none" w:pos="1260" w:val="left"/>
        </w:tabs>
        <w:numPr>
          <w:ilvl w:val="1"/>
          <w:numId w:val="3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The Committee may consist solely of two or more Non-Employee Directors, in accordance with Rule 16b-3.</w:t>
      </w:r>
    </w:p>
    <w:p>
      <w:pPr>
        <w:spacing w:after="0" w:line="247" w:lineRule="exact"/>
        <w:rPr>
          <w:rFonts w:ascii="Arial" w:cs="Arial" w:eastAsia="Arial" w:hAnsi="Arial"/>
          <w:sz w:val="16"/>
          <w:szCs w:val="16"/>
          <w:b w:val="1"/>
          <w:bCs w:val="1"/>
          <w:color w:val="auto"/>
        </w:rPr>
      </w:pPr>
    </w:p>
    <w:p>
      <w:pPr>
        <w:ind w:left="-20" w:right="200" w:firstLine="430"/>
        <w:spacing w:after="0" w:line="256" w:lineRule="auto"/>
        <w:tabs>
          <w:tab w:leader="none" w:pos="82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an Officer</w:t>
      </w:r>
      <w:r>
        <w:rPr>
          <w:rFonts w:ascii="Arial" w:cs="Arial" w:eastAsia="Arial" w:hAnsi="Arial"/>
          <w:sz w:val="18"/>
          <w:szCs w:val="18"/>
          <w:color w:val="auto"/>
        </w:rPr>
        <w:t>. The Board may delegate to one or more Officers the authority to do one or both of the following (i)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resolutions regarding such delegation will specify the total number of shares of Common Stock that may be subject to the Stock Awards granted by such Officer and that such Officer may not grant a Stock Award to himself or herself.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80" w:top="273" w:right="459" w:bottom="1440" w:gutter="0" w:footer="0" w:header="0"/>
        </w:sectPr>
      </w:pPr>
    </w:p>
    <w:bookmarkStart w:id="393" w:name="page394"/>
    <w:bookmarkEnd w:id="393"/>
    <w:p>
      <w:pPr>
        <w:ind w:left="1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Stock Awards will be granted on the form of Award Agreement most recently approved for use by the Committee or the Board, unless otherwise provided in the resolutions approving the delegation authority. Notwithstanding anything to the contrary in this Section 2(d), the Board may not delegate authority to an Officer who is acting solely in the capacity of an Officer (and not also as a Director) to determine the Fair Market Value pursuant to Section 15(w)(iii) below.</w:t>
      </w:r>
    </w:p>
    <w:p>
      <w:pPr>
        <w:spacing w:after="0" w:line="182" w:lineRule="exact"/>
        <w:rPr>
          <w:sz w:val="20"/>
          <w:szCs w:val="20"/>
          <w:color w:val="auto"/>
        </w:rPr>
      </w:pPr>
    </w:p>
    <w:p>
      <w:pPr>
        <w:ind w:left="10" w:right="300" w:firstLine="430"/>
        <w:spacing w:after="0" w:line="281" w:lineRule="auto"/>
        <w:tabs>
          <w:tab w:leader="none" w:pos="829" w:val="left"/>
        </w:tabs>
        <w:numPr>
          <w:ilvl w:val="1"/>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270" w:lineRule="exact"/>
        <w:rPr>
          <w:rFonts w:ascii="Arial" w:cs="Arial" w:eastAsia="Arial" w:hAnsi="Arial"/>
          <w:sz w:val="18"/>
          <w:szCs w:val="18"/>
          <w:b w:val="1"/>
          <w:bCs w:val="1"/>
          <w:color w:val="auto"/>
        </w:rPr>
      </w:pPr>
    </w:p>
    <w:p>
      <w:pPr>
        <w:ind w:left="310" w:hanging="310"/>
        <w:spacing w:after="0"/>
        <w:tabs>
          <w:tab w:leader="none" w:pos="31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92" w:lineRule="auto"/>
        <w:tabs>
          <w:tab w:leader="none" w:pos="839" w:val="left"/>
        </w:tabs>
        <w:numPr>
          <w:ilvl w:val="1"/>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Section 10(a) relating to Capitalization Adjustments, and the following sentence regarding the annual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number of shares of Common Stock that may be issued pursuant to Stock Awards will not exceed 2,576,538 shares, (the “</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Reserve</w:t>
      </w:r>
      <w:r>
        <w:rPr>
          <w:rFonts w:ascii="Arial" w:cs="Arial" w:eastAsia="Arial" w:hAnsi="Arial"/>
          <w:sz w:val="16"/>
          <w:szCs w:val="16"/>
          <w:color w:val="auto"/>
        </w:rPr>
        <w:t>”). In addition, the Share Reserve will automatically increase on January 1st of each year for a period of ten years commencing on January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and ending on (and including) January 1, 2028, in an amount equal to five percent (5%) of the total number of shares of Common Stock outstanding on the last day of the preceding calendar year. Notwithstanding the foregoing, the Board may act prior to the first day of any calendar year to provide that there will be no increase in the Share Reserve for such calendar year or that the increase in the Share Reserve for such calendar year will be a lesser number of shares of Common Stock than would otherwise occur pursuant to the preceding sentence.</w:t>
      </w:r>
    </w:p>
    <w:p>
      <w:pPr>
        <w:spacing w:after="0" w:line="159" w:lineRule="exact"/>
        <w:rPr>
          <w:rFonts w:ascii="Arial" w:cs="Arial" w:eastAsia="Arial" w:hAnsi="Arial"/>
          <w:sz w:val="16"/>
          <w:szCs w:val="16"/>
          <w:b w:val="1"/>
          <w:bCs w:val="1"/>
          <w:color w:val="auto"/>
        </w:rPr>
      </w:pPr>
    </w:p>
    <w:p>
      <w:pPr>
        <w:ind w:left="10" w:right="120" w:firstLine="430"/>
        <w:spacing w:after="0" w:line="287" w:lineRule="auto"/>
        <w:tabs>
          <w:tab w:leader="none" w:pos="849" w:val="left"/>
        </w:tabs>
        <w:numPr>
          <w:ilvl w:val="1"/>
          <w:numId w:val="380"/>
        </w:numPr>
        <w:rPr>
          <w:rFonts w:ascii="Arial" w:cs="Arial" w:eastAsia="Arial" w:hAnsi="Arial"/>
          <w:sz w:val="16"/>
          <w:szCs w:val="16"/>
          <w:b w:val="1"/>
          <w:bCs w:val="1"/>
          <w:color w:val="auto"/>
        </w:rPr>
      </w:pPr>
      <w:r>
        <w:rPr>
          <w:rFonts w:ascii="Arial" w:cs="Arial" w:eastAsia="Arial" w:hAnsi="Arial"/>
          <w:sz w:val="16"/>
          <w:szCs w:val="16"/>
          <w:b w:val="1"/>
          <w:bCs w:val="1"/>
          <w:color w:val="auto"/>
        </w:rPr>
        <w:t>Share Reserve Limit</w:t>
      </w:r>
      <w:r>
        <w:rPr>
          <w:rFonts w:ascii="Arial" w:cs="Arial" w:eastAsia="Arial" w:hAnsi="Arial"/>
          <w:sz w:val="16"/>
          <w:szCs w:val="16"/>
          <w:color w:val="auto"/>
        </w:rPr>
        <w:t>. For clarity, the Share Reserve in Section 3(a) is a limitation on the number of shares of Common Stock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the Plan and does not limit the granting of Stock Awards except that the Company shall keep available at all times the number of shares of Common Stock reasonably required to satisfy its obligations to issue shares pursuant to such Stock Awards. Shares may be issued in connection with a merger or acquisition as permitted by NASDAQ Listing Rule 5635(c) or, if applicable, NYSE Listed Company Manual</w:t>
      </w:r>
    </w:p>
    <w:p>
      <w:pPr>
        <w:spacing w:after="0" w:line="1" w:lineRule="exact"/>
        <w:rPr>
          <w:rFonts w:ascii="Arial" w:cs="Arial" w:eastAsia="Arial" w:hAnsi="Arial"/>
          <w:sz w:val="16"/>
          <w:szCs w:val="16"/>
          <w:b w:val="1"/>
          <w:bCs w:val="1"/>
          <w:color w:val="auto"/>
        </w:rPr>
      </w:pPr>
    </w:p>
    <w:p>
      <w:pPr>
        <w:ind w:left="10" w:right="6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303A.08, AMEX Company Guide Section 711 or other applicable rule, and such issuance will not reduce the number of shares available for issuance under the Plan. Furthermore, if a Stock Award or any portion thereof (i) expires or otherwise terminates without all of the shares covered by such Stock Award having been issued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Participant receives cash rather than stock), such expiration, termination or settlement will not reduce (or otherwise offset) the number of shares of Common Stock that are subject to the Share Reserve and available for issuance under the Plan.</w:t>
      </w:r>
    </w:p>
    <w:p>
      <w:pPr>
        <w:spacing w:after="0" w:line="189" w:lineRule="exact"/>
        <w:rPr>
          <w:rFonts w:ascii="Arial" w:cs="Arial" w:eastAsia="Arial" w:hAnsi="Arial"/>
          <w:sz w:val="16"/>
          <w:szCs w:val="16"/>
          <w:b w:val="1"/>
          <w:bCs w:val="1"/>
          <w:color w:val="auto"/>
        </w:rPr>
      </w:pPr>
    </w:p>
    <w:p>
      <w:pPr>
        <w:ind w:left="10" w:right="60" w:firstLine="430"/>
        <w:spacing w:after="0" w:line="258" w:lineRule="auto"/>
        <w:tabs>
          <w:tab w:leader="none" w:pos="829" w:val="left"/>
        </w:tabs>
        <w:numPr>
          <w:ilvl w:val="1"/>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any shares of Common Stock issued pursuant to a Stock Award are forfeited back to or</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19"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10"/>
          </w:cols>
          <w:pgMar w:left="450" w:top="274" w:right="539" w:bottom="1440" w:gutter="0" w:footer="0" w:header="0"/>
        </w:sectPr>
      </w:pPr>
    </w:p>
    <w:bookmarkStart w:id="394" w:name="page395"/>
    <w:bookmarkEnd w:id="394"/>
    <w:p>
      <w:pPr>
        <w:jc w:val="both"/>
        <w:ind w:left="10" w:right="200" w:firstLine="430"/>
        <w:spacing w:after="0" w:line="266" w:lineRule="auto"/>
        <w:tabs>
          <w:tab w:leader="none" w:pos="849"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Incentive Stock Option Limit. </w:t>
      </w:r>
      <w:r>
        <w:rPr>
          <w:rFonts w:ascii="Arial" w:cs="Arial" w:eastAsia="Arial" w:hAnsi="Arial"/>
          <w:sz w:val="18"/>
          <w:szCs w:val="18"/>
          <w:color w:val="auto"/>
        </w:rPr>
        <w:t>Subject to the Share Reserve (as increased under Section 3(a)) and Section 10(a) relating to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the aggregate maximum number of shares of Common Stock that may be issued pursuant to the exercise of Incentive Stock Options will be the number of shares of Common Stock equal to three (3) times the Share Reserve.</w:t>
      </w:r>
    </w:p>
    <w:p>
      <w:pPr>
        <w:spacing w:after="0" w:line="175" w:lineRule="exact"/>
        <w:rPr>
          <w:rFonts w:ascii="Arial" w:cs="Arial" w:eastAsia="Arial" w:hAnsi="Arial"/>
          <w:sz w:val="18"/>
          <w:szCs w:val="18"/>
          <w:b w:val="1"/>
          <w:bCs w:val="1"/>
          <w:color w:val="auto"/>
        </w:rPr>
      </w:pPr>
    </w:p>
    <w:p>
      <w:pPr>
        <w:ind w:left="10" w:right="500" w:firstLine="430"/>
        <w:spacing w:after="0" w:line="281" w:lineRule="auto"/>
        <w:tabs>
          <w:tab w:leader="none" w:pos="829"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270" w:lineRule="exact"/>
        <w:rPr>
          <w:rFonts w:ascii="Arial" w:cs="Arial" w:eastAsia="Arial" w:hAnsi="Arial"/>
          <w:sz w:val="18"/>
          <w:szCs w:val="18"/>
          <w:b w:val="1"/>
          <w:bCs w:val="1"/>
          <w:color w:val="auto"/>
        </w:rPr>
      </w:pPr>
    </w:p>
    <w:p>
      <w:pPr>
        <w:ind w:left="310" w:hanging="310"/>
        <w:spacing w:after="0"/>
        <w:tabs>
          <w:tab w:leader="none" w:pos="31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71" w:lineRule="auto"/>
        <w:tabs>
          <w:tab w:leader="none" w:pos="839" w:val="left"/>
        </w:tabs>
        <w:numPr>
          <w:ilvl w:val="1"/>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of the Company or a “parent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76" w:lineRule="exact"/>
        <w:rPr>
          <w:rFonts w:ascii="Arial" w:cs="Arial" w:eastAsia="Arial" w:hAnsi="Arial"/>
          <w:sz w:val="17"/>
          <w:szCs w:val="17"/>
          <w:b w:val="1"/>
          <w:bCs w:val="1"/>
          <w:color w:val="auto"/>
        </w:rPr>
      </w:pPr>
    </w:p>
    <w:p>
      <w:pPr>
        <w:ind w:left="10" w:right="120" w:firstLine="430"/>
        <w:spacing w:after="0" w:line="266" w:lineRule="auto"/>
        <w:tabs>
          <w:tab w:leader="none" w:pos="849" w:val="left"/>
        </w:tabs>
        <w:numPr>
          <w:ilvl w:val="1"/>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of the Fair Market Value on the date of grant and the Option is not exercisable after the expiration of five years from the date of grant.</w:t>
      </w:r>
    </w:p>
    <w:p>
      <w:pPr>
        <w:spacing w:after="0" w:line="283" w:lineRule="exact"/>
        <w:rPr>
          <w:rFonts w:ascii="Arial" w:cs="Arial" w:eastAsia="Arial" w:hAnsi="Arial"/>
          <w:sz w:val="18"/>
          <w:szCs w:val="18"/>
          <w:b w:val="1"/>
          <w:bCs w:val="1"/>
          <w:color w:val="auto"/>
        </w:rPr>
      </w:pPr>
    </w:p>
    <w:p>
      <w:pPr>
        <w:ind w:left="310" w:hanging="310"/>
        <w:spacing w:after="0"/>
        <w:tabs>
          <w:tab w:leader="none" w:pos="31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60"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Award Agreement will conform to (through incorporation of provisions hereof by reference in the applicable Award Agreement or otherwise) the substance of each of the following provisions:</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0"/>
          </w:cols>
          <w:pgMar w:left="450" w:top="269" w:right="439" w:bottom="1440" w:gutter="0" w:footer="0" w:header="0"/>
        </w:sectPr>
      </w:pPr>
    </w:p>
    <w:bookmarkStart w:id="395" w:name="page396"/>
    <w:bookmarkEnd w:id="395"/>
    <w:p>
      <w:pPr>
        <w:ind w:left="-40" w:right="680" w:firstLine="430"/>
        <w:spacing w:after="0" w:line="281" w:lineRule="auto"/>
        <w:tabs>
          <w:tab w:leader="none" w:pos="789"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 </w:t>
      </w:r>
      <w:r>
        <w:rPr>
          <w:rFonts w:ascii="Arial" w:cs="Arial" w:eastAsia="Arial" w:hAnsi="Arial"/>
          <w:sz w:val="18"/>
          <w:szCs w:val="18"/>
          <w:color w:val="auto"/>
        </w:rPr>
        <w:t>Subject to the provisions of Section 4(b) regarding Ten Percent Stockholders, no Option or SAR will be exercisable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ten years from the date of its grant or such shorter period specified in the Award Agreement.</w:t>
      </w:r>
    </w:p>
    <w:p>
      <w:pPr>
        <w:spacing w:after="0" w:line="162" w:lineRule="exact"/>
        <w:rPr>
          <w:rFonts w:ascii="Arial" w:cs="Arial" w:eastAsia="Arial" w:hAnsi="Arial"/>
          <w:sz w:val="18"/>
          <w:szCs w:val="18"/>
          <w:b w:val="1"/>
          <w:bCs w:val="1"/>
          <w:color w:val="auto"/>
        </w:rPr>
      </w:pPr>
    </w:p>
    <w:p>
      <w:pPr>
        <w:ind w:left="-40" w:firstLine="430"/>
        <w:spacing w:after="0" w:line="274" w:lineRule="auto"/>
        <w:tabs>
          <w:tab w:leader="none" w:pos="800"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Ten Percent Stockholders, the exercise or strike price of each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71" w:lineRule="exact"/>
        <w:rPr>
          <w:rFonts w:ascii="Arial" w:cs="Arial" w:eastAsia="Arial" w:hAnsi="Arial"/>
          <w:sz w:val="17"/>
          <w:szCs w:val="17"/>
          <w:b w:val="1"/>
          <w:bCs w:val="1"/>
          <w:color w:val="auto"/>
        </w:rPr>
      </w:pPr>
    </w:p>
    <w:p>
      <w:pPr>
        <w:ind w:left="-40" w:right="200" w:firstLine="430"/>
        <w:spacing w:after="0" w:line="294" w:lineRule="auto"/>
        <w:tabs>
          <w:tab w:leader="none" w:pos="779"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Procedure for Option Exercise and Payment of Exercise Price for Options. </w:t>
      </w:r>
      <w:r>
        <w:rPr>
          <w:rFonts w:ascii="Arial" w:cs="Arial" w:eastAsia="Arial" w:hAnsi="Arial"/>
          <w:sz w:val="16"/>
          <w:szCs w:val="16"/>
          <w:color w:val="auto"/>
        </w:rPr>
        <w:t>To exercise any outstanding Option, the Participant must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notice of exercise to the Stock Plan Administrator in compliance with the provisions of the Stock Option Agreement evidencing such Option. The purchase price of Common Stock acquired pursuant to the exercise of an Option will be paid, to the extent permitted by applicable law and as determined by the Board in its sole discretion, by any combination of the methods of payment set forth below. The Board has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62" w:lineRule="exact"/>
        <w:rPr>
          <w:rFonts w:ascii="Arial" w:cs="Arial" w:eastAsia="Arial" w:hAnsi="Arial"/>
          <w:sz w:val="16"/>
          <w:szCs w:val="16"/>
          <w:b w:val="1"/>
          <w:bCs w:val="1"/>
          <w:color w:val="auto"/>
        </w:rPr>
      </w:pPr>
    </w:p>
    <w:p>
      <w:pPr>
        <w:ind w:left="1180" w:hanging="349"/>
        <w:spacing w:after="0"/>
        <w:tabs>
          <w:tab w:leader="none" w:pos="1180" w:val="left"/>
        </w:tabs>
        <w:numPr>
          <w:ilvl w:val="1"/>
          <w:numId w:val="383"/>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4" w:lineRule="exact"/>
        <w:rPr>
          <w:rFonts w:ascii="Arial" w:cs="Arial" w:eastAsia="Arial" w:hAnsi="Arial"/>
          <w:sz w:val="18"/>
          <w:szCs w:val="18"/>
          <w:b w:val="1"/>
          <w:bCs w:val="1"/>
          <w:color w:val="auto"/>
        </w:rPr>
      </w:pPr>
    </w:p>
    <w:p>
      <w:pPr>
        <w:ind w:left="-40" w:right="160" w:firstLine="871"/>
        <w:spacing w:after="0" w:line="259" w:lineRule="auto"/>
        <w:tabs>
          <w:tab w:leader="none" w:pos="1240" w:val="left"/>
        </w:tabs>
        <w:numPr>
          <w:ilvl w:val="1"/>
          <w:numId w:val="383"/>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Company has established procedures for cashless exercise, 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5" w:lineRule="exact"/>
        <w:rPr>
          <w:rFonts w:ascii="Arial" w:cs="Arial" w:eastAsia="Arial" w:hAnsi="Arial"/>
          <w:sz w:val="18"/>
          <w:szCs w:val="18"/>
          <w:b w:val="1"/>
          <w:bCs w:val="1"/>
          <w:color w:val="auto"/>
        </w:rPr>
      </w:pPr>
    </w:p>
    <w:p>
      <w:pPr>
        <w:ind w:left="-40" w:firstLine="871"/>
        <w:spacing w:after="0" w:line="273" w:lineRule="auto"/>
        <w:tabs>
          <w:tab w:leader="none" w:pos="1290" w:val="left"/>
        </w:tabs>
        <w:numPr>
          <w:ilvl w:val="1"/>
          <w:numId w:val="383"/>
        </w:numPr>
        <w:rPr>
          <w:rFonts w:ascii="Arial" w:cs="Arial" w:eastAsia="Arial" w:hAnsi="Arial"/>
          <w:sz w:val="17"/>
          <w:szCs w:val="17"/>
          <w:b w:val="1"/>
          <w:bCs w:val="1"/>
          <w:color w:val="auto"/>
        </w:rPr>
      </w:pPr>
      <w:r>
        <w:rPr>
          <w:rFonts w:ascii="Arial" w:cs="Arial" w:eastAsia="Arial" w:hAnsi="Arial"/>
          <w:sz w:val="17"/>
          <w:szCs w:val="17"/>
          <w:color w:val="auto"/>
        </w:rPr>
        <w:t>provided that at the time of exercise the Company has established procedures for accepting such form of payment, by delivery to the Company (either by actual delivery or attestation) of already-owned shares of Common Stock that are owned free and clear of any liens, claims, encumbrances or security interests, and that are valued at Fair Market Value on the date of exercise; provided that (A) such tender would not violate the provisions of any law, regulation or agreement restricting the redemption of the Company’s stock, (B) any certificated shares must be endorsed or accompanied by an executed assignment separate from certificate, and (C) such shares have been held by the Participant for the minimum period, if any, necessary to avoid adverse accounting treatment as a result of such tender;</w:t>
      </w:r>
    </w:p>
    <w:p>
      <w:pPr>
        <w:spacing w:after="0" w:line="176" w:lineRule="exact"/>
        <w:rPr>
          <w:rFonts w:ascii="Arial" w:cs="Arial" w:eastAsia="Arial" w:hAnsi="Arial"/>
          <w:sz w:val="17"/>
          <w:szCs w:val="17"/>
          <w:b w:val="1"/>
          <w:bCs w:val="1"/>
          <w:color w:val="auto"/>
        </w:rPr>
      </w:pPr>
    </w:p>
    <w:p>
      <w:pPr>
        <w:jc w:val="both"/>
        <w:ind w:left="-40" w:right="160" w:firstLine="871"/>
        <w:spacing w:after="0" w:line="263" w:lineRule="auto"/>
        <w:tabs>
          <w:tab w:leader="none" w:pos="1280" w:val="left"/>
        </w:tabs>
        <w:numPr>
          <w:ilvl w:val="1"/>
          <w:numId w:val="383"/>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Company has established procedures for accepting such payment via a “net exercise,” if an Option is a Nonstatutory Stock Option, by a “net exercise” arrangement pursuant to which the Company will reduce the number of shares of Common Stock issuable upon exercise by the largest whole number of shares with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500" w:top="270" w:right="479" w:bottom="1440" w:gutter="0" w:footer="0" w:header="0"/>
        </w:sectPr>
      </w:pPr>
    </w:p>
    <w:bookmarkStart w:id="396" w:name="page397"/>
    <w:bookmarkEnd w:id="396"/>
    <w:p>
      <w:pPr>
        <w:ind w:left="1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w:t>
      </w:r>
    </w:p>
    <w:p>
      <w:pPr>
        <w:spacing w:after="0" w:line="1" w:lineRule="exact"/>
        <w:rPr>
          <w:sz w:val="20"/>
          <w:szCs w:val="20"/>
          <w:color w:val="auto"/>
        </w:rPr>
      </w:pPr>
    </w:p>
    <w:p>
      <w:pPr>
        <w:ind w:left="290" w:hanging="290"/>
        <w:spacing w:after="0"/>
        <w:tabs>
          <w:tab w:leader="none" w:pos="29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shares are withheld to satisfy tax withholding obligations; or</w:t>
      </w:r>
    </w:p>
    <w:p>
      <w:pPr>
        <w:spacing w:after="0" w:line="210" w:lineRule="exact"/>
        <w:rPr>
          <w:rFonts w:ascii="Arial" w:cs="Arial" w:eastAsia="Arial" w:hAnsi="Arial"/>
          <w:sz w:val="18"/>
          <w:szCs w:val="18"/>
          <w:color w:val="auto"/>
        </w:rPr>
      </w:pPr>
    </w:p>
    <w:p>
      <w:pPr>
        <w:ind w:left="1270" w:hanging="389"/>
        <w:spacing w:after="0"/>
        <w:tabs>
          <w:tab w:leader="none" w:pos="1270" w:val="left"/>
        </w:tabs>
        <w:numPr>
          <w:ilvl w:val="2"/>
          <w:numId w:val="384"/>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Award Agreement.</w:t>
      </w:r>
    </w:p>
    <w:p>
      <w:pPr>
        <w:spacing w:after="0" w:line="232" w:lineRule="exact"/>
        <w:rPr>
          <w:rFonts w:ascii="Arial" w:cs="Arial" w:eastAsia="Arial" w:hAnsi="Arial"/>
          <w:sz w:val="17"/>
          <w:szCs w:val="17"/>
          <w:b w:val="1"/>
          <w:bCs w:val="1"/>
          <w:color w:val="auto"/>
        </w:rPr>
      </w:pPr>
    </w:p>
    <w:p>
      <w:pPr>
        <w:ind w:left="10" w:firstLine="430"/>
        <w:spacing w:after="0" w:line="292" w:lineRule="auto"/>
        <w:tabs>
          <w:tab w:leader="none" w:pos="849" w:val="left"/>
        </w:tabs>
        <w:numPr>
          <w:ilvl w:val="1"/>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59" w:lineRule="exact"/>
        <w:rPr>
          <w:rFonts w:ascii="Arial" w:cs="Arial" w:eastAsia="Arial" w:hAnsi="Arial"/>
          <w:sz w:val="16"/>
          <w:szCs w:val="16"/>
          <w:b w:val="1"/>
          <w:bCs w:val="1"/>
          <w:color w:val="auto"/>
        </w:rPr>
      </w:pPr>
    </w:p>
    <w:p>
      <w:pPr>
        <w:ind w:left="10" w:firstLine="430"/>
        <w:spacing w:after="0" w:line="266" w:lineRule="auto"/>
        <w:tabs>
          <w:tab w:leader="none" w:pos="829" w:val="left"/>
        </w:tabs>
        <w:numPr>
          <w:ilvl w:val="1"/>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ind w:left="10" w:right="20" w:firstLine="871"/>
        <w:spacing w:after="0" w:line="294" w:lineRule="auto"/>
        <w:tabs>
          <w:tab w:leader="none" w:pos="1240" w:val="left"/>
        </w:tabs>
        <w:numPr>
          <w:ilvl w:val="2"/>
          <w:numId w:val="385"/>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on Transfer</w:t>
      </w:r>
      <w:r>
        <w:rPr>
          <w:rFonts w:ascii="Arial" w:cs="Arial" w:eastAsia="Arial" w:hAnsi="Arial"/>
          <w:sz w:val="16"/>
          <w:szCs w:val="16"/>
          <w:color w:val="auto"/>
        </w:rPr>
        <w:t>. An Option or SAR will not be transferable except by will or by the laws of descent and distribution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subsections (ii) and (iii) below), and will be exercisable during the lifetime of the Participant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in its sole discretion, permit transfer of the Option or SAR in a manner that is not prohibited by applicable tax and securities laws upon the Participant’s request, including to a trust if the Participant is considered to be the sole beneficial owner (determined under Section 671 of the Code and applicable state law) while the Option is held in the trust, provided that the Participant and the trustee enter into a transfer and other agreements required by the Company. Except as explicitly provided herein, neither an Option nor a SAR may be transferred for consideration.</w:t>
      </w:r>
    </w:p>
    <w:p>
      <w:pPr>
        <w:spacing w:after="0" w:line="159" w:lineRule="exact"/>
        <w:rPr>
          <w:sz w:val="20"/>
          <w:szCs w:val="20"/>
          <w:color w:val="auto"/>
        </w:rPr>
      </w:pPr>
    </w:p>
    <w:p>
      <w:pPr>
        <w:jc w:val="both"/>
        <w:ind w:left="10" w:right="20" w:firstLine="871"/>
        <w:spacing w:after="0" w:line="260" w:lineRule="auto"/>
        <w:tabs>
          <w:tab w:leader="none" w:pos="129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Company, an Option or SAR may be transferred pursuant to the terms of a domestic relations order, marital settlement agreement or other divorce or separation instrument;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119"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0"/>
          </w:cols>
          <w:pgMar w:left="450" w:top="274" w:right="459" w:bottom="1440" w:gutter="0" w:footer="0" w:header="0"/>
        </w:sectPr>
      </w:pPr>
    </w:p>
    <w:bookmarkStart w:id="397" w:name="page398"/>
    <w:bookmarkEnd w:id="397"/>
    <w:p>
      <w:pPr>
        <w:ind w:left="-20" w:right="160" w:firstLine="871"/>
        <w:spacing w:after="0" w:line="272" w:lineRule="auto"/>
        <w:tabs>
          <w:tab w:leader="none" w:pos="1310" w:val="left"/>
        </w:tabs>
        <w:numPr>
          <w:ilvl w:val="1"/>
          <w:numId w:val="38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Beneficiary Designation</w:t>
      </w:r>
      <w:r>
        <w:rPr>
          <w:rFonts w:ascii="Arial" w:cs="Arial" w:eastAsia="Arial" w:hAnsi="Arial"/>
          <w:sz w:val="17"/>
          <w:szCs w:val="17"/>
          <w:color w:val="auto"/>
        </w:rPr>
        <w:t>. Subject to the approval of the Board or a duly authorized Officer, a Participant may, by delivering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the Company or to any third party designated by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or the Participant, the executor or administrator of the Participant’s estate or the Participant’s legal heirs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5" w:lineRule="exact"/>
        <w:rPr>
          <w:rFonts w:ascii="Arial" w:cs="Arial" w:eastAsia="Arial" w:hAnsi="Arial"/>
          <w:sz w:val="17"/>
          <w:szCs w:val="17"/>
          <w:b w:val="1"/>
          <w:bCs w:val="1"/>
          <w:color w:val="auto"/>
        </w:rPr>
      </w:pPr>
    </w:p>
    <w:p>
      <w:pPr>
        <w:ind w:left="-20" w:right="40" w:firstLine="430"/>
        <w:spacing w:after="0" w:line="276" w:lineRule="auto"/>
        <w:tabs>
          <w:tab w:leader="none" w:pos="780"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therefore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1" w:lineRule="exact"/>
        <w:rPr>
          <w:rFonts w:ascii="Arial" w:cs="Arial" w:eastAsia="Arial" w:hAnsi="Arial"/>
          <w:sz w:val="17"/>
          <w:szCs w:val="17"/>
          <w:b w:val="1"/>
          <w:bCs w:val="1"/>
          <w:color w:val="auto"/>
        </w:rPr>
      </w:pPr>
    </w:p>
    <w:p>
      <w:pPr>
        <w:ind w:left="-20" w:firstLine="430"/>
        <w:spacing w:after="0" w:line="272" w:lineRule="auto"/>
        <w:tabs>
          <w:tab w:leader="none" w:pos="809" w:val="left"/>
        </w:tabs>
        <w:numPr>
          <w:ilvl w:val="0"/>
          <w:numId w:val="3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75" w:lineRule="exact"/>
        <w:rPr>
          <w:rFonts w:ascii="Arial" w:cs="Arial" w:eastAsia="Arial" w:hAnsi="Arial"/>
          <w:sz w:val="17"/>
          <w:szCs w:val="17"/>
          <w:b w:val="1"/>
          <w:bCs w:val="1"/>
          <w:color w:val="auto"/>
        </w:rPr>
      </w:pPr>
    </w:p>
    <w:p>
      <w:pPr>
        <w:ind w:left="-20" w:right="80" w:firstLine="430"/>
        <w:spacing w:after="0" w:line="289" w:lineRule="auto"/>
        <w:tabs>
          <w:tab w:leader="none" w:pos="820" w:val="left"/>
        </w:tabs>
        <w:numPr>
          <w:ilvl w:val="0"/>
          <w:numId w:val="3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Extension of Termination Date. </w:t>
      </w:r>
      <w:r>
        <w:rPr>
          <w:rFonts w:ascii="Arial" w:cs="Arial" w:eastAsia="Arial" w:hAnsi="Arial"/>
          <w:sz w:val="16"/>
          <w:szCs w:val="16"/>
          <w:color w:val="auto"/>
        </w:rPr>
        <w:t>If the exercise of an Option or SAR following the termination of the Participant’s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for any reason other than for Cause and other than upon the Participant’s death of Disability would be prohibited at any time solely because the issuance of shares of Common Stock would violate the registration requirements under the Securities Act, then the Option or SAR will terminate on the earlier of (i) the expiration of a period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immediate sale of any Common Stock received upon exercise of an Option or SAR within the applicable post-termination exercise period following the termination of the Participant’s Continuous Service (other than for Cause) would violate the Company’s insider trading policy, then the Option or SAR will not terminate prior to (i) the expiration of a period of months equal to the applicable post-termination exercise period after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80" w:top="269" w:right="459" w:bottom="1440" w:gutter="0" w:footer="0" w:header="0"/>
        </w:sectPr>
      </w:pPr>
    </w:p>
    <w:bookmarkStart w:id="398" w:name="page399"/>
    <w:bookmarkEnd w:id="398"/>
    <w:p>
      <w:pPr>
        <w:ind w:left="1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 Participant’s Continuous Service during which the sale of the Common Stock received upon exercise of the Option or SAR would not be in violation of the Company’s insider trading policy, or (ii) the expiration of the permitted term of the Option or SAR as set forth in the applicable Award Agreement as determined without giving effect to any termination of Continuous Service.</w:t>
      </w:r>
    </w:p>
    <w:p>
      <w:pPr>
        <w:spacing w:after="0" w:line="179" w:lineRule="exact"/>
        <w:rPr>
          <w:sz w:val="20"/>
          <w:szCs w:val="20"/>
          <w:color w:val="auto"/>
        </w:rPr>
      </w:pPr>
    </w:p>
    <w:p>
      <w:pPr>
        <w:ind w:left="10" w:firstLine="430"/>
        <w:spacing w:after="0" w:line="255" w:lineRule="auto"/>
        <w:tabs>
          <w:tab w:leader="none" w:pos="799" w:val="left"/>
        </w:tabs>
        <w:numPr>
          <w:ilvl w:val="1"/>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7" w:lineRule="exact"/>
        <w:rPr>
          <w:rFonts w:ascii="Arial" w:cs="Arial" w:eastAsia="Arial" w:hAnsi="Arial"/>
          <w:sz w:val="18"/>
          <w:szCs w:val="18"/>
          <w:b w:val="1"/>
          <w:bCs w:val="1"/>
          <w:color w:val="auto"/>
        </w:rPr>
      </w:pPr>
    </w:p>
    <w:p>
      <w:pPr>
        <w:ind w:left="10" w:right="100" w:firstLine="430"/>
        <w:spacing w:after="0" w:line="290" w:lineRule="auto"/>
        <w:tabs>
          <w:tab w:leader="none" w:pos="809" w:val="left"/>
        </w:tabs>
        <w:numPr>
          <w:ilvl w:val="1"/>
          <w:numId w:val="3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63" w:lineRule="exact"/>
        <w:rPr>
          <w:rFonts w:ascii="Arial" w:cs="Arial" w:eastAsia="Arial" w:hAnsi="Arial"/>
          <w:sz w:val="16"/>
          <w:szCs w:val="16"/>
          <w:b w:val="1"/>
          <w:bCs w:val="1"/>
          <w:color w:val="auto"/>
        </w:rPr>
      </w:pPr>
    </w:p>
    <w:p>
      <w:pPr>
        <w:ind w:left="10" w:right="100" w:firstLine="430"/>
        <w:spacing w:after="0" w:line="297" w:lineRule="auto"/>
        <w:tabs>
          <w:tab w:leader="none" w:pos="849" w:val="left"/>
        </w:tabs>
        <w:numPr>
          <w:ilvl w:val="1"/>
          <w:numId w:val="3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Award Agreement or other individual written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 If a Participant’s Continuous Service is suspended pending an investigation of the existence of Cause, all of the Participant’s rights under the Option or SAR will also be suspended during the investigation period.</w:t>
      </w:r>
    </w:p>
    <w:p>
      <w:pPr>
        <w:spacing w:after="0" w:line="156" w:lineRule="exact"/>
        <w:rPr>
          <w:rFonts w:ascii="Arial" w:cs="Arial" w:eastAsia="Arial" w:hAnsi="Arial"/>
          <w:sz w:val="16"/>
          <w:szCs w:val="16"/>
          <w:b w:val="1"/>
          <w:bCs w:val="1"/>
          <w:color w:val="auto"/>
        </w:rPr>
      </w:pPr>
    </w:p>
    <w:p>
      <w:pPr>
        <w:jc w:val="both"/>
        <w:ind w:left="10" w:right="20" w:firstLine="430"/>
        <w:spacing w:after="0" w:line="287" w:lineRule="auto"/>
        <w:tabs>
          <w:tab w:leader="none" w:pos="799" w:val="left"/>
        </w:tabs>
        <w:numPr>
          <w:ilvl w:val="1"/>
          <w:numId w:val="389"/>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the Option or SAR. Notwithstanding the foregoing, consistent with the provisions of the Worker Economic Opportunity Act, (i) in the event of the Participant’s death or Disability, (ii) upon a Corporate Transaction in which such Option or SAR is not assumed, continued, or substituted,</w:t>
      </w:r>
    </w:p>
    <w:p>
      <w:pPr>
        <w:spacing w:after="0" w:line="1" w:lineRule="exact"/>
        <w:rPr>
          <w:rFonts w:ascii="Arial" w:cs="Arial" w:eastAsia="Arial" w:hAnsi="Arial"/>
          <w:sz w:val="16"/>
          <w:szCs w:val="16"/>
          <w:b w:val="1"/>
          <w:bCs w:val="1"/>
          <w:color w:val="auto"/>
        </w:rPr>
      </w:pPr>
    </w:p>
    <w:p>
      <w:pPr>
        <w:ind w:left="310" w:hanging="310"/>
        <w:spacing w:after="0"/>
        <w:tabs>
          <w:tab w:leader="none" w:pos="31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upon a Change in Control, or (iv) upon the Participant’s retirement</w:t>
      </w:r>
    </w:p>
    <w:p>
      <w:pPr>
        <w:spacing w:after="0" w:line="143"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70"/>
          </w:cols>
          <w:pgMar w:left="450" w:top="274" w:right="479" w:bottom="1440" w:gutter="0" w:footer="0" w:header="0"/>
        </w:sectPr>
      </w:pPr>
    </w:p>
    <w:bookmarkStart w:id="399" w:name="page400"/>
    <w:bookmarkEnd w:id="399"/>
    <w:p>
      <w:pPr>
        <w:ind w:left="10"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such term may be defined in the Participant’s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U.S.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2" w:lineRule="exact"/>
        <w:rPr>
          <w:sz w:val="20"/>
          <w:szCs w:val="20"/>
          <w:color w:val="auto"/>
        </w:rPr>
      </w:pPr>
    </w:p>
    <w:p>
      <w:pPr>
        <w:ind w:left="890" w:hanging="450"/>
        <w:spacing w:after="0"/>
        <w:tabs>
          <w:tab w:leader="none" w:pos="890" w:val="left"/>
        </w:tabs>
        <w:numPr>
          <w:ilvl w:val="1"/>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Whole Shares</w:t>
      </w:r>
      <w:r>
        <w:rPr>
          <w:rFonts w:ascii="Arial" w:cs="Arial" w:eastAsia="Arial" w:hAnsi="Arial"/>
          <w:sz w:val="18"/>
          <w:szCs w:val="18"/>
          <w:color w:val="auto"/>
        </w:rPr>
        <w:t>. Options and SARs may be exercised only with respect to whole shares of Common Stock.</w:t>
      </w:r>
    </w:p>
    <w:p>
      <w:pPr>
        <w:spacing w:after="0" w:line="224" w:lineRule="exact"/>
        <w:rPr>
          <w:rFonts w:ascii="Arial" w:cs="Arial" w:eastAsia="Arial" w:hAnsi="Arial"/>
          <w:sz w:val="18"/>
          <w:szCs w:val="18"/>
          <w:b w:val="1"/>
          <w:bCs w:val="1"/>
          <w:color w:val="auto"/>
        </w:rPr>
      </w:pPr>
    </w:p>
    <w:p>
      <w:pPr>
        <w:ind w:left="10" w:right="200" w:firstLine="430"/>
        <w:spacing w:after="0" w:line="303" w:lineRule="auto"/>
        <w:tabs>
          <w:tab w:leader="none" w:pos="849" w:val="left"/>
        </w:tabs>
        <w:numPr>
          <w:ilvl w:val="1"/>
          <w:numId w:val="3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Compliance. </w:t>
      </w:r>
      <w:r>
        <w:rPr>
          <w:rFonts w:ascii="Arial" w:cs="Arial" w:eastAsia="Arial" w:hAnsi="Arial"/>
          <w:sz w:val="16"/>
          <w:szCs w:val="16"/>
          <w:color w:val="auto"/>
        </w:rPr>
        <w:t>No Option or SAR may be exercised unless the shares of Common Stock issuable upon such exercise are then</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under the Securities Act or, if such shares of Common Stock are not then so registered, the Company has determined that such exercise and issuance would be exempt from the registration requirements of the Securities Act. The exercise of any Option or SAR also must comply with other applicable laws and regulations governing the Award, and the Participant may not exercise the Award if the Company determines</w:t>
      </w:r>
    </w:p>
    <w:p>
      <w:pPr>
        <w:spacing w:after="0" w:line="257" w:lineRule="exact"/>
        <w:rPr>
          <w:rFonts w:ascii="Arial" w:cs="Arial" w:eastAsia="Arial" w:hAnsi="Arial"/>
          <w:sz w:val="16"/>
          <w:szCs w:val="16"/>
          <w:b w:val="1"/>
          <w:bCs w:val="1"/>
          <w:color w:val="auto"/>
        </w:rPr>
      </w:pPr>
    </w:p>
    <w:p>
      <w:pPr>
        <w:ind w:left="310" w:hanging="310"/>
        <w:spacing w:after="0"/>
        <w:tabs>
          <w:tab w:leader="none" w:pos="31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firstLine="430"/>
        <w:spacing w:after="0" w:line="255" w:lineRule="auto"/>
        <w:tabs>
          <w:tab w:leader="none" w:pos="839" w:val="left"/>
        </w:tabs>
        <w:numPr>
          <w:ilvl w:val="1"/>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deems appropriate. To the extent consistent with the Company’s bylaws, at the Board’s election, shares of Common Stock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7" w:lineRule="exact"/>
        <w:rPr>
          <w:rFonts w:ascii="Arial" w:cs="Arial" w:eastAsia="Arial" w:hAnsi="Arial"/>
          <w:sz w:val="18"/>
          <w:szCs w:val="18"/>
          <w:b w:val="1"/>
          <w:bCs w:val="1"/>
          <w:color w:val="auto"/>
        </w:rPr>
      </w:pPr>
    </w:p>
    <w:p>
      <w:pPr>
        <w:ind w:left="10" w:right="80" w:firstLine="871"/>
        <w:spacing w:after="0" w:line="266" w:lineRule="auto"/>
        <w:tabs>
          <w:tab w:leader="none" w:pos="1240" w:val="left"/>
        </w:tabs>
        <w:numPr>
          <w:ilvl w:val="2"/>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10" w:firstLine="871"/>
        <w:spacing w:after="0" w:line="281" w:lineRule="auto"/>
        <w:tabs>
          <w:tab w:leader="none" w:pos="1290" w:val="left"/>
        </w:tabs>
        <w:numPr>
          <w:ilvl w:val="2"/>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a vesting schedule to be determined by the Board.</w:t>
      </w:r>
    </w:p>
    <w:p>
      <w:pPr>
        <w:spacing w:after="0" w:line="162" w:lineRule="exact"/>
        <w:rPr>
          <w:rFonts w:ascii="Arial" w:cs="Arial" w:eastAsia="Arial" w:hAnsi="Arial"/>
          <w:sz w:val="18"/>
          <w:szCs w:val="18"/>
          <w:b w:val="1"/>
          <w:bCs w:val="1"/>
          <w:color w:val="auto"/>
        </w:rPr>
      </w:pPr>
    </w:p>
    <w:p>
      <w:pPr>
        <w:ind w:left="10" w:right="120" w:firstLine="871"/>
        <w:spacing w:after="0" w:line="266" w:lineRule="auto"/>
        <w:tabs>
          <w:tab w:leader="none" w:pos="1340" w:val="left"/>
        </w:tabs>
        <w:numPr>
          <w:ilvl w:val="2"/>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1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70"/>
          </w:cols>
          <w:pgMar w:left="450" w:top="274" w:right="479" w:bottom="1440" w:gutter="0" w:footer="0" w:header="0"/>
        </w:sectPr>
      </w:pPr>
    </w:p>
    <w:bookmarkStart w:id="400" w:name="page401"/>
    <w:bookmarkEnd w:id="400"/>
    <w:p>
      <w:pPr>
        <w:ind w:left="-20" w:firstLine="871"/>
        <w:spacing w:after="0" w:line="281" w:lineRule="auto"/>
        <w:tabs>
          <w:tab w:leader="none" w:pos="1300" w:val="left"/>
        </w:tabs>
        <w:numPr>
          <w:ilvl w:val="1"/>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162" w:lineRule="exact"/>
        <w:rPr>
          <w:rFonts w:ascii="Arial" w:cs="Arial" w:eastAsia="Arial" w:hAnsi="Arial"/>
          <w:sz w:val="18"/>
          <w:szCs w:val="18"/>
          <w:b w:val="1"/>
          <w:bCs w:val="1"/>
          <w:color w:val="auto"/>
        </w:rPr>
      </w:pPr>
    </w:p>
    <w:p>
      <w:pPr>
        <w:ind w:left="-20" w:right="80" w:firstLine="430"/>
        <w:spacing w:after="0" w:line="258" w:lineRule="auto"/>
        <w:tabs>
          <w:tab w:leader="none" w:pos="82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82" w:lineRule="exact"/>
        <w:rPr>
          <w:rFonts w:ascii="Arial" w:cs="Arial" w:eastAsia="Arial" w:hAnsi="Arial"/>
          <w:sz w:val="18"/>
          <w:szCs w:val="18"/>
          <w:b w:val="1"/>
          <w:bCs w:val="1"/>
          <w:color w:val="auto"/>
        </w:rPr>
      </w:pPr>
    </w:p>
    <w:p>
      <w:pPr>
        <w:ind w:left="-20" w:right="40" w:firstLine="871"/>
        <w:spacing w:after="0" w:line="260" w:lineRule="auto"/>
        <w:tabs>
          <w:tab w:leader="none" w:pos="1210" w:val="left"/>
        </w:tabs>
        <w:numPr>
          <w:ilvl w:val="1"/>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2" w:lineRule="exact"/>
        <w:rPr>
          <w:rFonts w:ascii="Arial" w:cs="Arial" w:eastAsia="Arial" w:hAnsi="Arial"/>
          <w:sz w:val="18"/>
          <w:szCs w:val="18"/>
          <w:b w:val="1"/>
          <w:bCs w:val="1"/>
          <w:color w:val="auto"/>
        </w:rPr>
      </w:pPr>
    </w:p>
    <w:p>
      <w:pPr>
        <w:ind w:left="-20" w:right="340" w:firstLine="871"/>
        <w:spacing w:after="0" w:line="281" w:lineRule="auto"/>
        <w:tabs>
          <w:tab w:leader="none" w:pos="1260" w:val="left"/>
        </w:tabs>
        <w:numPr>
          <w:ilvl w:val="1"/>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62" w:lineRule="exact"/>
        <w:rPr>
          <w:rFonts w:ascii="Arial" w:cs="Arial" w:eastAsia="Arial" w:hAnsi="Arial"/>
          <w:sz w:val="18"/>
          <w:szCs w:val="18"/>
          <w:b w:val="1"/>
          <w:bCs w:val="1"/>
          <w:color w:val="auto"/>
        </w:rPr>
      </w:pPr>
    </w:p>
    <w:p>
      <w:pPr>
        <w:jc w:val="both"/>
        <w:ind w:left="-20" w:right="260" w:firstLine="871"/>
        <w:spacing w:after="0" w:line="347" w:lineRule="auto"/>
        <w:tabs>
          <w:tab w:leader="none" w:pos="1310" w:val="left"/>
        </w:tabs>
        <w:numPr>
          <w:ilvl w:val="1"/>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left="-20" w:right="20" w:firstLine="871"/>
        <w:spacing w:after="0" w:line="266" w:lineRule="auto"/>
        <w:tabs>
          <w:tab w:leader="none" w:pos="1300" w:val="left"/>
        </w:tabs>
        <w:numPr>
          <w:ilvl w:val="1"/>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left="-20" w:right="240" w:firstLine="871"/>
        <w:spacing w:after="0" w:line="297" w:lineRule="auto"/>
        <w:tabs>
          <w:tab w:leader="none" w:pos="1250" w:val="left"/>
        </w:tabs>
        <w:numPr>
          <w:ilvl w:val="1"/>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56" w:lineRule="exact"/>
        <w:rPr>
          <w:rFonts w:ascii="Arial" w:cs="Arial" w:eastAsia="Arial" w:hAnsi="Arial"/>
          <w:sz w:val="16"/>
          <w:szCs w:val="16"/>
          <w:b w:val="1"/>
          <w:bCs w:val="1"/>
          <w:color w:val="auto"/>
        </w:rPr>
      </w:pPr>
    </w:p>
    <w:p>
      <w:pPr>
        <w:ind w:left="-20" w:right="360" w:firstLine="871"/>
        <w:spacing w:after="0" w:line="266" w:lineRule="auto"/>
        <w:tabs>
          <w:tab w:leader="none" w:pos="1300" w:val="left"/>
        </w:tabs>
        <w:numPr>
          <w:ilvl w:val="1"/>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80" w:top="270" w:right="479" w:bottom="1440" w:gutter="0" w:footer="0" w:header="0"/>
        </w:sectPr>
      </w:pPr>
    </w:p>
    <w:bookmarkStart w:id="401" w:name="page402"/>
    <w:bookmarkEnd w:id="401"/>
    <w:p>
      <w:pPr>
        <w:ind w:right="20" w:firstLine="871"/>
        <w:spacing w:after="0" w:line="274" w:lineRule="auto"/>
        <w:tabs>
          <w:tab w:leader="none" w:pos="1370" w:val="left"/>
        </w:tabs>
        <w:numPr>
          <w:ilvl w:val="1"/>
          <w:numId w:val="39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Unsecured Obligation</w:t>
      </w:r>
      <w:r>
        <w:rPr>
          <w:rFonts w:ascii="Arial" w:cs="Arial" w:eastAsia="Arial" w:hAnsi="Arial"/>
          <w:sz w:val="17"/>
          <w:szCs w:val="17"/>
          <w:color w:val="auto"/>
        </w:rPr>
        <w:t>. A Restricted Stock Unit Award is an unfunded obligation, and as a holder of a vested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 Participant shall be considered an unsecured creditor of the Company with respect to the Company’s obligation, if any, to issue shares pursuant to the terms of the applicable Award Agreement. A Participant shall not have voting or any other rights as a stockholder of the Company with respect to the shares to be issued pursuant a Restricted Stock Unit Award unless and until such shares are actually issued. Nothing contained in the Plan or any Restricted Stock Unit Award Agreement, and no action taken pursuant to its provisions, shall create or be construed to create a trust of any kind or a fiduciary relationship between a Participant and the Company or any other person.</w:t>
      </w:r>
    </w:p>
    <w:p>
      <w:pPr>
        <w:spacing w:after="0" w:line="279" w:lineRule="exact"/>
        <w:rPr>
          <w:rFonts w:ascii="Arial" w:cs="Arial" w:eastAsia="Arial" w:hAnsi="Arial"/>
          <w:sz w:val="17"/>
          <w:szCs w:val="17"/>
          <w:b w:val="1"/>
          <w:bCs w:val="1"/>
          <w:color w:val="auto"/>
        </w:rPr>
      </w:pPr>
    </w:p>
    <w:p>
      <w:pPr>
        <w:ind w:left="800" w:hanging="370"/>
        <w:spacing w:after="0"/>
        <w:tabs>
          <w:tab w:leader="none" w:pos="80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ind w:right="120" w:firstLine="871"/>
        <w:spacing w:after="0" w:line="294" w:lineRule="auto"/>
        <w:tabs>
          <w:tab w:leader="none" w:pos="1230" w:val="left"/>
        </w:tabs>
        <w:numPr>
          <w:ilvl w:val="1"/>
          <w:numId w:val="396"/>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Stock Awards</w:t>
      </w:r>
      <w:r>
        <w:rPr>
          <w:rFonts w:ascii="Arial" w:cs="Arial" w:eastAsia="Arial" w:hAnsi="Arial"/>
          <w:sz w:val="16"/>
          <w:szCs w:val="16"/>
          <w:color w:val="auto"/>
        </w:rPr>
        <w:t>. A Performance Stock Award is a Stock Award that is payable (including that may be granted, may vest</w:t>
      </w:r>
      <w:r>
        <w:rPr>
          <w:rFonts w:ascii="Arial" w:cs="Arial" w:eastAsia="Arial" w:hAnsi="Arial"/>
          <w:sz w:val="16"/>
          <w:szCs w:val="16"/>
          <w:b w:val="1"/>
          <w:bCs w:val="1"/>
          <w:color w:val="auto"/>
        </w:rPr>
        <w:t xml:space="preserve"> </w:t>
      </w:r>
      <w:r>
        <w:rPr>
          <w:rFonts w:ascii="Arial" w:cs="Arial" w:eastAsia="Arial" w:hAnsi="Arial"/>
          <w:sz w:val="16"/>
          <w:szCs w:val="16"/>
          <w:color w:val="auto"/>
        </w:rPr>
        <w:t>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may determine that cash may be used in payment of Performance Stock Awards.</w:t>
      </w:r>
    </w:p>
    <w:p>
      <w:pPr>
        <w:spacing w:after="0" w:line="158" w:lineRule="exact"/>
        <w:rPr>
          <w:rFonts w:ascii="Arial" w:cs="Arial" w:eastAsia="Arial" w:hAnsi="Arial"/>
          <w:sz w:val="16"/>
          <w:szCs w:val="16"/>
          <w:b w:val="1"/>
          <w:bCs w:val="1"/>
          <w:color w:val="auto"/>
        </w:rPr>
      </w:pPr>
    </w:p>
    <w:p>
      <w:pPr>
        <w:ind w:right="60" w:firstLine="871"/>
        <w:spacing w:after="0" w:line="272" w:lineRule="auto"/>
        <w:tabs>
          <w:tab w:leader="none" w:pos="1280" w:val="left"/>
        </w:tabs>
        <w:numPr>
          <w:ilvl w:val="1"/>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Cash Awards</w:t>
      </w:r>
      <w:r>
        <w:rPr>
          <w:rFonts w:ascii="Arial" w:cs="Arial" w:eastAsia="Arial" w:hAnsi="Arial"/>
          <w:sz w:val="17"/>
          <w:szCs w:val="17"/>
          <w:color w:val="auto"/>
        </w:rPr>
        <w:t>. A Performance Cash Award is a cash award that is payable contingent upon the attainment during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of certain Performance Goals. A Performance Cash Award may, but need not,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5" w:lineRule="exact"/>
        <w:rPr>
          <w:rFonts w:ascii="Arial" w:cs="Arial" w:eastAsia="Arial" w:hAnsi="Arial"/>
          <w:sz w:val="17"/>
          <w:szCs w:val="17"/>
          <w:b w:val="1"/>
          <w:bCs w:val="1"/>
          <w:color w:val="auto"/>
        </w:rPr>
      </w:pPr>
    </w:p>
    <w:p>
      <w:pPr>
        <w:ind w:right="40" w:firstLine="871"/>
        <w:spacing w:after="0" w:line="312" w:lineRule="auto"/>
        <w:tabs>
          <w:tab w:leader="none" w:pos="1330" w:val="left"/>
        </w:tabs>
        <w:numPr>
          <w:ilvl w:val="1"/>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Board Discretion</w:t>
      </w:r>
      <w:r>
        <w:rPr>
          <w:rFonts w:ascii="Arial" w:cs="Arial" w:eastAsia="Arial" w:hAnsi="Arial"/>
          <w:sz w:val="17"/>
          <w:szCs w:val="17"/>
          <w:color w:val="auto"/>
        </w:rPr>
        <w:t>. The Board retains the discretion to reduce or eliminate the compensation or economic benefit due upon attainment</w:t>
      </w:r>
      <w:r>
        <w:rPr>
          <w:rFonts w:ascii="Arial" w:cs="Arial" w:eastAsia="Arial" w:hAnsi="Arial"/>
          <w:sz w:val="17"/>
          <w:szCs w:val="17"/>
          <w:b w:val="1"/>
          <w:bCs w:val="1"/>
          <w:color w:val="auto"/>
        </w:rPr>
        <w:t xml:space="preserve"> </w:t>
      </w:r>
      <w:r>
        <w:rPr>
          <w:rFonts w:ascii="Arial" w:cs="Arial" w:eastAsia="Arial" w:hAnsi="Arial"/>
          <w:sz w:val="17"/>
          <w:szCs w:val="17"/>
          <w:color w:val="auto"/>
        </w:rPr>
        <w:t>of Performance Goals and to define the manner of calculating the Performance Criteria it selects to use for a Performance Period.</w:t>
      </w:r>
    </w:p>
    <w:p>
      <w:pPr>
        <w:spacing w:after="0" w:line="139" w:lineRule="exact"/>
        <w:rPr>
          <w:rFonts w:ascii="Arial" w:cs="Arial" w:eastAsia="Arial" w:hAnsi="Arial"/>
          <w:sz w:val="17"/>
          <w:szCs w:val="17"/>
          <w:b w:val="1"/>
          <w:bCs w:val="1"/>
          <w:color w:val="auto"/>
        </w:rPr>
      </w:pPr>
    </w:p>
    <w:p>
      <w:pPr>
        <w:ind w:firstLine="430"/>
        <w:spacing w:after="0" w:line="274" w:lineRule="auto"/>
        <w:tabs>
          <w:tab w:leader="none" w:pos="840"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0" w:right="459" w:bottom="1440" w:gutter="0" w:footer="0" w:header="0"/>
        </w:sectPr>
      </w:pPr>
    </w:p>
    <w:bookmarkStart w:id="402" w:name="page403"/>
    <w:bookmarkEnd w:id="402"/>
    <w:p>
      <w:pPr>
        <w:ind w:left="310" w:hanging="310"/>
        <w:spacing w:after="0"/>
        <w:tabs>
          <w:tab w:leader="none" w:pos="31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20" w:firstLine="430"/>
        <w:spacing w:after="0" w:line="270" w:lineRule="auto"/>
        <w:tabs>
          <w:tab w:leader="none" w:pos="839" w:val="left"/>
        </w:tabs>
        <w:numPr>
          <w:ilvl w:val="1"/>
          <w:numId w:val="3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 jurisdiction over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 such authority as may be required to grant Stock Awards and to issue and sell shares of Common Stock upon exercise or vesting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 Stock Award or the subsequent issuance of Common Stock pursuant to the Stock Award if such grant or issuance would be in violation of any applicable securities law.</w:t>
      </w:r>
    </w:p>
    <w:p>
      <w:pPr>
        <w:spacing w:after="0" w:line="179" w:lineRule="exact"/>
        <w:rPr>
          <w:rFonts w:ascii="Arial" w:cs="Arial" w:eastAsia="Arial" w:hAnsi="Arial"/>
          <w:sz w:val="17"/>
          <w:szCs w:val="17"/>
          <w:b w:val="1"/>
          <w:bCs w:val="1"/>
          <w:color w:val="auto"/>
        </w:rPr>
      </w:pPr>
    </w:p>
    <w:p>
      <w:pPr>
        <w:ind w:left="10" w:firstLine="430"/>
        <w:spacing w:after="0" w:line="286" w:lineRule="auto"/>
        <w:tabs>
          <w:tab w:leader="none" w:pos="849" w:val="left"/>
        </w:tabs>
        <w:numPr>
          <w:ilvl w:val="1"/>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for Taxes. </w:t>
      </w:r>
      <w:r>
        <w:rPr>
          <w:rFonts w:ascii="Arial" w:cs="Arial" w:eastAsia="Arial" w:hAnsi="Arial"/>
          <w:sz w:val="16"/>
          <w:szCs w:val="16"/>
          <w:color w:val="auto"/>
        </w:rPr>
        <w:t>The Company will have no duty or obligation to any Participant to</w:t>
      </w:r>
      <w:r>
        <w:rPr>
          <w:rFonts w:ascii="Arial" w:cs="Arial" w:eastAsia="Arial" w:hAnsi="Arial"/>
          <w:sz w:val="16"/>
          <w:szCs w:val="16"/>
          <w:b w:val="1"/>
          <w:bCs w:val="1"/>
          <w:color w:val="auto"/>
        </w:rPr>
        <w:t xml:space="preserve"> </w:t>
      </w:r>
      <w:r>
        <w:rPr>
          <w:rFonts w:ascii="Arial" w:cs="Arial" w:eastAsia="Arial" w:hAnsi="Arial"/>
          <w:sz w:val="16"/>
          <w:szCs w:val="16"/>
          <w:color w:val="auto"/>
        </w:rPr>
        <w:t>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 Stock Award for any adverse tax consequences to such holder in connection with a Stock Award. As a condition to accepting a Stock Award under the Plan, each Participant (i) agrees to not make any claim against the Company, or any of its Officers, Directors, Employees or Affiliates related to tax liabilities arising from such Stock Award or other Company compensation and (ii) acknowledges that such Participant was advised to consult with his or her own personal tax, financial and other legal advisors regarding the tax consequences of the Stock Award and has either done so or knowingly and voluntarily declined to do so. Additionally, each Participant acknowledges any Option or SAR granted under the Plan is exempt from Section 409A of the Code only if the exercise or strike price per share is at least equal to the “fair market value” per share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75" w:lineRule="exact"/>
        <w:rPr>
          <w:rFonts w:ascii="Arial" w:cs="Arial" w:eastAsia="Arial" w:hAnsi="Arial"/>
          <w:sz w:val="16"/>
          <w:szCs w:val="16"/>
          <w:b w:val="1"/>
          <w:bCs w:val="1"/>
          <w:color w:val="auto"/>
        </w:rPr>
      </w:pPr>
    </w:p>
    <w:p>
      <w:pPr>
        <w:ind w:left="310" w:hanging="310"/>
        <w:spacing w:after="0"/>
        <w:tabs>
          <w:tab w:leader="none" w:pos="31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6" w:lineRule="exact"/>
        <w:rPr>
          <w:rFonts w:ascii="Arial" w:cs="Arial" w:eastAsia="Arial" w:hAnsi="Arial"/>
          <w:sz w:val="18"/>
          <w:szCs w:val="18"/>
          <w:b w:val="1"/>
          <w:bCs w:val="1"/>
          <w:color w:val="auto"/>
        </w:rPr>
      </w:pPr>
    </w:p>
    <w:p>
      <w:pPr>
        <w:ind w:left="10" w:right="180" w:firstLine="430"/>
        <w:spacing w:after="0" w:line="347" w:lineRule="auto"/>
        <w:tabs>
          <w:tab w:leader="none" w:pos="839" w:val="left"/>
        </w:tabs>
        <w:numPr>
          <w:ilvl w:val="1"/>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Authorization. </w:t>
      </w:r>
      <w:r>
        <w:rPr>
          <w:rFonts w:ascii="Arial" w:cs="Arial" w:eastAsia="Arial" w:hAnsi="Arial"/>
          <w:sz w:val="16"/>
          <w:szCs w:val="16"/>
          <w:color w:val="auto"/>
        </w:rPr>
        <w:t>As a condition to acceptance of any Award under the Plan, a Participant authorizes withholding from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other amounts payable to such Participant, and otherwise agree to make adequate provision for (including), any sums required to</w:t>
      </w:r>
    </w:p>
    <w:p>
      <w:pPr>
        <w:spacing w:after="0" w:line="5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90"/>
          </w:cols>
          <w:pgMar w:left="450" w:top="269" w:right="459" w:bottom="1440" w:gutter="0" w:footer="0" w:header="0"/>
        </w:sectPr>
      </w:pPr>
    </w:p>
    <w:bookmarkStart w:id="403" w:name="page404"/>
    <w:bookmarkEnd w:id="403"/>
    <w:p>
      <w:pPr>
        <w:ind w:left="10"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satisfy the federal, state, local and foreign tax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44" w:lineRule="exact"/>
        <w:rPr>
          <w:sz w:val="20"/>
          <w:szCs w:val="20"/>
          <w:color w:val="auto"/>
        </w:rPr>
      </w:pPr>
    </w:p>
    <w:p>
      <w:pPr>
        <w:ind w:left="10" w:right="160" w:firstLine="430"/>
        <w:spacing w:after="0" w:line="293" w:lineRule="auto"/>
        <w:tabs>
          <w:tab w:leader="none" w:pos="849" w:val="left"/>
        </w:tabs>
        <w:numPr>
          <w:ilvl w:val="1"/>
          <w:numId w:val="3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Satisfaction of Withholding Obligation. </w:t>
      </w:r>
      <w:r>
        <w:rPr>
          <w:rFonts w:ascii="Arial" w:cs="Arial" w:eastAsia="Arial" w:hAnsi="Arial"/>
          <w:sz w:val="16"/>
          <w:szCs w:val="16"/>
          <w:color w:val="auto"/>
        </w:rPr>
        <w:t>Unless prohibited by the terms of an Award Agreement, the Company may, in its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any federal, state or local tax withholding obligation relating to an Award by any of the following means or by a combination of such means:</w:t>
      </w:r>
    </w:p>
    <w:p>
      <w:pPr>
        <w:ind w:left="10" w:right="40" w:hanging="10"/>
        <w:spacing w:after="0" w:line="281" w:lineRule="auto"/>
        <w:tabs>
          <w:tab w:leader="none" w:pos="22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causing the Participant to tender a cash payment; (ii) withholding shares of Common Stock from the shares of Common Stock issued or otherwise issuable to the Participant in connection with the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 no shares of Common Stock are withheld with a Fair Market Value exceeding the maximum amount of tax that may be required to be withheld by law (or such other amount as may be permitted while still avoiding classification of the Stock Award as a liability for financial accounting purposes), and (B) with respect to an Award held by any Participant who is subject to the filing requirements of Section 16 of the Exchange Act, any such share withholding must be specifically approved by the Compensation Committee as the applicable method that must be used to satisfy the tax withholding obligation or such share withholding procedure must otherwise satisfy the requirements for an exempt transaction under Section 16(b) of the Exchange Act; (iii) withholding cash from an Award settled in cash;</w:t>
      </w:r>
    </w:p>
    <w:p>
      <w:pPr>
        <w:spacing w:after="0" w:line="2" w:lineRule="exact"/>
        <w:rPr>
          <w:rFonts w:ascii="Arial" w:cs="Arial" w:eastAsia="Arial" w:hAnsi="Arial"/>
          <w:sz w:val="16"/>
          <w:szCs w:val="16"/>
          <w:color w:val="auto"/>
        </w:rPr>
      </w:pPr>
    </w:p>
    <w:p>
      <w:pPr>
        <w:ind w:left="10" w:hanging="10"/>
        <w:spacing w:after="0" w:line="255" w:lineRule="auto"/>
        <w:tabs>
          <w:tab w:leader="none" w:pos="31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withholding payment from any amounts otherwise payable to the Participant; (v) by means of a “cashless exercise” pursuant to a program developed under Regulation T as promulgated by the Federal Reserve Board, or (vi) by such other method as may be set forth in the Award Agreement; provided, however, that</w:t>
      </w:r>
    </w:p>
    <w:p>
      <w:pPr>
        <w:spacing w:after="0" w:line="185" w:lineRule="exact"/>
        <w:rPr>
          <w:rFonts w:ascii="Arial" w:cs="Arial" w:eastAsia="Arial" w:hAnsi="Arial"/>
          <w:sz w:val="18"/>
          <w:szCs w:val="18"/>
          <w:color w:val="auto"/>
        </w:rPr>
      </w:pPr>
    </w:p>
    <w:p>
      <w:pPr>
        <w:ind w:left="10" w:right="580" w:firstLine="430"/>
        <w:spacing w:after="0" w:line="288" w:lineRule="auto"/>
        <w:tabs>
          <w:tab w:leader="none" w:pos="829" w:val="left"/>
        </w:tabs>
        <w:numPr>
          <w:ilvl w:val="1"/>
          <w:numId w:val="4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Indemnification. </w:t>
      </w:r>
      <w:r>
        <w:rPr>
          <w:rFonts w:ascii="Arial" w:cs="Arial" w:eastAsia="Arial" w:hAnsi="Arial"/>
          <w:sz w:val="17"/>
          <w:szCs w:val="17"/>
          <w:color w:val="auto"/>
        </w:rPr>
        <w:t>As a condition to accepting an Award under the Plan, in the event that the amount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 in connection with such Award was greater than the amount actually withheld by the Company, each Participant agrees to indemnify and hold the Company harmless from any failure by the Company to withhold the proper amount.</w:t>
      </w:r>
    </w:p>
    <w:p>
      <w:pPr>
        <w:spacing w:after="0" w:line="268" w:lineRule="exact"/>
        <w:rPr>
          <w:sz w:val="20"/>
          <w:szCs w:val="20"/>
          <w:color w:val="auto"/>
        </w:rPr>
      </w:pPr>
    </w:p>
    <w:p>
      <w:pPr>
        <w:ind w:left="310" w:hanging="310"/>
        <w:spacing w:after="0"/>
        <w:tabs>
          <w:tab w:leader="none" w:pos="31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700" w:firstLine="430"/>
        <w:spacing w:after="0" w:line="281" w:lineRule="auto"/>
        <w:tabs>
          <w:tab w:leader="none" w:pos="839" w:val="left"/>
        </w:tabs>
        <w:numPr>
          <w:ilvl w:val="1"/>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2" w:lineRule="exact"/>
        <w:rPr>
          <w:rFonts w:ascii="Arial" w:cs="Arial" w:eastAsia="Arial" w:hAnsi="Arial"/>
          <w:sz w:val="18"/>
          <w:szCs w:val="18"/>
          <w:b w:val="1"/>
          <w:bCs w:val="1"/>
          <w:color w:val="auto"/>
        </w:rPr>
      </w:pPr>
    </w:p>
    <w:p>
      <w:pPr>
        <w:ind w:left="10" w:firstLine="430"/>
        <w:spacing w:after="0" w:line="272" w:lineRule="auto"/>
        <w:tabs>
          <w:tab w:leader="none" w:pos="849" w:val="left"/>
        </w:tabs>
        <w:numPr>
          <w:ilvl w:val="1"/>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1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4" w:right="439" w:bottom="1440" w:gutter="0" w:footer="0" w:header="0"/>
        </w:sectPr>
      </w:pPr>
    </w:p>
    <w:bookmarkStart w:id="404" w:name="page405"/>
    <w:bookmarkEnd w:id="404"/>
    <w:p>
      <w:pPr>
        <w:ind w:firstLine="430"/>
        <w:spacing w:after="0" w:line="260" w:lineRule="auto"/>
        <w:tabs>
          <w:tab w:leader="none" w:pos="819"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 Rights. </w:t>
      </w:r>
      <w:r>
        <w:rPr>
          <w:rFonts w:ascii="Arial" w:cs="Arial" w:eastAsia="Arial" w:hAnsi="Arial"/>
          <w:sz w:val="18"/>
          <w:szCs w:val="18"/>
          <w:color w:val="auto"/>
        </w:rPr>
        <w:t>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82" w:lineRule="exact"/>
        <w:rPr>
          <w:rFonts w:ascii="Arial" w:cs="Arial" w:eastAsia="Arial" w:hAnsi="Arial"/>
          <w:sz w:val="18"/>
          <w:szCs w:val="18"/>
          <w:b w:val="1"/>
          <w:bCs w:val="1"/>
          <w:color w:val="auto"/>
        </w:rPr>
      </w:pPr>
    </w:p>
    <w:p>
      <w:pPr>
        <w:ind w:right="20" w:firstLine="430"/>
        <w:spacing w:after="0" w:line="288" w:lineRule="auto"/>
        <w:tabs>
          <w:tab w:leader="none" w:pos="840" w:val="left"/>
        </w:tabs>
        <w:numPr>
          <w:ilvl w:val="0"/>
          <w:numId w:val="4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Award Agreement or any other instrument executed thereunder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Furthermore, to the extent the Company is not the employer of a Participant, the grant of an Award will be not establish an employment or other service relationship between the Company and the Participant.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61" w:lineRule="exact"/>
        <w:rPr>
          <w:rFonts w:ascii="Arial" w:cs="Arial" w:eastAsia="Arial" w:hAnsi="Arial"/>
          <w:sz w:val="16"/>
          <w:szCs w:val="16"/>
          <w:b w:val="1"/>
          <w:bCs w:val="1"/>
          <w:color w:val="auto"/>
        </w:rPr>
      </w:pPr>
    </w:p>
    <w:p>
      <w:pPr>
        <w:ind w:firstLine="430"/>
        <w:spacing w:after="0" w:line="272" w:lineRule="auto"/>
        <w:tabs>
          <w:tab w:leader="none" w:pos="819" w:val="left"/>
        </w:tabs>
        <w:numPr>
          <w:ilvl w:val="0"/>
          <w:numId w:val="402"/>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5" w:lineRule="exact"/>
        <w:rPr>
          <w:rFonts w:ascii="Arial" w:cs="Arial" w:eastAsia="Arial" w:hAnsi="Arial"/>
          <w:sz w:val="17"/>
          <w:szCs w:val="17"/>
          <w:b w:val="1"/>
          <w:bCs w:val="1"/>
          <w:color w:val="auto"/>
        </w:rPr>
      </w:pPr>
    </w:p>
    <w:p>
      <w:pPr>
        <w:ind w:right="60" w:firstLine="430"/>
        <w:spacing w:after="0" w:line="256" w:lineRule="auto"/>
        <w:tabs>
          <w:tab w:leader="none" w:pos="80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60" w:top="270" w:right="439" w:bottom="1440" w:gutter="0" w:footer="0" w:header="0"/>
        </w:sectPr>
      </w:pPr>
    </w:p>
    <w:bookmarkStart w:id="405" w:name="page406"/>
    <w:bookmarkEnd w:id="405"/>
    <w:p>
      <w:pPr>
        <w:ind w:left="-20" w:right="60" w:firstLine="430"/>
        <w:spacing w:after="0" w:line="288" w:lineRule="auto"/>
        <w:tabs>
          <w:tab w:leader="none" w:pos="809"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Execution of Additional Documents. </w:t>
      </w:r>
      <w:r>
        <w:rPr>
          <w:rFonts w:ascii="Arial" w:cs="Arial" w:eastAsia="Arial" w:hAnsi="Arial"/>
          <w:sz w:val="17"/>
          <w:szCs w:val="17"/>
          <w:color w:val="auto"/>
        </w:rPr>
        <w:t>As a condition to accepting an Award under the Plan, the Participant agrees to execute any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instruments necessary or desirable, as determined in the Company’s sole discretion, to carry out the purposes or intent of the Award, or facilitate compliance with securities and/or other regulatory requirements, in each case at the Company’s request.</w:t>
      </w:r>
    </w:p>
    <w:p>
      <w:pPr>
        <w:spacing w:after="0" w:line="159" w:lineRule="exact"/>
        <w:rPr>
          <w:rFonts w:ascii="Arial" w:cs="Arial" w:eastAsia="Arial" w:hAnsi="Arial"/>
          <w:sz w:val="17"/>
          <w:szCs w:val="17"/>
          <w:b w:val="1"/>
          <w:bCs w:val="1"/>
          <w:color w:val="auto"/>
        </w:rPr>
      </w:pPr>
    </w:p>
    <w:p>
      <w:pPr>
        <w:ind w:left="-20" w:right="40" w:firstLine="430"/>
        <w:spacing w:after="0" w:line="274" w:lineRule="auto"/>
        <w:tabs>
          <w:tab w:leader="none" w:pos="820"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color w:val="auto"/>
        </w:rPr>
        <w:t>Electronic Delivery and Participation</w:t>
      </w:r>
      <w:r>
        <w:rPr>
          <w:rFonts w:ascii="Arial" w:cs="Arial" w:eastAsia="Arial" w:hAnsi="Arial"/>
          <w:sz w:val="17"/>
          <w:szCs w:val="17"/>
          <w:color w:val="auto"/>
        </w:rPr>
        <w:t>. 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if requested by the Company, to participate in the Plan through an on-line electronic system established and maintained by the Plan Administrator or another third party selected by the Plan Administrator. The form of delivery of any Common Stock (</w:t>
      </w:r>
      <w:r>
        <w:rPr>
          <w:rFonts w:ascii="Arial" w:cs="Arial" w:eastAsia="Arial" w:hAnsi="Arial"/>
          <w:sz w:val="17"/>
          <w:szCs w:val="17"/>
          <w:i w:val="1"/>
          <w:iCs w:val="1"/>
          <w:color w:val="auto"/>
        </w:rPr>
        <w:t>e.g.</w:t>
      </w:r>
      <w:r>
        <w:rPr>
          <w:rFonts w:ascii="Arial" w:cs="Arial" w:eastAsia="Arial" w:hAnsi="Arial"/>
          <w:sz w:val="17"/>
          <w:szCs w:val="17"/>
          <w:color w:val="auto"/>
        </w:rPr>
        <w:t>, a stock certificate or electronic entry evidencing such shares) shall be determined by the Company.</w:t>
      </w:r>
    </w:p>
    <w:p>
      <w:pPr>
        <w:spacing w:after="0" w:line="171" w:lineRule="exact"/>
        <w:rPr>
          <w:rFonts w:ascii="Arial" w:cs="Arial" w:eastAsia="Arial" w:hAnsi="Arial"/>
          <w:sz w:val="17"/>
          <w:szCs w:val="17"/>
          <w:b w:val="1"/>
          <w:bCs w:val="1"/>
          <w:color w:val="auto"/>
        </w:rPr>
      </w:pPr>
    </w:p>
    <w:p>
      <w:pPr>
        <w:ind w:left="-20" w:right="140" w:firstLine="430"/>
        <w:spacing w:after="0" w:line="314" w:lineRule="auto"/>
        <w:tabs>
          <w:tab w:leader="none" w:pos="770" w:val="left"/>
        </w:tabs>
        <w:numPr>
          <w:ilvl w:val="0"/>
          <w:numId w:val="4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w:t>
      </w:r>
    </w:p>
    <w:p>
      <w:pPr>
        <w:spacing w:after="0" w:line="141" w:lineRule="exact"/>
        <w:rPr>
          <w:rFonts w:ascii="Arial" w:cs="Arial" w:eastAsia="Arial" w:hAnsi="Arial"/>
          <w:sz w:val="16"/>
          <w:szCs w:val="16"/>
          <w:b w:val="1"/>
          <w:bCs w:val="1"/>
          <w:color w:val="auto"/>
        </w:rPr>
      </w:pPr>
    </w:p>
    <w:p>
      <w:pPr>
        <w:ind w:left="-20" w:firstLine="430"/>
        <w:spacing w:after="0" w:line="258" w:lineRule="auto"/>
        <w:tabs>
          <w:tab w:leader="none" w:pos="78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securities laws.</w:t>
      </w:r>
    </w:p>
    <w:p>
      <w:pPr>
        <w:spacing w:after="0" w:line="182" w:lineRule="exact"/>
        <w:rPr>
          <w:rFonts w:ascii="Arial" w:cs="Arial" w:eastAsia="Arial" w:hAnsi="Arial"/>
          <w:sz w:val="18"/>
          <w:szCs w:val="18"/>
          <w:b w:val="1"/>
          <w:bCs w:val="1"/>
          <w:color w:val="auto"/>
        </w:rPr>
      </w:pPr>
    </w:p>
    <w:p>
      <w:pPr>
        <w:ind w:left="-20" w:right="60" w:firstLine="430"/>
        <w:spacing w:after="0" w:line="254" w:lineRule="auto"/>
        <w:tabs>
          <w:tab w:leader="none" w:pos="82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the Plan will be subject to recoupment in accordance with any clawback policy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190" w:lineRule="exact"/>
        <w:rPr>
          <w:rFonts w:ascii="Arial" w:cs="Arial" w:eastAsia="Arial" w:hAnsi="Arial"/>
          <w:sz w:val="18"/>
          <w:szCs w:val="18"/>
          <w:b w:val="1"/>
          <w:bCs w:val="1"/>
          <w:color w:val="auto"/>
        </w:rPr>
      </w:pPr>
    </w:p>
    <w:p>
      <w:pPr>
        <w:ind w:left="-20" w:firstLine="430"/>
        <w:spacing w:after="0" w:line="280" w:lineRule="auto"/>
        <w:tabs>
          <w:tab w:leader="none" w:pos="770" w:val="left"/>
        </w:tabs>
        <w:numPr>
          <w:ilvl w:val="0"/>
          <w:numId w:val="4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Compliance. </w:t>
      </w:r>
      <w:r>
        <w:rPr>
          <w:rFonts w:ascii="Arial" w:cs="Arial" w:eastAsia="Arial" w:hAnsi="Arial"/>
          <w:sz w:val="17"/>
          <w:szCs w:val="17"/>
          <w:color w:val="auto"/>
        </w:rPr>
        <w:t>A Participant will not be issued any shares in respect of an Award unless either (i) the shares are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(ii) the Company has determined that such issuance would be exempt from the registration requirements of the Securities Act. Each Award also must comply with other applicable laws and regulations governing the Award, and a Participant will not receive such shares if the Company determines that such receipt would not be in material compliance with such laws and regulations.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80" w:top="270" w:right="479" w:bottom="1440" w:gutter="0" w:footer="0" w:header="0"/>
        </w:sectPr>
      </w:pPr>
    </w:p>
    <w:bookmarkStart w:id="406" w:name="page407"/>
    <w:bookmarkEnd w:id="406"/>
    <w:p>
      <w:pPr>
        <w:ind w:left="10" w:firstLine="430"/>
        <w:spacing w:after="0" w:line="268" w:lineRule="auto"/>
        <w:tabs>
          <w:tab w:leader="none" w:pos="899" w:val="left"/>
        </w:tabs>
        <w:numPr>
          <w:ilvl w:val="1"/>
          <w:numId w:val="40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Section 409A of the Code. </w:t>
      </w:r>
      <w:r>
        <w:rPr>
          <w:rFonts w:ascii="Arial" w:cs="Arial" w:eastAsia="Arial" w:hAnsi="Arial"/>
          <w:sz w:val="17"/>
          <w:szCs w:val="17"/>
          <w:color w:val="auto"/>
        </w:rPr>
        <w:t>Unless otherwise expressly provided for in an Award Agreement, the Plan and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291" w:lineRule="exact"/>
        <w:rPr>
          <w:rFonts w:ascii="Arial" w:cs="Arial" w:eastAsia="Arial" w:hAnsi="Arial"/>
          <w:sz w:val="17"/>
          <w:szCs w:val="17"/>
          <w:b w:val="1"/>
          <w:bCs w:val="1"/>
          <w:color w:val="auto"/>
        </w:rPr>
      </w:pPr>
    </w:p>
    <w:p>
      <w:pPr>
        <w:ind w:left="390" w:hanging="390"/>
        <w:spacing w:after="0"/>
        <w:tabs>
          <w:tab w:leader="none" w:pos="39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6" w:lineRule="exact"/>
        <w:rPr>
          <w:rFonts w:ascii="Arial" w:cs="Arial" w:eastAsia="Arial" w:hAnsi="Arial"/>
          <w:sz w:val="18"/>
          <w:szCs w:val="18"/>
          <w:b w:val="1"/>
          <w:bCs w:val="1"/>
          <w:color w:val="auto"/>
        </w:rPr>
      </w:pPr>
    </w:p>
    <w:p>
      <w:pPr>
        <w:ind w:left="10" w:right="20" w:firstLine="430"/>
        <w:spacing w:after="0" w:line="271" w:lineRule="auto"/>
        <w:tabs>
          <w:tab w:leader="none" w:pos="839" w:val="left"/>
        </w:tabs>
        <w:numPr>
          <w:ilvl w:val="1"/>
          <w:numId w:val="405"/>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3(d), and (iv) the class(es) and number of securities and price per share of stock subject to outstanding Stock Awards. The Board will make such adjustments, and its determination will be final, binding and conclusive. Notwithstanding the provisions of this Section 10(a), no fractional shares or rights for fractional shares of Common Stock shall be created pursuant to this Section 10(a). The Board shall, in its discretion, determine an equivalent benefit for any fractional shares or fractional shares that might be created by the adjustments referred to in this Section 10(a).</w:t>
      </w:r>
    </w:p>
    <w:p>
      <w:pPr>
        <w:spacing w:after="0" w:line="176" w:lineRule="exact"/>
        <w:rPr>
          <w:rFonts w:ascii="Arial" w:cs="Arial" w:eastAsia="Arial" w:hAnsi="Arial"/>
          <w:sz w:val="17"/>
          <w:szCs w:val="17"/>
          <w:b w:val="1"/>
          <w:bCs w:val="1"/>
          <w:color w:val="auto"/>
        </w:rPr>
      </w:pPr>
    </w:p>
    <w:p>
      <w:pPr>
        <w:ind w:left="10" w:right="80" w:firstLine="430"/>
        <w:spacing w:after="0" w:line="256" w:lineRule="auto"/>
        <w:tabs>
          <w:tab w:leader="none" w:pos="849" w:val="left"/>
        </w:tabs>
        <w:numPr>
          <w:ilvl w:val="1"/>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Except as otherwise provided in the Stock Award Agreement, in the event of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in its sole</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90"/>
          </w:cols>
          <w:pgMar w:left="450" w:top="270" w:right="459" w:bottom="1440" w:gutter="0" w:footer="0" w:header="0"/>
        </w:sectPr>
      </w:pPr>
    </w:p>
    <w:bookmarkStart w:id="407" w:name="page408"/>
    <w:bookmarkEnd w:id="407"/>
    <w:p>
      <w:pPr>
        <w:ind w:right="260"/>
        <w:spacing w:after="0" w:line="3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21" w:lineRule="exact"/>
        <w:rPr>
          <w:sz w:val="20"/>
          <w:szCs w:val="20"/>
          <w:color w:val="auto"/>
        </w:rPr>
      </w:pPr>
    </w:p>
    <w:p>
      <w:pPr>
        <w:ind w:right="100" w:firstLine="430"/>
        <w:spacing w:after="0" w:line="258" w:lineRule="auto"/>
        <w:tabs>
          <w:tab w:leader="none" w:pos="819"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Stock Awards in the event of a Corporate Transaction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Stock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86" w:lineRule="exact"/>
        <w:rPr>
          <w:rFonts w:ascii="Arial" w:cs="Arial" w:eastAsia="Arial" w:hAnsi="Arial"/>
          <w:sz w:val="18"/>
          <w:szCs w:val="18"/>
          <w:b w:val="1"/>
          <w:bCs w:val="1"/>
          <w:color w:val="auto"/>
        </w:rPr>
      </w:pPr>
    </w:p>
    <w:p>
      <w:pPr>
        <w:ind w:right="160" w:firstLine="871"/>
        <w:spacing w:after="0" w:line="263" w:lineRule="auto"/>
        <w:tabs>
          <w:tab w:leader="none" w:pos="1230" w:val="left"/>
        </w:tabs>
        <w:numPr>
          <w:ilvl w:val="1"/>
          <w:numId w:val="406"/>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82" w:lineRule="exact"/>
        <w:rPr>
          <w:rFonts w:ascii="Arial" w:cs="Arial" w:eastAsia="Arial" w:hAnsi="Arial"/>
          <w:sz w:val="18"/>
          <w:szCs w:val="18"/>
          <w:b w:val="1"/>
          <w:bCs w:val="1"/>
          <w:color w:val="auto"/>
        </w:rPr>
      </w:pPr>
    </w:p>
    <w:p>
      <w:pPr>
        <w:ind w:right="20" w:firstLine="871"/>
        <w:spacing w:after="0" w:line="307" w:lineRule="auto"/>
        <w:tabs>
          <w:tab w:leader="none" w:pos="1280" w:val="left"/>
        </w:tabs>
        <w:numPr>
          <w:ilvl w:val="1"/>
          <w:numId w:val="406"/>
        </w:numPr>
        <w:rPr>
          <w:rFonts w:ascii="Arial" w:cs="Arial" w:eastAsia="Arial" w:hAnsi="Arial"/>
          <w:sz w:val="17"/>
          <w:szCs w:val="17"/>
          <w:b w:val="1"/>
          <w:bCs w:val="1"/>
          <w:color w:val="auto"/>
        </w:rPr>
      </w:pPr>
      <w:r>
        <w:rPr>
          <w:rFonts w:ascii="Arial" w:cs="Arial" w:eastAsia="Arial" w:hAnsi="Arial"/>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47" w:lineRule="exact"/>
        <w:rPr>
          <w:rFonts w:ascii="Arial" w:cs="Arial" w:eastAsia="Arial" w:hAnsi="Arial"/>
          <w:sz w:val="17"/>
          <w:szCs w:val="17"/>
          <w:b w:val="1"/>
          <w:bCs w:val="1"/>
          <w:color w:val="auto"/>
        </w:rPr>
      </w:pPr>
    </w:p>
    <w:p>
      <w:pPr>
        <w:ind w:right="60" w:firstLine="871"/>
        <w:spacing w:after="0" w:line="256" w:lineRule="auto"/>
        <w:tabs>
          <w:tab w:leader="none" w:pos="1330" w:val="left"/>
        </w:tabs>
        <w:numPr>
          <w:ilvl w:val="1"/>
          <w:numId w:val="406"/>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which exercise is contingent upon the effectiveness of such Corporate Transaction with such Stock Award terminating if not exercised (if applicable) at or prior to the effective time of the Corporate Transaction in accordance with the exercise procedures determined by the Board;</w:t>
      </w:r>
    </w:p>
    <w:p>
      <w:pPr>
        <w:spacing w:after="0" w:line="191" w:lineRule="exact"/>
        <w:rPr>
          <w:rFonts w:ascii="Arial" w:cs="Arial" w:eastAsia="Arial" w:hAnsi="Arial"/>
          <w:sz w:val="18"/>
          <w:szCs w:val="18"/>
          <w:b w:val="1"/>
          <w:bCs w:val="1"/>
          <w:color w:val="auto"/>
        </w:rPr>
      </w:pPr>
    </w:p>
    <w:p>
      <w:pPr>
        <w:ind w:left="1320" w:hanging="449"/>
        <w:spacing w:after="0"/>
        <w:tabs>
          <w:tab w:leader="none" w:pos="1320" w:val="left"/>
        </w:tabs>
        <w:numPr>
          <w:ilvl w:val="1"/>
          <w:numId w:val="406"/>
        </w:numPr>
        <w:rPr>
          <w:rFonts w:ascii="Arial" w:cs="Arial" w:eastAsia="Arial" w:hAnsi="Arial"/>
          <w:sz w:val="17"/>
          <w:szCs w:val="17"/>
          <w:b w:val="1"/>
          <w:bCs w:val="1"/>
          <w:color w:val="auto"/>
        </w:rPr>
      </w:pPr>
      <w:r>
        <w:rPr>
          <w:rFonts w:ascii="Arial" w:cs="Arial" w:eastAsia="Arial" w:hAnsi="Arial"/>
          <w:sz w:val="17"/>
          <w:szCs w:val="17"/>
          <w:color w:val="auto"/>
        </w:rPr>
        <w:t>arrange for the lapse, in whole or in part, of any reacquisition or repurchase rights held by the Company with respect to the Stock</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Award; and</w:t>
      </w:r>
    </w:p>
    <w:p>
      <w:pPr>
        <w:spacing w:after="0" w:line="210" w:lineRule="exact"/>
        <w:rPr>
          <w:rFonts w:ascii="Arial" w:cs="Arial" w:eastAsia="Arial" w:hAnsi="Arial"/>
          <w:sz w:val="17"/>
          <w:szCs w:val="17"/>
          <w:b w:val="1"/>
          <w:bCs w:val="1"/>
          <w:color w:val="auto"/>
        </w:rPr>
      </w:pPr>
    </w:p>
    <w:p>
      <w:pPr>
        <w:ind w:firstLine="871"/>
        <w:spacing w:after="0" w:line="289" w:lineRule="auto"/>
        <w:tabs>
          <w:tab w:leader="none" w:pos="1270" w:val="left"/>
        </w:tabs>
        <w:numPr>
          <w:ilvl w:val="1"/>
          <w:numId w:val="406"/>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Corporate Transaction, in exchange for a payment, if any, in such form as may be determined by the Board, equal to the excess, if any, of (A), the per share amount (or value of property per share) payable to holders of Common Stock in connection with the Corporate Transaction, over (B) the per share exercise price under the applicable Award, multiplied by the number of shares subject to the Stock Award. Such payment may be subject to vesting based on the Participant’s Continuous Service, provided that the vesting schedule shall be no less favorable to the Participant than the schedule under which the Stock Award would have become vested and/or exercisable. In addition, any escrow, holdback, earnout or similar provisions in the definitive agreement for the Corporate Transaction may apply to such payment to the holder of the Stock Award to the same extent and in the same manner as such provisions apply to the holders of Common Stock. For clarity, this payment may be $0 if the amount per share (or value of property per share) payable to the holders of the Common Stock is equal to or less than the per share exercise price of the Stock Award.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60" w:top="274" w:right="439" w:bottom="1440" w:gutter="0" w:footer="0" w:header="0"/>
        </w:sectPr>
      </w:pPr>
    </w:p>
    <w:bookmarkStart w:id="408" w:name="page409"/>
    <w:bookmarkEnd w:id="408"/>
    <w:p>
      <w:pPr>
        <w:ind w:left="1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ind w:left="10" w:firstLine="430"/>
        <w:spacing w:after="0" w:line="288" w:lineRule="auto"/>
        <w:tabs>
          <w:tab w:leader="none" w:pos="849" w:val="left"/>
        </w:tabs>
        <w:numPr>
          <w:ilvl w:val="1"/>
          <w:numId w:val="4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59" w:lineRule="exact"/>
        <w:rPr>
          <w:rFonts w:ascii="Arial" w:cs="Arial" w:eastAsia="Arial" w:hAnsi="Arial"/>
          <w:sz w:val="17"/>
          <w:szCs w:val="17"/>
          <w:b w:val="1"/>
          <w:bCs w:val="1"/>
          <w:color w:val="auto"/>
        </w:rPr>
      </w:pPr>
    </w:p>
    <w:p>
      <w:pPr>
        <w:ind w:left="10" w:right="280" w:hanging="10"/>
        <w:spacing w:after="0" w:line="303" w:lineRule="auto"/>
        <w:tabs>
          <w:tab w:leader="none" w:pos="404" w:val="left"/>
        </w:tabs>
        <w:numPr>
          <w:ilvl w:val="0"/>
          <w:numId w:val="408"/>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all or any part of the Plan or any Award Agreement is declared by any court or governmental authority to be unlawful or</w:t>
      </w:r>
      <w:r>
        <w:rPr>
          <w:rFonts w:ascii="Arial" w:cs="Arial" w:eastAsia="Arial" w:hAnsi="Arial"/>
          <w:sz w:val="16"/>
          <w:szCs w:val="16"/>
          <w:b w:val="1"/>
          <w:bCs w:val="1"/>
          <w:color w:val="auto"/>
        </w:rPr>
        <w:t xml:space="preserve"> </w:t>
      </w:r>
      <w:r>
        <w:rPr>
          <w:rFonts w:ascii="Arial" w:cs="Arial" w:eastAsia="Arial" w:hAnsi="Arial"/>
          <w:sz w:val="16"/>
          <w:szCs w:val="16"/>
          <w:color w:val="auto"/>
        </w:rPr>
        <w:t>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50" w:lineRule="exact"/>
        <w:rPr>
          <w:rFonts w:ascii="Arial" w:cs="Arial" w:eastAsia="Arial" w:hAnsi="Arial"/>
          <w:sz w:val="16"/>
          <w:szCs w:val="16"/>
          <w:b w:val="1"/>
          <w:bCs w:val="1"/>
          <w:color w:val="auto"/>
        </w:rPr>
      </w:pPr>
    </w:p>
    <w:p>
      <w:pPr>
        <w:ind w:left="10" w:right="80" w:hanging="10"/>
        <w:spacing w:after="0" w:line="258" w:lineRule="auto"/>
        <w:tabs>
          <w:tab w:leader="none" w:pos="414"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suspend or terminate the Plan at any time. No Incentive Stock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after the tenth anniversary of the earlier of (i) the Adoption Date, or (ii) the date the Plan is approved by the stockholders of the Company. No Awards may be granted under the Plan while the Plan is suspended or after it is terminated. Suspension or termination of the Plan will not impair rights and obligations under any Award granted while the Plan is in effect except with the written consent of the affected Participant or as otherwise permitted in the Plan.</w:t>
      </w:r>
    </w:p>
    <w:p>
      <w:pPr>
        <w:spacing w:after="0" w:line="290" w:lineRule="exact"/>
        <w:rPr>
          <w:rFonts w:ascii="Arial" w:cs="Arial" w:eastAsia="Arial" w:hAnsi="Arial"/>
          <w:sz w:val="18"/>
          <w:szCs w:val="18"/>
          <w:b w:val="1"/>
          <w:bCs w:val="1"/>
          <w:color w:val="auto"/>
        </w:rPr>
      </w:pPr>
    </w:p>
    <w:p>
      <w:pPr>
        <w:ind w:left="410" w:hanging="410"/>
        <w:spacing w:after="0"/>
        <w:tabs>
          <w:tab w:leader="none" w:pos="41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20" w:firstLine="440"/>
        <w:spacing w:after="0" w:line="259" w:lineRule="auto"/>
        <w:rPr>
          <w:sz w:val="20"/>
          <w:szCs w:val="20"/>
          <w:color w:val="auto"/>
        </w:rPr>
      </w:pPr>
      <w:r>
        <w:rPr>
          <w:rFonts w:ascii="Arial" w:cs="Arial" w:eastAsia="Arial" w:hAnsi="Arial"/>
          <w:sz w:val="18"/>
          <w:szCs w:val="18"/>
          <w:color w:val="auto"/>
        </w:rPr>
        <w:t>The Plan will come into existence on the Adoption Date; provided, however, no Award may be granted prior to the IPO Date (that is, the Effective Date). In addition, no Stock Award will be exercised (or, in the case of a Restricted Stock Award, Restricted Stock Unit Award, Performance Stock Award, or Other Stock Award, will be granted) and no Performance Cash Award will be settled unless and until the Plan has been approved by the stockholders of the Company, which approval will be within 12 months after the Adoption Date.</w:t>
      </w:r>
    </w:p>
    <w:p>
      <w:pPr>
        <w:spacing w:after="0" w:line="290" w:lineRule="exact"/>
        <w:rPr>
          <w:sz w:val="20"/>
          <w:szCs w:val="20"/>
          <w:color w:val="auto"/>
        </w:rPr>
      </w:pPr>
    </w:p>
    <w:p>
      <w:pPr>
        <w:ind w:left="410" w:hanging="410"/>
        <w:spacing w:after="0"/>
        <w:tabs>
          <w:tab w:leader="none" w:pos="41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10" w:right="100" w:firstLine="440"/>
        <w:spacing w:after="0" w:line="277"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166" w:lineRule="exact"/>
        <w:rPr>
          <w:sz w:val="20"/>
          <w:szCs w:val="20"/>
          <w:color w:val="auto"/>
        </w:rPr>
      </w:pPr>
    </w:p>
    <w:p>
      <w:pPr>
        <w:ind w:left="410" w:hanging="410"/>
        <w:spacing w:after="0"/>
        <w:tabs>
          <w:tab w:leader="none" w:pos="41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228" w:lineRule="exact"/>
        <w:rPr>
          <w:rFonts w:ascii="Arial" w:cs="Arial" w:eastAsia="Arial" w:hAnsi="Arial"/>
          <w:sz w:val="18"/>
          <w:szCs w:val="18"/>
          <w:b w:val="1"/>
          <w:bCs w:val="1"/>
          <w:color w:val="auto"/>
        </w:rPr>
      </w:pPr>
    </w:p>
    <w:p>
      <w:pPr>
        <w:ind w:left="830" w:hanging="390"/>
        <w:spacing w:after="0"/>
        <w:tabs>
          <w:tab w:leader="none" w:pos="830" w:val="left"/>
        </w:tabs>
        <w:numPr>
          <w:ilvl w:val="1"/>
          <w:numId w:val="4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adopted by the Board.</w:t>
      </w:r>
    </w:p>
    <w:p>
      <w:pPr>
        <w:spacing w:after="0" w:line="224" w:lineRule="exact"/>
        <w:rPr>
          <w:rFonts w:ascii="Arial" w:cs="Arial" w:eastAsia="Arial" w:hAnsi="Arial"/>
          <w:sz w:val="18"/>
          <w:szCs w:val="18"/>
          <w:b w:val="1"/>
          <w:bCs w:val="1"/>
          <w:color w:val="auto"/>
        </w:rPr>
      </w:pPr>
    </w:p>
    <w:p>
      <w:pPr>
        <w:ind w:left="10" w:right="340" w:firstLine="430"/>
        <w:spacing w:after="0" w:line="341" w:lineRule="auto"/>
        <w:tabs>
          <w:tab w:leader="none" w:pos="849" w:val="left"/>
        </w:tabs>
        <w:numPr>
          <w:ilvl w:val="1"/>
          <w:numId w:val="41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90"/>
          </w:cols>
          <w:pgMar w:left="450" w:top="273" w:right="459" w:bottom="1440" w:gutter="0" w:footer="0" w:header="0"/>
        </w:sectPr>
      </w:pPr>
    </w:p>
    <w:bookmarkStart w:id="409" w:name="page410"/>
    <w:bookmarkEnd w:id="409"/>
    <w:p>
      <w:pPr>
        <w:ind w:left="810" w:hanging="370"/>
        <w:spacing w:after="0"/>
        <w:tabs>
          <w:tab w:leader="none" w:pos="810"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224" w:lineRule="exact"/>
        <w:rPr>
          <w:rFonts w:ascii="Arial" w:cs="Arial" w:eastAsia="Arial" w:hAnsi="Arial"/>
          <w:sz w:val="18"/>
          <w:szCs w:val="18"/>
          <w:b w:val="1"/>
          <w:bCs w:val="1"/>
          <w:color w:val="auto"/>
        </w:rPr>
      </w:pPr>
    </w:p>
    <w:p>
      <w:pPr>
        <w:ind w:left="830" w:hanging="390"/>
        <w:spacing w:after="0"/>
        <w:tabs>
          <w:tab w:leader="none" w:pos="830" w:val="left"/>
        </w:tabs>
        <w:numPr>
          <w:ilvl w:val="1"/>
          <w:numId w:val="4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247" w:lineRule="exact"/>
        <w:rPr>
          <w:rFonts w:ascii="Arial" w:cs="Arial" w:eastAsia="Arial" w:hAnsi="Arial"/>
          <w:sz w:val="16"/>
          <w:szCs w:val="16"/>
          <w:b w:val="1"/>
          <w:bCs w:val="1"/>
          <w:color w:val="auto"/>
        </w:rPr>
      </w:pPr>
    </w:p>
    <w:p>
      <w:pPr>
        <w:ind w:left="810" w:hanging="370"/>
        <w:spacing w:after="0"/>
        <w:tabs>
          <w:tab w:leader="none" w:pos="810"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4" w:lineRule="exact"/>
        <w:rPr>
          <w:rFonts w:ascii="Arial" w:cs="Arial" w:eastAsia="Arial" w:hAnsi="Arial"/>
          <w:sz w:val="18"/>
          <w:szCs w:val="18"/>
          <w:b w:val="1"/>
          <w:bCs w:val="1"/>
          <w:color w:val="auto"/>
        </w:rPr>
      </w:pPr>
    </w:p>
    <w:p>
      <w:pPr>
        <w:ind w:left="10" w:right="60" w:firstLine="430"/>
        <w:spacing w:after="0" w:line="293" w:lineRule="auto"/>
        <w:tabs>
          <w:tab w:leader="none" w:pos="809" w:val="left"/>
        </w:tabs>
        <w:numPr>
          <w:ilvl w:val="1"/>
          <w:numId w:val="4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3" w:lineRule="exact"/>
        <w:rPr>
          <w:rFonts w:ascii="Arial" w:cs="Arial" w:eastAsia="Arial" w:hAnsi="Arial"/>
          <w:sz w:val="16"/>
          <w:szCs w:val="16"/>
          <w:b w:val="1"/>
          <w:bCs w:val="1"/>
          <w:color w:val="auto"/>
        </w:rPr>
      </w:pPr>
    </w:p>
    <w:p>
      <w:pPr>
        <w:ind w:left="10" w:firstLine="430"/>
        <w:spacing w:after="0" w:line="287" w:lineRule="auto"/>
        <w:tabs>
          <w:tab w:leader="none" w:pos="839" w:val="left"/>
        </w:tabs>
        <w:numPr>
          <w:ilvl w:val="1"/>
          <w:numId w:val="4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indictment or conviction of, or plea of no contest with respect to, any felony or crime involving dishonesty or moral turpitude;</w:t>
      </w:r>
    </w:p>
    <w:p>
      <w:pPr>
        <w:spacing w:after="0" w:line="1" w:lineRule="exact"/>
        <w:rPr>
          <w:rFonts w:ascii="Arial" w:cs="Arial" w:eastAsia="Arial" w:hAnsi="Arial"/>
          <w:sz w:val="16"/>
          <w:szCs w:val="16"/>
          <w:b w:val="1"/>
          <w:bCs w:val="1"/>
          <w:color w:val="auto"/>
        </w:rPr>
      </w:pPr>
    </w:p>
    <w:p>
      <w:pPr>
        <w:ind w:left="10" w:hanging="10"/>
        <w:spacing w:after="0" w:line="267" w:lineRule="auto"/>
        <w:tabs>
          <w:tab w:leader="none" w:pos="274" w:val="left"/>
        </w:tabs>
        <w:numPr>
          <w:ilvl w:val="0"/>
          <w:numId w:val="412"/>
        </w:numPr>
        <w:rPr>
          <w:rFonts w:ascii="Arial" w:cs="Arial" w:eastAsia="Arial" w:hAnsi="Arial"/>
          <w:sz w:val="17"/>
          <w:szCs w:val="17"/>
          <w:color w:val="auto"/>
        </w:rPr>
      </w:pPr>
      <w:r>
        <w:rPr>
          <w:rFonts w:ascii="Arial" w:cs="Arial" w:eastAsia="Arial" w:hAnsi="Arial"/>
          <w:sz w:val="17"/>
          <w:szCs w:val="17"/>
          <w:color w:val="auto"/>
        </w:rPr>
        <w:t>such Participant’s failure to satisfactorily perform his or her job duties as assigned by the Board or the officers of the Company, inability to meet documented performance goals, willful neglect of his or her duties, or refusal or failure to follow the lawful and reasonable directions of the Board or the officers of the Company, provided that the Company first provides the Participant with written notice of such conduct and 30 days to cure the conduct (if curable), and the Participant has failed to cure such conduct within such 30 day period; (iii) such Participant’s disloyalty, gross negligence, willful misconduct, dishonesty, fraud or breach of fiduciary duty to the Company; (iv) such Participant’s violation of any rule or policy of the Company, or breach of an employment, consulting or other agreement with the Company, which could reasonably result in direct or indirect loss, damage or injury to the Company; (v) such Participant’s disclosure of any trade secret or confidential information of the Company; (vi) such Participant’s commission of an act which could at the discretion of the Company be reasonably deemed to constitute unfair competition with the Company or induce any customer or supplier to breach a contract with the Company; or (vii) such Participant’s intentional acts on the part of the Participant that have generated material adverse publicity toward or about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1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0"/>
          </w:cols>
          <w:pgMar w:left="450" w:top="274" w:right="459" w:bottom="1440" w:gutter="0" w:footer="0" w:header="0"/>
        </w:sectPr>
      </w:pPr>
    </w:p>
    <w:bookmarkStart w:id="410" w:name="page411"/>
    <w:bookmarkEnd w:id="410"/>
    <w:p>
      <w:pPr>
        <w:ind w:left="820" w:hanging="390"/>
        <w:spacing w:after="0"/>
        <w:tabs>
          <w:tab w:leader="none" w:pos="820" w:val="left"/>
        </w:tabs>
        <w:numPr>
          <w:ilvl w:val="0"/>
          <w:numId w:val="41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ind w:firstLine="871"/>
        <w:spacing w:after="0" w:line="285" w:lineRule="auto"/>
        <w:tabs>
          <w:tab w:leader="none" w:pos="1230" w:val="left"/>
        </w:tabs>
        <w:numPr>
          <w:ilvl w:val="1"/>
          <w:numId w:val="413"/>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Arial" w:cs="Arial" w:eastAsia="Arial" w:hAnsi="Arial"/>
          <w:sz w:val="16"/>
          <w:szCs w:val="16"/>
          <w:b w:val="1"/>
          <w:bCs w:val="1"/>
          <w:i w:val="1"/>
          <w:iCs w:val="1"/>
          <w:color w:val="auto"/>
        </w:rPr>
        <w:t>IPO Investor</w:t>
      </w:r>
      <w:r>
        <w:rPr>
          <w:rFonts w:ascii="Arial" w:cs="Arial" w:eastAsia="Arial" w:hAnsi="Arial"/>
          <w:sz w:val="16"/>
          <w:szCs w:val="16"/>
          <w:color w:val="auto"/>
        </w:rPr>
        <w:t>”) and/or any entity in which an IPO Investor has a direct or indirect interest (whether in the form of voting rights or participation in profits or capital contributions) of more than 50% (collectively, the “</w:t>
      </w:r>
      <w:r>
        <w:rPr>
          <w:rFonts w:ascii="Arial" w:cs="Arial" w:eastAsia="Arial" w:hAnsi="Arial"/>
          <w:sz w:val="16"/>
          <w:szCs w:val="16"/>
          <w:b w:val="1"/>
          <w:bCs w:val="1"/>
          <w:i w:val="1"/>
          <w:iCs w:val="1"/>
          <w:color w:val="auto"/>
        </w:rPr>
        <w:t>IPO Entities</w:t>
      </w:r>
      <w:r>
        <w:rPr>
          <w:rFonts w:ascii="Arial" w:cs="Arial" w:eastAsia="Arial" w:hAnsi="Arial"/>
          <w:sz w:val="16"/>
          <w:szCs w:val="16"/>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0" w:lineRule="exact"/>
        <w:rPr>
          <w:rFonts w:ascii="Arial" w:cs="Arial" w:eastAsia="Arial" w:hAnsi="Arial"/>
          <w:sz w:val="16"/>
          <w:szCs w:val="16"/>
          <w:b w:val="1"/>
          <w:bCs w:val="1"/>
          <w:color w:val="auto"/>
        </w:rPr>
      </w:pPr>
    </w:p>
    <w:p>
      <w:pPr>
        <w:ind w:right="140" w:firstLine="871"/>
        <w:spacing w:after="0" w:line="271" w:lineRule="auto"/>
        <w:tabs>
          <w:tab w:leader="none" w:pos="1280" w:val="left"/>
        </w:tabs>
        <w:numPr>
          <w:ilvl w:val="1"/>
          <w:numId w:val="413"/>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76" w:lineRule="exact"/>
        <w:rPr>
          <w:rFonts w:ascii="Arial" w:cs="Arial" w:eastAsia="Arial" w:hAnsi="Arial"/>
          <w:sz w:val="17"/>
          <w:szCs w:val="17"/>
          <w:b w:val="1"/>
          <w:bCs w:val="1"/>
          <w:color w:val="auto"/>
        </w:rPr>
      </w:pPr>
    </w:p>
    <w:p>
      <w:pPr>
        <w:ind w:right="180" w:firstLine="871"/>
        <w:spacing w:after="0" w:line="275" w:lineRule="auto"/>
        <w:tabs>
          <w:tab w:leader="none" w:pos="1330" w:val="left"/>
        </w:tabs>
        <w:numPr>
          <w:ilvl w:val="1"/>
          <w:numId w:val="413"/>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sale, lease, exclusive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60" w:top="274" w:right="439" w:bottom="1440" w:gutter="0" w:footer="0" w:header="0"/>
        </w:sectPr>
      </w:pPr>
    </w:p>
    <w:bookmarkStart w:id="411" w:name="page412"/>
    <w:bookmarkEnd w:id="41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83" w:lineRule="exact"/>
        <w:rPr>
          <w:sz w:val="20"/>
          <w:szCs w:val="20"/>
          <w:color w:val="auto"/>
        </w:rPr>
      </w:pPr>
    </w:p>
    <w:p>
      <w:pPr>
        <w:ind w:right="160" w:firstLine="871"/>
        <w:spacing w:after="0" w:line="279" w:lineRule="auto"/>
        <w:tabs>
          <w:tab w:leader="none" w:pos="1320" w:val="left"/>
        </w:tabs>
        <w:numPr>
          <w:ilvl w:val="0"/>
          <w:numId w:val="414"/>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Notwithstanding the foregoing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no definition of Change in Control or any analogous term is set forth in such an individual written agreement, the foregoing definition will apply. To the extent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64" w:lineRule="exact"/>
        <w:rPr>
          <w:sz w:val="20"/>
          <w:szCs w:val="20"/>
          <w:color w:val="auto"/>
        </w:rPr>
      </w:pPr>
    </w:p>
    <w:p>
      <w:pPr>
        <w:ind w:left="780" w:hanging="350"/>
        <w:spacing w:after="0"/>
        <w:tabs>
          <w:tab w:leader="none" w:pos="780"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4" w:lineRule="exact"/>
        <w:rPr>
          <w:rFonts w:ascii="Arial" w:cs="Arial" w:eastAsia="Arial" w:hAnsi="Arial"/>
          <w:sz w:val="18"/>
          <w:szCs w:val="18"/>
          <w:b w:val="1"/>
          <w:bCs w:val="1"/>
          <w:color w:val="auto"/>
        </w:rPr>
      </w:pPr>
    </w:p>
    <w:p>
      <w:pPr>
        <w:ind w:right="780" w:firstLine="430"/>
        <w:spacing w:after="0" w:line="277" w:lineRule="auto"/>
        <w:tabs>
          <w:tab w:leader="none" w:pos="844"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2(c).</w:t>
      </w:r>
    </w:p>
    <w:p>
      <w:pPr>
        <w:spacing w:after="0" w:line="169" w:lineRule="exact"/>
        <w:rPr>
          <w:rFonts w:ascii="Arial" w:cs="Arial" w:eastAsia="Arial" w:hAnsi="Arial"/>
          <w:sz w:val="18"/>
          <w:szCs w:val="18"/>
          <w:b w:val="1"/>
          <w:bCs w:val="1"/>
          <w:color w:val="auto"/>
        </w:rPr>
      </w:pPr>
    </w:p>
    <w:p>
      <w:pPr>
        <w:ind w:left="820" w:hanging="390"/>
        <w:spacing w:after="0"/>
        <w:tabs>
          <w:tab w:leader="none" w:pos="820"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common stock of the Company, having one vote per share.</w:t>
      </w:r>
    </w:p>
    <w:p>
      <w:pPr>
        <w:spacing w:after="0" w:line="224" w:lineRule="exact"/>
        <w:rPr>
          <w:rFonts w:ascii="Arial" w:cs="Arial" w:eastAsia="Arial" w:hAnsi="Arial"/>
          <w:sz w:val="18"/>
          <w:szCs w:val="18"/>
          <w:b w:val="1"/>
          <w:bCs w:val="1"/>
          <w:color w:val="auto"/>
        </w:rPr>
      </w:pPr>
    </w:p>
    <w:p>
      <w:pPr>
        <w:ind w:left="780" w:hanging="350"/>
        <w:spacing w:after="0"/>
        <w:tabs>
          <w:tab w:leader="none" w:pos="780"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SI-BONE, Inc., a Delaware corporation.</w:t>
      </w:r>
    </w:p>
    <w:p>
      <w:pPr>
        <w:spacing w:after="0" w:line="224" w:lineRule="exact"/>
        <w:rPr>
          <w:rFonts w:ascii="Arial" w:cs="Arial" w:eastAsia="Arial" w:hAnsi="Arial"/>
          <w:sz w:val="18"/>
          <w:szCs w:val="18"/>
          <w:b w:val="1"/>
          <w:bCs w:val="1"/>
          <w:color w:val="auto"/>
        </w:rPr>
      </w:pPr>
    </w:p>
    <w:p>
      <w:pPr>
        <w:ind w:right="60" w:firstLine="430"/>
        <w:spacing w:after="0" w:line="275" w:lineRule="auto"/>
        <w:tabs>
          <w:tab w:leader="none" w:pos="889" w:val="left"/>
        </w:tabs>
        <w:numPr>
          <w:ilvl w:val="0"/>
          <w:numId w:val="4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412" w:name="page413"/>
    <w:bookmarkEnd w:id="412"/>
    <w:p>
      <w:pPr>
        <w:ind w:firstLine="430"/>
        <w:spacing w:after="0" w:line="285" w:lineRule="auto"/>
        <w:tabs>
          <w:tab w:leader="none" w:pos="840" w:val="left"/>
        </w:tabs>
        <w:numPr>
          <w:ilvl w:val="0"/>
          <w:numId w:val="41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6" w:lineRule="exact"/>
        <w:rPr>
          <w:rFonts w:ascii="Arial" w:cs="Arial" w:eastAsia="Arial" w:hAnsi="Arial"/>
          <w:sz w:val="16"/>
          <w:szCs w:val="16"/>
          <w:b w:val="1"/>
          <w:bCs w:val="1"/>
          <w:color w:val="auto"/>
        </w:rPr>
      </w:pPr>
    </w:p>
    <w:p>
      <w:pPr>
        <w:ind w:right="300" w:firstLine="430"/>
        <w:spacing w:after="0" w:line="277" w:lineRule="auto"/>
        <w:tabs>
          <w:tab w:leader="none" w:pos="829" w:val="left"/>
        </w:tabs>
        <w:numPr>
          <w:ilvl w:val="0"/>
          <w:numId w:val="4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69" w:lineRule="exact"/>
        <w:rPr>
          <w:rFonts w:ascii="Arial" w:cs="Arial" w:eastAsia="Arial" w:hAnsi="Arial"/>
          <w:sz w:val="18"/>
          <w:szCs w:val="18"/>
          <w:b w:val="1"/>
          <w:bCs w:val="1"/>
          <w:color w:val="auto"/>
        </w:rPr>
      </w:pPr>
    </w:p>
    <w:p>
      <w:pPr>
        <w:ind w:right="160" w:firstLine="871"/>
        <w:spacing w:after="0" w:line="277" w:lineRule="auto"/>
        <w:tabs>
          <w:tab w:leader="none" w:pos="1230" w:val="left"/>
        </w:tabs>
        <w:numPr>
          <w:ilvl w:val="1"/>
          <w:numId w:val="41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69" w:lineRule="exact"/>
        <w:rPr>
          <w:rFonts w:ascii="Arial" w:cs="Arial" w:eastAsia="Arial" w:hAnsi="Arial"/>
          <w:sz w:val="18"/>
          <w:szCs w:val="18"/>
          <w:b w:val="1"/>
          <w:bCs w:val="1"/>
          <w:color w:val="auto"/>
        </w:rPr>
      </w:pPr>
    </w:p>
    <w:p>
      <w:pPr>
        <w:ind w:left="1280" w:hanging="409"/>
        <w:spacing w:after="0"/>
        <w:tabs>
          <w:tab w:leader="none" w:pos="1280" w:val="left"/>
        </w:tabs>
        <w:numPr>
          <w:ilvl w:val="1"/>
          <w:numId w:val="41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4" w:lineRule="exact"/>
        <w:rPr>
          <w:rFonts w:ascii="Arial" w:cs="Arial" w:eastAsia="Arial" w:hAnsi="Arial"/>
          <w:sz w:val="18"/>
          <w:szCs w:val="18"/>
          <w:b w:val="1"/>
          <w:bCs w:val="1"/>
          <w:color w:val="auto"/>
        </w:rPr>
      </w:pPr>
    </w:p>
    <w:p>
      <w:pPr>
        <w:ind w:left="1320" w:hanging="449"/>
        <w:spacing w:after="0"/>
        <w:tabs>
          <w:tab w:leader="none" w:pos="1320" w:val="left"/>
        </w:tabs>
        <w:numPr>
          <w:ilvl w:val="1"/>
          <w:numId w:val="41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4" w:lineRule="exact"/>
        <w:rPr>
          <w:rFonts w:ascii="Arial" w:cs="Arial" w:eastAsia="Arial" w:hAnsi="Arial"/>
          <w:sz w:val="18"/>
          <w:szCs w:val="18"/>
          <w:b w:val="1"/>
          <w:bCs w:val="1"/>
          <w:color w:val="auto"/>
        </w:rPr>
      </w:pPr>
    </w:p>
    <w:p>
      <w:pPr>
        <w:ind w:right="220" w:firstLine="871"/>
        <w:spacing w:after="0" w:line="263" w:lineRule="auto"/>
        <w:tabs>
          <w:tab w:leader="none" w:pos="1320" w:val="left"/>
        </w:tabs>
        <w:numPr>
          <w:ilvl w:val="1"/>
          <w:numId w:val="41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If required for compliance with Section 409A of the Code, in no event will a Corporate Transaction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4" w:right="439" w:bottom="1440" w:gutter="0" w:footer="0" w:header="0"/>
        </w:sectPr>
      </w:pPr>
    </w:p>
    <w:bookmarkStart w:id="413" w:name="page414"/>
    <w:bookmarkEnd w:id="413"/>
    <w:p>
      <w:pPr>
        <w:ind w:left="820" w:hanging="390"/>
        <w:spacing w:after="0"/>
        <w:tabs>
          <w:tab w:leader="none" w:pos="820"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4" w:lineRule="exact"/>
        <w:rPr>
          <w:rFonts w:ascii="Arial" w:cs="Arial" w:eastAsia="Arial" w:hAnsi="Arial"/>
          <w:sz w:val="18"/>
          <w:szCs w:val="18"/>
          <w:b w:val="1"/>
          <w:bCs w:val="1"/>
          <w:color w:val="auto"/>
        </w:rPr>
      </w:pPr>
    </w:p>
    <w:p>
      <w:pPr>
        <w:ind w:right="40" w:firstLine="430"/>
        <w:spacing w:after="0" w:line="259" w:lineRule="auto"/>
        <w:tabs>
          <w:tab w:leader="none" w:pos="840"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85" w:lineRule="exact"/>
        <w:rPr>
          <w:rFonts w:ascii="Arial" w:cs="Arial" w:eastAsia="Arial" w:hAnsi="Arial"/>
          <w:sz w:val="18"/>
          <w:szCs w:val="18"/>
          <w:b w:val="1"/>
          <w:bCs w:val="1"/>
          <w:color w:val="auto"/>
        </w:rPr>
      </w:pPr>
    </w:p>
    <w:p>
      <w:pPr>
        <w:ind w:left="860" w:hanging="430"/>
        <w:spacing w:after="0"/>
        <w:tabs>
          <w:tab w:leader="none" w:pos="860"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IPO Date.</w:t>
      </w:r>
    </w:p>
    <w:p>
      <w:pPr>
        <w:spacing w:after="0" w:line="224" w:lineRule="exact"/>
        <w:rPr>
          <w:rFonts w:ascii="Arial" w:cs="Arial" w:eastAsia="Arial" w:hAnsi="Arial"/>
          <w:sz w:val="18"/>
          <w:szCs w:val="18"/>
          <w:b w:val="1"/>
          <w:bCs w:val="1"/>
          <w:color w:val="auto"/>
        </w:rPr>
      </w:pPr>
    </w:p>
    <w:p>
      <w:pPr>
        <w:ind w:right="40" w:firstLine="430"/>
        <w:spacing w:after="0" w:line="277" w:lineRule="auto"/>
        <w:tabs>
          <w:tab w:leader="none" w:pos="810"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69" w:lineRule="exact"/>
        <w:rPr>
          <w:rFonts w:ascii="Arial" w:cs="Arial" w:eastAsia="Arial" w:hAnsi="Arial"/>
          <w:sz w:val="18"/>
          <w:szCs w:val="18"/>
          <w:b w:val="1"/>
          <w:bCs w:val="1"/>
          <w:color w:val="auto"/>
        </w:rPr>
      </w:pPr>
    </w:p>
    <w:p>
      <w:pPr>
        <w:ind w:left="780" w:hanging="350"/>
        <w:spacing w:after="0"/>
        <w:tabs>
          <w:tab w:leader="none" w:pos="780"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4" w:lineRule="exact"/>
        <w:rPr>
          <w:rFonts w:ascii="Arial" w:cs="Arial" w:eastAsia="Arial" w:hAnsi="Arial"/>
          <w:sz w:val="18"/>
          <w:szCs w:val="18"/>
          <w:b w:val="1"/>
          <w:bCs w:val="1"/>
          <w:color w:val="auto"/>
        </w:rPr>
      </w:pPr>
    </w:p>
    <w:p>
      <w:pPr>
        <w:ind w:left="820" w:hanging="390"/>
        <w:spacing w:after="0"/>
        <w:tabs>
          <w:tab w:leader="none" w:pos="820" w:val="left"/>
        </w:tabs>
        <w:numPr>
          <w:ilvl w:val="0"/>
          <w:numId w:val="4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right="60" w:firstLine="430"/>
        <w:spacing w:after="0" w:line="254" w:lineRule="auto"/>
        <w:tabs>
          <w:tab w:leader="none" w:pos="829"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90" w:lineRule="exact"/>
        <w:rPr>
          <w:rFonts w:ascii="Arial" w:cs="Arial" w:eastAsia="Arial" w:hAnsi="Arial"/>
          <w:sz w:val="18"/>
          <w:szCs w:val="18"/>
          <w:b w:val="1"/>
          <w:bCs w:val="1"/>
          <w:color w:val="auto"/>
        </w:rPr>
      </w:pPr>
    </w:p>
    <w:p>
      <w:pPr>
        <w:ind w:left="860" w:hanging="430"/>
        <w:spacing w:after="0"/>
        <w:tabs>
          <w:tab w:leader="none" w:pos="860"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4" w:lineRule="exact"/>
        <w:rPr>
          <w:rFonts w:ascii="Arial" w:cs="Arial" w:eastAsia="Arial" w:hAnsi="Arial"/>
          <w:sz w:val="18"/>
          <w:szCs w:val="18"/>
          <w:b w:val="1"/>
          <w:bCs w:val="1"/>
          <w:color w:val="auto"/>
        </w:rPr>
      </w:pPr>
    </w:p>
    <w:p>
      <w:pPr>
        <w:ind w:firstLine="871"/>
        <w:spacing w:after="0" w:line="259" w:lineRule="auto"/>
        <w:tabs>
          <w:tab w:leader="none" w:pos="1230" w:val="left"/>
        </w:tabs>
        <w:numPr>
          <w:ilvl w:val="1"/>
          <w:numId w:val="417"/>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5" w:lineRule="exact"/>
        <w:rPr>
          <w:rFonts w:ascii="Arial" w:cs="Arial" w:eastAsia="Arial" w:hAnsi="Arial"/>
          <w:sz w:val="18"/>
          <w:szCs w:val="18"/>
          <w:b w:val="1"/>
          <w:bCs w:val="1"/>
          <w:color w:val="auto"/>
        </w:rPr>
      </w:pPr>
    </w:p>
    <w:p>
      <w:pPr>
        <w:ind w:right="60" w:firstLine="871"/>
        <w:spacing w:after="0" w:line="277" w:lineRule="auto"/>
        <w:tabs>
          <w:tab w:leader="none" w:pos="1280" w:val="left"/>
        </w:tabs>
        <w:numPr>
          <w:ilvl w:val="1"/>
          <w:numId w:val="417"/>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3" w:right="439" w:bottom="1440" w:gutter="0" w:footer="0" w:header="0"/>
        </w:sectPr>
      </w:pPr>
    </w:p>
    <w:bookmarkStart w:id="414" w:name="page415"/>
    <w:bookmarkEnd w:id="414"/>
    <w:p>
      <w:pPr>
        <w:ind w:left="10" w:right="160" w:firstLine="871"/>
        <w:spacing w:after="0" w:line="277" w:lineRule="auto"/>
        <w:tabs>
          <w:tab w:leader="none" w:pos="1340" w:val="left"/>
        </w:tabs>
        <w:numPr>
          <w:ilvl w:val="2"/>
          <w:numId w:val="4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such markets for the Common Stock, the Fair Market Value will be determined by the Board in good faith and in a manner that complies with Sections 409A and 422 of the Code.</w:t>
      </w:r>
    </w:p>
    <w:p>
      <w:pPr>
        <w:spacing w:after="0" w:line="169" w:lineRule="exact"/>
        <w:rPr>
          <w:rFonts w:ascii="Arial" w:cs="Arial" w:eastAsia="Arial" w:hAnsi="Arial"/>
          <w:sz w:val="18"/>
          <w:szCs w:val="18"/>
          <w:b w:val="1"/>
          <w:bCs w:val="1"/>
          <w:color w:val="auto"/>
        </w:rPr>
      </w:pPr>
    </w:p>
    <w:p>
      <w:pPr>
        <w:ind w:left="10" w:firstLine="430"/>
        <w:spacing w:after="0" w:line="277" w:lineRule="auto"/>
        <w:tabs>
          <w:tab w:leader="none" w:pos="839"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 “incentive stock option” within the meaning of Section 422 of the Code.</w:t>
      </w:r>
    </w:p>
    <w:p>
      <w:pPr>
        <w:spacing w:after="0" w:line="169" w:lineRule="exact"/>
        <w:rPr>
          <w:rFonts w:ascii="Arial" w:cs="Arial" w:eastAsia="Arial" w:hAnsi="Arial"/>
          <w:sz w:val="18"/>
          <w:szCs w:val="18"/>
          <w:b w:val="1"/>
          <w:bCs w:val="1"/>
          <w:color w:val="auto"/>
        </w:rPr>
      </w:pPr>
    </w:p>
    <w:p>
      <w:pPr>
        <w:ind w:left="10" w:right="60" w:firstLine="430"/>
        <w:spacing w:after="0" w:line="277" w:lineRule="auto"/>
        <w:tabs>
          <w:tab w:leader="none" w:pos="839"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69" w:lineRule="exact"/>
        <w:rPr>
          <w:rFonts w:ascii="Arial" w:cs="Arial" w:eastAsia="Arial" w:hAnsi="Arial"/>
          <w:sz w:val="18"/>
          <w:szCs w:val="18"/>
          <w:b w:val="1"/>
          <w:bCs w:val="1"/>
          <w:color w:val="auto"/>
        </w:rPr>
      </w:pPr>
    </w:p>
    <w:p>
      <w:pPr>
        <w:ind w:left="10" w:right="160" w:firstLine="430"/>
        <w:spacing w:after="0" w:line="285" w:lineRule="auto"/>
        <w:tabs>
          <w:tab w:leader="none" w:pos="829" w:val="left"/>
        </w:tabs>
        <w:numPr>
          <w:ilvl w:val="1"/>
          <w:numId w:val="4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70" w:hanging="270"/>
        <w:spacing w:after="0"/>
        <w:tabs>
          <w:tab w:leader="none" w:pos="27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10" w:lineRule="exact"/>
        <w:rPr>
          <w:rFonts w:ascii="Arial" w:cs="Arial" w:eastAsia="Arial" w:hAnsi="Arial"/>
          <w:sz w:val="18"/>
          <w:szCs w:val="18"/>
          <w:color w:val="auto"/>
        </w:rPr>
      </w:pPr>
    </w:p>
    <w:p>
      <w:pPr>
        <w:ind w:left="910" w:hanging="470"/>
        <w:spacing w:after="0"/>
        <w:tabs>
          <w:tab w:leader="none" w:pos="910" w:val="left"/>
        </w:tabs>
        <w:numPr>
          <w:ilvl w:val="1"/>
          <w:numId w:val="4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5 of the Plan that does not qualify as an Incentive Stock</w:t>
      </w:r>
    </w:p>
    <w:p>
      <w:pPr>
        <w:spacing w:after="0" w:line="34" w:lineRule="exact"/>
        <w:rPr>
          <w:rFonts w:ascii="Arial" w:cs="Arial" w:eastAsia="Arial" w:hAnsi="Arial"/>
          <w:sz w:val="17"/>
          <w:szCs w:val="17"/>
          <w:b w:val="1"/>
          <w:bCs w:val="1"/>
          <w:color w:val="auto"/>
        </w:rPr>
      </w:pPr>
    </w:p>
    <w:p>
      <w:pPr>
        <w:ind w:left="10"/>
        <w:spacing w:after="0"/>
        <w:rPr>
          <w:rFonts w:ascii="Arial" w:cs="Arial" w:eastAsia="Arial" w:hAnsi="Arial"/>
          <w:sz w:val="17"/>
          <w:szCs w:val="17"/>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b w:val="1"/>
          <w:bCs w:val="1"/>
          <w:color w:val="auto"/>
        </w:rPr>
      </w:pPr>
    </w:p>
    <w:p>
      <w:pPr>
        <w:ind w:left="930" w:hanging="490"/>
        <w:spacing w:after="0"/>
        <w:tabs>
          <w:tab w:leader="none" w:pos="930" w:val="left"/>
        </w:tabs>
        <w:numPr>
          <w:ilvl w:val="1"/>
          <w:numId w:val="4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4" w:lineRule="exact"/>
        <w:rPr>
          <w:rFonts w:ascii="Arial" w:cs="Arial" w:eastAsia="Arial" w:hAnsi="Arial"/>
          <w:sz w:val="18"/>
          <w:szCs w:val="18"/>
          <w:b w:val="1"/>
          <w:bCs w:val="1"/>
          <w:color w:val="auto"/>
        </w:rPr>
      </w:pPr>
    </w:p>
    <w:p>
      <w:pPr>
        <w:ind w:left="890" w:hanging="450"/>
        <w:spacing w:after="0"/>
        <w:tabs>
          <w:tab w:leader="none" w:pos="890" w:val="left"/>
        </w:tabs>
        <w:numPr>
          <w:ilvl w:val="1"/>
          <w:numId w:val="4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ind w:left="10"/>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ind w:left="10" w:right="320" w:firstLine="430"/>
        <w:spacing w:after="0" w:line="277" w:lineRule="auto"/>
        <w:tabs>
          <w:tab w:leader="none" w:pos="949" w:val="left"/>
        </w:tabs>
        <w:numPr>
          <w:ilvl w:val="1"/>
          <w:numId w:val="4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69" w:lineRule="exact"/>
        <w:rPr>
          <w:rFonts w:ascii="Arial" w:cs="Arial" w:eastAsia="Arial" w:hAnsi="Arial"/>
          <w:sz w:val="18"/>
          <w:szCs w:val="18"/>
          <w:b w:val="1"/>
          <w:bCs w:val="1"/>
          <w:color w:val="auto"/>
        </w:rPr>
      </w:pPr>
    </w:p>
    <w:p>
      <w:pPr>
        <w:ind w:left="10" w:right="600" w:firstLine="430"/>
        <w:spacing w:after="0" w:line="277" w:lineRule="auto"/>
        <w:tabs>
          <w:tab w:leader="none" w:pos="909" w:val="left"/>
        </w:tabs>
        <w:numPr>
          <w:ilvl w:val="1"/>
          <w:numId w:val="4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69" w:lineRule="exact"/>
        <w:rPr>
          <w:rFonts w:ascii="Arial" w:cs="Arial" w:eastAsia="Arial" w:hAnsi="Arial"/>
          <w:sz w:val="18"/>
          <w:szCs w:val="18"/>
          <w:b w:val="1"/>
          <w:bCs w:val="1"/>
          <w:color w:val="auto"/>
        </w:rPr>
      </w:pPr>
    </w:p>
    <w:p>
      <w:pPr>
        <w:ind w:left="10" w:right="200" w:firstLine="430"/>
        <w:spacing w:after="0" w:line="277" w:lineRule="auto"/>
        <w:tabs>
          <w:tab w:leader="none" w:pos="869" w:val="left"/>
        </w:tabs>
        <w:numPr>
          <w:ilvl w:val="1"/>
          <w:numId w:val="4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6(d).</w:t>
      </w:r>
    </w:p>
    <w:p>
      <w:pPr>
        <w:spacing w:after="0" w:line="169" w:lineRule="exact"/>
        <w:rPr>
          <w:rFonts w:ascii="Arial" w:cs="Arial" w:eastAsia="Arial" w:hAnsi="Arial"/>
          <w:sz w:val="18"/>
          <w:szCs w:val="18"/>
          <w:b w:val="1"/>
          <w:bCs w:val="1"/>
          <w:color w:val="auto"/>
        </w:rPr>
      </w:pPr>
    </w:p>
    <w:p>
      <w:pPr>
        <w:ind w:left="10" w:right="160" w:firstLine="430"/>
        <w:spacing w:after="0" w:line="341" w:lineRule="auto"/>
        <w:tabs>
          <w:tab w:leader="none" w:pos="929" w:val="left"/>
        </w:tabs>
        <w:numPr>
          <w:ilvl w:val="1"/>
          <w:numId w:val="4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24" w:lineRule="exact"/>
        <w:rPr>
          <w:rFonts w:ascii="Arial" w:cs="Arial" w:eastAsia="Arial" w:hAnsi="Arial"/>
          <w:sz w:val="16"/>
          <w:szCs w:val="16"/>
          <w:b w:val="1"/>
          <w:bCs w:val="1"/>
          <w:color w:val="auto"/>
        </w:rPr>
      </w:pPr>
    </w:p>
    <w:p>
      <w:pPr>
        <w:ind w:left="10" w:right="360" w:firstLine="430"/>
        <w:spacing w:after="0" w:line="277" w:lineRule="auto"/>
        <w:tabs>
          <w:tab w:leader="none" w:pos="949" w:val="left"/>
        </w:tabs>
        <w:numPr>
          <w:ilvl w:val="1"/>
          <w:numId w:val="4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A person or Entity will be deemed to “Own,” to have “Owned,” to be the “Owner” of, or to have acquired “Ownership” of securities if</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90"/>
          </w:cols>
          <w:pgMar w:left="450" w:top="274" w:right="459" w:bottom="1440" w:gutter="0" w:footer="0" w:header="0"/>
        </w:sectPr>
      </w:pPr>
    </w:p>
    <w:bookmarkStart w:id="415" w:name="page416"/>
    <w:bookmarkEnd w:id="415"/>
    <w:p>
      <w:pPr>
        <w:ind w:left="1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sz w:val="20"/>
          <w:szCs w:val="20"/>
          <w:color w:val="auto"/>
        </w:rPr>
      </w:pPr>
    </w:p>
    <w:p>
      <w:pPr>
        <w:ind w:left="10" w:right="840" w:firstLine="430"/>
        <w:spacing w:after="0" w:line="277" w:lineRule="auto"/>
        <w:tabs>
          <w:tab w:leader="none" w:pos="849" w:val="left"/>
        </w:tabs>
        <w:numPr>
          <w:ilvl w:val="1"/>
          <w:numId w:val="4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 outstanding Stock Award.</w:t>
      </w:r>
    </w:p>
    <w:p>
      <w:pPr>
        <w:spacing w:after="0" w:line="169" w:lineRule="exact"/>
        <w:rPr>
          <w:rFonts w:ascii="Arial" w:cs="Arial" w:eastAsia="Arial" w:hAnsi="Arial"/>
          <w:sz w:val="18"/>
          <w:szCs w:val="18"/>
          <w:b w:val="1"/>
          <w:bCs w:val="1"/>
          <w:color w:val="auto"/>
        </w:rPr>
      </w:pPr>
    </w:p>
    <w:p>
      <w:pPr>
        <w:ind w:left="850" w:hanging="410"/>
        <w:spacing w:after="0"/>
        <w:tabs>
          <w:tab w:leader="none" w:pos="850" w:val="left"/>
        </w:tabs>
        <w:numPr>
          <w:ilvl w:val="1"/>
          <w:numId w:val="4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224" w:lineRule="exact"/>
        <w:rPr>
          <w:rFonts w:ascii="Arial" w:cs="Arial" w:eastAsia="Arial" w:hAnsi="Arial"/>
          <w:sz w:val="18"/>
          <w:szCs w:val="18"/>
          <w:b w:val="1"/>
          <w:bCs w:val="1"/>
          <w:color w:val="auto"/>
        </w:rPr>
      </w:pPr>
    </w:p>
    <w:p>
      <w:pPr>
        <w:ind w:left="10" w:right="40" w:firstLine="430"/>
        <w:spacing w:after="0" w:line="284" w:lineRule="auto"/>
        <w:tabs>
          <w:tab w:leader="none" w:pos="949" w:val="left"/>
        </w:tabs>
        <w:numPr>
          <w:ilvl w:val="1"/>
          <w:numId w:val="4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(as applicable):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operating income after taxes; (12) pre-tax profit; (13) operating cash flow;</w:t>
      </w:r>
    </w:p>
    <w:p>
      <w:pPr>
        <w:spacing w:after="0" w:line="3" w:lineRule="exact"/>
        <w:rPr>
          <w:rFonts w:ascii="Arial" w:cs="Arial" w:eastAsia="Arial" w:hAnsi="Arial"/>
          <w:sz w:val="16"/>
          <w:szCs w:val="16"/>
          <w:b w:val="1"/>
          <w:bCs w:val="1"/>
          <w:color w:val="auto"/>
        </w:rPr>
      </w:pPr>
    </w:p>
    <w:p>
      <w:pPr>
        <w:ind w:left="10" w:hanging="10"/>
        <w:spacing w:after="0" w:line="284" w:lineRule="auto"/>
        <w:tabs>
          <w:tab w:leader="none" w:pos="354" w:val="left"/>
        </w:tabs>
        <w:numPr>
          <w:ilvl w:val="0"/>
          <w:numId w:val="422"/>
        </w:numPr>
        <w:rPr>
          <w:rFonts w:ascii="Arial" w:cs="Arial" w:eastAsia="Arial" w:hAnsi="Arial"/>
          <w:sz w:val="16"/>
          <w:szCs w:val="16"/>
          <w:color w:val="auto"/>
        </w:rPr>
      </w:pPr>
      <w:r>
        <w:rPr>
          <w:rFonts w:ascii="Arial" w:cs="Arial" w:eastAsia="Arial" w:hAnsi="Arial"/>
          <w:sz w:val="16"/>
          <w:szCs w:val="16"/>
          <w:color w:val="auto"/>
        </w:rPr>
        <w:t>sales or revenue targets; (15) increases in revenue or product revenue; (16) expenses and cost reduction goals; (17) improvement in or attainment of working capital levels; (18) economic value added (or an equivalent metric); (19) market share; (20) cash flow; (21) cash flow per share; (22) share price performance; (23) debt reduction; (24) customer satisfaction; (25) stockholders’ equity; (26) capital expenditures; (27) 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 (36) corporate governance and compliance; (37) product commercialization; (38) intellectual property; (39) personnel matters; (40) progress of internal research or clinical programs; (41) progress of partnered programs; (42) partner satisfaction; (43) 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other measures of performance selected by the Board or Committee (as applicable).</w:t>
      </w:r>
    </w:p>
    <w:p>
      <w:pPr>
        <w:spacing w:after="0" w:line="102"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90"/>
          </w:cols>
          <w:pgMar w:left="450" w:top="274" w:right="459" w:bottom="1440" w:gutter="0" w:footer="0" w:header="0"/>
        </w:sectPr>
      </w:pPr>
    </w:p>
    <w:bookmarkStart w:id="416" w:name="page417"/>
    <w:bookmarkEnd w:id="416"/>
    <w:p>
      <w:pPr>
        <w:ind w:left="10" w:firstLine="430"/>
        <w:spacing w:after="0" w:line="283" w:lineRule="auto"/>
        <w:tabs>
          <w:tab w:leader="none" w:pos="849" w:val="left"/>
        </w:tabs>
        <w:numPr>
          <w:ilvl w:val="1"/>
          <w:numId w:val="42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Committee (as applicable) (i) in the Award Agreement at the time the Award is granted or (ii) in such other document setting forth the Performance Goals at the time the Performance Goals are established, the Board or Committee (as applicable)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w:t>
      </w:r>
    </w:p>
    <w:p>
      <w:pPr>
        <w:spacing w:after="0" w:line="5" w:lineRule="exact"/>
        <w:rPr>
          <w:rFonts w:ascii="Arial" w:cs="Arial" w:eastAsia="Arial" w:hAnsi="Arial"/>
          <w:sz w:val="16"/>
          <w:szCs w:val="16"/>
          <w:b w:val="1"/>
          <w:bCs w:val="1"/>
          <w:color w:val="auto"/>
        </w:rPr>
      </w:pPr>
    </w:p>
    <w:p>
      <w:pPr>
        <w:ind w:left="250" w:hanging="250"/>
        <w:spacing w:after="0"/>
        <w:tabs>
          <w:tab w:leader="none" w:pos="25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w:t>
      </w:r>
    </w:p>
    <w:p>
      <w:pPr>
        <w:spacing w:after="0" w:line="31" w:lineRule="exact"/>
        <w:rPr>
          <w:rFonts w:ascii="Arial" w:cs="Arial" w:eastAsia="Arial" w:hAnsi="Arial"/>
          <w:sz w:val="16"/>
          <w:szCs w:val="16"/>
          <w:color w:val="auto"/>
        </w:rPr>
      </w:pPr>
    </w:p>
    <w:p>
      <w:pPr>
        <w:ind w:left="10" w:hanging="10"/>
        <w:spacing w:after="0" w:line="285" w:lineRule="auto"/>
        <w:tabs>
          <w:tab w:leader="none" w:pos="264"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or Committee (as applicable)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72" w:lineRule="exact"/>
        <w:rPr>
          <w:rFonts w:ascii="Arial" w:cs="Arial" w:eastAsia="Arial" w:hAnsi="Arial"/>
          <w:sz w:val="16"/>
          <w:szCs w:val="16"/>
          <w:color w:val="auto"/>
        </w:rPr>
      </w:pPr>
    </w:p>
    <w:p>
      <w:pPr>
        <w:ind w:left="10" w:right="100" w:firstLine="430"/>
        <w:spacing w:after="0" w:line="311" w:lineRule="auto"/>
        <w:tabs>
          <w:tab w:leader="none" w:pos="1049" w:val="left"/>
        </w:tabs>
        <w:numPr>
          <w:ilvl w:val="1"/>
          <w:numId w:val="4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 (as applicable).</w:t>
      </w:r>
    </w:p>
    <w:p>
      <w:pPr>
        <w:spacing w:after="0" w:line="148" w:lineRule="exact"/>
        <w:rPr>
          <w:rFonts w:ascii="Arial" w:cs="Arial" w:eastAsia="Arial" w:hAnsi="Arial"/>
          <w:sz w:val="16"/>
          <w:szCs w:val="16"/>
          <w:b w:val="1"/>
          <w:bCs w:val="1"/>
          <w:color w:val="auto"/>
        </w:rPr>
      </w:pPr>
    </w:p>
    <w:p>
      <w:pPr>
        <w:ind w:left="930" w:hanging="490"/>
        <w:spacing w:after="0"/>
        <w:tabs>
          <w:tab w:leader="none" w:pos="930" w:val="left"/>
        </w:tabs>
        <w:numPr>
          <w:ilvl w:val="1"/>
          <w:numId w:val="4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pursuant to the terms and conditions of Section 6(c)(i).</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70"/>
          </w:cols>
          <w:pgMar w:left="450" w:top="274" w:right="479" w:bottom="1440" w:gutter="0" w:footer="0" w:header="0"/>
        </w:sectPr>
      </w:pPr>
    </w:p>
    <w:bookmarkStart w:id="417" w:name="page418"/>
    <w:bookmarkEnd w:id="417"/>
    <w:p>
      <w:pPr>
        <w:ind w:left="900" w:hanging="470"/>
        <w:spacing w:after="0"/>
        <w:tabs>
          <w:tab w:leader="none" w:pos="900"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SI-BONE, Inc. 2018 Equity Incentive Plan.</w:t>
      </w:r>
    </w:p>
    <w:p>
      <w:pPr>
        <w:spacing w:after="0" w:line="224" w:lineRule="exact"/>
        <w:rPr>
          <w:rFonts w:ascii="Arial" w:cs="Arial" w:eastAsia="Arial" w:hAnsi="Arial"/>
          <w:sz w:val="18"/>
          <w:szCs w:val="18"/>
          <w:b w:val="1"/>
          <w:bCs w:val="1"/>
          <w:color w:val="auto"/>
        </w:rPr>
      </w:pPr>
    </w:p>
    <w:p>
      <w:pPr>
        <w:ind w:left="920" w:hanging="490"/>
        <w:spacing w:after="0"/>
        <w:tabs>
          <w:tab w:leader="none" w:pos="920" w:val="left"/>
        </w:tabs>
        <w:numPr>
          <w:ilvl w:val="0"/>
          <w:numId w:val="42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of Common Stock which is granted pursuant to the terms and conditions of</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6(a).</w:t>
      </w:r>
    </w:p>
    <w:p>
      <w:pPr>
        <w:spacing w:after="0" w:line="210" w:lineRule="exact"/>
        <w:rPr>
          <w:rFonts w:ascii="Arial" w:cs="Arial" w:eastAsia="Arial" w:hAnsi="Arial"/>
          <w:sz w:val="17"/>
          <w:szCs w:val="17"/>
          <w:b w:val="1"/>
          <w:bCs w:val="1"/>
          <w:color w:val="auto"/>
        </w:rPr>
      </w:pPr>
    </w:p>
    <w:p>
      <w:pPr>
        <w:ind w:right="560" w:firstLine="430"/>
        <w:spacing w:after="0" w:line="263" w:lineRule="auto"/>
        <w:tabs>
          <w:tab w:leader="none" w:pos="939"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2" w:lineRule="exact"/>
        <w:rPr>
          <w:rFonts w:ascii="Arial" w:cs="Arial" w:eastAsia="Arial" w:hAnsi="Arial"/>
          <w:sz w:val="18"/>
          <w:szCs w:val="18"/>
          <w:b w:val="1"/>
          <w:bCs w:val="1"/>
          <w:color w:val="auto"/>
        </w:rPr>
      </w:pPr>
    </w:p>
    <w:p>
      <w:pPr>
        <w:ind w:right="120" w:firstLine="430"/>
        <w:spacing w:after="0" w:line="277" w:lineRule="auto"/>
        <w:tabs>
          <w:tab w:leader="none" w:pos="899"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169" w:lineRule="exact"/>
        <w:rPr>
          <w:rFonts w:ascii="Arial" w:cs="Arial" w:eastAsia="Arial" w:hAnsi="Arial"/>
          <w:sz w:val="18"/>
          <w:szCs w:val="18"/>
          <w:b w:val="1"/>
          <w:bCs w:val="1"/>
          <w:color w:val="auto"/>
        </w:rPr>
      </w:pPr>
    </w:p>
    <w:p>
      <w:pPr>
        <w:ind w:firstLine="430"/>
        <w:spacing w:after="0" w:line="263" w:lineRule="auto"/>
        <w:tabs>
          <w:tab w:leader="none" w:pos="880"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2" w:lineRule="exact"/>
        <w:rPr>
          <w:rFonts w:ascii="Arial" w:cs="Arial" w:eastAsia="Arial" w:hAnsi="Arial"/>
          <w:sz w:val="18"/>
          <w:szCs w:val="18"/>
          <w:b w:val="1"/>
          <w:bCs w:val="1"/>
          <w:color w:val="auto"/>
        </w:rPr>
      </w:pPr>
    </w:p>
    <w:p>
      <w:pPr>
        <w:ind w:left="840" w:hanging="410"/>
        <w:spacing w:after="0"/>
        <w:tabs>
          <w:tab w:leader="none" w:pos="840" w:val="left"/>
        </w:tabs>
        <w:numPr>
          <w:ilvl w:val="0"/>
          <w:numId w:val="42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6" w:lineRule="exact"/>
        <w:rPr>
          <w:rFonts w:ascii="Arial" w:cs="Arial" w:eastAsia="Arial" w:hAnsi="Arial"/>
          <w:sz w:val="17"/>
          <w:szCs w:val="17"/>
          <w:b w:val="1"/>
          <w:bCs w:val="1"/>
          <w:color w:val="auto"/>
        </w:rPr>
      </w:pPr>
    </w:p>
    <w:p>
      <w:pPr>
        <w:ind w:left="920" w:hanging="490"/>
        <w:spacing w:after="0"/>
        <w:tabs>
          <w:tab w:leader="none" w:pos="920"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4" w:lineRule="exact"/>
        <w:rPr>
          <w:rFonts w:ascii="Arial" w:cs="Arial" w:eastAsia="Arial" w:hAnsi="Arial"/>
          <w:sz w:val="18"/>
          <w:szCs w:val="18"/>
          <w:b w:val="1"/>
          <w:bCs w:val="1"/>
          <w:color w:val="auto"/>
        </w:rPr>
      </w:pPr>
    </w:p>
    <w:p>
      <w:pPr>
        <w:ind w:left="900" w:hanging="470"/>
        <w:spacing w:after="0"/>
        <w:tabs>
          <w:tab w:leader="none" w:pos="900"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4" w:lineRule="exact"/>
        <w:rPr>
          <w:rFonts w:ascii="Arial" w:cs="Arial" w:eastAsia="Arial" w:hAnsi="Arial"/>
          <w:sz w:val="18"/>
          <w:szCs w:val="18"/>
          <w:b w:val="1"/>
          <w:bCs w:val="1"/>
          <w:color w:val="auto"/>
        </w:rPr>
      </w:pPr>
    </w:p>
    <w:p>
      <w:pPr>
        <w:ind w:right="220" w:firstLine="430"/>
        <w:spacing w:after="0" w:line="277" w:lineRule="auto"/>
        <w:tabs>
          <w:tab w:leader="none" w:pos="999"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69" w:lineRule="exact"/>
        <w:rPr>
          <w:rFonts w:ascii="Arial" w:cs="Arial" w:eastAsia="Arial" w:hAnsi="Arial"/>
          <w:sz w:val="18"/>
          <w:szCs w:val="18"/>
          <w:b w:val="1"/>
          <w:bCs w:val="1"/>
          <w:color w:val="auto"/>
        </w:rPr>
      </w:pPr>
    </w:p>
    <w:p>
      <w:pPr>
        <w:ind w:right="280" w:firstLine="430"/>
        <w:spacing w:after="0" w:line="263" w:lineRule="auto"/>
        <w:tabs>
          <w:tab w:leader="none" w:pos="919"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2" w:lineRule="exact"/>
        <w:rPr>
          <w:rFonts w:ascii="Arial" w:cs="Arial" w:eastAsia="Arial" w:hAnsi="Arial"/>
          <w:sz w:val="18"/>
          <w:szCs w:val="18"/>
          <w:b w:val="1"/>
          <w:bCs w:val="1"/>
          <w:color w:val="auto"/>
        </w:rPr>
      </w:pPr>
    </w:p>
    <w:p>
      <w:pPr>
        <w:ind w:right="260" w:firstLine="430"/>
        <w:spacing w:after="0" w:line="263" w:lineRule="auto"/>
        <w:tabs>
          <w:tab w:leader="none" w:pos="919"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82" w:lineRule="exact"/>
        <w:rPr>
          <w:rFonts w:ascii="Arial" w:cs="Arial" w:eastAsia="Arial" w:hAnsi="Arial"/>
          <w:sz w:val="18"/>
          <w:szCs w:val="18"/>
          <w:b w:val="1"/>
          <w:bCs w:val="1"/>
          <w:color w:val="auto"/>
        </w:rPr>
      </w:pPr>
    </w:p>
    <w:p>
      <w:pPr>
        <w:ind w:right="280" w:firstLine="430"/>
        <w:spacing w:after="0" w:line="277" w:lineRule="auto"/>
        <w:tabs>
          <w:tab w:leader="none" w:pos="899"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0" w:lineRule="exact"/>
        <w:rPr>
          <w:sz w:val="20"/>
          <w:szCs w:val="20"/>
          <w:color w:val="auto"/>
        </w:rPr>
      </w:pPr>
    </w:p>
    <w:p>
      <w:pPr>
        <w:ind w:right="220" w:firstLine="430"/>
        <w:spacing w:after="0" w:line="275" w:lineRule="auto"/>
        <w:tabs>
          <w:tab w:leader="none" w:pos="1009" w:val="left"/>
        </w:tabs>
        <w:numPr>
          <w:ilvl w:val="0"/>
          <w:numId w:val="42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4" w:right="479" w:bottom="1440" w:gutter="0" w:footer="0" w:header="0"/>
        </w:sectPr>
      </w:pPr>
    </w:p>
    <w:bookmarkStart w:id="418" w:name="page419"/>
    <w:bookmarkEnd w:id="418"/>
    <w:p>
      <w:pPr>
        <w:ind w:left="-260" w:firstLine="430"/>
        <w:spacing w:after="0" w:line="277" w:lineRule="auto"/>
        <w:tabs>
          <w:tab w:leader="none" w:pos="780" w:val="left"/>
        </w:tabs>
        <w:numPr>
          <w:ilvl w:val="0"/>
          <w:numId w:val="4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460"/>
          </w:cols>
          <w:pgMar w:left="720" w:top="274" w:right="719"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27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ind w:left="425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0" w:lineRule="exact"/>
        <w:rPr>
          <w:sz w:val="20"/>
          <w:szCs w:val="20"/>
          <w:color w:val="auto"/>
        </w:rPr>
      </w:pPr>
    </w:p>
    <w:p>
      <w:pPr>
        <w:ind w:left="10" w:right="80"/>
        <w:spacing w:after="0" w:line="275" w:lineRule="auto"/>
        <w:rPr>
          <w:sz w:val="20"/>
          <w:szCs w:val="20"/>
          <w:color w:val="auto"/>
        </w:rPr>
      </w:pPr>
      <w:r>
        <w:rPr>
          <w:rFonts w:ascii="Arial" w:cs="Arial" w:eastAsia="Arial" w:hAnsi="Arial"/>
          <w:sz w:val="17"/>
          <w:szCs w:val="17"/>
          <w:color w:val="auto"/>
        </w:rPr>
        <w:t>SI-BONE,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202" w:lineRule="exact"/>
        <w:rPr>
          <w:sz w:val="20"/>
          <w:szCs w:val="20"/>
          <w:color w:val="auto"/>
        </w:rPr>
      </w:pPr>
    </w:p>
    <w:p>
      <w:pPr>
        <w:ind w:left="71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2">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3">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4">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5">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6">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7">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8">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6" w:lineRule="exact"/>
        <w:rPr>
          <w:sz w:val="20"/>
          <w:szCs w:val="20"/>
          <w:color w:val="auto"/>
        </w:rPr>
      </w:pPr>
    </w:p>
    <w:p>
      <w:pPr>
        <w:ind w:left="71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14605</wp:posOffset>
            </wp:positionV>
            <wp:extent cx="247523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9">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40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24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2440" w:type="dxa"/>
            <w:vAlign w:val="bottom"/>
            <w:gridSpan w:val="2"/>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r>
      <w:tr>
        <w:trPr>
          <w:trHeight w:val="41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w w:val="97"/>
              </w:rPr>
              <w:t>Exercise Schedule</w:t>
            </w:r>
            <w:r>
              <w:rPr>
                <w:rFonts w:ascii="Arial" w:cs="Arial" w:eastAsia="Arial" w:hAnsi="Arial"/>
                <w:sz w:val="18"/>
                <w:szCs w:val="18"/>
                <w:color w:val="auto"/>
                <w:w w:val="97"/>
              </w:rPr>
              <w:t>:  Same as Vesting Schedule</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1400" w:type="dxa"/>
            <w:vAlign w:val="bottom"/>
          </w:tcPr>
          <w:p>
            <w:pPr>
              <w:spacing w:after="0"/>
              <w:rPr>
                <w:sz w:val="20"/>
                <w:szCs w:val="20"/>
                <w:color w:val="auto"/>
              </w:rPr>
            </w:pPr>
            <w:r>
              <w:rPr>
                <w:rFonts w:ascii="Arial" w:cs="Arial" w:eastAsia="Arial" w:hAnsi="Arial"/>
                <w:sz w:val="18"/>
                <w:szCs w:val="18"/>
                <w:b w:val="1"/>
                <w:bCs w:val="1"/>
                <w:color w:val="auto"/>
                <w:w w:val="86"/>
              </w:rPr>
              <w:t>VestingSchedule</w:t>
            </w:r>
            <w:r>
              <w:rPr>
                <w:rFonts w:ascii="Arial" w:cs="Arial" w:eastAsia="Arial" w:hAnsi="Arial"/>
                <w:sz w:val="18"/>
                <w:szCs w:val="18"/>
                <w:color w:val="auto"/>
                <w:w w:val="86"/>
              </w:rPr>
              <w:t>: [</w:t>
            </w:r>
          </w:p>
        </w:tc>
        <w:tc>
          <w:tcPr>
            <w:tcW w:w="2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Pr>
          <w:p>
            <w:pPr>
              <w:jc w:val="right"/>
              <w:ind w:right="1070"/>
              <w:spacing w:after="0"/>
              <w:rPr>
                <w:sz w:val="20"/>
                <w:szCs w:val="20"/>
                <w:color w:val="auto"/>
              </w:rPr>
            </w:pPr>
            <w:r>
              <w:rPr>
                <w:rFonts w:ascii="Arial" w:cs="Arial" w:eastAsia="Arial" w:hAnsi="Arial"/>
                <w:sz w:val="18"/>
                <w:szCs w:val="18"/>
                <w:color w:val="auto"/>
                <w:w w:val="78"/>
              </w:rPr>
              <w:t>]</w:t>
            </w:r>
          </w:p>
        </w:tc>
      </w:tr>
    </w:tbl>
    <w:p>
      <w:pPr>
        <w:spacing w:after="0" w:line="22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By one or a combination of the following items (described in the Option Agreement):</w:t>
      </w:r>
    </w:p>
    <w:p>
      <w:pPr>
        <w:spacing w:after="0" w:line="121" w:lineRule="exact"/>
        <w:rPr>
          <w:sz w:val="20"/>
          <w:szCs w:val="20"/>
          <w:color w:val="auto"/>
        </w:rPr>
      </w:pPr>
    </w:p>
    <w:p>
      <w:pPr>
        <w:ind w:left="1130" w:hanging="249"/>
        <w:spacing w:after="0"/>
        <w:tabs>
          <w:tab w:leader="none" w:pos="1130" w:val="left"/>
        </w:tabs>
        <w:numPr>
          <w:ilvl w:val="0"/>
          <w:numId w:val="428"/>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116" w:lineRule="exact"/>
        <w:rPr>
          <w:rFonts w:ascii="MS PGothic" w:cs="MS PGothic" w:eastAsia="MS PGothic" w:hAnsi="MS PGothic"/>
          <w:sz w:val="18"/>
          <w:szCs w:val="18"/>
          <w:color w:val="auto"/>
        </w:rPr>
      </w:pPr>
    </w:p>
    <w:p>
      <w:pPr>
        <w:ind w:left="1130" w:hanging="249"/>
        <w:spacing w:after="0"/>
        <w:tabs>
          <w:tab w:leader="none" w:pos="1130" w:val="left"/>
        </w:tabs>
        <w:numPr>
          <w:ilvl w:val="0"/>
          <w:numId w:val="428"/>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w:t>
      </w:r>
    </w:p>
    <w:p>
      <w:pPr>
        <w:spacing w:after="0" w:line="116" w:lineRule="exact"/>
        <w:rPr>
          <w:rFonts w:ascii="MS PGothic" w:cs="MS PGothic" w:eastAsia="MS PGothic" w:hAnsi="MS PGothic"/>
          <w:sz w:val="18"/>
          <w:szCs w:val="18"/>
          <w:color w:val="auto"/>
        </w:rPr>
      </w:pPr>
    </w:p>
    <w:p>
      <w:pPr>
        <w:ind w:left="1130" w:hanging="249"/>
        <w:spacing w:after="0"/>
        <w:tabs>
          <w:tab w:leader="none" w:pos="1130" w:val="left"/>
        </w:tabs>
        <w:numPr>
          <w:ilvl w:val="0"/>
          <w:numId w:val="428"/>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w:t>
      </w:r>
    </w:p>
    <w:p>
      <w:pPr>
        <w:spacing w:after="0" w:line="116" w:lineRule="exact"/>
        <w:rPr>
          <w:rFonts w:ascii="MS PGothic" w:cs="MS PGothic" w:eastAsia="MS PGothic" w:hAnsi="MS PGothic"/>
          <w:sz w:val="18"/>
          <w:szCs w:val="18"/>
          <w:color w:val="auto"/>
        </w:rPr>
      </w:pPr>
    </w:p>
    <w:p>
      <w:pPr>
        <w:ind w:left="890" w:right="240" w:hanging="9"/>
        <w:spacing w:after="0" w:line="277" w:lineRule="auto"/>
        <w:tabs>
          <w:tab w:leader="none" w:pos="1142" w:val="left"/>
        </w:tabs>
        <w:numPr>
          <w:ilvl w:val="0"/>
          <w:numId w:val="428"/>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66" w:lineRule="exact"/>
        <w:rPr>
          <w:sz w:val="20"/>
          <w:szCs w:val="20"/>
          <w:color w:val="auto"/>
        </w:rPr>
      </w:pPr>
    </w:p>
    <w:p>
      <w:pPr>
        <w:ind w:left="10" w:right="100"/>
        <w:spacing w:after="0" w:line="271"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Optionholder acknowledges receipt of, and understands and agrees to, this Stock Option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if applicable, of (i) equity awards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023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77" w:lineRule="exact"/>
        <w:rPr>
          <w:sz w:val="20"/>
          <w:szCs w:val="20"/>
          <w:color w:val="auto"/>
        </w:rPr>
      </w:pPr>
    </w:p>
    <w:p>
      <w:pPr>
        <w:ind w:left="430" w:right="40" w:hanging="430"/>
        <w:spacing w:after="0" w:line="277" w:lineRule="auto"/>
        <w:tabs>
          <w:tab w:leader="none" w:pos="430" w:val="left"/>
        </w:tabs>
        <w:numPr>
          <w:ilvl w:val="0"/>
          <w:numId w:val="429"/>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2" w:right="439" w:bottom="1440" w:gutter="0" w:footer="0" w:header="0"/>
        </w:sectPr>
      </w:pPr>
    </w:p>
    <w:bookmarkStart w:id="420" w:name="page421"/>
    <w:bookmarkEnd w:id="420"/>
    <w:p>
      <w:pPr>
        <w:ind w:right="360"/>
        <w:spacing w:after="0" w:line="30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08"/>
        </w:trPr>
        <w:tc>
          <w:tcPr>
            <w:tcW w:w="520" w:type="dxa"/>
            <w:vAlign w:val="bottom"/>
          </w:tcPr>
          <w:p>
            <w:pPr>
              <w:spacing w:after="0"/>
              <w:rPr>
                <w:sz w:val="18"/>
                <w:szCs w:val="18"/>
                <w:color w:val="auto"/>
              </w:rPr>
            </w:pPr>
          </w:p>
        </w:tc>
        <w:tc>
          <w:tcPr>
            <w:tcW w:w="46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Signature</w:t>
            </w:r>
          </w:p>
        </w:tc>
        <w:tc>
          <w:tcPr>
            <w:tcW w:w="1240" w:type="dxa"/>
            <w:vAlign w:val="bottom"/>
          </w:tcPr>
          <w:p>
            <w:pPr>
              <w:spacing w:after="0"/>
              <w:rPr>
                <w:sz w:val="18"/>
                <w:szCs w:val="18"/>
                <w:color w:val="auto"/>
              </w:rPr>
            </w:pPr>
          </w:p>
        </w:tc>
        <w:tc>
          <w:tcPr>
            <w:tcW w:w="4620" w:type="dxa"/>
            <w:vAlign w:val="bottom"/>
            <w:tcBorders>
              <w:top w:val="single" w:sz="8" w:color="auto"/>
            </w:tcBorders>
          </w:tcPr>
          <w:p>
            <w:pPr>
              <w:ind w:left="2200"/>
              <w:spacing w:after="0"/>
              <w:rPr>
                <w:sz w:val="20"/>
                <w:szCs w:val="20"/>
                <w:color w:val="auto"/>
              </w:rPr>
            </w:pPr>
            <w:r>
              <w:rPr>
                <w:rFonts w:ascii="Arial" w:cs="Arial" w:eastAsia="Arial" w:hAnsi="Arial"/>
                <w:sz w:val="18"/>
                <w:szCs w:val="18"/>
                <w:color w:val="auto"/>
              </w:rPr>
              <w:t>Signature</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bl>
    <w:p>
      <w:pPr>
        <w:spacing w:after="0" w:line="211" w:lineRule="exact"/>
        <w:rPr>
          <w:sz w:val="20"/>
          <w:szCs w:val="20"/>
          <w:color w:val="auto"/>
        </w:rPr>
      </w:pPr>
    </w:p>
    <w:p>
      <w:pPr>
        <w:ind w:left="5440" w:right="4640" w:hanging="5458"/>
        <w:spacing w:after="0" w:line="453"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2018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269" w:right="1440"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1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Pursuant to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this Option Agreement, SI-BONE,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right="380" w:firstLine="430"/>
        <w:spacing w:after="0" w:line="281" w:lineRule="auto"/>
        <w:tabs>
          <w:tab w:leader="none" w:pos="75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contained herein, your option will vest as provided in your Grant Notice. Vesting will cease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Continuous Service.</w:t>
      </w:r>
    </w:p>
    <w:p>
      <w:pPr>
        <w:spacing w:after="0" w:line="162" w:lineRule="exact"/>
        <w:rPr>
          <w:rFonts w:ascii="Arial" w:cs="Arial" w:eastAsia="Arial" w:hAnsi="Arial"/>
          <w:sz w:val="18"/>
          <w:szCs w:val="18"/>
          <w:b w:val="1"/>
          <w:bCs w:val="1"/>
          <w:color w:val="auto"/>
        </w:rPr>
      </w:pPr>
    </w:p>
    <w:p>
      <w:pPr>
        <w:ind w:right="280" w:firstLine="430"/>
        <w:spacing w:after="0" w:line="281" w:lineRule="auto"/>
        <w:tabs>
          <w:tab w:leader="none" w:pos="75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of Common Stock subject to your option and your exercise price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your Grant Notice will be adjusted for Capitalization Adjustments.</w:t>
      </w:r>
    </w:p>
    <w:p>
      <w:pPr>
        <w:spacing w:after="0" w:line="162" w:lineRule="exact"/>
        <w:rPr>
          <w:rFonts w:ascii="Arial" w:cs="Arial" w:eastAsia="Arial" w:hAnsi="Arial"/>
          <w:sz w:val="18"/>
          <w:szCs w:val="18"/>
          <w:b w:val="1"/>
          <w:bCs w:val="1"/>
          <w:color w:val="auto"/>
        </w:rPr>
      </w:pPr>
    </w:p>
    <w:p>
      <w:pPr>
        <w:ind w:right="100" w:firstLine="430"/>
        <w:spacing w:after="0" w:line="255" w:lineRule="auto"/>
        <w:tabs>
          <w:tab w:leader="none" w:pos="75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an Employee eligible for overtime compensation under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Labor 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7" w:lineRule="exact"/>
        <w:rPr>
          <w:rFonts w:ascii="Arial" w:cs="Arial" w:eastAsia="Arial" w:hAnsi="Arial"/>
          <w:sz w:val="18"/>
          <w:szCs w:val="18"/>
          <w:b w:val="1"/>
          <w:bCs w:val="1"/>
          <w:color w:val="auto"/>
        </w:rPr>
      </w:pPr>
    </w:p>
    <w:p>
      <w:pPr>
        <w:ind w:right="60" w:firstLine="430"/>
        <w:spacing w:after="0" w:line="258" w:lineRule="auto"/>
        <w:tabs>
          <w:tab w:leader="none" w:pos="75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your option is an Incentive Stock Option, then, to the extent that the aggregate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182" w:lineRule="exact"/>
        <w:rPr>
          <w:rFonts w:ascii="Arial" w:cs="Arial" w:eastAsia="Arial" w:hAnsi="Arial"/>
          <w:sz w:val="18"/>
          <w:szCs w:val="18"/>
          <w:b w:val="1"/>
          <w:bCs w:val="1"/>
          <w:color w:val="auto"/>
        </w:rPr>
      </w:pPr>
    </w:p>
    <w:p>
      <w:pPr>
        <w:ind w:right="280" w:firstLine="430"/>
        <w:spacing w:after="0" w:line="266" w:lineRule="auto"/>
        <w:tabs>
          <w:tab w:leader="none" w:pos="755"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pay the full amount of the exercise price for the shares you wish to exercise. You may pay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price 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179" w:lineRule="exact"/>
        <w:rPr>
          <w:rFonts w:ascii="Arial" w:cs="Arial" w:eastAsia="Arial" w:hAnsi="Arial"/>
          <w:sz w:val="18"/>
          <w:szCs w:val="18"/>
          <w:b w:val="1"/>
          <w:bCs w:val="1"/>
          <w:color w:val="auto"/>
        </w:rPr>
      </w:pPr>
    </w:p>
    <w:p>
      <w:pPr>
        <w:ind w:right="240" w:firstLine="871"/>
        <w:spacing w:after="0" w:line="259" w:lineRule="auto"/>
        <w:tabs>
          <w:tab w:leader="none" w:pos="1270" w:val="left"/>
        </w:tabs>
        <w:numPr>
          <w:ilvl w:val="1"/>
          <w:numId w:val="430"/>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423" w:name="page424"/>
    <w:bookmarkEnd w:id="423"/>
    <w:p>
      <w:pPr>
        <w:ind w:left="10" w:firstLine="871"/>
        <w:spacing w:after="0" w:line="296" w:lineRule="auto"/>
        <w:tabs>
          <w:tab w:leader="none" w:pos="1290" w:val="left"/>
        </w:tabs>
        <w:numPr>
          <w:ilvl w:val="2"/>
          <w:numId w:val="43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60" w:lineRule="exact"/>
        <w:rPr>
          <w:rFonts w:ascii="Arial" w:cs="Arial" w:eastAsia="Arial" w:hAnsi="Arial"/>
          <w:sz w:val="16"/>
          <w:szCs w:val="16"/>
          <w:b w:val="1"/>
          <w:bCs w:val="1"/>
          <w:color w:val="auto"/>
        </w:rPr>
      </w:pPr>
    </w:p>
    <w:p>
      <w:pPr>
        <w:ind w:left="10" w:right="40" w:firstLine="871"/>
        <w:spacing w:after="0" w:line="285" w:lineRule="auto"/>
        <w:tabs>
          <w:tab w:leader="none" w:pos="1269" w:val="left"/>
        </w:tabs>
        <w:numPr>
          <w:ilvl w:val="2"/>
          <w:numId w:val="431"/>
        </w:numPr>
        <w:rPr>
          <w:rFonts w:ascii="Arial" w:cs="Arial" w:eastAsia="Arial" w:hAnsi="Arial"/>
          <w:sz w:val="16"/>
          <w:szCs w:val="16"/>
          <w:b w:val="1"/>
          <w:bCs w:val="1"/>
          <w:color w:val="auto"/>
        </w:rPr>
      </w:pPr>
      <w:r>
        <w:rPr>
          <w:rFonts w:ascii="Arial" w:cs="Arial" w:eastAsia="Arial" w:hAnsi="Arial"/>
          <w:sz w:val="16"/>
          <w:szCs w:val="16"/>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w:t>
      </w:r>
    </w:p>
    <w:p>
      <w:pPr>
        <w:spacing w:after="0" w:line="1" w:lineRule="exact"/>
        <w:rPr>
          <w:rFonts w:ascii="Arial" w:cs="Arial" w:eastAsia="Arial" w:hAnsi="Arial"/>
          <w:sz w:val="16"/>
          <w:szCs w:val="16"/>
          <w:b w:val="1"/>
          <w:bCs w:val="1"/>
          <w:color w:val="auto"/>
        </w:rPr>
      </w:pPr>
    </w:p>
    <w:p>
      <w:pPr>
        <w:ind w:left="270" w:hanging="270"/>
        <w:spacing w:after="0"/>
        <w:tabs>
          <w:tab w:leader="none" w:pos="27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are delivered to you as a result of such exercise, and (iii) are withheld to satisfy your tax withholding obligations.</w:t>
      </w:r>
    </w:p>
    <w:p>
      <w:pPr>
        <w:spacing w:after="0" w:line="206" w:lineRule="exact"/>
        <w:rPr>
          <w:rFonts w:ascii="Arial" w:cs="Arial" w:eastAsia="Arial" w:hAnsi="Arial"/>
          <w:sz w:val="18"/>
          <w:szCs w:val="18"/>
          <w:color w:val="auto"/>
        </w:rPr>
      </w:pPr>
    </w:p>
    <w:p>
      <w:pPr>
        <w:ind w:left="750" w:hanging="310"/>
        <w:spacing w:after="0"/>
        <w:tabs>
          <w:tab w:leader="none" w:pos="750" w:val="left"/>
        </w:tabs>
        <w:numPr>
          <w:ilvl w:val="1"/>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shares of Common Stock.</w:t>
      </w:r>
    </w:p>
    <w:p>
      <w:pPr>
        <w:spacing w:after="0" w:line="224" w:lineRule="exact"/>
        <w:rPr>
          <w:rFonts w:ascii="Arial" w:cs="Arial" w:eastAsia="Arial" w:hAnsi="Arial"/>
          <w:sz w:val="18"/>
          <w:szCs w:val="18"/>
          <w:b w:val="1"/>
          <w:bCs w:val="1"/>
          <w:color w:val="auto"/>
        </w:rPr>
      </w:pPr>
    </w:p>
    <w:p>
      <w:pPr>
        <w:ind w:left="10" w:right="40" w:firstLine="430"/>
        <w:spacing w:after="0" w:line="256" w:lineRule="auto"/>
        <w:tabs>
          <w:tab w:leader="none" w:pos="764" w:val="left"/>
        </w:tabs>
        <w:numPr>
          <w:ilvl w:val="1"/>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may you exercise your option unless the shares of Common Stock issuable upon exercise are</w:t>
      </w:r>
      <w:r>
        <w:rPr>
          <w:rFonts w:ascii="Arial" w:cs="Arial" w:eastAsia="Arial" w:hAnsi="Arial"/>
          <w:sz w:val="18"/>
          <w:szCs w:val="18"/>
          <w:b w:val="1"/>
          <w:bCs w:val="1"/>
          <w:color w:val="auto"/>
        </w:rPr>
        <w:t xml:space="preserve"> </w:t>
      </w:r>
      <w:r>
        <w:rPr>
          <w:rFonts w:ascii="Arial" w:cs="Arial" w:eastAsia="Arial" w:hAnsi="Arial"/>
          <w:sz w:val="18"/>
          <w:szCs w:val="18"/>
          <w:color w:val="auto"/>
        </w:rPr>
        <w:t>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86" w:lineRule="exact"/>
        <w:rPr>
          <w:rFonts w:ascii="Arial" w:cs="Arial" w:eastAsia="Arial" w:hAnsi="Arial"/>
          <w:sz w:val="18"/>
          <w:szCs w:val="18"/>
          <w:b w:val="1"/>
          <w:bCs w:val="1"/>
          <w:color w:val="auto"/>
        </w:rPr>
      </w:pPr>
    </w:p>
    <w:p>
      <w:pPr>
        <w:ind w:left="10" w:right="420" w:firstLine="430"/>
        <w:spacing w:after="0" w:line="281" w:lineRule="auto"/>
        <w:tabs>
          <w:tab w:leader="none" w:pos="764" w:val="left"/>
        </w:tabs>
        <w:numPr>
          <w:ilvl w:val="1"/>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Date of Grant or after the expiration of the option’s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subject to the provisions of Sections 5(h) and 9(c) of the Plan, upon the earliest of the following:</w:t>
      </w:r>
    </w:p>
    <w:p>
      <w:pPr>
        <w:spacing w:after="0" w:line="166" w:lineRule="exact"/>
        <w:rPr>
          <w:rFonts w:ascii="Arial" w:cs="Arial" w:eastAsia="Arial" w:hAnsi="Arial"/>
          <w:sz w:val="18"/>
          <w:szCs w:val="18"/>
          <w:b w:val="1"/>
          <w:bCs w:val="1"/>
          <w:color w:val="auto"/>
        </w:rPr>
      </w:pPr>
    </w:p>
    <w:p>
      <w:pPr>
        <w:ind w:left="1270" w:hanging="389"/>
        <w:spacing w:after="0"/>
        <w:tabs>
          <w:tab w:leader="none" w:pos="1270" w:val="left"/>
        </w:tabs>
        <w:numPr>
          <w:ilvl w:val="2"/>
          <w:numId w:val="432"/>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4" w:lineRule="exact"/>
        <w:rPr>
          <w:rFonts w:ascii="Arial" w:cs="Arial" w:eastAsia="Arial" w:hAnsi="Arial"/>
          <w:sz w:val="18"/>
          <w:szCs w:val="18"/>
          <w:b w:val="1"/>
          <w:bCs w:val="1"/>
          <w:color w:val="auto"/>
        </w:rPr>
      </w:pPr>
    </w:p>
    <w:p>
      <w:pPr>
        <w:ind w:left="10" w:right="20" w:firstLine="871"/>
        <w:spacing w:after="0" w:line="271" w:lineRule="auto"/>
        <w:tabs>
          <w:tab w:leader="none" w:pos="1290" w:val="left"/>
        </w:tabs>
        <w:numPr>
          <w:ilvl w:val="2"/>
          <w:numId w:val="432"/>
        </w:numPr>
        <w:rPr>
          <w:rFonts w:ascii="Arial" w:cs="Arial" w:eastAsia="Arial" w:hAnsi="Arial"/>
          <w:sz w:val="17"/>
          <w:szCs w:val="17"/>
          <w:b w:val="1"/>
          <w:bCs w:val="1"/>
          <w:color w:val="auto"/>
        </w:rPr>
      </w:pPr>
      <w:r>
        <w:rPr>
          <w:rFonts w:ascii="Arial" w:cs="Arial" w:eastAsia="Arial" w:hAnsi="Arial"/>
          <w:sz w:val="17"/>
          <w:szCs w:val="17"/>
          <w:color w:val="auto"/>
        </w:rPr>
        <w:t xml:space="preserve">three (3) months after the termination of your Continuous Service for any reason other than Cause, your Disability or your death (except as otherwise provided in Section 7(d)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09" w:lineRule="exact"/>
        <w:rPr>
          <w:sz w:val="20"/>
          <w:szCs w:val="20"/>
          <w:color w:val="auto"/>
        </w:rPr>
      </w:pPr>
    </w:p>
    <w:p>
      <w:pPr>
        <w:jc w:val="center"/>
        <w:ind w:right="-14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50"/>
          </w:cols>
          <w:pgMar w:left="450" w:top="274" w:right="599" w:bottom="1440" w:gutter="0" w:footer="0" w:header="0"/>
        </w:sectPr>
      </w:pPr>
    </w:p>
    <w:bookmarkStart w:id="424" w:name="page425"/>
    <w:bookmarkEnd w:id="424"/>
    <w:p>
      <w:pPr>
        <w:ind w:left="10" w:right="800" w:firstLine="871"/>
        <w:spacing w:after="0" w:line="277" w:lineRule="auto"/>
        <w:tabs>
          <w:tab w:leader="none" w:pos="1269" w:val="left"/>
        </w:tabs>
        <w:numPr>
          <w:ilvl w:val="0"/>
          <w:numId w:val="4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twelve (12) months after the termination of your Continuous Service due to your Disability (except as otherwise provided in Section 7(d)) below;</w:t>
      </w:r>
    </w:p>
    <w:p>
      <w:pPr>
        <w:spacing w:after="0" w:line="169" w:lineRule="exact"/>
        <w:rPr>
          <w:rFonts w:ascii="Arial" w:cs="Arial" w:eastAsia="Arial" w:hAnsi="Arial"/>
          <w:sz w:val="18"/>
          <w:szCs w:val="18"/>
          <w:b w:val="1"/>
          <w:bCs w:val="1"/>
          <w:color w:val="auto"/>
        </w:rPr>
      </w:pPr>
    </w:p>
    <w:p>
      <w:pPr>
        <w:ind w:left="10" w:right="780" w:firstLine="871"/>
        <w:spacing w:after="0" w:line="277" w:lineRule="auto"/>
        <w:tabs>
          <w:tab w:leader="none" w:pos="1290" w:val="left"/>
        </w:tabs>
        <w:numPr>
          <w:ilvl w:val="0"/>
          <w:numId w:val="433"/>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 for any reason other than Cause;</w:t>
      </w:r>
    </w:p>
    <w:p>
      <w:pPr>
        <w:spacing w:after="0" w:line="169" w:lineRule="exact"/>
        <w:rPr>
          <w:rFonts w:ascii="Arial" w:cs="Arial" w:eastAsia="Arial" w:hAnsi="Arial"/>
          <w:sz w:val="18"/>
          <w:szCs w:val="18"/>
          <w:b w:val="1"/>
          <w:bCs w:val="1"/>
          <w:color w:val="auto"/>
        </w:rPr>
      </w:pPr>
    </w:p>
    <w:p>
      <w:pPr>
        <w:ind w:left="1250" w:hanging="369"/>
        <w:spacing w:after="0"/>
        <w:tabs>
          <w:tab w:leader="none" w:pos="1250" w:val="left"/>
        </w:tabs>
        <w:numPr>
          <w:ilvl w:val="0"/>
          <w:numId w:val="433"/>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4" w:lineRule="exact"/>
        <w:rPr>
          <w:rFonts w:ascii="Arial" w:cs="Arial" w:eastAsia="Arial" w:hAnsi="Arial"/>
          <w:sz w:val="18"/>
          <w:szCs w:val="18"/>
          <w:b w:val="1"/>
          <w:bCs w:val="1"/>
          <w:color w:val="auto"/>
        </w:rPr>
      </w:pPr>
    </w:p>
    <w:p>
      <w:pPr>
        <w:ind w:left="1250" w:hanging="369"/>
        <w:spacing w:after="0"/>
        <w:tabs>
          <w:tab w:leader="none" w:pos="1250" w:val="left"/>
        </w:tabs>
        <w:numPr>
          <w:ilvl w:val="0"/>
          <w:numId w:val="433"/>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left="10" w:firstLine="440"/>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267" w:lineRule="exact"/>
        <w:rPr>
          <w:sz w:val="20"/>
          <w:szCs w:val="20"/>
          <w:color w:val="auto"/>
        </w:rPr>
      </w:pPr>
    </w:p>
    <w:p>
      <w:pPr>
        <w:ind w:left="750" w:hanging="310"/>
        <w:spacing w:after="0"/>
        <w:tabs>
          <w:tab w:leader="none" w:pos="750" w:val="left"/>
        </w:tabs>
        <w:numPr>
          <w:ilvl w:val="1"/>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140" w:firstLine="871"/>
        <w:spacing w:after="0" w:line="259" w:lineRule="auto"/>
        <w:tabs>
          <w:tab w:leader="none" w:pos="1273" w:val="left"/>
        </w:tabs>
        <w:numPr>
          <w:ilvl w:val="2"/>
          <w:numId w:val="434"/>
        </w:numPr>
        <w:rPr>
          <w:rFonts w:ascii="Arial" w:cs="Arial" w:eastAsia="Arial" w:hAnsi="Arial"/>
          <w:sz w:val="18"/>
          <w:szCs w:val="18"/>
          <w:b w:val="1"/>
          <w:bCs w:val="1"/>
          <w:color w:val="auto"/>
        </w:rPr>
      </w:pPr>
      <w:r>
        <w:rPr>
          <w:rFonts w:ascii="Arial" w:cs="Arial" w:eastAsia="Arial" w:hAnsi="Arial"/>
          <w:sz w:val="18"/>
          <w:szCs w:val="18"/>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85" w:lineRule="exact"/>
        <w:rPr>
          <w:rFonts w:ascii="Arial" w:cs="Arial" w:eastAsia="Arial" w:hAnsi="Arial"/>
          <w:sz w:val="18"/>
          <w:szCs w:val="18"/>
          <w:b w:val="1"/>
          <w:bCs w:val="1"/>
          <w:color w:val="auto"/>
        </w:rPr>
      </w:pPr>
    </w:p>
    <w:p>
      <w:pPr>
        <w:ind w:left="10" w:firstLine="871"/>
        <w:spacing w:after="0" w:line="259" w:lineRule="auto"/>
        <w:tabs>
          <w:tab w:leader="none" w:pos="1290" w:val="left"/>
        </w:tabs>
        <w:numPr>
          <w:ilvl w:val="2"/>
          <w:numId w:val="434"/>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85" w:lineRule="exact"/>
        <w:rPr>
          <w:rFonts w:ascii="Arial" w:cs="Arial" w:eastAsia="Arial" w:hAnsi="Arial"/>
          <w:sz w:val="18"/>
          <w:szCs w:val="18"/>
          <w:b w:val="1"/>
          <w:bCs w:val="1"/>
          <w:color w:val="auto"/>
        </w:rPr>
      </w:pPr>
    </w:p>
    <w:p>
      <w:pPr>
        <w:ind w:left="10" w:right="140" w:firstLine="871"/>
        <w:spacing w:after="0" w:line="290" w:lineRule="auto"/>
        <w:tabs>
          <w:tab w:leader="none" w:pos="1269" w:val="left"/>
        </w:tabs>
        <w:numPr>
          <w:ilvl w:val="2"/>
          <w:numId w:val="434"/>
        </w:numPr>
        <w:rPr>
          <w:rFonts w:ascii="Arial" w:cs="Arial" w:eastAsia="Arial" w:hAnsi="Arial"/>
          <w:sz w:val="16"/>
          <w:szCs w:val="16"/>
          <w:b w:val="1"/>
          <w:bCs w:val="1"/>
          <w:color w:val="auto"/>
        </w:rPr>
      </w:pPr>
      <w:r>
        <w:rPr>
          <w:rFonts w:ascii="Arial" w:cs="Arial" w:eastAsia="Arial" w:hAnsi="Arial"/>
          <w:sz w:val="16"/>
          <w:szCs w:val="16"/>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w:t>
      </w:r>
    </w:p>
    <w:p>
      <w:pPr>
        <w:spacing w:after="0" w:line="1" w:lineRule="exact"/>
        <w:rPr>
          <w:rFonts w:ascii="Arial" w:cs="Arial" w:eastAsia="Arial" w:hAnsi="Arial"/>
          <w:sz w:val="16"/>
          <w:szCs w:val="16"/>
          <w:b w:val="1"/>
          <w:bCs w:val="1"/>
          <w:color w:val="auto"/>
        </w:rPr>
      </w:pPr>
    </w:p>
    <w:p>
      <w:pPr>
        <w:ind w:left="250" w:hanging="250"/>
        <w:spacing w:after="0"/>
        <w:tabs>
          <w:tab w:leader="none" w:pos="25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years after the Date of Grant or within one (1) year after such shares of Common Stock are transferred upon exercise of your option.</w:t>
      </w:r>
    </w:p>
    <w:p>
      <w:pPr>
        <w:spacing w:after="0" w:line="210" w:lineRule="exact"/>
        <w:rPr>
          <w:rFonts w:ascii="Arial" w:cs="Arial" w:eastAsia="Arial" w:hAnsi="Arial"/>
          <w:sz w:val="18"/>
          <w:szCs w:val="18"/>
          <w:color w:val="auto"/>
        </w:rPr>
      </w:pPr>
    </w:p>
    <w:p>
      <w:pPr>
        <w:ind w:left="10" w:firstLine="871"/>
        <w:spacing w:after="0" w:line="291" w:lineRule="auto"/>
        <w:tabs>
          <w:tab w:leader="none" w:pos="1290" w:val="left"/>
        </w:tabs>
        <w:numPr>
          <w:ilvl w:val="2"/>
          <w:numId w:val="435"/>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4" w:right="459" w:bottom="1440" w:gutter="0" w:footer="0" w:header="0"/>
        </w:sectPr>
      </w:pPr>
    </w:p>
    <w:bookmarkStart w:id="425" w:name="page426"/>
    <w:bookmarkEnd w:id="425"/>
    <w:p>
      <w:pPr>
        <w:ind w:left="10"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8(d). The underwriters of the Company’s stock are intended third party beneficiaries of this Section 8(d) and will have the right, power and authority to enforce the provisions hereof as though they were a party hereto.]</w:t>
      </w:r>
      <w:r>
        <w:rPr>
          <w:rFonts w:ascii="Arial" w:cs="Arial" w:eastAsia="Arial" w:hAnsi="Arial"/>
          <w:sz w:val="14"/>
          <w:szCs w:val="14"/>
          <w:color w:val="auto"/>
        </w:rPr>
        <w:t>2</w:t>
      </w:r>
    </w:p>
    <w:p>
      <w:pPr>
        <w:spacing w:after="0" w:line="166" w:lineRule="exact"/>
        <w:rPr>
          <w:sz w:val="20"/>
          <w:szCs w:val="20"/>
          <w:color w:val="auto"/>
        </w:rPr>
      </w:pPr>
    </w:p>
    <w:p>
      <w:pPr>
        <w:ind w:left="10" w:right="60" w:firstLine="430"/>
        <w:spacing w:after="0" w:line="281" w:lineRule="auto"/>
        <w:tabs>
          <w:tab w:leader="none" w:pos="854"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Section 9, your option is not transferable,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is exercisable during your life only by you.</w:t>
      </w:r>
    </w:p>
    <w:p>
      <w:pPr>
        <w:spacing w:after="0" w:line="162" w:lineRule="exact"/>
        <w:rPr>
          <w:rFonts w:ascii="Arial" w:cs="Arial" w:eastAsia="Arial" w:hAnsi="Arial"/>
          <w:sz w:val="18"/>
          <w:szCs w:val="18"/>
          <w:b w:val="1"/>
          <w:bCs w:val="1"/>
          <w:color w:val="auto"/>
        </w:rPr>
      </w:pPr>
    </w:p>
    <w:p>
      <w:pPr>
        <w:jc w:val="both"/>
        <w:ind w:left="10" w:right="120" w:firstLine="871"/>
        <w:spacing w:after="0" w:line="288" w:lineRule="auto"/>
        <w:tabs>
          <w:tab w:leader="none" w:pos="1280" w:val="left"/>
        </w:tabs>
        <w:numPr>
          <w:ilvl w:val="1"/>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Trusts. </w:t>
      </w:r>
      <w:r>
        <w:rPr>
          <w:rFonts w:ascii="Arial" w:cs="Arial" w:eastAsia="Arial" w:hAnsi="Arial"/>
          <w:sz w:val="17"/>
          <w:szCs w:val="17"/>
          <w:color w:val="auto"/>
        </w:rPr>
        <w:t>Upon receiving written permission from the Board or its duly authorized designee, you may transfer your option to a</w:t>
      </w:r>
      <w:r>
        <w:rPr>
          <w:rFonts w:ascii="Arial" w:cs="Arial" w:eastAsia="Arial" w:hAnsi="Arial"/>
          <w:sz w:val="17"/>
          <w:szCs w:val="17"/>
          <w:b w:val="1"/>
          <w:bCs w:val="1"/>
          <w:color w:val="auto"/>
        </w:rPr>
        <w:t xml:space="preserve"> </w:t>
      </w:r>
      <w:r>
        <w:rPr>
          <w:rFonts w:ascii="Arial" w:cs="Arial" w:eastAsia="Arial" w:hAnsi="Arial"/>
          <w:sz w:val="17"/>
          <w:szCs w:val="17"/>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59" w:lineRule="exact"/>
        <w:rPr>
          <w:rFonts w:ascii="Arial" w:cs="Arial" w:eastAsia="Arial" w:hAnsi="Arial"/>
          <w:sz w:val="17"/>
          <w:szCs w:val="17"/>
          <w:b w:val="1"/>
          <w:bCs w:val="1"/>
          <w:color w:val="auto"/>
        </w:rPr>
      </w:pPr>
    </w:p>
    <w:p>
      <w:pPr>
        <w:ind w:left="10" w:firstLine="871"/>
        <w:spacing w:after="0" w:line="274" w:lineRule="auto"/>
        <w:tabs>
          <w:tab w:leader="none" w:pos="1290" w:val="left"/>
        </w:tabs>
        <w:numPr>
          <w:ilvl w:val="1"/>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Upon receiving written permission from the Board or its duly authorized designee, and provided that you</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designated transferee enter into transfer and other agreements required by the Company, you may transfer your option pursuant to the terms of a domestic relations order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71" w:lineRule="exact"/>
        <w:rPr>
          <w:rFonts w:ascii="Arial" w:cs="Arial" w:eastAsia="Arial" w:hAnsi="Arial"/>
          <w:sz w:val="17"/>
          <w:szCs w:val="17"/>
          <w:b w:val="1"/>
          <w:bCs w:val="1"/>
          <w:color w:val="auto"/>
        </w:rPr>
      </w:pPr>
    </w:p>
    <w:p>
      <w:pPr>
        <w:ind w:left="10" w:right="140" w:firstLine="871"/>
        <w:spacing w:after="0" w:line="276" w:lineRule="auto"/>
        <w:tabs>
          <w:tab w:leader="none" w:pos="1269" w:val="left"/>
        </w:tabs>
        <w:numPr>
          <w:ilvl w:val="1"/>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1" w:lineRule="exact"/>
        <w:rPr>
          <w:rFonts w:ascii="Arial" w:cs="Arial" w:eastAsia="Arial" w:hAnsi="Arial"/>
          <w:sz w:val="17"/>
          <w:szCs w:val="17"/>
          <w:b w:val="1"/>
          <w:bCs w:val="1"/>
          <w:color w:val="auto"/>
        </w:rPr>
      </w:pPr>
    </w:p>
    <w:p>
      <w:pPr>
        <w:jc w:val="both"/>
        <w:ind w:left="10" w:right="260" w:firstLine="430"/>
        <w:spacing w:after="0" w:line="288" w:lineRule="auto"/>
        <w:tabs>
          <w:tab w:leader="none" w:pos="845"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IGHT OF</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have the right to repurchase all of the shares of Common Stock you acquire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your option upon termination of your Continuous Service for Cause. Such repurchase will be at the exercise price you paid to acquire the shares and will be effected pursuant to such other terms and conditions, and at such time, as the Company will determine.</w:t>
      </w:r>
    </w:p>
    <w:p>
      <w:pPr>
        <w:spacing w:after="0" w:line="159" w:lineRule="exact"/>
        <w:rPr>
          <w:rFonts w:ascii="Arial" w:cs="Arial" w:eastAsia="Arial" w:hAnsi="Arial"/>
          <w:sz w:val="17"/>
          <w:szCs w:val="17"/>
          <w:b w:val="1"/>
          <w:bCs w:val="1"/>
          <w:color w:val="auto"/>
        </w:rPr>
      </w:pPr>
    </w:p>
    <w:p>
      <w:pPr>
        <w:ind w:left="10" w:right="20" w:firstLine="430"/>
        <w:spacing w:after="0" w:line="303" w:lineRule="auto"/>
        <w:tabs>
          <w:tab w:leader="none" w:pos="854"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an employment or service contract, and nothing in your option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shareholders, boards of directors, officers or employees to continue any relationship that you might have as a Director or Consultant for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023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7">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50" w:lineRule="exact"/>
        <w:rPr>
          <w:sz w:val="20"/>
          <w:szCs w:val="20"/>
          <w:color w:val="auto"/>
        </w:rPr>
      </w:pPr>
    </w:p>
    <w:p>
      <w:pPr>
        <w:ind w:left="430" w:hanging="430"/>
        <w:spacing w:after="0"/>
        <w:tabs>
          <w:tab w:leader="none" w:pos="430" w:val="left"/>
        </w:tabs>
        <w:numPr>
          <w:ilvl w:val="0"/>
          <w:numId w:val="437"/>
        </w:numPr>
        <w:rPr>
          <w:rFonts w:ascii="Arial" w:cs="Arial" w:eastAsia="Arial" w:hAnsi="Arial"/>
          <w:sz w:val="15"/>
          <w:szCs w:val="15"/>
          <w:color w:val="auto"/>
        </w:rPr>
      </w:pPr>
      <w:r>
        <w:rPr>
          <w:rFonts w:ascii="Arial" w:cs="Arial" w:eastAsia="Arial" w:hAnsi="Arial"/>
          <w:sz w:val="18"/>
          <w:szCs w:val="18"/>
          <w:color w:val="auto"/>
        </w:rPr>
        <w:t>For inclusion only in any grants made during lock-up period.</w:t>
      </w:r>
    </w:p>
    <w:p>
      <w:pPr>
        <w:spacing w:after="0" w:line="1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0"/>
          </w:cols>
          <w:pgMar w:left="450" w:top="274" w:right="459" w:bottom="1440" w:gutter="0" w:footer="0" w:header="0"/>
        </w:sectPr>
      </w:pPr>
    </w:p>
    <w:bookmarkStart w:id="426" w:name="page427"/>
    <w:bookmarkEnd w:id="426"/>
    <w:p>
      <w:pPr>
        <w:ind w:left="840" w:hanging="410"/>
        <w:spacing w:after="0"/>
        <w:tabs>
          <w:tab w:leader="none" w:pos="84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right="40" w:firstLine="871"/>
        <w:spacing w:after="0" w:line="255" w:lineRule="auto"/>
        <w:tabs>
          <w:tab w:leader="none" w:pos="1260"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As further provided in Section 8 of the Plan: (a) you may not exercise your Option unless the applicable tax withholding obligations are satisfied, and (b) 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91" w:lineRule="exact"/>
        <w:rPr>
          <w:rFonts w:ascii="Arial" w:cs="Arial" w:eastAsia="Arial" w:hAnsi="Arial"/>
          <w:sz w:val="18"/>
          <w:szCs w:val="18"/>
          <w:b w:val="1"/>
          <w:bCs w:val="1"/>
          <w:color w:val="auto"/>
        </w:rPr>
      </w:pPr>
    </w:p>
    <w:p>
      <w:pPr>
        <w:ind w:right="20" w:firstLine="871"/>
        <w:spacing w:after="0" w:line="254" w:lineRule="auto"/>
        <w:tabs>
          <w:tab w:leader="none" w:pos="1280"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 xml:space="preserve">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necessary to qualify for an exemption from application of Section 16(b) of the Exchange Act, if applicable, such share withholding procedure will be subject to the express prior approval of the Company’s Compensation Committee. Any adverse consequences to you arising in connection with such share withholding procedure shall be your sole responsibility.</w:t>
      </w:r>
    </w:p>
    <w:p>
      <w:pPr>
        <w:spacing w:after="0" w:line="190" w:lineRule="exact"/>
        <w:rPr>
          <w:rFonts w:ascii="Arial" w:cs="Arial" w:eastAsia="Arial" w:hAnsi="Arial"/>
          <w:sz w:val="18"/>
          <w:szCs w:val="18"/>
          <w:b w:val="1"/>
          <w:bCs w:val="1"/>
          <w:color w:val="auto"/>
        </w:rPr>
      </w:pPr>
    </w:p>
    <w:p>
      <w:pPr>
        <w:ind w:right="80" w:firstLine="871"/>
        <w:spacing w:after="0" w:line="259" w:lineRule="auto"/>
        <w:tabs>
          <w:tab w:leader="none" w:pos="1253"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81" w:lineRule="exact"/>
        <w:rPr>
          <w:rFonts w:ascii="Arial" w:cs="Arial" w:eastAsia="Arial" w:hAnsi="Arial"/>
          <w:sz w:val="18"/>
          <w:szCs w:val="18"/>
          <w:b w:val="1"/>
          <w:bCs w:val="1"/>
          <w:color w:val="auto"/>
        </w:rPr>
      </w:pPr>
    </w:p>
    <w:p>
      <w:pPr>
        <w:ind w:left="840" w:hanging="410"/>
        <w:spacing w:after="0"/>
        <w:tabs>
          <w:tab w:leader="none" w:pos="840"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AX</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ONSEQUENCES</w:t>
      </w:r>
      <w:r>
        <w:rPr>
          <w:rFonts w:ascii="Arial" w:cs="Arial" w:eastAsia="Arial" w:hAnsi="Arial"/>
          <w:sz w:val="16"/>
          <w:szCs w:val="16"/>
          <w:color w:val="auto"/>
        </w:rPr>
        <w:t>. You hereby agree that the Company does not have a duty to design or administer the Plan or its other compensation</w:t>
      </w:r>
    </w:p>
    <w:p>
      <w:pPr>
        <w:spacing w:after="0" w:line="5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56" w:lineRule="exact"/>
        <w:rPr>
          <w:sz w:val="20"/>
          <w:szCs w:val="20"/>
          <w:color w:val="auto"/>
        </w:rPr>
      </w:pPr>
    </w:p>
    <w:p>
      <w:pPr>
        <w:ind w:right="220" w:firstLine="430"/>
        <w:spacing w:after="0" w:line="274" w:lineRule="auto"/>
        <w:tabs>
          <w:tab w:leader="none" w:pos="845"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notices provided for in your option or the Plan will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17"/>
          <w:szCs w:val="17"/>
          <w:b w:val="1"/>
          <w:bCs w:val="1"/>
          <w:color w:val="auto"/>
        </w:rPr>
      </w:pPr>
    </w:p>
    <w:p>
      <w:pPr>
        <w:jc w:val="both"/>
        <w:ind w:right="140" w:firstLine="430"/>
        <w:spacing w:after="0" w:line="288" w:lineRule="auto"/>
        <w:tabs>
          <w:tab w:leader="none" w:pos="845"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is subject to all the provisions of the Plan, the provisions of which are hereby made a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0" w:right="459" w:bottom="1440" w:gutter="0" w:footer="0" w:header="0"/>
        </w:sectPr>
      </w:pPr>
    </w:p>
    <w:bookmarkStart w:id="427" w:name="page428"/>
    <w:bookmarkEnd w:id="42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7" w:lineRule="exact"/>
        <w:rPr>
          <w:sz w:val="20"/>
          <w:szCs w:val="20"/>
          <w:color w:val="auto"/>
        </w:rPr>
      </w:pPr>
    </w:p>
    <w:p>
      <w:pPr>
        <w:ind w:right="20" w:firstLine="430"/>
        <w:spacing w:after="0" w:line="314" w:lineRule="auto"/>
        <w:tabs>
          <w:tab w:leader="none" w:pos="845"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color w:val="auto"/>
        </w:rPr>
        <w:t>. You hereby acknowledge receipt of and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41" w:lineRule="exact"/>
        <w:rPr>
          <w:rFonts w:ascii="Arial" w:cs="Arial" w:eastAsia="Arial" w:hAnsi="Arial"/>
          <w:sz w:val="16"/>
          <w:szCs w:val="16"/>
          <w:b w:val="1"/>
          <w:bCs w:val="1"/>
          <w:color w:val="auto"/>
        </w:rPr>
      </w:pPr>
    </w:p>
    <w:p>
      <w:pPr>
        <w:jc w:val="both"/>
        <w:ind w:right="180" w:firstLine="430"/>
        <w:spacing w:after="0" w:line="260" w:lineRule="auto"/>
        <w:tabs>
          <w:tab w:leader="none" w:pos="845"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color w:val="auto"/>
        </w:rPr>
        <w:t>. The value of this option will not be included as compensation, earnings, salaries,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2" w:lineRule="exact"/>
        <w:rPr>
          <w:rFonts w:ascii="Arial" w:cs="Arial" w:eastAsia="Arial" w:hAnsi="Arial"/>
          <w:sz w:val="18"/>
          <w:szCs w:val="18"/>
          <w:b w:val="1"/>
          <w:bCs w:val="1"/>
          <w:color w:val="auto"/>
        </w:rPr>
      </w:pPr>
    </w:p>
    <w:p>
      <w:pPr>
        <w:ind w:right="140" w:firstLine="430"/>
        <w:spacing w:after="0" w:line="260" w:lineRule="auto"/>
        <w:tabs>
          <w:tab w:leader="none" w:pos="845"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 You will not have voting or any other rights as a shareholder of the Company with respect to the shares to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spacing w:after="0" w:line="182" w:lineRule="exact"/>
        <w:rPr>
          <w:rFonts w:ascii="Arial" w:cs="Arial" w:eastAsia="Arial" w:hAnsi="Arial"/>
          <w:sz w:val="18"/>
          <w:szCs w:val="18"/>
          <w:b w:val="1"/>
          <w:bCs w:val="1"/>
          <w:color w:val="auto"/>
        </w:rPr>
      </w:pPr>
    </w:p>
    <w:p>
      <w:pPr>
        <w:jc w:val="both"/>
        <w:ind w:firstLine="430"/>
        <w:spacing w:after="0" w:line="280" w:lineRule="auto"/>
        <w:tabs>
          <w:tab w:leader="none" w:pos="845"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color w:val="auto"/>
        </w:rPr>
        <w:t>. If all or any part of this Option Agreement or the Plan is declared by any court or governmental authority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74" w:lineRule="exact"/>
        <w:rPr>
          <w:rFonts w:ascii="Arial" w:cs="Arial" w:eastAsia="Arial" w:hAnsi="Arial"/>
          <w:sz w:val="17"/>
          <w:szCs w:val="17"/>
          <w:b w:val="1"/>
          <w:bCs w:val="1"/>
          <w:color w:val="auto"/>
        </w:rPr>
      </w:pPr>
    </w:p>
    <w:p>
      <w:pPr>
        <w:ind w:left="840" w:hanging="410"/>
        <w:spacing w:after="0"/>
        <w:tabs>
          <w:tab w:leader="none" w:pos="84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20" w:lineRule="exact"/>
        <w:rPr>
          <w:rFonts w:ascii="Arial" w:cs="Arial" w:eastAsia="Arial" w:hAnsi="Arial"/>
          <w:sz w:val="18"/>
          <w:szCs w:val="18"/>
          <w:b w:val="1"/>
          <w:bCs w:val="1"/>
          <w:color w:val="auto"/>
        </w:rPr>
      </w:pPr>
    </w:p>
    <w:p>
      <w:pPr>
        <w:ind w:right="480" w:firstLine="871"/>
        <w:spacing w:after="0" w:line="307" w:lineRule="auto"/>
        <w:tabs>
          <w:tab w:leader="none" w:pos="1267" w:val="left"/>
        </w:tabs>
        <w:numPr>
          <w:ilvl w:val="1"/>
          <w:numId w:val="440"/>
        </w:numPr>
        <w:rPr>
          <w:rFonts w:ascii="Arial" w:cs="Arial" w:eastAsia="Arial" w:hAnsi="Arial"/>
          <w:sz w:val="17"/>
          <w:szCs w:val="17"/>
          <w:b w:val="1"/>
          <w:bCs w:val="1"/>
          <w:color w:val="auto"/>
        </w:rPr>
      </w:pPr>
      <w:r>
        <w:rPr>
          <w:rFonts w:ascii="Arial" w:cs="Arial" w:eastAsia="Arial" w:hAnsi="Arial"/>
          <w:sz w:val="17"/>
          <w:szCs w:val="17"/>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47" w:lineRule="exact"/>
        <w:rPr>
          <w:rFonts w:ascii="Arial" w:cs="Arial" w:eastAsia="Arial" w:hAnsi="Arial"/>
          <w:sz w:val="17"/>
          <w:szCs w:val="17"/>
          <w:b w:val="1"/>
          <w:bCs w:val="1"/>
          <w:color w:val="auto"/>
        </w:rPr>
      </w:pPr>
    </w:p>
    <w:p>
      <w:pPr>
        <w:ind w:right="520" w:firstLine="871"/>
        <w:spacing w:after="0" w:line="277" w:lineRule="auto"/>
        <w:tabs>
          <w:tab w:leader="none" w:pos="1273" w:val="left"/>
        </w:tabs>
        <w:numPr>
          <w:ilvl w:val="1"/>
          <w:numId w:val="440"/>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option.</w:t>
      </w:r>
    </w:p>
    <w:p>
      <w:pPr>
        <w:spacing w:after="0" w:line="169" w:lineRule="exact"/>
        <w:rPr>
          <w:rFonts w:ascii="Arial" w:cs="Arial" w:eastAsia="Arial" w:hAnsi="Arial"/>
          <w:sz w:val="18"/>
          <w:szCs w:val="18"/>
          <w:b w:val="1"/>
          <w:bCs w:val="1"/>
          <w:color w:val="auto"/>
        </w:rPr>
      </w:pPr>
    </w:p>
    <w:p>
      <w:pPr>
        <w:ind w:firstLine="871"/>
        <w:spacing w:after="0" w:line="277" w:lineRule="auto"/>
        <w:tabs>
          <w:tab w:leader="none" w:pos="1253" w:val="left"/>
        </w:tabs>
        <w:numPr>
          <w:ilvl w:val="1"/>
          <w:numId w:val="440"/>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69" w:lineRule="exact"/>
        <w:rPr>
          <w:rFonts w:ascii="Arial" w:cs="Arial" w:eastAsia="Arial" w:hAnsi="Arial"/>
          <w:sz w:val="18"/>
          <w:szCs w:val="18"/>
          <w:b w:val="1"/>
          <w:bCs w:val="1"/>
          <w:color w:val="auto"/>
        </w:rPr>
      </w:pPr>
    </w:p>
    <w:p>
      <w:pPr>
        <w:ind w:right="440" w:firstLine="871"/>
        <w:spacing w:after="0" w:line="277" w:lineRule="auto"/>
        <w:tabs>
          <w:tab w:leader="none" w:pos="1277" w:val="left"/>
        </w:tabs>
        <w:numPr>
          <w:ilvl w:val="1"/>
          <w:numId w:val="440"/>
        </w:numPr>
        <w:rPr>
          <w:rFonts w:ascii="Arial" w:cs="Arial" w:eastAsia="Arial" w:hAnsi="Arial"/>
          <w:sz w:val="18"/>
          <w:szCs w:val="18"/>
          <w:b w:val="1"/>
          <w:bCs w:val="1"/>
          <w:color w:val="auto"/>
        </w:rPr>
      </w:pPr>
      <w:r>
        <w:rPr>
          <w:rFonts w:ascii="Arial" w:cs="Arial" w:eastAsia="Arial" w:hAnsi="Arial"/>
          <w:sz w:val="18"/>
          <w:szCs w:val="18"/>
          <w:color w:val="auto"/>
        </w:rPr>
        <w:t>This Option Agreement will be subject to all applicable laws, rules, and regulations, and to such approvals by any governmental agencies or national securities exchanges as may be required.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60" w:top="273" w:right="519" w:bottom="1440" w:gutter="0" w:footer="0" w:header="0"/>
        </w:sectPr>
      </w:pPr>
    </w:p>
    <w:bookmarkStart w:id="428" w:name="page429"/>
    <w:bookmarkEnd w:id="428"/>
    <w:p>
      <w:pPr>
        <w:ind w:left="-871" w:firstLine="871"/>
        <w:spacing w:after="0" w:line="263" w:lineRule="auto"/>
        <w:tabs>
          <w:tab w:leader="none" w:pos="379"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2" w:lineRule="exact"/>
        <w:rPr>
          <w:rFonts w:ascii="Arial" w:cs="Arial" w:eastAsia="Arial" w:hAnsi="Arial"/>
          <w:sz w:val="18"/>
          <w:szCs w:val="18"/>
          <w:b w:val="1"/>
          <w:bCs w:val="1"/>
          <w:color w:val="auto"/>
        </w:rPr>
      </w:pPr>
    </w:p>
    <w:p>
      <w:pPr>
        <w:ind w:left="4449"/>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791"/>
        <w:spacing w:after="0" w:line="449" w:lineRule="auto"/>
        <w:rPr>
          <w:sz w:val="20"/>
          <w:szCs w:val="20"/>
          <w:color w:val="auto"/>
        </w:rPr>
      </w:pPr>
      <w:r>
        <w:rPr>
          <w:rFonts w:ascii="Arial" w:cs="Arial" w:eastAsia="Arial" w:hAnsi="Arial"/>
          <w:sz w:val="18"/>
          <w:szCs w:val="18"/>
          <w:color w:val="auto"/>
        </w:rPr>
        <w:t>This Option Agreement will be deemed to be signed by you upon the signing by you of the Grant Notice to which it is attached. 10</w:t>
      </w:r>
    </w:p>
    <w:p>
      <w:pPr>
        <w:sectPr>
          <w:pgSz w:w="11900" w:h="16838" w:orient="portrait"/>
          <w:cols w:equalWidth="0" w:num="1">
            <w:col w:w="10049"/>
          </w:cols>
          <w:pgMar w:left="1331" w:top="274" w:right="519" w:bottom="1440" w:gutter="0" w:footer="0" w:header="0"/>
        </w:sectPr>
      </w:pPr>
    </w:p>
    <w:bookmarkStart w:id="429" w:name="page430"/>
    <w:bookmarkEnd w:id="4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70" w:right="1440"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270" w:right="1440" w:bottom="1440" w:gutter="0" w:footer="0" w:header="0"/>
        </w:sectPr>
      </w:pPr>
    </w:p>
    <w:bookmarkStart w:id="431" w:name="page432"/>
    <w:bookmarkEnd w:id="431"/>
    <w:p>
      <w:pPr>
        <w:jc w:val="center"/>
        <w:ind w:righ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EXERCISE</w:t>
      </w:r>
    </w:p>
    <w:p>
      <w:pPr>
        <w:sectPr>
          <w:pgSz w:w="11900" w:h="16838" w:orient="portrait"/>
          <w:cols w:equalWidth="0" w:num="1">
            <w:col w:w="10970"/>
          </w:cols>
          <w:pgMar w:left="450" w:top="270" w:right="479" w:bottom="1440" w:gutter="0" w:footer="0" w:header="0"/>
        </w:sectPr>
      </w:pPr>
    </w:p>
    <w:p>
      <w:pPr>
        <w:spacing w:after="0" w:line="2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Attention: [Stock Plan Administrator]</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Santana Row, 3055 Olin Avenue</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color w:val="auto"/>
        </w:rPr>
        <w:t>San Jose, CA 95128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w:t>
      </w:r>
    </w:p>
    <w:p>
      <w:pPr>
        <w:spacing w:after="0" w:line="237" w:lineRule="exact"/>
        <w:rPr>
          <w:sz w:val="20"/>
          <w:szCs w:val="20"/>
          <w:color w:val="auto"/>
        </w:rPr>
      </w:pPr>
    </w:p>
    <w:p>
      <w:pPr>
        <w:sectPr>
          <w:pgSz w:w="11900" w:h="16838" w:orient="portrait"/>
          <w:cols w:equalWidth="0" w:num="2">
            <w:col w:w="4910" w:space="720"/>
            <w:col w:w="5340"/>
          </w:cols>
          <w:pgMar w:left="450" w:top="270" w:right="479" w:bottom="1440" w:gutter="0" w:footer="0" w:header="0"/>
          <w:type w:val="continuous"/>
        </w:sectPr>
      </w:pPr>
    </w:p>
    <w:p>
      <w:pPr>
        <w:spacing w:after="0" w:line="10" w:lineRule="exact"/>
        <w:rPr>
          <w:sz w:val="20"/>
          <w:szCs w:val="20"/>
          <w:color w:val="auto"/>
        </w:rPr>
      </w:pPr>
    </w:p>
    <w:p>
      <w:pPr>
        <w:ind w:left="10" w:right="40" w:firstLine="440"/>
        <w:spacing w:after="0" w:line="263" w:lineRule="auto"/>
        <w:rPr>
          <w:sz w:val="20"/>
          <w:szCs w:val="20"/>
          <w:color w:val="auto"/>
        </w:rPr>
      </w:pPr>
      <w:r>
        <w:rPr>
          <w:rFonts w:ascii="Arial" w:cs="Arial" w:eastAsia="Arial" w:hAnsi="Arial"/>
          <w:sz w:val="18"/>
          <w:szCs w:val="18"/>
          <w:color w:val="auto"/>
        </w:rPr>
        <w:t>This constitutes notice to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 Capitalized terms used in this notice but not defined have the meanings set forth in the Plan.</w:t>
      </w:r>
    </w:p>
    <w:p>
      <w:pPr>
        <w:spacing w:after="0" w:line="177" w:lineRule="exact"/>
        <w:rPr>
          <w:sz w:val="20"/>
          <w:szCs w:val="20"/>
          <w:color w:val="auto"/>
        </w:rPr>
      </w:pPr>
    </w:p>
    <w:p>
      <w:pPr>
        <w:ind w:left="450"/>
        <w:spacing w:after="0" w:line="207" w:lineRule="exact"/>
        <w:tabs>
          <w:tab w:leader="none" w:pos="8189" w:val="left"/>
          <w:tab w:leader="none" w:pos="9389" w:val="left"/>
        </w:tabs>
        <w:rPr>
          <w:sz w:val="20"/>
          <w:szCs w:val="20"/>
          <w:color w:val="auto"/>
        </w:rPr>
      </w:pPr>
      <w:r>
        <w:rPr>
          <w:rFonts w:ascii="Arial" w:cs="Arial" w:eastAsia="Arial" w:hAnsi="Arial"/>
          <w:sz w:val="18"/>
          <w:szCs w:val="18"/>
          <w:color w:val="auto"/>
        </w:rPr>
        <w:t>Type of option (check one):</w:t>
      </w:r>
      <w:r>
        <w:rPr>
          <w:sz w:val="20"/>
          <w:szCs w:val="20"/>
          <w:color w:val="auto"/>
        </w:rPr>
        <w:tab/>
      </w: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Nonstatutory </w:t>
      </w:r>
      <w:r>
        <w:rPr>
          <w:rFonts w:ascii="MS PGothic" w:cs="MS PGothic" w:eastAsia="MS PGothic" w:hAnsi="MS PGothic"/>
          <w:sz w:val="16"/>
          <w:szCs w:val="16"/>
          <w:color w:val="auto"/>
        </w:rPr>
        <w:t>☐</w:t>
      </w:r>
    </w:p>
    <w:p>
      <w:pPr>
        <w:spacing w:after="0" w:line="14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Stock option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-10160</wp:posOffset>
            </wp:positionV>
            <wp:extent cx="133350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4">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97" w:lineRule="exact"/>
        <w:rPr>
          <w:sz w:val="20"/>
          <w:szCs w:val="20"/>
          <w:color w:val="auto"/>
        </w:rPr>
      </w:pPr>
    </w:p>
    <w:p>
      <w:pPr>
        <w:ind w:left="450"/>
        <w:spacing w:after="0"/>
        <w:rPr>
          <w:sz w:val="20"/>
          <w:szCs w:val="20"/>
          <w:color w:val="auto"/>
        </w:rPr>
      </w:pPr>
      <w:r>
        <w:rPr>
          <w:rFonts w:ascii="Arial" w:cs="Arial" w:eastAsia="Arial" w:hAnsi="Arial"/>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5273675</wp:posOffset>
            </wp:positionH>
            <wp:positionV relativeFrom="paragraph">
              <wp:posOffset>-10160</wp:posOffset>
            </wp:positionV>
            <wp:extent cx="13335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79" w:lineRule="exact"/>
        <w:rPr>
          <w:sz w:val="20"/>
          <w:szCs w:val="20"/>
          <w:color w:val="auto"/>
        </w:rPr>
      </w:pPr>
    </w:p>
    <w:tbl>
      <w:tblPr>
        <w:tblLayout w:type="fixed"/>
        <w:tblInd w:w="45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auto"/>
                <w:w w:val="98"/>
              </w:rPr>
              <w:t>Total exercise price:</w:t>
            </w:r>
          </w:p>
        </w:tc>
        <w:tc>
          <w:tcPr>
            <w:tcW w:w="4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304"/>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Cash, check, bank draft, or money order payment delivered herewith:</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1600" w:type="dxa"/>
            <w:vAlign w:val="bottom"/>
          </w:tcPr>
          <w:p>
            <w:pPr>
              <w:ind w:left="360"/>
              <w:spacing w:after="0"/>
              <w:rPr>
                <w:sz w:val="20"/>
                <w:szCs w:val="20"/>
                <w:color w:val="auto"/>
              </w:rPr>
            </w:pPr>
            <w:r>
              <w:rPr>
                <w:rFonts w:ascii="Arial" w:cs="Arial" w:eastAsia="Arial" w:hAnsi="Arial"/>
                <w:sz w:val="18"/>
                <w:szCs w:val="18"/>
                <w:color w:val="auto"/>
              </w:rPr>
              <w:t>Value of</w:t>
            </w:r>
          </w:p>
        </w:tc>
        <w:tc>
          <w:tcPr>
            <w:tcW w:w="4960" w:type="dxa"/>
            <w:vAlign w:val="bottom"/>
          </w:tcPr>
          <w:p>
            <w:pPr>
              <w:ind w:left="160"/>
              <w:spacing w:after="0"/>
              <w:rPr>
                <w:sz w:val="20"/>
                <w:szCs w:val="20"/>
                <w:color w:val="auto"/>
              </w:rPr>
            </w:pPr>
            <w:r>
              <w:rPr>
                <w:rFonts w:ascii="Arial" w:cs="Arial" w:eastAsia="Arial" w:hAnsi="Arial"/>
                <w:sz w:val="18"/>
                <w:szCs w:val="18"/>
                <w:color w:val="auto"/>
              </w:rPr>
              <w:t>Shares delivered herewith</w:t>
            </w:r>
            <w:r>
              <w:rPr>
                <w:rFonts w:ascii="Arial" w:cs="Arial" w:eastAsia="Arial" w:hAnsi="Arial"/>
                <w:sz w:val="15"/>
                <w:szCs w:val="15"/>
                <w:color w:val="auto"/>
              </w:rPr>
              <w:t>3</w:t>
            </w: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r>
      <w:tr>
        <w:trPr>
          <w:trHeight w:val="304"/>
        </w:trPr>
        <w:tc>
          <w:tcPr>
            <w:tcW w:w="1600" w:type="dxa"/>
            <w:vAlign w:val="bottom"/>
          </w:tcPr>
          <w:p>
            <w:pPr>
              <w:ind w:left="360"/>
              <w:spacing w:after="0"/>
              <w:rPr>
                <w:sz w:val="20"/>
                <w:szCs w:val="20"/>
                <w:color w:val="auto"/>
              </w:rPr>
            </w:pPr>
            <w:r>
              <w:rPr>
                <w:rFonts w:ascii="Arial" w:cs="Arial" w:eastAsia="Arial" w:hAnsi="Arial"/>
                <w:sz w:val="18"/>
                <w:szCs w:val="18"/>
                <w:color w:val="auto"/>
              </w:rPr>
              <w:t>Value of</w:t>
            </w:r>
          </w:p>
        </w:tc>
        <w:tc>
          <w:tcPr>
            <w:tcW w:w="4960" w:type="dxa"/>
            <w:vAlign w:val="bottom"/>
          </w:tcPr>
          <w:p>
            <w:pPr>
              <w:ind w:left="160"/>
              <w:spacing w:after="0"/>
              <w:rPr>
                <w:sz w:val="20"/>
                <w:szCs w:val="20"/>
                <w:color w:val="auto"/>
              </w:rPr>
            </w:pPr>
            <w:r>
              <w:rPr>
                <w:rFonts w:ascii="Arial" w:cs="Arial" w:eastAsia="Arial" w:hAnsi="Arial"/>
                <w:sz w:val="18"/>
                <w:szCs w:val="18"/>
                <w:color w:val="auto"/>
              </w:rPr>
              <w:t>Shares pursuant to net exercise</w:t>
            </w:r>
            <w:r>
              <w:rPr>
                <w:rFonts w:ascii="Arial" w:cs="Arial" w:eastAsia="Arial" w:hAnsi="Arial"/>
                <w:sz w:val="15"/>
                <w:szCs w:val="15"/>
                <w:color w:val="auto"/>
              </w:rPr>
              <w:t>4</w:t>
            </w: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r>
      <w:tr>
        <w:trPr>
          <w:trHeight w:val="304"/>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5</w:t>
            </w: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6</w:t>
            </w:r>
          </w:p>
        </w:tc>
      </w:tr>
    </w:tbl>
    <w:p>
      <w:pPr>
        <w:spacing w:after="0" w:line="228" w:lineRule="exact"/>
        <w:rPr>
          <w:sz w:val="20"/>
          <w:szCs w:val="20"/>
          <w:color w:val="auto"/>
        </w:rPr>
      </w:pPr>
    </w:p>
    <w:p>
      <w:pPr>
        <w:ind w:left="10" w:firstLine="440"/>
        <w:spacing w:after="0" w:line="256"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SI-BONE, Inc. 2018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0231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87" w:lineRule="exact"/>
        <w:rPr>
          <w:sz w:val="20"/>
          <w:szCs w:val="20"/>
          <w:color w:val="auto"/>
        </w:rPr>
      </w:pPr>
    </w:p>
    <w:p>
      <w:pPr>
        <w:ind w:left="430" w:right="280" w:hanging="430"/>
        <w:spacing w:after="0" w:line="257" w:lineRule="auto"/>
        <w:tabs>
          <w:tab w:leader="none" w:pos="430" w:val="left"/>
        </w:tabs>
        <w:numPr>
          <w:ilvl w:val="0"/>
          <w:numId w:val="442"/>
        </w:numPr>
        <w:rPr>
          <w:rFonts w:ascii="Arial" w:cs="Arial" w:eastAsia="Arial" w:hAnsi="Arial"/>
          <w:sz w:val="15"/>
          <w:szCs w:val="15"/>
          <w:color w:val="auto"/>
        </w:rPr>
      </w:pPr>
      <w:r>
        <w:rPr>
          <w:rFonts w:ascii="Arial" w:cs="Arial" w:eastAsia="Arial" w:hAnsi="Arial"/>
          <w:sz w:val="18"/>
          <w:szCs w:val="18"/>
          <w:color w:val="auto"/>
        </w:rPr>
        <w:t>The Company must have established procedures to accept payment in shares of Common Stock at the time of exercise in order for this form of payment to be available.</w:t>
      </w:r>
    </w:p>
    <w:p>
      <w:pPr>
        <w:spacing w:after="0" w:line="1" w:lineRule="exact"/>
        <w:rPr>
          <w:sz w:val="20"/>
          <w:szCs w:val="20"/>
          <w:color w:val="auto"/>
        </w:rPr>
      </w:pPr>
    </w:p>
    <w:p>
      <w:pPr>
        <w:ind w:left="430" w:hanging="430"/>
        <w:spacing w:after="0"/>
        <w:tabs>
          <w:tab w:leader="none" w:pos="430" w:val="left"/>
        </w:tabs>
        <w:numPr>
          <w:ilvl w:val="0"/>
          <w:numId w:val="443"/>
        </w:numPr>
        <w:rPr>
          <w:rFonts w:ascii="Arial" w:cs="Arial" w:eastAsia="Arial" w:hAnsi="Arial"/>
          <w:sz w:val="13"/>
          <w:szCs w:val="13"/>
          <w:color w:val="auto"/>
        </w:rPr>
      </w:pPr>
      <w:r>
        <w:rPr>
          <w:rFonts w:ascii="Arial" w:cs="Arial" w:eastAsia="Arial" w:hAnsi="Arial"/>
          <w:sz w:val="16"/>
          <w:szCs w:val="16"/>
          <w:color w:val="auto"/>
        </w:rPr>
        <w:t>The Company must have established procedures to accept payment in shares of Common Stock at the time of exercise in order for this form of</w:t>
      </w:r>
    </w:p>
    <w:p>
      <w:pPr>
        <w:spacing w:after="0" w:line="33" w:lineRule="exact"/>
        <w:rPr>
          <w:sz w:val="20"/>
          <w:szCs w:val="20"/>
          <w:color w:val="auto"/>
        </w:rPr>
      </w:pPr>
    </w:p>
    <w:p>
      <w:pPr>
        <w:ind w:left="430"/>
        <w:spacing w:after="0"/>
        <w:rPr>
          <w:sz w:val="20"/>
          <w:szCs w:val="20"/>
          <w:color w:val="auto"/>
        </w:rPr>
      </w:pPr>
      <w:r>
        <w:rPr>
          <w:rFonts w:ascii="Arial" w:cs="Arial" w:eastAsia="Arial" w:hAnsi="Arial"/>
          <w:sz w:val="18"/>
          <w:szCs w:val="18"/>
          <w:color w:val="auto"/>
        </w:rPr>
        <w:t>payment to be available.</w:t>
      </w:r>
    </w:p>
    <w:p>
      <w:pPr>
        <w:spacing w:after="0" w:line="8" w:lineRule="exact"/>
        <w:rPr>
          <w:sz w:val="20"/>
          <w:szCs w:val="20"/>
          <w:color w:val="auto"/>
        </w:rPr>
      </w:pPr>
    </w:p>
    <w:p>
      <w:pPr>
        <w:ind w:left="430" w:right="80" w:hanging="430"/>
        <w:spacing w:after="0" w:line="262" w:lineRule="auto"/>
        <w:tabs>
          <w:tab w:leader="none" w:pos="430" w:val="left"/>
        </w:tabs>
        <w:numPr>
          <w:ilvl w:val="0"/>
          <w:numId w:val="444"/>
        </w:numPr>
        <w:rPr>
          <w:rFonts w:ascii="Arial" w:cs="Arial" w:eastAsia="Arial" w:hAnsi="Arial"/>
          <w:sz w:val="15"/>
          <w:szCs w:val="15"/>
          <w:color w:val="auto"/>
        </w:rPr>
      </w:pPr>
      <w:r>
        <w:rPr>
          <w:rFonts w:ascii="Arial" w:cs="Arial" w:eastAsia="Arial" w:hAnsi="Arial"/>
          <w:sz w:val="18"/>
          <w:szCs w:val="18"/>
          <w:color w:val="auto"/>
        </w:rPr>
        <w:t>The Company must have established procedures to accept payment via a cashless exercise procedure at the time of exercise in order for this form of payment to be available.</w:t>
      </w:r>
    </w:p>
    <w:p>
      <w:pPr>
        <w:spacing w:after="0" w:line="115"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70"/>
          </w:cols>
          <w:pgMar w:left="450" w:top="270" w:right="479" w:bottom="1440" w:gutter="0" w:footer="0" w:header="0"/>
          <w:type w:val="continuous"/>
        </w:sectPr>
      </w:pPr>
    </w:p>
    <w:bookmarkStart w:id="432" w:name="page433"/>
    <w:bookmarkEnd w:id="432"/>
    <w:p>
      <w:pPr>
        <w:ind w:left="10"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 transfer instructions with</w:t>
      </w:r>
    </w:p>
    <w:p>
      <w:pPr>
        <w:ind w:left="10"/>
        <w:spacing w:after="0"/>
        <w:rPr>
          <w:sz w:val="20"/>
          <w:szCs w:val="20"/>
          <w:color w:val="auto"/>
        </w:rPr>
      </w:pPr>
      <w:r>
        <w:rPr>
          <w:rFonts w:ascii="Arial" w:cs="Arial" w:eastAsia="Arial" w:hAnsi="Arial"/>
          <w:sz w:val="18"/>
          <w:szCs w:val="18"/>
          <w:color w:val="auto"/>
        </w:rPr>
        <w:t>respect to securities subject to the foregoing restrictions until the end of such period.]</w:t>
      </w:r>
      <w:r>
        <w:rPr>
          <w:rFonts w:ascii="Arial" w:cs="Arial" w:eastAsia="Arial" w:hAnsi="Arial"/>
          <w:sz w:val="15"/>
          <w:szCs w:val="15"/>
          <w:color w:val="auto"/>
        </w:rPr>
        <w:t>7</w:t>
      </w:r>
    </w:p>
    <w:p>
      <w:pPr>
        <w:spacing w:after="0" w:line="239" w:lineRule="exact"/>
        <w:rPr>
          <w:sz w:val="20"/>
          <w:szCs w:val="20"/>
          <w:color w:val="auto"/>
        </w:rPr>
      </w:pPr>
    </w:p>
    <w:p>
      <w:pPr>
        <w:ind w:left="661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151765</wp:posOffset>
            </wp:positionV>
            <wp:extent cx="27927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8">
                      <a:extLst>
                        <a:ext uri="{28A0092B-C50C-407E-A947-70E740481C1C}"/>
                      </a:extLst>
                    </a:blip>
                    <a:srcRect/>
                    <a:stretch>
                      <a:fillRect/>
                    </a:stretch>
                  </pic:blipFill>
                  <pic:spPr bwMode="auto">
                    <a:xfrm>
                      <a:off x="0" y="0"/>
                      <a:ext cx="27927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70231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0" w:hanging="430"/>
        <w:spacing w:after="0"/>
        <w:tabs>
          <w:tab w:leader="none" w:pos="430" w:val="left"/>
        </w:tabs>
        <w:numPr>
          <w:ilvl w:val="0"/>
          <w:numId w:val="445"/>
        </w:numPr>
        <w:rPr>
          <w:rFonts w:ascii="Arial" w:cs="Arial" w:eastAsia="Arial" w:hAnsi="Arial"/>
          <w:sz w:val="15"/>
          <w:szCs w:val="15"/>
          <w:color w:val="auto"/>
        </w:rPr>
      </w:pPr>
      <w:r>
        <w:rPr>
          <w:rFonts w:ascii="Arial" w:cs="Arial" w:eastAsia="Arial" w:hAnsi="Arial"/>
          <w:sz w:val="18"/>
          <w:szCs w:val="18"/>
          <w:color w:val="auto"/>
        </w:rPr>
        <w:t>For inclusion only in any grants made during lock-up period.</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70"/>
          </w:cols>
          <w:pgMar w:left="450" w:top="273" w:right="47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SI-BONE,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awards to Participant a Restricted Stock Unit Award for the number of shares of the Company’s Common Stock (“</w:t>
      </w: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set forth below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The Award is subject to all of the terms and conditions as set forth in this notice of grant (this “</w:t>
      </w:r>
      <w:r>
        <w:rPr>
          <w:rFonts w:ascii="Arial" w:cs="Arial" w:eastAsia="Arial" w:hAnsi="Arial"/>
          <w:sz w:val="16"/>
          <w:szCs w:val="16"/>
          <w:b w:val="1"/>
          <w:bCs w:val="1"/>
          <w:i w:val="1"/>
          <w:iCs w:val="1"/>
          <w:color w:val="auto"/>
        </w:rPr>
        <w:t>Restricted Stock Unit Grant Notice</w:t>
      </w:r>
      <w:r>
        <w:rPr>
          <w:rFonts w:ascii="Arial" w:cs="Arial" w:eastAsia="Arial" w:hAnsi="Arial"/>
          <w:sz w:val="16"/>
          <w:szCs w:val="16"/>
          <w:color w:val="auto"/>
        </w:rPr>
        <w:t>”), and in the Plan and the Restricted Stock Unit Award Agreement, both of which are attached hereto and incorporated herein in their entirety. Capitalized terms not explicitly defined herein will have the meanings set forth in the Plan or the Restricted Stock Unit Award Agreement. In the event of any conflict between the terms in this Restricted Stock Unit Grant Notice or the Restricted Stock Unit Award Agreement and the Plan, the terms of the Plan will control.</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-10160</wp:posOffset>
            </wp:positionV>
            <wp:extent cx="2083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0">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-19685</wp:posOffset>
            </wp:positionV>
            <wp:extent cx="20834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1">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-19685</wp:posOffset>
            </wp:positionV>
            <wp:extent cx="20834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2">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-19685</wp:posOffset>
            </wp:positionV>
            <wp:extent cx="20834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ectPr>
          <w:pgSz w:w="11900" w:h="16838" w:orient="portrait"/>
          <w:cols w:equalWidth="0" w:num="1">
            <w:col w:w="11000"/>
          </w:cols>
          <w:pgMar w:left="460" w:top="121" w:right="4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subject to Participant’s Continuous Service through each such vesting date.</w:t>
      </w:r>
    </w:p>
    <w:p>
      <w:pPr>
        <w:spacing w:after="0" w:line="135" w:lineRule="exact"/>
        <w:rPr>
          <w:sz w:val="20"/>
          <w:szCs w:val="20"/>
          <w:color w:val="auto"/>
        </w:rPr>
      </w:pPr>
    </w:p>
    <w:p>
      <w:pPr>
        <w:sectPr>
          <w:pgSz w:w="11900" w:h="16838" w:orient="portrait"/>
          <w:cols w:equalWidth="0" w:num="3">
            <w:col w:w="1480" w:space="720"/>
            <w:col w:w="780" w:space="720"/>
            <w:col w:w="7300"/>
          </w:cols>
          <w:pgMar w:left="46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Issuance Schedule:</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Subject to any Capitalization Adjustment, one share of Common Stock will be issued for each Restricted Stock Unit that vests at the time set forth in Section 6 of the Restricted Stock Unit Award Agreement.</w:t>
      </w:r>
    </w:p>
    <w:p>
      <w:pPr>
        <w:spacing w:after="0" w:line="166" w:lineRule="exact"/>
        <w:rPr>
          <w:sz w:val="20"/>
          <w:szCs w:val="20"/>
          <w:color w:val="auto"/>
        </w:rPr>
      </w:pPr>
    </w:p>
    <w:p>
      <w:pPr>
        <w:sectPr>
          <w:pgSz w:w="11900" w:h="16838" w:orient="portrait"/>
          <w:cols w:equalWidth="0" w:num="2">
            <w:col w:w="1480" w:space="720"/>
            <w:col w:w="8800"/>
          </w:cols>
          <w:pgMar w:left="460" w:top="121" w:right="439" w:bottom="1440" w:gutter="0" w:footer="0" w:header="0"/>
          <w:type w:val="continuous"/>
        </w:sectPr>
      </w:pPr>
    </w:p>
    <w:p>
      <w:pPr>
        <w:ind w:right="40"/>
        <w:spacing w:after="0" w:line="272"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Restricted Stock Unit Grant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Stock Unit Award Agreement and the Plan. Participant further acknowledges that as of the Date of Grant, this Restricted Stock Unit Grant Notice, the Restricted Stock Unit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employment agreement or severance arrangement that would provide for vesting acceleration of this Award upon the terms and conditions set forth therein.</w:t>
      </w:r>
    </w:p>
    <w:p>
      <w:pPr>
        <w:spacing w:after="0" w:line="1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the Restricted Stock Unit Grant Notice, the Restricted Stock Unit Award Agreement and the Plan and agrees to all of the terms and conditions set forth in these documents. Participant consents to receive such documents by electronic delivery and to participate in the Plan through an on-line or electronic system established and maintained by the Company or a third party designated by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40" w:type="dxa"/>
            <w:vAlign w:val="bottom"/>
            <w:gridSpan w:val="3"/>
          </w:tcPr>
          <w:p>
            <w:pPr>
              <w:ind w:left="25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p>
        </w:tc>
        <w:tc>
          <w:tcPr>
            <w:tcW w:w="20" w:type="dxa"/>
            <w:vAlign w:val="bottom"/>
          </w:tcPr>
          <w:p>
            <w:pPr>
              <w:spacing w:after="0"/>
              <w:rPr>
                <w:sz w:val="20"/>
                <w:szCs w:val="20"/>
                <w:color w:val="auto"/>
              </w:rPr>
            </w:pPr>
          </w:p>
        </w:tc>
      </w:tr>
      <w:tr>
        <w:trPr>
          <w:trHeight w:val="391"/>
        </w:trPr>
        <w:tc>
          <w:tcPr>
            <w:tcW w:w="322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0"/>
                <w:szCs w:val="20"/>
                <w:color w:val="auto"/>
              </w:rPr>
            </w:pPr>
          </w:p>
        </w:tc>
      </w:tr>
      <w:tr>
        <w:trPr>
          <w:trHeight w:val="391"/>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w w:val="92"/>
              </w:rPr>
              <w:t>Date:</w:t>
            </w:r>
          </w:p>
        </w:tc>
        <w:tc>
          <w:tcPr>
            <w:tcW w:w="3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12"/>
        </w:trPr>
        <w:tc>
          <w:tcPr>
            <w:tcW w:w="420" w:type="dxa"/>
            <w:vAlign w:val="bottom"/>
            <w:gridSpan w:val="2"/>
          </w:tcPr>
          <w:p>
            <w:pPr>
              <w:spacing w:after="0"/>
              <w:rPr>
                <w:sz w:val="20"/>
                <w:szCs w:val="20"/>
                <w:color w:val="auto"/>
              </w:rPr>
            </w:pPr>
            <w:r>
              <w:rPr>
                <w:rFonts w:ascii="Arial" w:cs="Arial" w:eastAsia="Arial" w:hAnsi="Arial"/>
                <w:sz w:val="18"/>
                <w:szCs w:val="18"/>
                <w:color w:val="auto"/>
                <w:w w:val="92"/>
              </w:rPr>
              <w:t>Date:</w:t>
            </w:r>
          </w:p>
        </w:tc>
        <w:tc>
          <w:tcPr>
            <w:tcW w:w="2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Restricted Stock Unit Award Agreement and 2018 Equity Incentive Plan</w:t>
      </w:r>
    </w:p>
    <w:p>
      <w:pPr>
        <w:sectPr>
          <w:pgSz w:w="11900" w:h="16838" w:orient="portrait"/>
          <w:cols w:equalWidth="0" w:num="1">
            <w:col w:w="11000"/>
          </w:cols>
          <w:pgMar w:left="460" w:top="121" w:right="439" w:bottom="1440" w:gutter="0" w:footer="0" w:header="0"/>
          <w:type w:val="continuous"/>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Pursuant to the Restricted Stock Unit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this Restricted Stock Unit Award Agreement, SI-BONE,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awarded you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 Restricted Stock Unit Award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pursuant to the Company’s 2018 Equity Incentive Plan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for the number of Restricted Stock Units/shares indicated in the Grant Notice. Capitalized terms not explicitly defined in this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Award Agreement or the Grant Notice will have the same meanings given to them in the Plan. The terms of your Award, in addition to those 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forth in the Grant Notice, are as follows.</w:t>
      </w:r>
    </w:p>
    <w:p>
      <w:pPr>
        <w:spacing w:after="0" w:line="206" w:lineRule="exact"/>
        <w:rPr>
          <w:sz w:val="20"/>
          <w:szCs w:val="20"/>
          <w:color w:val="auto"/>
        </w:rPr>
      </w:pPr>
    </w:p>
    <w:p>
      <w:pPr>
        <w:ind w:right="40" w:firstLine="430"/>
        <w:spacing w:after="0" w:line="270" w:lineRule="auto"/>
        <w:tabs>
          <w:tab w:leader="none" w:pos="620" w:val="left"/>
        </w:tabs>
        <w:numPr>
          <w:ilvl w:val="0"/>
          <w:numId w:val="44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 OF THE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represents the right to be issued on a future date one (1) share of Common Stock for each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the number of Restricted Stock Units/shares of Common Stock subject to the Award. This Award was granted in consideration of your services to the Company.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the vesting of the Restricted Stock Units, and, to the extent applicable, references in this Restricted Stock Unit Award Agreement and the Grant Notice to Common Stock issuable in connection with your Restricted Stock Units will include the potential issuance of its cash equivalent pursuant to such right.</w:t>
      </w:r>
    </w:p>
    <w:p>
      <w:pPr>
        <w:spacing w:after="0" w:line="175" w:lineRule="exact"/>
        <w:rPr>
          <w:rFonts w:ascii="Arial" w:cs="Arial" w:eastAsia="Arial" w:hAnsi="Arial"/>
          <w:sz w:val="17"/>
          <w:szCs w:val="17"/>
          <w:b w:val="1"/>
          <w:bCs w:val="1"/>
          <w:color w:val="auto"/>
        </w:rPr>
      </w:pPr>
    </w:p>
    <w:p>
      <w:pPr>
        <w:ind w:right="60" w:firstLine="430"/>
        <w:spacing w:after="0" w:line="280" w:lineRule="auto"/>
        <w:tabs>
          <w:tab w:leader="none" w:pos="620" w:val="left"/>
        </w:tabs>
        <w:numPr>
          <w:ilvl w:val="0"/>
          <w:numId w:val="446"/>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herein, your Award will vest, if at all, in accordance with the vesting schedule provided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66" w:lineRule="exact"/>
        <w:rPr>
          <w:rFonts w:ascii="Arial" w:cs="Arial" w:eastAsia="Arial" w:hAnsi="Arial"/>
          <w:sz w:val="17"/>
          <w:szCs w:val="17"/>
          <w:b w:val="1"/>
          <w:bCs w:val="1"/>
          <w:color w:val="auto"/>
        </w:rPr>
      </w:pPr>
    </w:p>
    <w:p>
      <w:pPr>
        <w:ind w:right="80" w:firstLine="430"/>
        <w:spacing w:after="0" w:line="256" w:lineRule="auto"/>
        <w:tabs>
          <w:tab w:leader="none" w:pos="62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86" w:lineRule="exact"/>
        <w:rPr>
          <w:rFonts w:ascii="Arial" w:cs="Arial" w:eastAsia="Arial" w:hAnsi="Arial"/>
          <w:sz w:val="18"/>
          <w:szCs w:val="18"/>
          <w:b w:val="1"/>
          <w:bCs w:val="1"/>
          <w:color w:val="auto"/>
        </w:rPr>
      </w:pPr>
    </w:p>
    <w:p>
      <w:pPr>
        <w:ind w:firstLine="430"/>
        <w:spacing w:after="0" w:line="258" w:lineRule="auto"/>
        <w:tabs>
          <w:tab w:leader="none" w:pos="62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color w:val="auto"/>
        </w:rPr>
        <w:t>. You may not be issued any Common Stock under your Award unless the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ectPr>
          <w:pgSz w:w="11900" w:h="16838" w:orient="portrait"/>
          <w:cols w:equalWidth="0" w:num="1">
            <w:col w:w="11000"/>
          </w:cols>
          <w:pgMar w:left="460" w:top="270" w:right="439" w:bottom="1440" w:gutter="0" w:footer="0" w:header="0"/>
        </w:sectPr>
      </w:pPr>
    </w:p>
    <w:bookmarkStart w:id="435" w:name="page436"/>
    <w:bookmarkEnd w:id="435"/>
    <w:p>
      <w:pPr>
        <w:ind w:right="80" w:firstLine="430"/>
        <w:spacing w:after="0" w:line="292" w:lineRule="auto"/>
        <w:tabs>
          <w:tab w:leader="none" w:pos="620" w:val="left"/>
        </w:tabs>
        <w:numPr>
          <w:ilvl w:val="0"/>
          <w:numId w:val="44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2"/>
          <w:szCs w:val="12"/>
          <w:b w:val="1"/>
          <w:bCs w:val="1"/>
          <w:color w:val="auto"/>
        </w:rPr>
        <w:t>RANSFER</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6"/>
          <w:szCs w:val="16"/>
          <w:color w:val="auto"/>
        </w:rPr>
        <w:t>. Prior to the time that shares of Common Stock have been delivered to you, you may not transfer, pledge, sell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Restricted Stock Unit Award Agreement. In the absence of such a designation, your legal representative will be entitled to receive, on behalf of your estate, such Common Stock or other consideration.</w:t>
      </w:r>
    </w:p>
    <w:p>
      <w:pPr>
        <w:spacing w:after="0" w:line="51" w:lineRule="exact"/>
        <w:rPr>
          <w:rFonts w:ascii="Arial" w:cs="Arial" w:eastAsia="Arial" w:hAnsi="Arial"/>
          <w:sz w:val="16"/>
          <w:szCs w:val="16"/>
          <w:b w:val="1"/>
          <w:bCs w:val="1"/>
          <w:color w:val="auto"/>
        </w:rPr>
      </w:pPr>
    </w:p>
    <w:p>
      <w:pPr>
        <w:ind w:right="160" w:firstLine="871"/>
        <w:spacing w:after="0" w:line="266" w:lineRule="auto"/>
        <w:tabs>
          <w:tab w:leader="none" w:pos="1135" w:val="left"/>
        </w:tabs>
        <w:numPr>
          <w:ilvl w:val="1"/>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 cease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your executor or administrator of your estate will be entitled to receive, on behalf of your estate, any Common Stock or other consideration that vested but was not issued before your death.</w:t>
      </w:r>
    </w:p>
    <w:p>
      <w:pPr>
        <w:spacing w:after="0" w:line="67" w:lineRule="exact"/>
        <w:rPr>
          <w:rFonts w:ascii="Arial" w:cs="Arial" w:eastAsia="Arial" w:hAnsi="Arial"/>
          <w:sz w:val="18"/>
          <w:szCs w:val="18"/>
          <w:b w:val="1"/>
          <w:bCs w:val="1"/>
          <w:color w:val="auto"/>
        </w:rPr>
      </w:pPr>
    </w:p>
    <w:p>
      <w:pPr>
        <w:ind w:right="120" w:firstLine="871"/>
        <w:spacing w:after="0" w:line="272" w:lineRule="auto"/>
        <w:tabs>
          <w:tab w:leader="none" w:pos="1145" w:val="left"/>
        </w:tabs>
        <w:numPr>
          <w:ilvl w:val="1"/>
          <w:numId w:val="4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Upon receiving written permission from the Board or its duly authorized designee, and provided that you</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as permitted by applicable law that contains the information required by the Company to effectuate the transfer. You are encouraged to discuss the proposed terms of any division of this Award with the Company’s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5" w:lineRule="exact"/>
        <w:rPr>
          <w:rFonts w:ascii="Arial" w:cs="Arial" w:eastAsia="Arial" w:hAnsi="Arial"/>
          <w:sz w:val="17"/>
          <w:szCs w:val="17"/>
          <w:b w:val="1"/>
          <w:bCs w:val="1"/>
          <w:color w:val="auto"/>
        </w:rPr>
      </w:pPr>
    </w:p>
    <w:p>
      <w:pPr>
        <w:ind w:left="620" w:hanging="190"/>
        <w:spacing w:after="0"/>
        <w:tabs>
          <w:tab w:leader="none" w:pos="62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firstLine="871"/>
        <w:spacing w:after="0" w:line="296" w:lineRule="auto"/>
        <w:tabs>
          <w:tab w:leader="none" w:pos="1135" w:val="left"/>
        </w:tabs>
        <w:numPr>
          <w:ilvl w:val="1"/>
          <w:numId w:val="447"/>
        </w:numPr>
        <w:rPr>
          <w:rFonts w:ascii="Arial" w:cs="Arial" w:eastAsia="Arial" w:hAnsi="Arial"/>
          <w:sz w:val="16"/>
          <w:szCs w:val="16"/>
          <w:b w:val="1"/>
          <w:bCs w:val="1"/>
          <w:color w:val="auto"/>
        </w:rPr>
      </w:pPr>
      <w:r>
        <w:rPr>
          <w:rFonts w:ascii="Arial" w:cs="Arial" w:eastAsia="Arial" w:hAnsi="Arial"/>
          <w:sz w:val="16"/>
          <w:szCs w:val="16"/>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Restricted Stock Unit Award Agreement,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6"/>
          <w:szCs w:val="16"/>
          <w:b w:val="1"/>
          <w:bCs w:val="1"/>
          <w:i w:val="1"/>
          <w:iCs w:val="1"/>
          <w:color w:val="auto"/>
        </w:rPr>
        <w:t>Original Issuance Date</w:t>
      </w:r>
      <w:r>
        <w:rPr>
          <w:rFonts w:ascii="Arial" w:cs="Arial" w:eastAsia="Arial" w:hAnsi="Arial"/>
          <w:sz w:val="16"/>
          <w:szCs w:val="16"/>
          <w:color w:val="auto"/>
        </w:rPr>
        <w:t>”.</w:t>
      </w:r>
    </w:p>
    <w:p>
      <w:pPr>
        <w:spacing w:after="0" w:line="52" w:lineRule="exact"/>
        <w:rPr>
          <w:rFonts w:ascii="Arial" w:cs="Arial" w:eastAsia="Arial" w:hAnsi="Arial"/>
          <w:sz w:val="16"/>
          <w:szCs w:val="16"/>
          <w:b w:val="1"/>
          <w:bCs w:val="1"/>
          <w:color w:val="auto"/>
        </w:rPr>
      </w:pPr>
    </w:p>
    <w:p>
      <w:pPr>
        <w:ind w:left="1140" w:hanging="269"/>
        <w:spacing w:after="0"/>
        <w:tabs>
          <w:tab w:leader="none" w:pos="1140" w:val="left"/>
        </w:tabs>
        <w:numPr>
          <w:ilvl w:val="1"/>
          <w:numId w:val="447"/>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will instead occur on the next following business day. In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addition, if:</w:t>
      </w:r>
    </w:p>
    <w:p>
      <w:pPr>
        <w:spacing w:after="0" w:line="102" w:lineRule="exact"/>
        <w:rPr>
          <w:rFonts w:ascii="Arial" w:cs="Arial" w:eastAsia="Arial" w:hAnsi="Arial"/>
          <w:sz w:val="16"/>
          <w:szCs w:val="16"/>
          <w:b w:val="1"/>
          <w:bCs w:val="1"/>
          <w:color w:val="auto"/>
        </w:rPr>
      </w:pPr>
    </w:p>
    <w:p>
      <w:pPr>
        <w:ind w:right="60" w:firstLine="1421"/>
        <w:spacing w:after="0" w:line="256" w:lineRule="auto"/>
        <w:tabs>
          <w:tab w:leader="none" w:pos="1646" w:val="left"/>
        </w:tabs>
        <w:numPr>
          <w:ilvl w:val="2"/>
          <w:numId w:val="447"/>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w:t>
      </w:r>
      <w:r>
        <w:rPr>
          <w:rFonts w:ascii="Arial" w:cs="Arial" w:eastAsia="Arial" w:hAnsi="Arial"/>
          <w:sz w:val="18"/>
          <w:szCs w:val="18"/>
          <w:b w:val="1"/>
          <w:bCs w:val="1"/>
          <w:i w:val="1"/>
          <w:iCs w:val="1"/>
          <w:color w:val="auto"/>
        </w:rPr>
        <w:t>Insider Trading Policy</w:t>
      </w:r>
      <w:r>
        <w:rPr>
          <w:rFonts w:ascii="Arial" w:cs="Arial" w:eastAsia="Arial" w:hAnsi="Arial"/>
          <w:sz w:val="18"/>
          <w:szCs w:val="18"/>
          <w:color w:val="auto"/>
        </w:rPr>
        <w:t>”),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p>
    <w:p>
      <w:pPr>
        <w:sectPr>
          <w:pgSz w:w="11900" w:h="16838" w:orient="portrait"/>
          <w:cols w:equalWidth="0" w:num="1">
            <w:col w:w="10980"/>
          </w:cols>
          <w:pgMar w:left="460" w:top="270" w:right="459" w:bottom="1440" w:gutter="0" w:footer="0" w:header="0"/>
        </w:sectPr>
      </w:pPr>
    </w:p>
    <w:bookmarkStart w:id="436" w:name="page437"/>
    <w:bookmarkEnd w:id="436"/>
    <w:p>
      <w:pPr>
        <w:ind w:left="10" w:right="460" w:firstLine="1421"/>
        <w:spacing w:after="0" w:line="290" w:lineRule="auto"/>
        <w:tabs>
          <w:tab w:leader="none" w:pos="1705" w:val="left"/>
        </w:tabs>
        <w:numPr>
          <w:ilvl w:val="1"/>
          <w:numId w:val="44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(1) the Company’s then-effective Insider Trading Policy does not permit sell to cover transactions in satisfaction of applicable Withholding Obligations, (2) a Withholding Obligation does not apply, or (3) the Company decides, prior to the Original Issuance Date,</w:t>
      </w:r>
    </w:p>
    <w:p>
      <w:pPr>
        <w:spacing w:after="0" w:line="1" w:lineRule="exact"/>
        <w:rPr>
          <w:rFonts w:ascii="Arial" w:cs="Arial" w:eastAsia="Arial" w:hAnsi="Arial"/>
          <w:sz w:val="16"/>
          <w:szCs w:val="16"/>
          <w:b w:val="1"/>
          <w:bCs w:val="1"/>
          <w:color w:val="auto"/>
        </w:rPr>
      </w:pPr>
    </w:p>
    <w:p>
      <w:pPr>
        <w:ind w:left="10" w:hanging="10"/>
        <w:spacing w:after="0" w:line="253" w:lineRule="auto"/>
        <w:tabs>
          <w:tab w:leader="none" w:pos="30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not to satisfy the Withholding Obligation by withholding shares of Common Stock from the shares otherwise due, on the Original Issuance Date, to you under this Award, and (B) not to permit you to enter into a “same day sale” commitment with a broker-dealer pursuant to Section 9 of this Restricted Stock Unit Award Agreement (including but not limited to a commitment under a 10b5-1 Arrangement) and (C) not to permit you to pay your Withholding Obligation in cash,</w:t>
      </w:r>
    </w:p>
    <w:p>
      <w:pPr>
        <w:spacing w:after="0" w:line="192" w:lineRule="exact"/>
        <w:rPr>
          <w:sz w:val="20"/>
          <w:szCs w:val="20"/>
          <w:color w:val="auto"/>
        </w:rPr>
      </w:pPr>
    </w:p>
    <w:p>
      <w:pPr>
        <w:ind w:left="10" w:right="20" w:firstLine="440"/>
        <w:spacing w:after="0" w:line="293" w:lineRule="auto"/>
        <w:rPr>
          <w:sz w:val="20"/>
          <w:szCs w:val="20"/>
          <w:color w:val="auto"/>
        </w:rPr>
      </w:pP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6"/>
          <w:szCs w:val="16"/>
          <w:u w:val="single" w:color="auto"/>
          <w:color w:val="auto"/>
        </w:rPr>
        <w:t>if and only if</w:t>
      </w:r>
      <w:r>
        <w:rPr>
          <w:rFonts w:ascii="Arial" w:cs="Arial" w:eastAsia="Arial" w:hAnsi="Arial"/>
          <w:sz w:val="16"/>
          <w:szCs w:val="16"/>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55" w:lineRule="exact"/>
        <w:rPr>
          <w:sz w:val="20"/>
          <w:szCs w:val="20"/>
          <w:color w:val="auto"/>
        </w:rPr>
      </w:pPr>
    </w:p>
    <w:p>
      <w:pPr>
        <w:ind w:left="10" w:right="320" w:firstLine="871"/>
        <w:spacing w:after="0" w:line="277" w:lineRule="auto"/>
        <w:tabs>
          <w:tab w:leader="none" w:pos="1135" w:val="left"/>
        </w:tabs>
        <w:numPr>
          <w:ilvl w:val="1"/>
          <w:numId w:val="450"/>
        </w:numPr>
        <w:rPr>
          <w:rFonts w:ascii="Arial" w:cs="Arial" w:eastAsia="Arial" w:hAnsi="Arial"/>
          <w:sz w:val="18"/>
          <w:szCs w:val="18"/>
          <w:b w:val="1"/>
          <w:bCs w:val="1"/>
          <w:color w:val="auto"/>
        </w:rPr>
      </w:pPr>
      <w:r>
        <w:rPr>
          <w:rFonts w:ascii="Arial" w:cs="Arial" w:eastAsia="Arial" w:hAnsi="Arial"/>
          <w:sz w:val="18"/>
          <w:szCs w:val="18"/>
          <w:color w:val="auto"/>
        </w:rPr>
        <w:t>The form of delivery of the shares of Common Stock in respect of your Award (e.g., a stock certificate or electronic entry evidencing such shares) will be determined by the Company.</w:t>
      </w:r>
    </w:p>
    <w:p>
      <w:pPr>
        <w:spacing w:after="0" w:line="165" w:lineRule="exact"/>
        <w:rPr>
          <w:rFonts w:ascii="Arial" w:cs="Arial" w:eastAsia="Arial" w:hAnsi="Arial"/>
          <w:sz w:val="18"/>
          <w:szCs w:val="18"/>
          <w:b w:val="1"/>
          <w:bCs w:val="1"/>
          <w:color w:val="auto"/>
        </w:rPr>
      </w:pPr>
    </w:p>
    <w:p>
      <w:pPr>
        <w:ind w:left="10" w:right="120" w:firstLine="430"/>
        <w:spacing w:after="0" w:line="266" w:lineRule="auto"/>
        <w:tabs>
          <w:tab w:leader="none" w:pos="63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receive no benefit or adjustment to your Award with respect to any cash dividend, stock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75" w:lineRule="exact"/>
        <w:rPr>
          <w:rFonts w:ascii="Arial" w:cs="Arial" w:eastAsia="Arial" w:hAnsi="Arial"/>
          <w:sz w:val="18"/>
          <w:szCs w:val="18"/>
          <w:b w:val="1"/>
          <w:bCs w:val="1"/>
          <w:color w:val="auto"/>
        </w:rPr>
      </w:pPr>
    </w:p>
    <w:p>
      <w:pPr>
        <w:ind w:left="630" w:hanging="190"/>
        <w:spacing w:after="0"/>
        <w:tabs>
          <w:tab w:leader="none" w:pos="63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 NOT 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8"/>
          <w:szCs w:val="18"/>
          <w:color w:val="auto"/>
        </w:rPr>
        <w:t>.</w:t>
      </w:r>
    </w:p>
    <w:p>
      <w:pPr>
        <w:spacing w:after="0" w:line="120" w:lineRule="exact"/>
        <w:rPr>
          <w:rFonts w:ascii="Arial" w:cs="Arial" w:eastAsia="Arial" w:hAnsi="Arial"/>
          <w:sz w:val="18"/>
          <w:szCs w:val="18"/>
          <w:b w:val="1"/>
          <w:bCs w:val="1"/>
          <w:color w:val="auto"/>
        </w:rPr>
      </w:pPr>
    </w:p>
    <w:p>
      <w:pPr>
        <w:ind w:left="10" w:right="80" w:firstLine="871"/>
        <w:spacing w:after="0" w:line="270" w:lineRule="auto"/>
        <w:tabs>
          <w:tab w:leader="none" w:pos="1145" w:val="left"/>
        </w:tabs>
        <w:numPr>
          <w:ilvl w:val="1"/>
          <w:numId w:val="451"/>
        </w:numPr>
        <w:rPr>
          <w:rFonts w:ascii="Arial" w:cs="Arial" w:eastAsia="Arial" w:hAnsi="Arial"/>
          <w:sz w:val="17"/>
          <w:szCs w:val="17"/>
          <w:b w:val="1"/>
          <w:bCs w:val="1"/>
          <w:color w:val="auto"/>
        </w:rPr>
      </w:pPr>
      <w:r>
        <w:rPr>
          <w:rFonts w:ascii="Arial" w:cs="Arial" w:eastAsia="Arial" w:hAnsi="Arial"/>
          <w:sz w:val="17"/>
          <w:szCs w:val="17"/>
          <w:color w:val="auto"/>
        </w:rPr>
        <w:t>Your Continuous Service with the Company or an Affiliate is not for any specified term and may be terminated by you or by the Company or an Affiliate at any time, for any reason, with or without cause and with or without notice. Nothing in this Restricted Stock Unit Award Agreement (including, but not limited to, the vesting of your Award or the issuance of the shares subject to your Award), the Plan or any covenant of good faith and fair dealing that may be found implicit in this Restricted Stock Unit Award Agreement or the Plan will: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Restricted Stock Unit Award Agreement or the Plan unless such right or benefit has specifically accrued under the terms of this Restricted Stock Unit Award Agreement or Plan; or (iv) deprive the Company of the right to terminate you at will and without regard to any future vesting opportunity that you may have.</w:t>
      </w:r>
    </w:p>
    <w:p>
      <w:pPr>
        <w:spacing w:after="0" w:line="71" w:lineRule="exact"/>
        <w:rPr>
          <w:rFonts w:ascii="Arial" w:cs="Arial" w:eastAsia="Arial" w:hAnsi="Arial"/>
          <w:sz w:val="17"/>
          <w:szCs w:val="17"/>
          <w:b w:val="1"/>
          <w:bCs w:val="1"/>
          <w:color w:val="auto"/>
        </w:rPr>
      </w:pPr>
    </w:p>
    <w:p>
      <w:pPr>
        <w:jc w:val="both"/>
        <w:ind w:left="10" w:right="160" w:firstLine="871"/>
        <w:spacing w:after="0" w:line="263" w:lineRule="auto"/>
        <w:tabs>
          <w:tab w:leader="none" w:pos="1155" w:val="left"/>
        </w:tabs>
        <w:numPr>
          <w:ilvl w:val="1"/>
          <w:numId w:val="451"/>
        </w:numPr>
        <w:rPr>
          <w:rFonts w:ascii="Arial" w:cs="Arial" w:eastAsia="Arial" w:hAnsi="Arial"/>
          <w:sz w:val="18"/>
          <w:szCs w:val="18"/>
          <w:b w:val="1"/>
          <w:bCs w:val="1"/>
          <w:color w:val="auto"/>
        </w:rPr>
      </w:pPr>
      <w:r>
        <w:rPr>
          <w:rFonts w:ascii="Arial" w:cs="Arial" w:eastAsia="Arial" w:hAnsi="Arial"/>
          <w:sz w:val="18"/>
          <w:szCs w:val="18"/>
          <w:color w:val="auto"/>
        </w:rPr>
        <w:t>By accepting this Award, you acknowledge and agree that the right to continue vesting in the Award is earned only by continuing as an employee, director or consultant at the will of the Company or an Affiliate and that the Company has the right to reorganize, sell, spin-out or otherwise restructure one or more of its businesses or Affiliates at any time or from time to time, as it deems</w:t>
      </w:r>
    </w:p>
    <w:p>
      <w:pPr>
        <w:sectPr>
          <w:pgSz w:w="11900" w:h="16838" w:orient="portrait"/>
          <w:cols w:equalWidth="0" w:num="1">
            <w:col w:w="11010"/>
          </w:cols>
          <w:pgMar w:left="450" w:top="274" w:right="439" w:bottom="1440" w:gutter="0" w:footer="0" w:header="0"/>
        </w:sectPr>
      </w:pPr>
    </w:p>
    <w:bookmarkStart w:id="437" w:name="page438"/>
    <w:bookmarkEnd w:id="437"/>
    <w:p>
      <w:pPr>
        <w:ind w:left="10"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(a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You acknowledge and agree that such a reorganization could result in the termination of your Continuous Service, or the termination of Affiliate status of your employer and the loss of benefits available to you under this Restricted Stock Unit Award Agreement, including but not limited to, the termination of the right to continue vesting in the Award. You further acknowledge and agree that this Restricted Stock Unit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Restricted Stock Unit Award Agreement, for any period, or at all, and will not interfere in any way with the Company’s right to terminate your Continuous Service at any time, with or without your cause or notice, or to conduct a reorganization.</w:t>
      </w:r>
    </w:p>
    <w:p>
      <w:pPr>
        <w:spacing w:after="0" w:line="161" w:lineRule="exact"/>
        <w:rPr>
          <w:sz w:val="20"/>
          <w:szCs w:val="20"/>
          <w:color w:val="auto"/>
        </w:rPr>
      </w:pPr>
    </w:p>
    <w:p>
      <w:pPr>
        <w:ind w:left="610" w:hanging="170"/>
        <w:spacing w:after="0"/>
        <w:tabs>
          <w:tab w:leader="none" w:pos="610" w:val="left"/>
        </w:tabs>
        <w:numPr>
          <w:ilvl w:val="1"/>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180" w:firstLine="871"/>
        <w:spacing w:after="0" w:line="256" w:lineRule="auto"/>
        <w:tabs>
          <w:tab w:leader="none" w:pos="1135" w:val="left"/>
        </w:tabs>
        <w:numPr>
          <w:ilvl w:val="2"/>
          <w:numId w:val="452"/>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shares of Common Stock underlying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10" w:right="120" w:firstLine="871"/>
        <w:spacing w:after="0" w:line="287" w:lineRule="auto"/>
        <w:tabs>
          <w:tab w:leader="none" w:pos="1145" w:val="left"/>
        </w:tabs>
        <w:numPr>
          <w:ilvl w:val="2"/>
          <w:numId w:val="452"/>
        </w:numPr>
        <w:rPr>
          <w:rFonts w:ascii="Arial" w:cs="Arial" w:eastAsia="Arial" w:hAnsi="Arial"/>
          <w:sz w:val="16"/>
          <w:szCs w:val="16"/>
          <w:color w:val="auto"/>
        </w:rPr>
      </w:pPr>
      <w:r>
        <w:rPr>
          <w:rFonts w:ascii="Arial" w:cs="Arial" w:eastAsia="Arial" w:hAnsi="Arial"/>
          <w:sz w:val="16"/>
          <w:szCs w:val="16"/>
          <w:color w:val="auto"/>
        </w:rPr>
        <w:t>By accepting this Award, you acknowledge and agree that the Company or any Affiliate may, in its sole discretion, satisfy all or any portion of the Withholding Obligation relating to your Award by any of the following means or by a combination of such means: (i) causing you to pay any portion of the Withholding Obligation in cash; (ii) withholding from any compensation otherwise payable to you by the Company or an Affiliate;</w:t>
      </w:r>
    </w:p>
    <w:p>
      <w:pPr>
        <w:spacing w:after="0" w:line="1" w:lineRule="exact"/>
        <w:rPr>
          <w:rFonts w:ascii="Arial" w:cs="Arial" w:eastAsia="Arial" w:hAnsi="Arial"/>
          <w:sz w:val="16"/>
          <w:szCs w:val="16"/>
          <w:color w:val="auto"/>
        </w:rPr>
      </w:pPr>
    </w:p>
    <w:p>
      <w:pPr>
        <w:ind w:left="10" w:hanging="10"/>
        <w:spacing w:after="0" w:line="281" w:lineRule="auto"/>
        <w:tabs>
          <w:tab w:leader="none" w:pos="324"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6"/>
          <w:szCs w:val="16"/>
          <w:i w:val="1"/>
          <w:iCs w:val="1"/>
          <w:color w:val="auto"/>
        </w:rPr>
        <w:t>provided</w:t>
      </w:r>
      <w:r>
        <w:rPr>
          <w:rFonts w:ascii="Arial" w:cs="Arial" w:eastAsia="Arial" w:hAnsi="Arial"/>
          <w:sz w:val="16"/>
          <w:szCs w:val="16"/>
          <w:color w:val="auto"/>
        </w:rPr>
        <w:t>, further, that to the extent necessary to qualify for an exemption from application of</w:t>
      </w:r>
    </w:p>
    <w:p>
      <w:pPr>
        <w:spacing w:after="0" w:line="2" w:lineRule="exact"/>
        <w:rPr>
          <w:rFonts w:ascii="Arial" w:cs="Arial" w:eastAsia="Arial" w:hAnsi="Arial"/>
          <w:sz w:val="16"/>
          <w:szCs w:val="16"/>
          <w:color w:val="auto"/>
        </w:rPr>
      </w:pPr>
    </w:p>
    <w:p>
      <w:pPr>
        <w:ind w:left="10" w:right="100"/>
        <w:spacing w:after="0" w:line="252" w:lineRule="auto"/>
        <w:rPr>
          <w:rFonts w:ascii="Arial" w:cs="Arial" w:eastAsia="Arial" w:hAnsi="Arial"/>
          <w:sz w:val="16"/>
          <w:szCs w:val="16"/>
          <w:color w:val="auto"/>
        </w:rPr>
      </w:pPr>
      <w:r>
        <w:rPr>
          <w:rFonts w:ascii="Arial" w:cs="Arial" w:eastAsia="Arial" w:hAnsi="Arial"/>
          <w:sz w:val="18"/>
          <w:szCs w:val="18"/>
          <w:color w:val="auto"/>
        </w:rPr>
        <w:t>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w:t>
      </w:r>
    </w:p>
    <w:p>
      <w:pPr>
        <w:spacing w:after="0" w:line="84" w:lineRule="exact"/>
        <w:rPr>
          <w:rFonts w:ascii="Arial" w:cs="Arial" w:eastAsia="Arial" w:hAnsi="Arial"/>
          <w:sz w:val="16"/>
          <w:szCs w:val="16"/>
          <w:color w:val="auto"/>
        </w:rPr>
      </w:pPr>
    </w:p>
    <w:p>
      <w:pPr>
        <w:ind w:left="10" w:right="460" w:firstLine="871"/>
        <w:spacing w:after="0" w:line="277" w:lineRule="auto"/>
        <w:tabs>
          <w:tab w:leader="none" w:pos="1135" w:val="left"/>
        </w:tabs>
        <w:numPr>
          <w:ilvl w:val="2"/>
          <w:numId w:val="453"/>
        </w:numPr>
        <w:rPr>
          <w:rFonts w:ascii="Arial" w:cs="Arial" w:eastAsia="Arial" w:hAnsi="Arial"/>
          <w:sz w:val="18"/>
          <w:szCs w:val="18"/>
          <w:color w:val="auto"/>
        </w:rPr>
      </w:pPr>
      <w:r>
        <w:rPr>
          <w:rFonts w:ascii="Arial" w:cs="Arial" w:eastAsia="Arial" w:hAnsi="Arial"/>
          <w:sz w:val="18"/>
          <w:szCs w:val="18"/>
          <w:color w:val="auto"/>
        </w:rPr>
        <w:t>Unless the Withholding Obligation is satisfied, the Company will have no obligation to deliver to you any Common Stock or other consideration pursuant to this Award.</w:t>
      </w:r>
    </w:p>
    <w:p>
      <w:pPr>
        <w:spacing w:after="0" w:line="61" w:lineRule="exact"/>
        <w:rPr>
          <w:rFonts w:ascii="Arial" w:cs="Arial" w:eastAsia="Arial" w:hAnsi="Arial"/>
          <w:sz w:val="18"/>
          <w:szCs w:val="18"/>
          <w:color w:val="auto"/>
        </w:rPr>
      </w:pPr>
    </w:p>
    <w:p>
      <w:pPr>
        <w:ind w:left="10" w:right="260" w:firstLine="871"/>
        <w:spacing w:after="0" w:line="263" w:lineRule="auto"/>
        <w:tabs>
          <w:tab w:leader="none" w:pos="1145" w:val="left"/>
        </w:tabs>
        <w:numPr>
          <w:ilvl w:val="2"/>
          <w:numId w:val="453"/>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ectPr>
          <w:pgSz w:w="11900" w:h="16838" w:orient="portrait"/>
          <w:cols w:equalWidth="0" w:num="1">
            <w:col w:w="10990"/>
          </w:cols>
          <w:pgMar w:left="450" w:top="273" w:right="459" w:bottom="1440" w:gutter="0" w:footer="0" w:header="0"/>
        </w:sectPr>
      </w:pPr>
    </w:p>
    <w:bookmarkStart w:id="438" w:name="page439"/>
    <w:bookmarkEnd w:id="438"/>
    <w:p>
      <w:pPr>
        <w:ind w:left="-430" w:right="60" w:firstLine="430"/>
        <w:spacing w:after="0" w:line="276" w:lineRule="auto"/>
        <w:tabs>
          <w:tab w:leader="none" w:pos="279"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no duty or obligation to minimize the tax consequences to you of this Award and will not be liable</w:t>
      </w:r>
      <w:r>
        <w:rPr>
          <w:rFonts w:ascii="Arial" w:cs="Arial" w:eastAsia="Arial" w:hAnsi="Arial"/>
          <w:sz w:val="17"/>
          <w:szCs w:val="17"/>
          <w:b w:val="1"/>
          <w:bCs w:val="1"/>
          <w:color w:val="auto"/>
        </w:rPr>
        <w:t xml:space="preserve"> </w:t>
      </w:r>
      <w:r>
        <w:rPr>
          <w:rFonts w:ascii="Arial" w:cs="Arial" w:eastAsia="Arial" w:hAnsi="Arial"/>
          <w:sz w:val="17"/>
          <w:szCs w:val="17"/>
          <w:color w:val="auto"/>
        </w:rPr>
        <w:t>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71" w:lineRule="exact"/>
        <w:rPr>
          <w:rFonts w:ascii="Arial" w:cs="Arial" w:eastAsia="Arial" w:hAnsi="Arial"/>
          <w:sz w:val="17"/>
          <w:szCs w:val="17"/>
          <w:b w:val="1"/>
          <w:bCs w:val="1"/>
          <w:color w:val="auto"/>
        </w:rPr>
      </w:pPr>
    </w:p>
    <w:p>
      <w:pPr>
        <w:ind w:left="-430" w:right="60" w:firstLine="430"/>
        <w:spacing w:after="0" w:line="255" w:lineRule="auto"/>
        <w:tabs>
          <w:tab w:leader="none" w:pos="269"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will be considered an unsecured creditor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Company’s obligation, if any, to issue shares or other property pursuant to this Restricted Stock Unit Award Agreement. You will not have voting or any other rights as a stockholder of the Company with respect to the shares to be issued pursuant to this Restricted Stock Unit Award Agreement until such shares are issued to you pursuant to Section 6 of this Restricted Stock Unit Award Agreement. Upon such issuance, you will obtain full voting and other rights as a stockholder of the Company. Nothing contained in this Restricted Stock Unit Award Agreement, and no action taken pursuant to its provisions, will create or be construed to create a trust of any kind or a fiduciary relationship between you and the Company or any other person.</w:t>
      </w:r>
    </w:p>
    <w:p>
      <w:pPr>
        <w:spacing w:after="0" w:line="187" w:lineRule="exact"/>
        <w:rPr>
          <w:rFonts w:ascii="Arial" w:cs="Arial" w:eastAsia="Arial" w:hAnsi="Arial"/>
          <w:sz w:val="18"/>
          <w:szCs w:val="18"/>
          <w:b w:val="1"/>
          <w:bCs w:val="1"/>
          <w:color w:val="auto"/>
        </w:rPr>
      </w:pPr>
    </w:p>
    <w:p>
      <w:pPr>
        <w:ind w:left="-430" w:right="200" w:firstLine="430"/>
        <w:spacing w:after="0" w:line="274" w:lineRule="auto"/>
        <w:tabs>
          <w:tab w:leader="none" w:pos="279"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w:t>
      </w:r>
      <w:r>
        <w:rPr>
          <w:rFonts w:ascii="Arial" w:cs="Arial" w:eastAsia="Arial" w:hAnsi="Arial"/>
          <w:sz w:val="17"/>
          <w:szCs w:val="17"/>
          <w:color w:val="auto"/>
        </w:rPr>
        <w:t>. Any notice or request required or permitted hereunder will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17"/>
          <w:szCs w:val="17"/>
          <w:b w:val="1"/>
          <w:bCs w:val="1"/>
          <w:color w:val="auto"/>
        </w:rPr>
      </w:pPr>
    </w:p>
    <w:p>
      <w:pPr>
        <w:ind w:left="270" w:hanging="270"/>
        <w:spacing w:after="0"/>
        <w:tabs>
          <w:tab w:leader="none" w:pos="27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CKNOWLEDGEMENTS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consent and acknowledge that:</w:t>
      </w:r>
    </w:p>
    <w:p>
      <w:pPr>
        <w:spacing w:after="0" w:line="120" w:lineRule="exact"/>
        <w:rPr>
          <w:rFonts w:ascii="Arial" w:cs="Arial" w:eastAsia="Arial" w:hAnsi="Arial"/>
          <w:sz w:val="18"/>
          <w:szCs w:val="18"/>
          <w:b w:val="1"/>
          <w:bCs w:val="1"/>
          <w:color w:val="auto"/>
        </w:rPr>
      </w:pPr>
    </w:p>
    <w:p>
      <w:pPr>
        <w:ind w:left="-430" w:firstLine="871"/>
        <w:spacing w:after="0" w:line="256" w:lineRule="auto"/>
        <w:tabs>
          <w:tab w:leader="none" w:pos="704" w:val="left"/>
        </w:tabs>
        <w:numPr>
          <w:ilvl w:val="1"/>
          <w:numId w:val="454"/>
        </w:numPr>
        <w:rPr>
          <w:rFonts w:ascii="Arial" w:cs="Arial" w:eastAsia="Arial" w:hAnsi="Arial"/>
          <w:sz w:val="18"/>
          <w:szCs w:val="18"/>
          <w:b w:val="1"/>
          <w:bCs w:val="1"/>
          <w:color w:val="auto"/>
        </w:rPr>
      </w:pPr>
      <w:r>
        <w:rPr>
          <w:rFonts w:ascii="Arial" w:cs="Arial" w:eastAsia="Arial" w:hAnsi="Arial"/>
          <w:sz w:val="18"/>
          <w:szCs w:val="18"/>
          <w:color w:val="auto"/>
        </w:rPr>
        <w:t>Receipt of the Award is voluntary and therefore you must accept the terms and conditions of this Award Agreement and Grant Notice as a condition to receipt of this Award. This Award is voluntary and occasional and does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w:t>
      </w:r>
    </w:p>
    <w:p>
      <w:pPr>
        <w:spacing w:after="0" w:line="83" w:lineRule="exact"/>
        <w:rPr>
          <w:rFonts w:ascii="Arial" w:cs="Arial" w:eastAsia="Arial" w:hAnsi="Arial"/>
          <w:sz w:val="18"/>
          <w:szCs w:val="18"/>
          <w:b w:val="1"/>
          <w:bCs w:val="1"/>
          <w:color w:val="auto"/>
        </w:rPr>
      </w:pPr>
    </w:p>
    <w:p>
      <w:pPr>
        <w:ind w:left="-430" w:right="20" w:firstLine="871"/>
        <w:spacing w:after="0" w:line="311" w:lineRule="auto"/>
        <w:tabs>
          <w:tab w:leader="none" w:pos="715" w:val="left"/>
        </w:tabs>
        <w:numPr>
          <w:ilvl w:val="1"/>
          <w:numId w:val="454"/>
        </w:numPr>
        <w:rPr>
          <w:rFonts w:ascii="Arial" w:cs="Arial" w:eastAsia="Arial" w:hAnsi="Arial"/>
          <w:sz w:val="16"/>
          <w:szCs w:val="16"/>
          <w:b w:val="1"/>
          <w:bCs w:val="1"/>
          <w:color w:val="auto"/>
        </w:rPr>
      </w:pPr>
      <w:r>
        <w:rPr>
          <w:rFonts w:ascii="Arial" w:cs="Arial" w:eastAsia="Arial" w:hAnsi="Arial"/>
          <w:sz w:val="16"/>
          <w:szCs w:val="16"/>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40" w:lineRule="exact"/>
        <w:rPr>
          <w:rFonts w:ascii="Arial" w:cs="Arial" w:eastAsia="Arial" w:hAnsi="Arial"/>
          <w:sz w:val="16"/>
          <w:szCs w:val="16"/>
          <w:b w:val="1"/>
          <w:bCs w:val="1"/>
          <w:color w:val="auto"/>
        </w:rPr>
      </w:pPr>
    </w:p>
    <w:p>
      <w:pPr>
        <w:ind w:left="-430" w:right="560" w:firstLine="871"/>
        <w:spacing w:after="0" w:line="341" w:lineRule="auto"/>
        <w:tabs>
          <w:tab w:leader="none" w:pos="694" w:val="left"/>
        </w:tabs>
        <w:numPr>
          <w:ilvl w:val="1"/>
          <w:numId w:val="454"/>
        </w:numPr>
        <w:rPr>
          <w:rFonts w:ascii="Arial" w:cs="Arial" w:eastAsia="Arial" w:hAnsi="Arial"/>
          <w:sz w:val="16"/>
          <w:szCs w:val="16"/>
          <w:b w:val="1"/>
          <w:bCs w:val="1"/>
          <w:color w:val="auto"/>
        </w:rPr>
      </w:pPr>
      <w:r>
        <w:rPr>
          <w:rFonts w:ascii="Arial" w:cs="Arial" w:eastAsia="Arial" w:hAnsi="Arial"/>
          <w:sz w:val="16"/>
          <w:szCs w:val="16"/>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6" w:lineRule="exact"/>
        <w:rPr>
          <w:rFonts w:ascii="Arial" w:cs="Arial" w:eastAsia="Arial" w:hAnsi="Arial"/>
          <w:sz w:val="16"/>
          <w:szCs w:val="16"/>
          <w:b w:val="1"/>
          <w:bCs w:val="1"/>
          <w:color w:val="auto"/>
        </w:rPr>
      </w:pPr>
    </w:p>
    <w:p>
      <w:pPr>
        <w:ind w:left="-430" w:right="700" w:firstLine="871"/>
        <w:spacing w:after="0" w:line="277" w:lineRule="auto"/>
        <w:tabs>
          <w:tab w:leader="none" w:pos="715" w:val="left"/>
        </w:tabs>
        <w:numPr>
          <w:ilvl w:val="1"/>
          <w:numId w:val="454"/>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ectPr>
          <w:pgSz w:w="11900" w:h="16838" w:orient="portrait"/>
          <w:cols w:equalWidth="0" w:num="1">
            <w:col w:w="10530"/>
          </w:cols>
          <w:pgMar w:left="890" w:top="270" w:right="479" w:bottom="1440" w:gutter="0" w:footer="0" w:header="0"/>
        </w:sectPr>
      </w:pPr>
    </w:p>
    <w:bookmarkStart w:id="439" w:name="page440"/>
    <w:bookmarkEnd w:id="439"/>
    <w:p>
      <w:pPr>
        <w:ind w:left="-430" w:right="200" w:firstLine="871"/>
        <w:spacing w:after="0" w:line="277" w:lineRule="auto"/>
        <w:tabs>
          <w:tab w:leader="none" w:pos="694" w:val="left"/>
        </w:tabs>
        <w:numPr>
          <w:ilvl w:val="1"/>
          <w:numId w:val="4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acknowledge and agree that you have reviewed your Award in its entirety, have had an opportunity to obtain the advice of counsel prior to executing and accepting your Award and fully understand all provisions of your Award.</w:t>
      </w:r>
    </w:p>
    <w:p>
      <w:pPr>
        <w:spacing w:after="0" w:line="61" w:lineRule="exact"/>
        <w:rPr>
          <w:rFonts w:ascii="Arial" w:cs="Arial" w:eastAsia="Arial" w:hAnsi="Arial"/>
          <w:sz w:val="18"/>
          <w:szCs w:val="18"/>
          <w:b w:val="1"/>
          <w:bCs w:val="1"/>
          <w:color w:val="auto"/>
        </w:rPr>
      </w:pPr>
    </w:p>
    <w:p>
      <w:pPr>
        <w:ind w:left="-430" w:right="60" w:firstLine="871"/>
        <w:spacing w:after="0" w:line="277" w:lineRule="auto"/>
        <w:tabs>
          <w:tab w:leader="none" w:pos="675" w:val="left"/>
        </w:tabs>
        <w:numPr>
          <w:ilvl w:val="1"/>
          <w:numId w:val="455"/>
        </w:numPr>
        <w:rPr>
          <w:rFonts w:ascii="Arial" w:cs="Arial" w:eastAsia="Arial" w:hAnsi="Arial"/>
          <w:sz w:val="18"/>
          <w:szCs w:val="18"/>
          <w:b w:val="1"/>
          <w:bCs w:val="1"/>
          <w:color w:val="auto"/>
        </w:rPr>
      </w:pPr>
      <w:r>
        <w:rPr>
          <w:rFonts w:ascii="Arial" w:cs="Arial" w:eastAsia="Arial" w:hAnsi="Arial"/>
          <w:sz w:val="18"/>
          <w:szCs w:val="18"/>
          <w:color w:val="auto"/>
        </w:rPr>
        <w:t>This Award Agreement will be subject to all applicable laws, rules, and regulations, and to such approvals by any governmental agencies or national securities exchanges as may be required.</w:t>
      </w:r>
    </w:p>
    <w:p>
      <w:pPr>
        <w:spacing w:after="0" w:line="61" w:lineRule="exact"/>
        <w:rPr>
          <w:rFonts w:ascii="Arial" w:cs="Arial" w:eastAsia="Arial" w:hAnsi="Arial"/>
          <w:sz w:val="18"/>
          <w:szCs w:val="18"/>
          <w:b w:val="1"/>
          <w:bCs w:val="1"/>
          <w:color w:val="auto"/>
        </w:rPr>
      </w:pPr>
    </w:p>
    <w:p>
      <w:pPr>
        <w:jc w:val="both"/>
        <w:ind w:left="-430" w:right="40" w:firstLine="871"/>
        <w:spacing w:after="0" w:line="263" w:lineRule="auto"/>
        <w:tabs>
          <w:tab w:leader="none" w:pos="704" w:val="left"/>
        </w:tabs>
        <w:numPr>
          <w:ilvl w:val="1"/>
          <w:numId w:val="455"/>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78" w:lineRule="exact"/>
        <w:rPr>
          <w:rFonts w:ascii="Arial" w:cs="Arial" w:eastAsia="Arial" w:hAnsi="Arial"/>
          <w:sz w:val="18"/>
          <w:szCs w:val="18"/>
          <w:b w:val="1"/>
          <w:bCs w:val="1"/>
          <w:color w:val="auto"/>
        </w:rPr>
      </w:pPr>
    </w:p>
    <w:p>
      <w:pPr>
        <w:ind w:left="-430" w:right="80" w:firstLine="430"/>
        <w:spacing w:after="0" w:line="258" w:lineRule="auto"/>
        <w:tabs>
          <w:tab w:leader="none" w:pos="279"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LAWBACK</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(and any compensation paid or shares issued under your Award) is subject to recoupment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82" w:lineRule="exact"/>
        <w:rPr>
          <w:rFonts w:ascii="Arial" w:cs="Arial" w:eastAsia="Arial" w:hAnsi="Arial"/>
          <w:sz w:val="18"/>
          <w:szCs w:val="18"/>
          <w:b w:val="1"/>
          <w:bCs w:val="1"/>
          <w:color w:val="auto"/>
        </w:rPr>
      </w:pPr>
    </w:p>
    <w:p>
      <w:pPr>
        <w:ind w:left="-430" w:right="80" w:firstLine="430"/>
        <w:spacing w:after="0" w:line="272" w:lineRule="auto"/>
        <w:tabs>
          <w:tab w:leader="none" w:pos="279" w:val="left"/>
        </w:tabs>
        <w:numPr>
          <w:ilvl w:val="0"/>
          <w:numId w:val="45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color w:val="auto"/>
        </w:rPr>
        <w:t>. Your Award is subject to all the provisions of the Plan, the provisions of which are hereby made a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5" w:lineRule="exact"/>
        <w:rPr>
          <w:rFonts w:ascii="Arial" w:cs="Arial" w:eastAsia="Arial" w:hAnsi="Arial"/>
          <w:sz w:val="17"/>
          <w:szCs w:val="17"/>
          <w:b w:val="1"/>
          <w:bCs w:val="1"/>
          <w:color w:val="auto"/>
        </w:rPr>
      </w:pPr>
    </w:p>
    <w:p>
      <w:pPr>
        <w:jc w:val="both"/>
        <w:ind w:left="-430" w:firstLine="430"/>
        <w:spacing w:after="0" w:line="260" w:lineRule="auto"/>
        <w:tabs>
          <w:tab w:leader="none" w:pos="279"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the Award subject to this Restricted Stock Unit Award Agreement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82" w:lineRule="exact"/>
        <w:rPr>
          <w:rFonts w:ascii="Arial" w:cs="Arial" w:eastAsia="Arial" w:hAnsi="Arial"/>
          <w:sz w:val="18"/>
          <w:szCs w:val="18"/>
          <w:b w:val="1"/>
          <w:bCs w:val="1"/>
          <w:color w:val="auto"/>
        </w:rPr>
      </w:pPr>
    </w:p>
    <w:p>
      <w:pPr>
        <w:ind w:left="-430" w:right="60" w:firstLine="430"/>
        <w:spacing w:after="0" w:line="258" w:lineRule="auto"/>
        <w:tabs>
          <w:tab w:leader="none" w:pos="279"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color w:val="auto"/>
        </w:rPr>
        <w:t>. If all or any part of this Restricted Stock Unit Award Agreement or the Plan is declared by any court or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be unlawful or invalid, such unlawfulness or invalidity will not invalidate any portion of this Restricted Stock Unit Award Agreement or the Plan not declared to be unlawful or invalid. Any Section of this Restricted Stock Unit Award Agreement (or part of such a Section) so declared to be unlawful or invalid will, if possible, be construed in a manner which will give effect to the terms of such Section or part of a Section to the fullest extent possible while remaining lawful and valid.</w:t>
      </w:r>
    </w:p>
    <w:p>
      <w:pPr>
        <w:sectPr>
          <w:pgSz w:w="11900" w:h="16838" w:orient="portrait"/>
          <w:cols w:equalWidth="0" w:num="1">
            <w:col w:w="10570"/>
          </w:cols>
          <w:pgMar w:left="890" w:top="274" w:right="439" w:bottom="1440" w:gutter="0" w:footer="0" w:header="0"/>
        </w:sectPr>
      </w:pPr>
    </w:p>
    <w:bookmarkStart w:id="440" w:name="page441"/>
    <w:bookmarkEnd w:id="440"/>
    <w:p>
      <w:pPr>
        <w:ind w:left="710" w:hanging="270"/>
        <w:spacing w:after="0"/>
        <w:tabs>
          <w:tab w:leader="none" w:pos="710" w:val="left"/>
        </w:tabs>
        <w:numPr>
          <w:ilvl w:val="1"/>
          <w:numId w:val="45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color w:val="auto"/>
        </w:rPr>
        <w:t>. You hereby acknowledge receipt or the right to receive a document providing the information required by Rule 428(b)</w:t>
      </w:r>
    </w:p>
    <w:p>
      <w:pPr>
        <w:spacing w:after="0" w:line="50" w:lineRule="exact"/>
        <w:rPr>
          <w:rFonts w:ascii="Arial" w:cs="Arial" w:eastAsia="Arial" w:hAnsi="Arial"/>
          <w:sz w:val="16"/>
          <w:szCs w:val="16"/>
          <w:b w:val="1"/>
          <w:bCs w:val="1"/>
          <w:color w:val="auto"/>
        </w:rPr>
      </w:pPr>
    </w:p>
    <w:p>
      <w:pPr>
        <w:ind w:left="10" w:right="320" w:hanging="10"/>
        <w:spacing w:after="0" w:line="260" w:lineRule="auto"/>
        <w:tabs>
          <w:tab w:leader="none" w:pos="26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80" w:lineRule="exact"/>
        <w:rPr>
          <w:rFonts w:ascii="Arial" w:cs="Arial" w:eastAsia="Arial" w:hAnsi="Arial"/>
          <w:sz w:val="18"/>
          <w:szCs w:val="18"/>
          <w:color w:val="auto"/>
        </w:rPr>
      </w:pPr>
    </w:p>
    <w:p>
      <w:pPr>
        <w:ind w:left="10" w:right="40" w:firstLine="430"/>
        <w:spacing w:after="0" w:line="254" w:lineRule="auto"/>
        <w:tabs>
          <w:tab w:leader="none" w:pos="720" w:val="left"/>
        </w:tabs>
        <w:numPr>
          <w:ilvl w:val="1"/>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Restricted Stock Unit Award Agreement may not be modified, amended or terminated except by an instrument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you and by a duly authorized representative of the Company. Notwithstanding the foregoing, this Restricted Stock Unit Award Agreement may be amended solely by the Board by a writing which specifically states that it is amending this Restricted Stock Unit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Restricted Stock Unit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186" w:lineRule="exact"/>
        <w:rPr>
          <w:rFonts w:ascii="Arial" w:cs="Arial" w:eastAsia="Arial" w:hAnsi="Arial"/>
          <w:sz w:val="18"/>
          <w:szCs w:val="18"/>
          <w:b w:val="1"/>
          <w:bCs w:val="1"/>
          <w:color w:val="auto"/>
        </w:rPr>
      </w:pPr>
    </w:p>
    <w:p>
      <w:pPr>
        <w:ind w:left="10" w:firstLine="430"/>
        <w:spacing w:after="0" w:line="268" w:lineRule="auto"/>
        <w:tabs>
          <w:tab w:leader="none" w:pos="720" w:val="left"/>
        </w:tabs>
        <w:numPr>
          <w:ilvl w:val="1"/>
          <w:numId w:val="458"/>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OMPLIANCE WITH</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7"/>
          <w:szCs w:val="17"/>
          <w:b w:val="1"/>
          <w:bCs w:val="1"/>
          <w:color w:val="auto"/>
        </w:rPr>
        <w:t xml:space="preserve"> 409A </w:t>
      </w:r>
      <w:r>
        <w:rPr>
          <w:rFonts w:ascii="Arial" w:cs="Arial" w:eastAsia="Arial" w:hAnsi="Arial"/>
          <w:sz w:val="13"/>
          <w:szCs w:val="13"/>
          <w:b w:val="1"/>
          <w:bCs w:val="1"/>
          <w:color w:val="auto"/>
        </w:rPr>
        <w:t>OF THE</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ODE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is intended to be exempt from the application of Section 409A of the Code,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by reason of complying with the “short-term deferral” rule set forth in Treasury Regulation Section 1.409A-1(b)(4) and any ambiguities herein will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will comply with Section 409A to the extent necessary to avoid adverse personal tax consequences and any ambiguities herein will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Notwithstanding any contrary provision of the Notice of Grant or of this Restricted Stock Unit Award Agreement, under no circumstances will the Company reimburse you for any taxes or other costs under Section 409A or any other tax law or rule. All such taxes and costs are solely your responsibility.</w:t>
      </w:r>
    </w:p>
    <w:p>
      <w:pPr>
        <w:spacing w:after="0" w:line="183" w:lineRule="exact"/>
        <w:rPr>
          <w:rFonts w:ascii="Arial" w:cs="Arial" w:eastAsia="Arial" w:hAnsi="Arial"/>
          <w:sz w:val="17"/>
          <w:szCs w:val="17"/>
          <w:b w:val="1"/>
          <w:bCs w:val="1"/>
          <w:color w:val="auto"/>
        </w:rPr>
      </w:pPr>
    </w:p>
    <w:p>
      <w:pPr>
        <w:ind w:left="5190"/>
        <w:spacing w:after="0"/>
        <w:rPr>
          <w:rFonts w:ascii="Arial" w:cs="Arial" w:eastAsia="Arial" w:hAnsi="Arial"/>
          <w:sz w:val="17"/>
          <w:szCs w:val="17"/>
          <w:b w:val="1"/>
          <w:bCs w:val="1"/>
          <w:color w:val="auto"/>
        </w:rPr>
      </w:pPr>
      <w:r>
        <w:rPr>
          <w:rFonts w:ascii="Arial" w:cs="Arial" w:eastAsia="Arial" w:hAnsi="Arial"/>
          <w:sz w:val="18"/>
          <w:szCs w:val="18"/>
          <w:color w:val="auto"/>
        </w:rPr>
        <w:t>* * * * *</w:t>
      </w:r>
    </w:p>
    <w:p>
      <w:pPr>
        <w:spacing w:after="0" w:line="225" w:lineRule="exact"/>
        <w:rPr>
          <w:sz w:val="20"/>
          <w:szCs w:val="20"/>
          <w:color w:val="auto"/>
        </w:rPr>
      </w:pPr>
    </w:p>
    <w:p>
      <w:pPr>
        <w:ind w:left="10" w:right="40" w:firstLine="440"/>
        <w:spacing w:after="0" w:line="277" w:lineRule="auto"/>
        <w:rPr>
          <w:sz w:val="20"/>
          <w:szCs w:val="20"/>
          <w:color w:val="auto"/>
        </w:rPr>
      </w:pPr>
      <w:r>
        <w:rPr>
          <w:rFonts w:ascii="Arial" w:cs="Arial" w:eastAsia="Arial" w:hAnsi="Arial"/>
          <w:sz w:val="18"/>
          <w:szCs w:val="18"/>
          <w:color w:val="auto"/>
        </w:rPr>
        <w:t>This Restricted Stock Unit Award Agreement will be deemed to be signed by the Company and the Participant upon the signing by the Participant of the Restricted Stock Unit Grant Notice to which it is attached.</w:t>
      </w:r>
    </w:p>
    <w:p>
      <w:pPr>
        <w:sectPr>
          <w:pgSz w:w="11900" w:h="16838" w:orient="portrait"/>
          <w:cols w:equalWidth="0" w:num="1">
            <w:col w:w="10990"/>
          </w:cols>
          <w:pgMar w:left="450" w:top="270" w:right="459" w:bottom="1440" w:gutter="0" w:footer="0" w:header="0"/>
        </w:sectPr>
      </w:pPr>
    </w:p>
    <w:bookmarkStart w:id="441" w:name="page442"/>
    <w:bookmarkEnd w:id="4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10.6</w:t>
      </w:r>
    </w:p>
    <w:p>
      <w:pPr>
        <w:spacing w:after="0" w:line="2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2018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left="333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26, 2018</w:t>
      </w:r>
    </w:p>
    <w:p>
      <w:pPr>
        <w:spacing w:after="0" w:line="27" w:lineRule="exact"/>
        <w:rPr>
          <w:sz w:val="20"/>
          <w:szCs w:val="20"/>
          <w:color w:val="auto"/>
        </w:rPr>
      </w:pPr>
    </w:p>
    <w:p>
      <w:pPr>
        <w:ind w:left="339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4, 2018</w:t>
      </w:r>
    </w:p>
    <w:p>
      <w:pPr>
        <w:spacing w:after="0" w:line="233" w:lineRule="exact"/>
        <w:rPr>
          <w:sz w:val="20"/>
          <w:szCs w:val="20"/>
          <w:color w:val="auto"/>
        </w:rPr>
      </w:pPr>
    </w:p>
    <w:p>
      <w:pPr>
        <w:ind w:left="430" w:hanging="430"/>
        <w:spacing w:after="0"/>
        <w:tabs>
          <w:tab w:leader="none" w:pos="43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220" w:firstLine="430"/>
        <w:spacing w:after="0" w:line="263" w:lineRule="auto"/>
        <w:tabs>
          <w:tab w:leader="none" w:pos="836" w:val="left"/>
        </w:tabs>
        <w:numPr>
          <w:ilvl w:val="1"/>
          <w:numId w:val="459"/>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82" w:lineRule="exact"/>
        <w:rPr>
          <w:rFonts w:ascii="Arial" w:cs="Arial" w:eastAsia="Arial" w:hAnsi="Arial"/>
          <w:sz w:val="18"/>
          <w:szCs w:val="18"/>
          <w:b w:val="1"/>
          <w:bCs w:val="1"/>
          <w:color w:val="auto"/>
        </w:rPr>
      </w:pPr>
    </w:p>
    <w:p>
      <w:pPr>
        <w:ind w:left="10" w:right="80" w:firstLine="430"/>
        <w:spacing w:after="0" w:line="307" w:lineRule="auto"/>
        <w:tabs>
          <w:tab w:leader="none" w:pos="846" w:val="left"/>
        </w:tabs>
        <w:numPr>
          <w:ilvl w:val="1"/>
          <w:numId w:val="459"/>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291" w:lineRule="exact"/>
        <w:rPr>
          <w:rFonts w:ascii="Arial" w:cs="Arial" w:eastAsia="Arial" w:hAnsi="Arial"/>
          <w:sz w:val="17"/>
          <w:szCs w:val="17"/>
          <w:b w:val="1"/>
          <w:bCs w:val="1"/>
          <w:color w:val="auto"/>
        </w:rPr>
      </w:pPr>
    </w:p>
    <w:p>
      <w:pPr>
        <w:ind w:left="430" w:hanging="430"/>
        <w:spacing w:after="0"/>
        <w:tabs>
          <w:tab w:leader="none" w:pos="43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500" w:firstLine="430"/>
        <w:spacing w:after="0" w:line="341" w:lineRule="auto"/>
        <w:tabs>
          <w:tab w:leader="none" w:pos="836" w:val="left"/>
        </w:tabs>
        <w:numPr>
          <w:ilvl w:val="1"/>
          <w:numId w:val="459"/>
        </w:numPr>
        <w:rPr>
          <w:rFonts w:ascii="Arial" w:cs="Arial" w:eastAsia="Arial" w:hAnsi="Arial"/>
          <w:sz w:val="16"/>
          <w:szCs w:val="16"/>
          <w:b w:val="1"/>
          <w:bCs w:val="1"/>
          <w:color w:val="auto"/>
        </w:rPr>
      </w:pPr>
      <w:r>
        <w:rPr>
          <w:rFonts w:ascii="Arial" w:cs="Arial" w:eastAsia="Arial" w:hAnsi="Arial"/>
          <w:sz w:val="16"/>
          <w:szCs w:val="16"/>
          <w:color w:val="auto"/>
        </w:rPr>
        <w:t>The Board will administer the Plan unless and until the Board delegates administration of the Plan to a Committee or Committees, as provided in Section 2(c). References herein to the Board shall be deemed to refer to the Committee where such administration has been delegated.</w:t>
      </w:r>
    </w:p>
    <w:p>
      <w:pPr>
        <w:spacing w:after="0" w:line="124" w:lineRule="exact"/>
        <w:rPr>
          <w:rFonts w:ascii="Arial" w:cs="Arial" w:eastAsia="Arial" w:hAnsi="Arial"/>
          <w:sz w:val="16"/>
          <w:szCs w:val="16"/>
          <w:b w:val="1"/>
          <w:bCs w:val="1"/>
          <w:color w:val="auto"/>
        </w:rPr>
      </w:pPr>
    </w:p>
    <w:p>
      <w:pPr>
        <w:ind w:left="830" w:hanging="390"/>
        <w:spacing w:after="0"/>
        <w:tabs>
          <w:tab w:leader="none" w:pos="830" w:val="left"/>
        </w:tabs>
        <w:numPr>
          <w:ilvl w:val="1"/>
          <w:numId w:val="459"/>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4" w:lineRule="exact"/>
        <w:rPr>
          <w:rFonts w:ascii="Arial" w:cs="Arial" w:eastAsia="Arial" w:hAnsi="Arial"/>
          <w:sz w:val="18"/>
          <w:szCs w:val="18"/>
          <w:b w:val="1"/>
          <w:bCs w:val="1"/>
          <w:color w:val="auto"/>
        </w:rPr>
      </w:pPr>
    </w:p>
    <w:p>
      <w:pPr>
        <w:ind w:left="1230" w:hanging="349"/>
        <w:spacing w:after="0"/>
        <w:tabs>
          <w:tab w:leader="none" w:pos="1230" w:val="left"/>
        </w:tabs>
        <w:numPr>
          <w:ilvl w:val="2"/>
          <w:numId w:val="459"/>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1270" w:hanging="389"/>
        <w:spacing w:after="0"/>
        <w:tabs>
          <w:tab w:leader="none" w:pos="1270" w:val="left"/>
        </w:tabs>
        <w:numPr>
          <w:ilvl w:val="2"/>
          <w:numId w:val="459"/>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will be eligible to participate in the Plan.</w:t>
      </w:r>
    </w:p>
    <w:p>
      <w:pPr>
        <w:spacing w:after="0" w:line="224" w:lineRule="exact"/>
        <w:rPr>
          <w:rFonts w:ascii="Arial" w:cs="Arial" w:eastAsia="Arial" w:hAnsi="Arial"/>
          <w:sz w:val="18"/>
          <w:szCs w:val="18"/>
          <w:b w:val="1"/>
          <w:bCs w:val="1"/>
          <w:color w:val="auto"/>
        </w:rPr>
      </w:pPr>
    </w:p>
    <w:p>
      <w:pPr>
        <w:ind w:left="10" w:right="180" w:firstLine="871"/>
        <w:spacing w:after="0" w:line="263" w:lineRule="auto"/>
        <w:tabs>
          <w:tab w:leader="none" w:pos="1336" w:val="left"/>
        </w:tabs>
        <w:numPr>
          <w:ilvl w:val="2"/>
          <w:numId w:val="459"/>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82" w:lineRule="exact"/>
        <w:rPr>
          <w:rFonts w:ascii="Arial" w:cs="Arial" w:eastAsia="Arial" w:hAnsi="Arial"/>
          <w:sz w:val="18"/>
          <w:szCs w:val="18"/>
          <w:b w:val="1"/>
          <w:bCs w:val="1"/>
          <w:color w:val="auto"/>
        </w:rPr>
      </w:pPr>
    </w:p>
    <w:p>
      <w:pPr>
        <w:ind w:left="1310" w:hanging="429"/>
        <w:spacing w:after="0"/>
        <w:tabs>
          <w:tab w:leader="none" w:pos="1310" w:val="left"/>
        </w:tabs>
        <w:numPr>
          <w:ilvl w:val="2"/>
          <w:numId w:val="459"/>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224" w:lineRule="exact"/>
        <w:rPr>
          <w:rFonts w:ascii="Arial" w:cs="Arial" w:eastAsia="Arial" w:hAnsi="Arial"/>
          <w:sz w:val="18"/>
          <w:szCs w:val="18"/>
          <w:b w:val="1"/>
          <w:bCs w:val="1"/>
          <w:color w:val="auto"/>
        </w:rPr>
      </w:pPr>
    </w:p>
    <w:p>
      <w:pPr>
        <w:ind w:left="1270" w:hanging="389"/>
        <w:spacing w:after="0"/>
        <w:tabs>
          <w:tab w:leader="none" w:pos="1270" w:val="left"/>
        </w:tabs>
        <w:numPr>
          <w:ilvl w:val="2"/>
          <w:numId w:val="459"/>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4" w:lineRule="exact"/>
        <w:rPr>
          <w:rFonts w:ascii="Arial" w:cs="Arial" w:eastAsia="Arial" w:hAnsi="Arial"/>
          <w:sz w:val="18"/>
          <w:szCs w:val="18"/>
          <w:b w:val="1"/>
          <w:bCs w:val="1"/>
          <w:color w:val="auto"/>
        </w:rPr>
      </w:pPr>
    </w:p>
    <w:p>
      <w:pPr>
        <w:ind w:left="1310" w:hanging="429"/>
        <w:spacing w:after="0"/>
        <w:tabs>
          <w:tab w:leader="none" w:pos="1310" w:val="left"/>
        </w:tabs>
        <w:numPr>
          <w:ilvl w:val="2"/>
          <w:numId w:val="459"/>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4" w:lineRule="exact"/>
        <w:rPr>
          <w:rFonts w:ascii="Arial" w:cs="Arial" w:eastAsia="Arial" w:hAnsi="Arial"/>
          <w:sz w:val="18"/>
          <w:szCs w:val="18"/>
          <w:b w:val="1"/>
          <w:bCs w:val="1"/>
          <w:color w:val="auto"/>
        </w:rPr>
      </w:pPr>
    </w:p>
    <w:p>
      <w:pPr>
        <w:ind w:left="10" w:right="280" w:firstLine="871"/>
        <w:spacing w:after="0" w:line="341" w:lineRule="auto"/>
        <w:tabs>
          <w:tab w:leader="none" w:pos="1379" w:val="left"/>
        </w:tabs>
        <w:numPr>
          <w:ilvl w:val="2"/>
          <w:numId w:val="459"/>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5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10"/>
          </w:cols>
          <w:pgMar w:left="450" w:top="121" w:right="439" w:bottom="1440" w:gutter="0" w:footer="0" w:header="0"/>
        </w:sectPr>
      </w:pPr>
    </w:p>
    <w:bookmarkStart w:id="443" w:name="page444"/>
    <w:bookmarkEnd w:id="443"/>
    <w:p>
      <w:pPr>
        <w:ind w:left="10" w:right="20" w:firstLine="871"/>
        <w:spacing w:after="0" w:line="263" w:lineRule="auto"/>
        <w:tabs>
          <w:tab w:leader="none" w:pos="1426" w:val="left"/>
        </w:tabs>
        <w:numPr>
          <w:ilvl w:val="2"/>
          <w:numId w:val="4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adopt such rules, procedures and sub-plans relating to the operation and administration of the Plan as are necessary or appropriate under applicable local laws, regulations and procedures to permit participation in the Plan by Employees who are foreign nationals or employed or located outside the United States.</w:t>
      </w:r>
    </w:p>
    <w:p>
      <w:pPr>
        <w:spacing w:after="0" w:line="182" w:lineRule="exact"/>
        <w:rPr>
          <w:rFonts w:ascii="Arial" w:cs="Arial" w:eastAsia="Arial" w:hAnsi="Arial"/>
          <w:sz w:val="18"/>
          <w:szCs w:val="18"/>
          <w:b w:val="1"/>
          <w:bCs w:val="1"/>
          <w:color w:val="auto"/>
        </w:rPr>
      </w:pPr>
    </w:p>
    <w:p>
      <w:pPr>
        <w:ind w:left="10" w:firstLine="430"/>
        <w:spacing w:after="0" w:line="271" w:lineRule="auto"/>
        <w:tabs>
          <w:tab w:leader="none" w:pos="826" w:val="left"/>
        </w:tabs>
        <w:numPr>
          <w:ilvl w:val="1"/>
          <w:numId w:val="461"/>
        </w:numPr>
        <w:rPr>
          <w:rFonts w:ascii="Arial" w:cs="Arial" w:eastAsia="Arial" w:hAnsi="Arial"/>
          <w:sz w:val="17"/>
          <w:szCs w:val="17"/>
          <w:b w:val="1"/>
          <w:bCs w:val="1"/>
          <w:color w:val="auto"/>
        </w:rPr>
      </w:pPr>
      <w:r>
        <w:rPr>
          <w:rFonts w:ascii="Arial" w:cs="Arial" w:eastAsia="Arial" w:hAnsi="Arial"/>
          <w:sz w:val="17"/>
          <w:szCs w:val="17"/>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6" w:lineRule="exact"/>
        <w:rPr>
          <w:rFonts w:ascii="Arial" w:cs="Arial" w:eastAsia="Arial" w:hAnsi="Arial"/>
          <w:sz w:val="17"/>
          <w:szCs w:val="17"/>
          <w:b w:val="1"/>
          <w:bCs w:val="1"/>
          <w:color w:val="auto"/>
        </w:rPr>
      </w:pPr>
    </w:p>
    <w:p>
      <w:pPr>
        <w:ind w:left="10" w:right="20" w:firstLine="430"/>
        <w:spacing w:after="0" w:line="277" w:lineRule="auto"/>
        <w:tabs>
          <w:tab w:leader="none" w:pos="839" w:val="left"/>
        </w:tabs>
        <w:numPr>
          <w:ilvl w:val="1"/>
          <w:numId w:val="461"/>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314" w:lineRule="exact"/>
        <w:rPr>
          <w:rFonts w:ascii="Arial" w:cs="Arial" w:eastAsia="Arial" w:hAnsi="Arial"/>
          <w:sz w:val="18"/>
          <w:szCs w:val="18"/>
          <w:b w:val="1"/>
          <w:bCs w:val="1"/>
          <w:color w:val="auto"/>
        </w:rPr>
      </w:pPr>
    </w:p>
    <w:p>
      <w:pPr>
        <w:ind w:left="430" w:hanging="430"/>
        <w:spacing w:after="0"/>
        <w:tabs>
          <w:tab w:leader="none" w:pos="43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jc w:val="both"/>
        <w:ind w:left="10" w:firstLine="430"/>
        <w:spacing w:after="0" w:line="286" w:lineRule="auto"/>
        <w:tabs>
          <w:tab w:leader="none" w:pos="839" w:val="left"/>
        </w:tabs>
        <w:numPr>
          <w:ilvl w:val="1"/>
          <w:numId w:val="462"/>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Section 11(a) relating to Capitalization Adjustments, the maximum number of shares of Common Stock that may be issued under the Plan will not exceed 515,307 shares of Common Stock, plus the number of shares of Common Stock that are automatically added on January 1st of each year for a period of ten years commencing on January 1, 2019 and ending on (and including) January 1, 2028, in an amount equal to the lesser of (i) one percent </w:t>
      </w:r>
      <w:r>
        <w:rPr>
          <w:rFonts w:ascii="Arial" w:cs="Arial" w:eastAsia="Arial" w:hAnsi="Arial"/>
          <w:sz w:val="16"/>
          <w:szCs w:val="16"/>
          <w:b w:val="1"/>
          <w:bCs w:val="1"/>
          <w:color w:val="auto"/>
        </w:rPr>
        <w:t>(</w:t>
      </w:r>
      <w:r>
        <w:rPr>
          <w:rFonts w:ascii="Arial" w:cs="Arial" w:eastAsia="Arial" w:hAnsi="Arial"/>
          <w:sz w:val="16"/>
          <w:szCs w:val="16"/>
          <w:color w:val="auto"/>
        </w:rPr>
        <w:t>1%) of the total number of shares of Common Stock outstanding on the last day of the preceding calendar year, and (ii)</w:t>
      </w:r>
    </w:p>
    <w:p>
      <w:pPr>
        <w:jc w:val="both"/>
        <w:ind w:left="1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555,555 shares of Common Stock. Notwithstanding the foregoing, the Board may act prior to the first day of any calendar year to provide that there will be no increase in the share reserve for such calendar year or that the increase in the share reserve for such calendar year will be a lesser number of shares of Common Stock than would otherwise occur pursuant to the preceding sentence.</w:t>
      </w:r>
    </w:p>
    <w:p>
      <w:pPr>
        <w:spacing w:after="0" w:line="12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0"/>
          </w:cols>
          <w:pgMar w:left="450" w:top="274" w:right="459" w:bottom="1440" w:gutter="0" w:footer="0" w:header="0"/>
        </w:sectPr>
      </w:pPr>
    </w:p>
    <w:bookmarkStart w:id="444" w:name="page445"/>
    <w:bookmarkEnd w:id="444"/>
    <w:p>
      <w:pPr>
        <w:ind w:left="10" w:right="160" w:firstLine="430"/>
        <w:spacing w:after="0" w:line="277" w:lineRule="auto"/>
        <w:tabs>
          <w:tab w:leader="none" w:pos="849" w:val="left"/>
        </w:tabs>
        <w:numPr>
          <w:ilvl w:val="1"/>
          <w:numId w:val="4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Purchase Right granted under the Plan terminates without having been exercised in full, the shares of Common Stock not purchased under such Purchase Right will again become available for issuance under the Plan.</w:t>
      </w:r>
    </w:p>
    <w:p>
      <w:pPr>
        <w:spacing w:after="0" w:line="169" w:lineRule="exact"/>
        <w:rPr>
          <w:rFonts w:ascii="Arial" w:cs="Arial" w:eastAsia="Arial" w:hAnsi="Arial"/>
          <w:sz w:val="18"/>
          <w:szCs w:val="18"/>
          <w:b w:val="1"/>
          <w:bCs w:val="1"/>
          <w:color w:val="auto"/>
        </w:rPr>
      </w:pPr>
    </w:p>
    <w:p>
      <w:pPr>
        <w:ind w:left="10" w:right="120" w:firstLine="430"/>
        <w:spacing w:after="0" w:line="277" w:lineRule="auto"/>
        <w:tabs>
          <w:tab w:leader="none" w:pos="826" w:val="left"/>
        </w:tabs>
        <w:numPr>
          <w:ilvl w:val="1"/>
          <w:numId w:val="463"/>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314" w:lineRule="exact"/>
        <w:rPr>
          <w:rFonts w:ascii="Arial" w:cs="Arial" w:eastAsia="Arial" w:hAnsi="Arial"/>
          <w:sz w:val="18"/>
          <w:szCs w:val="18"/>
          <w:b w:val="1"/>
          <w:bCs w:val="1"/>
          <w:color w:val="auto"/>
        </w:rPr>
      </w:pPr>
    </w:p>
    <w:p>
      <w:pPr>
        <w:ind w:left="430" w:hanging="430"/>
        <w:spacing w:after="0"/>
        <w:tabs>
          <w:tab w:leader="none" w:pos="43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60" w:firstLine="430"/>
        <w:spacing w:after="0" w:line="254" w:lineRule="auto"/>
        <w:tabs>
          <w:tab w:leader="none" w:pos="836" w:val="left"/>
        </w:tabs>
        <w:numPr>
          <w:ilvl w:val="1"/>
          <w:numId w:val="464"/>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0" w:lineRule="exact"/>
        <w:rPr>
          <w:rFonts w:ascii="Arial" w:cs="Arial" w:eastAsia="Arial" w:hAnsi="Arial"/>
          <w:sz w:val="18"/>
          <w:szCs w:val="18"/>
          <w:b w:val="1"/>
          <w:bCs w:val="1"/>
          <w:color w:val="auto"/>
        </w:rPr>
      </w:pPr>
    </w:p>
    <w:p>
      <w:pPr>
        <w:ind w:left="10" w:right="100" w:firstLine="430"/>
        <w:spacing w:after="0" w:line="256" w:lineRule="auto"/>
        <w:tabs>
          <w:tab w:leader="none" w:pos="849" w:val="left"/>
        </w:tabs>
        <w:numPr>
          <w:ilvl w:val="1"/>
          <w:numId w:val="464"/>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91" w:lineRule="exact"/>
        <w:rPr>
          <w:rFonts w:ascii="Arial" w:cs="Arial" w:eastAsia="Arial" w:hAnsi="Arial"/>
          <w:sz w:val="18"/>
          <w:szCs w:val="18"/>
          <w:b w:val="1"/>
          <w:bCs w:val="1"/>
          <w:color w:val="auto"/>
        </w:rPr>
      </w:pPr>
    </w:p>
    <w:p>
      <w:pPr>
        <w:jc w:val="both"/>
        <w:ind w:left="10" w:right="80" w:firstLine="430"/>
        <w:spacing w:after="0" w:line="279" w:lineRule="auto"/>
        <w:tabs>
          <w:tab w:leader="none" w:pos="826" w:val="left"/>
        </w:tabs>
        <w:numPr>
          <w:ilvl w:val="1"/>
          <w:numId w:val="464"/>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14" w:lineRule="exact"/>
        <w:rPr>
          <w:rFonts w:ascii="Arial" w:cs="Arial" w:eastAsia="Arial" w:hAnsi="Arial"/>
          <w:sz w:val="17"/>
          <w:szCs w:val="17"/>
          <w:b w:val="1"/>
          <w:bCs w:val="1"/>
          <w:color w:val="auto"/>
        </w:rPr>
      </w:pPr>
    </w:p>
    <w:p>
      <w:pPr>
        <w:ind w:left="430" w:hanging="430"/>
        <w:spacing w:after="0"/>
        <w:tabs>
          <w:tab w:leader="none" w:pos="43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firstLine="430"/>
        <w:spacing w:after="0" w:line="293" w:lineRule="auto"/>
        <w:tabs>
          <w:tab w:leader="none" w:pos="839" w:val="left"/>
        </w:tabs>
        <w:numPr>
          <w:ilvl w:val="1"/>
          <w:numId w:val="464"/>
        </w:numPr>
        <w:rPr>
          <w:rFonts w:ascii="Arial" w:cs="Arial" w:eastAsia="Arial" w:hAnsi="Arial"/>
          <w:sz w:val="16"/>
          <w:szCs w:val="16"/>
          <w:b w:val="1"/>
          <w:bCs w:val="1"/>
          <w:color w:val="auto"/>
        </w:rPr>
      </w:pPr>
      <w:r>
        <w:rPr>
          <w:rFonts w:ascii="Arial" w:cs="Arial" w:eastAsia="Arial" w:hAnsi="Arial"/>
          <w:sz w:val="16"/>
          <w:szCs w:val="16"/>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(unless prohibited by law) provide that no Employee will be eligible to be granted Purchase Rights under the Plan unless, on the Offering Date, such Employee’s customary employment with the Company or the Related Corporation is</w:t>
      </w:r>
    </w:p>
    <w:p>
      <w:pPr>
        <w:spacing w:after="0" w:line="96"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50"/>
          </w:cols>
          <w:pgMar w:left="450" w:top="274" w:right="499" w:bottom="1440" w:gutter="0" w:footer="0" w:header="0"/>
        </w:sectPr>
      </w:pPr>
    </w:p>
    <w:bookmarkStart w:id="445" w:name="page446"/>
    <w:bookmarkEnd w:id="445"/>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than 20 hours per week and more than five months per calendar year or such other criteria as the Board may determine consistent with Section 423 of the Code. The Board may also exclude from participation in the Plan or any Offering Employees who are “highly compensated employees” (within the meaning of Section 414(q) of the Code) of the Company or a Related Corporation or a subset of such highly compensated employees.</w:t>
      </w:r>
    </w:p>
    <w:p>
      <w:pPr>
        <w:spacing w:after="0" w:line="148" w:lineRule="exact"/>
        <w:rPr>
          <w:sz w:val="20"/>
          <w:szCs w:val="20"/>
          <w:color w:val="auto"/>
        </w:rPr>
      </w:pPr>
    </w:p>
    <w:p>
      <w:pPr>
        <w:ind w:right="120" w:firstLine="430"/>
        <w:spacing w:after="0" w:line="279" w:lineRule="auto"/>
        <w:tabs>
          <w:tab w:leader="none" w:pos="836"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0" w:lineRule="exact"/>
        <w:rPr>
          <w:rFonts w:ascii="Arial" w:cs="Arial" w:eastAsia="Arial" w:hAnsi="Arial"/>
          <w:sz w:val="17"/>
          <w:szCs w:val="17"/>
          <w:b w:val="1"/>
          <w:bCs w:val="1"/>
          <w:color w:val="auto"/>
        </w:rPr>
      </w:pPr>
    </w:p>
    <w:p>
      <w:pPr>
        <w:ind w:right="560" w:firstLine="871"/>
        <w:spacing w:after="0" w:line="277" w:lineRule="auto"/>
        <w:tabs>
          <w:tab w:leader="none" w:pos="1230" w:val="left"/>
        </w:tabs>
        <w:numPr>
          <w:ilvl w:val="1"/>
          <w:numId w:val="465"/>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69" w:lineRule="exact"/>
        <w:rPr>
          <w:rFonts w:ascii="Arial" w:cs="Arial" w:eastAsia="Arial" w:hAnsi="Arial"/>
          <w:sz w:val="18"/>
          <w:szCs w:val="18"/>
          <w:b w:val="1"/>
          <w:bCs w:val="1"/>
          <w:color w:val="auto"/>
        </w:rPr>
      </w:pPr>
    </w:p>
    <w:p>
      <w:pPr>
        <w:ind w:left="1280" w:hanging="409"/>
        <w:spacing w:after="0"/>
        <w:tabs>
          <w:tab w:leader="none" w:pos="1280" w:val="left"/>
        </w:tabs>
        <w:numPr>
          <w:ilvl w:val="1"/>
          <w:numId w:val="465"/>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210" w:lineRule="exact"/>
        <w:rPr>
          <w:rFonts w:ascii="Arial" w:cs="Arial" w:eastAsia="Arial" w:hAnsi="Arial"/>
          <w:sz w:val="16"/>
          <w:szCs w:val="16"/>
          <w:b w:val="1"/>
          <w:bCs w:val="1"/>
          <w:color w:val="auto"/>
        </w:rPr>
      </w:pPr>
    </w:p>
    <w:p>
      <w:pPr>
        <w:ind w:right="80" w:firstLine="871"/>
        <w:spacing w:after="0" w:line="277" w:lineRule="auto"/>
        <w:tabs>
          <w:tab w:leader="none" w:pos="1330" w:val="left"/>
        </w:tabs>
        <w:numPr>
          <w:ilvl w:val="1"/>
          <w:numId w:val="465"/>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9" w:lineRule="exact"/>
        <w:rPr>
          <w:rFonts w:ascii="Arial" w:cs="Arial" w:eastAsia="Arial" w:hAnsi="Arial"/>
          <w:sz w:val="18"/>
          <w:szCs w:val="18"/>
          <w:b w:val="1"/>
          <w:bCs w:val="1"/>
          <w:color w:val="auto"/>
        </w:rPr>
      </w:pPr>
    </w:p>
    <w:p>
      <w:pPr>
        <w:ind w:right="240" w:firstLine="430"/>
        <w:spacing w:after="0" w:line="256" w:lineRule="auto"/>
        <w:tabs>
          <w:tab w:leader="none" w:pos="819" w:val="left"/>
        </w:tabs>
        <w:numPr>
          <w:ilvl w:val="0"/>
          <w:numId w:val="465"/>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(unless otherwise required by law).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91" w:lineRule="exact"/>
        <w:rPr>
          <w:rFonts w:ascii="Arial" w:cs="Arial" w:eastAsia="Arial" w:hAnsi="Arial"/>
          <w:sz w:val="18"/>
          <w:szCs w:val="18"/>
          <w:b w:val="1"/>
          <w:bCs w:val="1"/>
          <w:color w:val="auto"/>
        </w:rPr>
      </w:pPr>
    </w:p>
    <w:p>
      <w:pPr>
        <w:ind w:right="20" w:firstLine="430"/>
        <w:spacing w:after="0" w:line="275" w:lineRule="auto"/>
        <w:tabs>
          <w:tab w:leader="none" w:pos="830"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5" w:lineRule="exact"/>
        <w:rPr>
          <w:rFonts w:ascii="Arial" w:cs="Arial" w:eastAsia="Arial" w:hAnsi="Arial"/>
          <w:sz w:val="17"/>
          <w:szCs w:val="17"/>
          <w:b w:val="1"/>
          <w:bCs w:val="1"/>
          <w:color w:val="auto"/>
        </w:rPr>
      </w:pPr>
    </w:p>
    <w:p>
      <w:pPr>
        <w:ind w:right="60" w:firstLine="430"/>
        <w:spacing w:after="0" w:line="286" w:lineRule="auto"/>
        <w:tabs>
          <w:tab w:leader="none" w:pos="819"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Related Corporation, if they are otherwise Eligible Employees, will be eligible to participate in Offerings under the Plan. Notwithstanding the foregoing, the Board may (unless prohibited by law) provide in an Offering that Employees who are highly compensated Employees within the meaning of Section 423(b)(4)(D) of the Code will not be eligible to participate.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446" w:name="page447"/>
    <w:bookmarkEnd w:id="446"/>
    <w:p>
      <w:pPr>
        <w:ind w:left="430" w:hanging="430"/>
        <w:spacing w:after="0"/>
        <w:tabs>
          <w:tab w:leader="none" w:pos="43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firstLine="430"/>
        <w:spacing w:after="0" w:line="256" w:lineRule="auto"/>
        <w:tabs>
          <w:tab w:leader="none" w:pos="839" w:val="left"/>
        </w:tabs>
        <w:numPr>
          <w:ilvl w:val="1"/>
          <w:numId w:val="466"/>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91" w:lineRule="exact"/>
        <w:rPr>
          <w:rFonts w:ascii="Arial" w:cs="Arial" w:eastAsia="Arial" w:hAnsi="Arial"/>
          <w:sz w:val="18"/>
          <w:szCs w:val="18"/>
          <w:b w:val="1"/>
          <w:bCs w:val="1"/>
          <w:color w:val="auto"/>
        </w:rPr>
      </w:pPr>
    </w:p>
    <w:p>
      <w:pPr>
        <w:ind w:left="10" w:right="660" w:firstLine="430"/>
        <w:spacing w:after="0" w:line="277" w:lineRule="auto"/>
        <w:tabs>
          <w:tab w:leader="none" w:pos="846" w:val="left"/>
        </w:tabs>
        <w:numPr>
          <w:ilvl w:val="1"/>
          <w:numId w:val="466"/>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9" w:lineRule="exact"/>
        <w:rPr>
          <w:rFonts w:ascii="Arial" w:cs="Arial" w:eastAsia="Arial" w:hAnsi="Arial"/>
          <w:sz w:val="18"/>
          <w:szCs w:val="18"/>
          <w:b w:val="1"/>
          <w:bCs w:val="1"/>
          <w:color w:val="auto"/>
        </w:rPr>
      </w:pPr>
    </w:p>
    <w:p>
      <w:pPr>
        <w:ind w:left="10" w:right="40" w:firstLine="430"/>
        <w:spacing w:after="0" w:line="272" w:lineRule="auto"/>
        <w:tabs>
          <w:tab w:leader="none" w:pos="829" w:val="left"/>
        </w:tabs>
        <w:numPr>
          <w:ilvl w:val="1"/>
          <w:numId w:val="466"/>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75" w:lineRule="exact"/>
        <w:rPr>
          <w:rFonts w:ascii="Arial" w:cs="Arial" w:eastAsia="Arial" w:hAnsi="Arial"/>
          <w:sz w:val="17"/>
          <w:szCs w:val="17"/>
          <w:b w:val="1"/>
          <w:bCs w:val="1"/>
          <w:color w:val="auto"/>
        </w:rPr>
      </w:pPr>
    </w:p>
    <w:p>
      <w:pPr>
        <w:ind w:left="830" w:hanging="390"/>
        <w:spacing w:after="0"/>
        <w:tabs>
          <w:tab w:leader="none" w:pos="830" w:val="left"/>
        </w:tabs>
        <w:numPr>
          <w:ilvl w:val="1"/>
          <w:numId w:val="466"/>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224" w:lineRule="exact"/>
        <w:rPr>
          <w:rFonts w:ascii="Arial" w:cs="Arial" w:eastAsia="Arial" w:hAnsi="Arial"/>
          <w:sz w:val="18"/>
          <w:szCs w:val="18"/>
          <w:b w:val="1"/>
          <w:bCs w:val="1"/>
          <w:color w:val="auto"/>
        </w:rPr>
      </w:pPr>
    </w:p>
    <w:p>
      <w:pPr>
        <w:ind w:left="1230" w:hanging="349"/>
        <w:spacing w:after="0"/>
        <w:tabs>
          <w:tab w:leader="none" w:pos="1230" w:val="left"/>
        </w:tabs>
        <w:numPr>
          <w:ilvl w:val="2"/>
          <w:numId w:val="466"/>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4" w:lineRule="exact"/>
        <w:rPr>
          <w:rFonts w:ascii="Arial" w:cs="Arial" w:eastAsia="Arial" w:hAnsi="Arial"/>
          <w:sz w:val="18"/>
          <w:szCs w:val="18"/>
          <w:b w:val="1"/>
          <w:bCs w:val="1"/>
          <w:color w:val="auto"/>
        </w:rPr>
      </w:pPr>
    </w:p>
    <w:p>
      <w:pPr>
        <w:ind w:left="1290" w:hanging="409"/>
        <w:spacing w:after="0"/>
        <w:tabs>
          <w:tab w:leader="none" w:pos="1290" w:val="left"/>
        </w:tabs>
        <w:numPr>
          <w:ilvl w:val="2"/>
          <w:numId w:val="466"/>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69" w:lineRule="exact"/>
        <w:rPr>
          <w:rFonts w:ascii="Arial" w:cs="Arial" w:eastAsia="Arial" w:hAnsi="Arial"/>
          <w:sz w:val="18"/>
          <w:szCs w:val="18"/>
          <w:b w:val="1"/>
          <w:bCs w:val="1"/>
          <w:color w:val="auto"/>
        </w:rPr>
      </w:pPr>
    </w:p>
    <w:p>
      <w:pPr>
        <w:ind w:left="430" w:hanging="430"/>
        <w:spacing w:after="0"/>
        <w:tabs>
          <w:tab w:leader="none" w:pos="43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40" w:firstLine="430"/>
        <w:spacing w:after="0" w:line="254" w:lineRule="auto"/>
        <w:tabs>
          <w:tab w:leader="none" w:pos="829" w:val="left"/>
        </w:tabs>
        <w:numPr>
          <w:ilvl w:val="1"/>
          <w:numId w:val="466"/>
        </w:numPr>
        <w:rPr>
          <w:rFonts w:ascii="Arial" w:cs="Arial" w:eastAsia="Arial" w:hAnsi="Arial"/>
          <w:sz w:val="18"/>
          <w:szCs w:val="18"/>
          <w:b w:val="1"/>
          <w:bCs w:val="1"/>
          <w:color w:val="auto"/>
        </w:rPr>
      </w:pPr>
      <w:r>
        <w:rPr>
          <w:rFonts w:ascii="Arial" w:cs="Arial" w:eastAsia="Arial" w:hAnsi="Arial"/>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or regulations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0"/>
          </w:cols>
          <w:pgMar w:left="450" w:top="269" w:right="459" w:bottom="1440" w:gutter="0" w:footer="0" w:header="0"/>
        </w:sectPr>
      </w:pPr>
    </w:p>
    <w:bookmarkStart w:id="447" w:name="page448"/>
    <w:bookmarkEnd w:id="447"/>
    <w:p>
      <w:pPr>
        <w:ind w:left="1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thereafter reduce (including to zero) or increase his or her Contributions. If required under applicable law or regulations or if specifically provided in the Offering, in addition to or instead of making Contributions by payroll deductions, a Participant may make Contributions through the payment by cash, check or wire transfer prior to a Purchase Date.</w:t>
      </w:r>
    </w:p>
    <w:p>
      <w:pPr>
        <w:spacing w:after="0" w:line="183" w:lineRule="exact"/>
        <w:rPr>
          <w:sz w:val="20"/>
          <w:szCs w:val="20"/>
          <w:color w:val="auto"/>
        </w:rPr>
      </w:pPr>
    </w:p>
    <w:p>
      <w:pPr>
        <w:ind w:left="10" w:firstLine="430"/>
        <w:spacing w:after="0" w:line="273" w:lineRule="auto"/>
        <w:tabs>
          <w:tab w:leader="none" w:pos="849" w:val="left"/>
        </w:tabs>
        <w:numPr>
          <w:ilvl w:val="1"/>
          <w:numId w:val="467"/>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thereafter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6" w:lineRule="exact"/>
        <w:rPr>
          <w:rFonts w:ascii="Arial" w:cs="Arial" w:eastAsia="Arial" w:hAnsi="Arial"/>
          <w:sz w:val="17"/>
          <w:szCs w:val="17"/>
          <w:b w:val="1"/>
          <w:bCs w:val="1"/>
          <w:color w:val="auto"/>
        </w:rPr>
      </w:pPr>
    </w:p>
    <w:p>
      <w:pPr>
        <w:jc w:val="both"/>
        <w:ind w:left="10" w:right="160" w:firstLine="430"/>
        <w:spacing w:after="0" w:line="259" w:lineRule="auto"/>
        <w:tabs>
          <w:tab w:leader="none" w:pos="829" w:val="left"/>
        </w:tabs>
        <w:numPr>
          <w:ilvl w:val="1"/>
          <w:numId w:val="467"/>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or regulations,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as soon as practicable to such individual all of his or her accumulated but unused Contributions.</w:t>
      </w:r>
    </w:p>
    <w:p>
      <w:pPr>
        <w:spacing w:after="0" w:line="185" w:lineRule="exact"/>
        <w:rPr>
          <w:rFonts w:ascii="Arial" w:cs="Arial" w:eastAsia="Arial" w:hAnsi="Arial"/>
          <w:sz w:val="18"/>
          <w:szCs w:val="18"/>
          <w:b w:val="1"/>
          <w:bCs w:val="1"/>
          <w:color w:val="auto"/>
        </w:rPr>
      </w:pPr>
    </w:p>
    <w:p>
      <w:pPr>
        <w:ind w:left="10" w:right="500" w:firstLine="430"/>
        <w:spacing w:after="0" w:line="263" w:lineRule="auto"/>
        <w:tabs>
          <w:tab w:leader="none" w:pos="849" w:val="left"/>
        </w:tabs>
        <w:numPr>
          <w:ilvl w:val="1"/>
          <w:numId w:val="467"/>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2" w:lineRule="exact"/>
        <w:rPr>
          <w:rFonts w:ascii="Arial" w:cs="Arial" w:eastAsia="Arial" w:hAnsi="Arial"/>
          <w:sz w:val="18"/>
          <w:szCs w:val="18"/>
          <w:b w:val="1"/>
          <w:bCs w:val="1"/>
          <w:color w:val="auto"/>
        </w:rPr>
      </w:pPr>
    </w:p>
    <w:p>
      <w:pPr>
        <w:ind w:left="10" w:right="120" w:firstLine="430"/>
        <w:spacing w:after="0" w:line="277" w:lineRule="auto"/>
        <w:tabs>
          <w:tab w:leader="none" w:pos="829" w:val="left"/>
        </w:tabs>
        <w:numPr>
          <w:ilvl w:val="1"/>
          <w:numId w:val="467"/>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required by applicable law or regulations, the Company will have no obligation to pay interest on Contributions.</w:t>
      </w:r>
    </w:p>
    <w:p>
      <w:pPr>
        <w:spacing w:after="0" w:line="314" w:lineRule="exact"/>
        <w:rPr>
          <w:rFonts w:ascii="Arial" w:cs="Arial" w:eastAsia="Arial" w:hAnsi="Arial"/>
          <w:sz w:val="18"/>
          <w:szCs w:val="18"/>
          <w:b w:val="1"/>
          <w:bCs w:val="1"/>
          <w:color w:val="auto"/>
        </w:rPr>
      </w:pPr>
    </w:p>
    <w:p>
      <w:pPr>
        <w:ind w:left="430" w:hanging="430"/>
        <w:spacing w:after="0"/>
        <w:tabs>
          <w:tab w:leader="none" w:pos="43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120" w:firstLine="430"/>
        <w:spacing w:after="0" w:line="263" w:lineRule="auto"/>
        <w:tabs>
          <w:tab w:leader="none" w:pos="839" w:val="left"/>
        </w:tabs>
        <w:numPr>
          <w:ilvl w:val="1"/>
          <w:numId w:val="468"/>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2" w:lineRule="exact"/>
        <w:rPr>
          <w:rFonts w:ascii="Arial" w:cs="Arial" w:eastAsia="Arial" w:hAnsi="Arial"/>
          <w:sz w:val="18"/>
          <w:szCs w:val="18"/>
          <w:b w:val="1"/>
          <w:bCs w:val="1"/>
          <w:color w:val="auto"/>
        </w:rPr>
      </w:pPr>
    </w:p>
    <w:p>
      <w:pPr>
        <w:ind w:left="10" w:right="60" w:firstLine="430"/>
        <w:spacing w:after="0" w:line="271" w:lineRule="auto"/>
        <w:tabs>
          <w:tab w:leader="none" w:pos="849" w:val="left"/>
        </w:tabs>
        <w:numPr>
          <w:ilvl w:val="1"/>
          <w:numId w:val="468"/>
        </w:numPr>
        <w:rPr>
          <w:rFonts w:ascii="Arial" w:cs="Arial" w:eastAsia="Arial" w:hAnsi="Arial"/>
          <w:sz w:val="17"/>
          <w:szCs w:val="17"/>
          <w:b w:val="1"/>
          <w:bCs w:val="1"/>
          <w:color w:val="auto"/>
        </w:rPr>
      </w:pPr>
      <w:r>
        <w:rPr>
          <w:rFonts w:ascii="Arial" w:cs="Arial" w:eastAsia="Arial" w:hAnsi="Arial"/>
          <w:sz w:val="17"/>
          <w:szCs w:val="17"/>
          <w:color w:val="auto"/>
        </w:rPr>
        <w:t>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Offering, in which case such amount will be distributed to such Participant after the final Purchase Date, without interest. If the amount of Contributions remaining in a Participant’s account after the purchase of shares of Common Stock is at least equal to the amount required to purchase one whole share of Common Stock on the final Purchase Date of an Offering, then such remaining amount will not roll over to the next Offering and will instead be distributed in full to such Participant after the final Purchase Date of such Offering without interest (unless otherwise required by applicable law or regulations).</w:t>
      </w:r>
    </w:p>
    <w:p>
      <w:pPr>
        <w:spacing w:after="0" w:line="10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0"/>
          </w:cols>
          <w:pgMar w:left="450" w:top="274" w:right="459" w:bottom="1440" w:gutter="0" w:footer="0" w:header="0"/>
        </w:sectPr>
      </w:pPr>
    </w:p>
    <w:bookmarkStart w:id="448" w:name="page449"/>
    <w:bookmarkEnd w:id="448"/>
    <w:p>
      <w:pPr>
        <w:ind w:left="10" w:right="40" w:firstLine="430"/>
        <w:spacing w:after="0" w:line="290" w:lineRule="auto"/>
        <w:tabs>
          <w:tab w:leader="none" w:pos="829" w:val="left"/>
        </w:tabs>
        <w:numPr>
          <w:ilvl w:val="1"/>
          <w:numId w:val="46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and regulations, no Purchase Rights will be exercised and all accumulated but unused Contributions will be distributed to the Participants without interest.</w:t>
      </w:r>
    </w:p>
    <w:p>
      <w:pPr>
        <w:spacing w:after="0" w:line="308" w:lineRule="exact"/>
        <w:rPr>
          <w:rFonts w:ascii="Arial" w:cs="Arial" w:eastAsia="Arial" w:hAnsi="Arial"/>
          <w:sz w:val="16"/>
          <w:szCs w:val="16"/>
          <w:b w:val="1"/>
          <w:bCs w:val="1"/>
          <w:color w:val="auto"/>
        </w:rPr>
      </w:pPr>
    </w:p>
    <w:p>
      <w:pPr>
        <w:ind w:left="430" w:hanging="430"/>
        <w:spacing w:after="0"/>
        <w:tabs>
          <w:tab w:leader="none" w:pos="43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10" w:firstLine="440"/>
        <w:spacing w:after="0" w:line="273" w:lineRule="auto"/>
        <w:rPr>
          <w:sz w:val="20"/>
          <w:szCs w:val="20"/>
          <w:color w:val="auto"/>
        </w:rPr>
      </w:pPr>
      <w:r>
        <w:rPr>
          <w:rFonts w:ascii="Arial" w:cs="Arial" w:eastAsia="Arial" w:hAnsi="Arial"/>
          <w:sz w:val="17"/>
          <w:szCs w:val="17"/>
          <w:color w:val="auto"/>
        </w:rPr>
        <w:t>The Company will seek to obtain from each federal,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321" w:lineRule="exact"/>
        <w:rPr>
          <w:sz w:val="20"/>
          <w:szCs w:val="20"/>
          <w:color w:val="auto"/>
        </w:rPr>
      </w:pPr>
    </w:p>
    <w:p>
      <w:pPr>
        <w:ind w:left="430" w:hanging="430"/>
        <w:spacing w:after="0"/>
        <w:tabs>
          <w:tab w:leader="none" w:pos="43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jc w:val="both"/>
        <w:ind w:left="10" w:right="280" w:firstLine="430"/>
        <w:spacing w:after="0" w:line="259" w:lineRule="auto"/>
        <w:tabs>
          <w:tab w:leader="none" w:pos="836" w:val="left"/>
        </w:tabs>
        <w:numPr>
          <w:ilvl w:val="1"/>
          <w:numId w:val="471"/>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5" w:lineRule="exact"/>
        <w:rPr>
          <w:rFonts w:ascii="Arial" w:cs="Arial" w:eastAsia="Arial" w:hAnsi="Arial"/>
          <w:sz w:val="18"/>
          <w:szCs w:val="18"/>
          <w:b w:val="1"/>
          <w:bCs w:val="1"/>
          <w:color w:val="auto"/>
        </w:rPr>
      </w:pPr>
    </w:p>
    <w:p>
      <w:pPr>
        <w:ind w:left="10" w:right="20" w:firstLine="430"/>
        <w:spacing w:after="0" w:line="256" w:lineRule="auto"/>
        <w:tabs>
          <w:tab w:leader="none" w:pos="894" w:val="left"/>
        </w:tabs>
        <w:numPr>
          <w:ilvl w:val="1"/>
          <w:numId w:val="471"/>
        </w:numPr>
        <w:rPr>
          <w:rFonts w:ascii="Arial" w:cs="Arial" w:eastAsia="Arial" w:hAnsi="Arial"/>
          <w:sz w:val="18"/>
          <w:szCs w:val="18"/>
          <w:b w:val="1"/>
          <w:bCs w:val="1"/>
          <w:color w:val="auto"/>
        </w:rPr>
      </w:pPr>
      <w:r>
        <w:rPr>
          <w:rFonts w:ascii="Arial" w:cs="Arial" w:eastAsia="Arial" w:hAnsi="Arial"/>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to the Participant’s spouse, dependents or relatives, or if no spouse, dependent or relative is known to the Company, then to such other person as the Company may designate.</w:t>
      </w:r>
    </w:p>
    <w:p>
      <w:pPr>
        <w:spacing w:after="0" w:line="124"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0"/>
          </w:cols>
          <w:pgMar w:left="450" w:top="274" w:right="459" w:bottom="1440" w:gutter="0" w:footer="0" w:header="0"/>
        </w:sectPr>
      </w:pPr>
    </w:p>
    <w:bookmarkStart w:id="449" w:name="page450"/>
    <w:bookmarkEnd w:id="449"/>
    <w:p>
      <w:pPr>
        <w:ind w:left="430" w:hanging="430"/>
        <w:spacing w:after="0"/>
        <w:tabs>
          <w:tab w:leader="none" w:pos="43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10" w:right="20" w:firstLine="430"/>
        <w:spacing w:after="0" w:line="275" w:lineRule="auto"/>
        <w:tabs>
          <w:tab w:leader="none" w:pos="839" w:val="left"/>
        </w:tabs>
        <w:numPr>
          <w:ilvl w:val="1"/>
          <w:numId w:val="472"/>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Offering. The Board will make these adjustments, and its determination will be final, binding and conclusive.</w:t>
      </w:r>
    </w:p>
    <w:p>
      <w:pPr>
        <w:spacing w:after="0" w:line="175" w:lineRule="exact"/>
        <w:rPr>
          <w:rFonts w:ascii="Arial" w:cs="Arial" w:eastAsia="Arial" w:hAnsi="Arial"/>
          <w:sz w:val="17"/>
          <w:szCs w:val="17"/>
          <w:b w:val="1"/>
          <w:bCs w:val="1"/>
          <w:color w:val="auto"/>
        </w:rPr>
      </w:pPr>
    </w:p>
    <w:p>
      <w:pPr>
        <w:ind w:left="10" w:right="180" w:firstLine="430"/>
        <w:spacing w:after="0" w:line="254" w:lineRule="auto"/>
        <w:tabs>
          <w:tab w:leader="none" w:pos="849" w:val="left"/>
        </w:tabs>
        <w:numPr>
          <w:ilvl w:val="1"/>
          <w:numId w:val="472"/>
        </w:numPr>
        <w:rPr>
          <w:rFonts w:ascii="Arial" w:cs="Arial" w:eastAsia="Arial" w:hAnsi="Arial"/>
          <w:sz w:val="18"/>
          <w:szCs w:val="18"/>
          <w:b w:val="1"/>
          <w:bCs w:val="1"/>
          <w:color w:val="auto"/>
        </w:rPr>
      </w:pPr>
      <w:r>
        <w:rPr>
          <w:rFonts w:ascii="Arial" w:cs="Arial" w:eastAsia="Arial" w:hAnsi="Arial"/>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prior to the Corporate Transaction under the outstanding Purchase Rights, and the Purchase Rights will terminate immediately after such purchase.</w:t>
      </w:r>
    </w:p>
    <w:p>
      <w:pPr>
        <w:spacing w:after="0" w:line="337" w:lineRule="exact"/>
        <w:rPr>
          <w:rFonts w:ascii="Arial" w:cs="Arial" w:eastAsia="Arial" w:hAnsi="Arial"/>
          <w:sz w:val="18"/>
          <w:szCs w:val="18"/>
          <w:b w:val="1"/>
          <w:bCs w:val="1"/>
          <w:color w:val="auto"/>
        </w:rPr>
      </w:pPr>
    </w:p>
    <w:p>
      <w:pPr>
        <w:ind w:left="430" w:hanging="430"/>
        <w:spacing w:after="0"/>
        <w:tabs>
          <w:tab w:leader="none" w:pos="43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830" w:hanging="390"/>
        <w:spacing w:after="0"/>
        <w:tabs>
          <w:tab w:leader="none" w:pos="830" w:val="left"/>
        </w:tabs>
        <w:numPr>
          <w:ilvl w:val="1"/>
          <w:numId w:val="472"/>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w:t>
      </w:r>
    </w:p>
    <w:p>
      <w:pPr>
        <w:spacing w:after="0" w:line="35" w:lineRule="exact"/>
        <w:rPr>
          <w:sz w:val="20"/>
          <w:szCs w:val="20"/>
          <w:color w:val="auto"/>
        </w:rPr>
      </w:pPr>
    </w:p>
    <w:p>
      <w:pPr>
        <w:ind w:left="10" w:right="540"/>
        <w:spacing w:after="0" w:line="260" w:lineRule="auto"/>
        <w:rPr>
          <w:sz w:val="20"/>
          <w:szCs w:val="20"/>
          <w:color w:val="auto"/>
        </w:rPr>
      </w:pPr>
      <w:r>
        <w:rPr>
          <w:rFonts w:ascii="Arial" w:cs="Arial" w:eastAsia="Arial" w:hAnsi="Arial"/>
          <w:sz w:val="18"/>
          <w:szCs w:val="18"/>
          <w:color w:val="auto"/>
        </w:rPr>
        <w:t>Section 11(a) relating to Capitalization Adjustments, stockholder approval will be required for any amendment of the Plan for which stockholder approval is required by applicable law, regulations or listing requirements.</w:t>
      </w:r>
    </w:p>
    <w:p>
      <w:pPr>
        <w:spacing w:after="0" w:line="185" w:lineRule="exact"/>
        <w:rPr>
          <w:sz w:val="20"/>
          <w:szCs w:val="20"/>
          <w:color w:val="auto"/>
        </w:rPr>
      </w:pPr>
    </w:p>
    <w:p>
      <w:pPr>
        <w:ind w:left="10" w:firstLine="430"/>
        <w:spacing w:after="0" w:line="277" w:lineRule="auto"/>
        <w:tabs>
          <w:tab w:leader="none" w:pos="846" w:val="left"/>
        </w:tabs>
        <w:numPr>
          <w:ilvl w:val="1"/>
          <w:numId w:val="473"/>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69" w:lineRule="exact"/>
        <w:rPr>
          <w:rFonts w:ascii="Arial" w:cs="Arial" w:eastAsia="Arial" w:hAnsi="Arial"/>
          <w:sz w:val="18"/>
          <w:szCs w:val="18"/>
          <w:b w:val="1"/>
          <w:bCs w:val="1"/>
          <w:color w:val="auto"/>
        </w:rPr>
      </w:pPr>
    </w:p>
    <w:p>
      <w:pPr>
        <w:ind w:left="10" w:right="20" w:firstLine="430"/>
        <w:spacing w:after="0" w:line="285" w:lineRule="auto"/>
        <w:tabs>
          <w:tab w:leader="none" w:pos="819" w:val="left"/>
        </w:tabs>
        <w:numPr>
          <w:ilvl w:val="1"/>
          <w:numId w:val="473"/>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w:t>
      </w:r>
    </w:p>
    <w:p>
      <w:pPr>
        <w:spacing w:after="0" w:line="1" w:lineRule="exact"/>
        <w:rPr>
          <w:rFonts w:ascii="Arial" w:cs="Arial" w:eastAsia="Arial" w:hAnsi="Arial"/>
          <w:sz w:val="16"/>
          <w:szCs w:val="16"/>
          <w:b w:val="1"/>
          <w:bCs w:val="1"/>
          <w:color w:val="auto"/>
        </w:rPr>
      </w:pPr>
    </w:p>
    <w:p>
      <w:pPr>
        <w:ind w:left="10" w:right="280" w:hanging="10"/>
        <w:spacing w:after="0" w:line="255" w:lineRule="auto"/>
        <w:tabs>
          <w:tab w:leader="none" w:pos="32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22" w:lineRule="exact"/>
        <w:rPr>
          <w:sz w:val="20"/>
          <w:szCs w:val="20"/>
          <w:color w:val="auto"/>
        </w:rPr>
      </w:pPr>
    </w:p>
    <w:p>
      <w:pPr>
        <w:jc w:val="center"/>
        <w:ind w:right="-4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50"/>
          </w:cols>
          <w:pgMar w:left="450" w:top="270" w:right="499" w:bottom="1440" w:gutter="0" w:footer="0" w:header="0"/>
        </w:sectPr>
      </w:pPr>
    </w:p>
    <w:bookmarkStart w:id="450" w:name="page451"/>
    <w:bookmarkEnd w:id="450"/>
    <w:p>
      <w:pPr>
        <w:ind w:left="430" w:hanging="430"/>
        <w:spacing w:after="0"/>
        <w:tabs>
          <w:tab w:leader="none" w:pos="43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10" w:right="20" w:firstLine="440"/>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27" w:lineRule="exact"/>
        <w:rPr>
          <w:sz w:val="20"/>
          <w:szCs w:val="20"/>
          <w:color w:val="auto"/>
        </w:rPr>
      </w:pPr>
    </w:p>
    <w:p>
      <w:pPr>
        <w:ind w:left="430" w:hanging="430"/>
        <w:spacing w:after="0"/>
        <w:tabs>
          <w:tab w:leader="none" w:pos="43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0" w:lineRule="exact"/>
        <w:rPr>
          <w:rFonts w:ascii="Arial" w:cs="Arial" w:eastAsia="Arial" w:hAnsi="Arial"/>
          <w:sz w:val="18"/>
          <w:szCs w:val="18"/>
          <w:b w:val="1"/>
          <w:bCs w:val="1"/>
          <w:color w:val="auto"/>
        </w:rPr>
      </w:pPr>
    </w:p>
    <w:p>
      <w:pPr>
        <w:ind w:left="830" w:hanging="390"/>
        <w:spacing w:after="0"/>
        <w:tabs>
          <w:tab w:leader="none" w:pos="830"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224" w:lineRule="exact"/>
        <w:rPr>
          <w:rFonts w:ascii="Arial" w:cs="Arial" w:eastAsia="Arial" w:hAnsi="Arial"/>
          <w:sz w:val="18"/>
          <w:szCs w:val="18"/>
          <w:b w:val="1"/>
          <w:bCs w:val="1"/>
          <w:color w:val="auto"/>
        </w:rPr>
      </w:pPr>
    </w:p>
    <w:p>
      <w:pPr>
        <w:ind w:left="10" w:firstLine="430"/>
        <w:spacing w:after="0" w:line="263" w:lineRule="auto"/>
        <w:tabs>
          <w:tab w:leader="none" w:pos="839"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2" w:lineRule="exact"/>
        <w:rPr>
          <w:rFonts w:ascii="Arial" w:cs="Arial" w:eastAsia="Arial" w:hAnsi="Arial"/>
          <w:sz w:val="18"/>
          <w:szCs w:val="18"/>
          <w:b w:val="1"/>
          <w:bCs w:val="1"/>
          <w:color w:val="auto"/>
        </w:rPr>
      </w:pPr>
    </w:p>
    <w:p>
      <w:pPr>
        <w:ind w:left="10" w:right="140" w:firstLine="430"/>
        <w:spacing w:after="0" w:line="259" w:lineRule="auto"/>
        <w:tabs>
          <w:tab w:leader="none" w:pos="826"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if applicable,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85" w:lineRule="exact"/>
        <w:rPr>
          <w:rFonts w:ascii="Arial" w:cs="Arial" w:eastAsia="Arial" w:hAnsi="Arial"/>
          <w:sz w:val="18"/>
          <w:szCs w:val="18"/>
          <w:b w:val="1"/>
          <w:bCs w:val="1"/>
          <w:color w:val="auto"/>
        </w:rPr>
      </w:pPr>
    </w:p>
    <w:p>
      <w:pPr>
        <w:ind w:left="830" w:hanging="390"/>
        <w:spacing w:after="0"/>
        <w:tabs>
          <w:tab w:leader="none" w:pos="830" w:val="left"/>
        </w:tabs>
        <w:numPr>
          <w:ilvl w:val="1"/>
          <w:numId w:val="476"/>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236" w:lineRule="exact"/>
        <w:rPr>
          <w:rFonts w:ascii="Arial" w:cs="Arial" w:eastAsia="Arial" w:hAnsi="Arial"/>
          <w:sz w:val="17"/>
          <w:szCs w:val="17"/>
          <w:b w:val="1"/>
          <w:bCs w:val="1"/>
          <w:color w:val="auto"/>
        </w:rPr>
      </w:pPr>
    </w:p>
    <w:p>
      <w:pPr>
        <w:ind w:left="10" w:firstLine="430"/>
        <w:spacing w:after="0" w:line="277" w:lineRule="auto"/>
        <w:tabs>
          <w:tab w:leader="none" w:pos="829"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69" w:lineRule="exact"/>
        <w:rPr>
          <w:rFonts w:ascii="Arial" w:cs="Arial" w:eastAsia="Arial" w:hAnsi="Arial"/>
          <w:sz w:val="18"/>
          <w:szCs w:val="18"/>
          <w:b w:val="1"/>
          <w:bCs w:val="1"/>
          <w:color w:val="auto"/>
        </w:rPr>
      </w:pPr>
    </w:p>
    <w:p>
      <w:pPr>
        <w:ind w:left="10" w:right="340" w:firstLine="430"/>
        <w:spacing w:after="0" w:line="277" w:lineRule="auto"/>
        <w:tabs>
          <w:tab w:leader="none" w:pos="809" w:val="left"/>
        </w:tabs>
        <w:numPr>
          <w:ilvl w:val="1"/>
          <w:numId w:val="476"/>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or regulations, such provision shall be construed in such a manner as to comply with applicable law or regulations.</w:t>
      </w:r>
    </w:p>
    <w:p>
      <w:pPr>
        <w:spacing w:after="0" w:line="314" w:lineRule="exact"/>
        <w:rPr>
          <w:rFonts w:ascii="Arial" w:cs="Arial" w:eastAsia="Arial" w:hAnsi="Arial"/>
          <w:sz w:val="18"/>
          <w:szCs w:val="18"/>
          <w:b w:val="1"/>
          <w:bCs w:val="1"/>
          <w:color w:val="auto"/>
        </w:rPr>
      </w:pPr>
    </w:p>
    <w:p>
      <w:pPr>
        <w:ind w:left="430" w:hanging="430"/>
        <w:spacing w:after="0"/>
        <w:tabs>
          <w:tab w:leader="none" w:pos="43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5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5" w:lineRule="exact"/>
        <w:rPr>
          <w:sz w:val="20"/>
          <w:szCs w:val="20"/>
          <w:color w:val="auto"/>
        </w:rPr>
      </w:pPr>
    </w:p>
    <w:p>
      <w:pPr>
        <w:ind w:left="830" w:hanging="390"/>
        <w:spacing w:after="0"/>
        <w:tabs>
          <w:tab w:leader="none" w:pos="830" w:val="left"/>
        </w:tabs>
        <w:numPr>
          <w:ilvl w:val="0"/>
          <w:numId w:val="4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4" w:lineRule="exact"/>
        <w:rPr>
          <w:rFonts w:ascii="Arial" w:cs="Arial" w:eastAsia="Arial" w:hAnsi="Arial"/>
          <w:sz w:val="18"/>
          <w:szCs w:val="18"/>
          <w:b w:val="1"/>
          <w:bCs w:val="1"/>
          <w:color w:val="auto"/>
        </w:rPr>
      </w:pPr>
    </w:p>
    <w:p>
      <w:pPr>
        <w:ind w:left="10" w:right="80" w:firstLine="430"/>
        <w:spacing w:after="0" w:line="293" w:lineRule="auto"/>
        <w:tabs>
          <w:tab w:leader="none" w:pos="849" w:val="left"/>
        </w:tabs>
        <w:numPr>
          <w:ilvl w:val="0"/>
          <w:numId w:val="47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6"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70"/>
          </w:cols>
          <w:pgMar w:left="450" w:top="270" w:right="479" w:bottom="1440" w:gutter="0" w:footer="0" w:header="0"/>
        </w:sectPr>
      </w:pPr>
    </w:p>
    <w:bookmarkStart w:id="451" w:name="page452"/>
    <w:bookmarkEnd w:id="451"/>
    <w:p>
      <w:pPr>
        <w:ind w:left="660" w:hanging="370"/>
        <w:spacing w:after="0"/>
        <w:tabs>
          <w:tab w:leader="none" w:pos="660" w:val="left"/>
        </w:tabs>
        <w:numPr>
          <w:ilvl w:val="0"/>
          <w:numId w:val="47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r>
        <w:rPr>
          <w:rFonts w:ascii="Arial" w:cs="Arial" w:eastAsia="Arial" w:hAnsi="Arial"/>
          <w:sz w:val="17"/>
          <w:szCs w:val="17"/>
          <w:i w:val="1"/>
          <w:iCs w:val="1"/>
          <w:color w:val="auto"/>
        </w:rPr>
        <w:t>.</w:t>
      </w:r>
    </w:p>
    <w:p>
      <w:pPr>
        <w:spacing w:after="0" w:line="236" w:lineRule="exact"/>
        <w:rPr>
          <w:rFonts w:ascii="Arial" w:cs="Arial" w:eastAsia="Arial" w:hAnsi="Arial"/>
          <w:sz w:val="17"/>
          <w:szCs w:val="17"/>
          <w:b w:val="1"/>
          <w:bCs w:val="1"/>
          <w:color w:val="auto"/>
        </w:rPr>
      </w:pPr>
    </w:p>
    <w:p>
      <w:pPr>
        <w:ind w:left="-140" w:right="80" w:firstLine="430"/>
        <w:spacing w:after="0" w:line="277" w:lineRule="auto"/>
        <w:tabs>
          <w:tab w:leader="none" w:pos="70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69" w:lineRule="exact"/>
        <w:rPr>
          <w:rFonts w:ascii="Arial" w:cs="Arial" w:eastAsia="Arial" w:hAnsi="Arial"/>
          <w:sz w:val="18"/>
          <w:szCs w:val="18"/>
          <w:b w:val="1"/>
          <w:bCs w:val="1"/>
          <w:color w:val="auto"/>
        </w:rPr>
      </w:pPr>
    </w:p>
    <w:p>
      <w:pPr>
        <w:ind w:left="660" w:hanging="370"/>
        <w:spacing w:after="0"/>
        <w:tabs>
          <w:tab w:leader="none" w:pos="66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as of the IPO Date, the common stock of the Company, having 1 vote per share.</w:t>
      </w:r>
    </w:p>
    <w:p>
      <w:pPr>
        <w:spacing w:after="0" w:line="224" w:lineRule="exact"/>
        <w:rPr>
          <w:rFonts w:ascii="Arial" w:cs="Arial" w:eastAsia="Arial" w:hAnsi="Arial"/>
          <w:sz w:val="18"/>
          <w:szCs w:val="18"/>
          <w:b w:val="1"/>
          <w:bCs w:val="1"/>
          <w:color w:val="auto"/>
        </w:rPr>
      </w:pPr>
    </w:p>
    <w:p>
      <w:pPr>
        <w:ind w:left="640" w:hanging="350"/>
        <w:spacing w:after="0"/>
        <w:tabs>
          <w:tab w:leader="none" w:pos="64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SI-BONE, Inc., a Delaware corporation.</w:t>
      </w:r>
    </w:p>
    <w:p>
      <w:pPr>
        <w:spacing w:after="0" w:line="224" w:lineRule="exact"/>
        <w:rPr>
          <w:rFonts w:ascii="Arial" w:cs="Arial" w:eastAsia="Arial" w:hAnsi="Arial"/>
          <w:sz w:val="18"/>
          <w:szCs w:val="18"/>
          <w:b w:val="1"/>
          <w:bCs w:val="1"/>
          <w:color w:val="auto"/>
        </w:rPr>
      </w:pPr>
    </w:p>
    <w:p>
      <w:pPr>
        <w:ind w:left="-140" w:firstLine="430"/>
        <w:spacing w:after="0" w:line="259" w:lineRule="auto"/>
        <w:tabs>
          <w:tab w:leader="none" w:pos="689"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85" w:lineRule="exact"/>
        <w:rPr>
          <w:rFonts w:ascii="Arial" w:cs="Arial" w:eastAsia="Arial" w:hAnsi="Arial"/>
          <w:sz w:val="18"/>
          <w:szCs w:val="18"/>
          <w:b w:val="1"/>
          <w:bCs w:val="1"/>
          <w:color w:val="auto"/>
        </w:rPr>
      </w:pPr>
    </w:p>
    <w:p>
      <w:pPr>
        <w:ind w:left="-140" w:right="120" w:firstLine="430"/>
        <w:spacing w:after="0" w:line="277" w:lineRule="auto"/>
        <w:tabs>
          <w:tab w:leader="none" w:pos="70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69" w:lineRule="exact"/>
        <w:rPr>
          <w:rFonts w:ascii="Arial" w:cs="Arial" w:eastAsia="Arial" w:hAnsi="Arial"/>
          <w:sz w:val="18"/>
          <w:szCs w:val="18"/>
          <w:b w:val="1"/>
          <w:bCs w:val="1"/>
          <w:color w:val="auto"/>
        </w:rPr>
      </w:pPr>
    </w:p>
    <w:p>
      <w:pPr>
        <w:ind w:left="-140" w:right="40" w:firstLine="871"/>
        <w:spacing w:after="0" w:line="277" w:lineRule="auto"/>
        <w:tabs>
          <w:tab w:leader="none" w:pos="1090" w:val="left"/>
        </w:tabs>
        <w:numPr>
          <w:ilvl w:val="1"/>
          <w:numId w:val="478"/>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69" w:lineRule="exact"/>
        <w:rPr>
          <w:rFonts w:ascii="Arial" w:cs="Arial" w:eastAsia="Arial" w:hAnsi="Arial"/>
          <w:sz w:val="18"/>
          <w:szCs w:val="18"/>
          <w:b w:val="1"/>
          <w:bCs w:val="1"/>
          <w:color w:val="auto"/>
        </w:rPr>
      </w:pPr>
    </w:p>
    <w:p>
      <w:pPr>
        <w:ind w:left="1140" w:hanging="409"/>
        <w:spacing w:after="0"/>
        <w:tabs>
          <w:tab w:leader="none" w:pos="1140" w:val="left"/>
        </w:tabs>
        <w:numPr>
          <w:ilvl w:val="1"/>
          <w:numId w:val="478"/>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4" w:lineRule="exact"/>
        <w:rPr>
          <w:rFonts w:ascii="Arial" w:cs="Arial" w:eastAsia="Arial" w:hAnsi="Arial"/>
          <w:sz w:val="18"/>
          <w:szCs w:val="18"/>
          <w:b w:val="1"/>
          <w:bCs w:val="1"/>
          <w:color w:val="auto"/>
        </w:rPr>
      </w:pPr>
    </w:p>
    <w:p>
      <w:pPr>
        <w:ind w:left="1180" w:hanging="449"/>
        <w:spacing w:after="0"/>
        <w:tabs>
          <w:tab w:leader="none" w:pos="1180" w:val="left"/>
        </w:tabs>
        <w:numPr>
          <w:ilvl w:val="1"/>
          <w:numId w:val="478"/>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4" w:lineRule="exact"/>
        <w:rPr>
          <w:rFonts w:ascii="Arial" w:cs="Arial" w:eastAsia="Arial" w:hAnsi="Arial"/>
          <w:sz w:val="18"/>
          <w:szCs w:val="18"/>
          <w:b w:val="1"/>
          <w:bCs w:val="1"/>
          <w:color w:val="auto"/>
        </w:rPr>
      </w:pPr>
    </w:p>
    <w:p>
      <w:pPr>
        <w:ind w:left="-140" w:right="60" w:firstLine="871"/>
        <w:spacing w:after="0" w:line="263" w:lineRule="auto"/>
        <w:tabs>
          <w:tab w:leader="none" w:pos="1180" w:val="left"/>
        </w:tabs>
        <w:numPr>
          <w:ilvl w:val="1"/>
          <w:numId w:val="478"/>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2" w:lineRule="exact"/>
        <w:rPr>
          <w:rFonts w:ascii="Arial" w:cs="Arial" w:eastAsia="Arial" w:hAnsi="Arial"/>
          <w:sz w:val="18"/>
          <w:szCs w:val="18"/>
          <w:b w:val="1"/>
          <w:bCs w:val="1"/>
          <w:color w:val="auto"/>
        </w:rPr>
      </w:pPr>
    </w:p>
    <w:p>
      <w:pPr>
        <w:ind w:left="640" w:hanging="350"/>
        <w:spacing w:after="0"/>
        <w:tabs>
          <w:tab w:leader="none" w:pos="64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4" w:lineRule="exact"/>
        <w:rPr>
          <w:rFonts w:ascii="Arial" w:cs="Arial" w:eastAsia="Arial" w:hAnsi="Arial"/>
          <w:sz w:val="18"/>
          <w:szCs w:val="18"/>
          <w:b w:val="1"/>
          <w:bCs w:val="1"/>
          <w:color w:val="auto"/>
        </w:rPr>
      </w:pPr>
    </w:p>
    <w:p>
      <w:pPr>
        <w:ind w:left="640" w:hanging="350"/>
        <w:spacing w:after="0"/>
        <w:tabs>
          <w:tab w:leader="none" w:pos="64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as set forth in Section 13.</w:t>
      </w:r>
    </w:p>
    <w:p>
      <w:pPr>
        <w:spacing w:after="0" w:line="224" w:lineRule="exact"/>
        <w:rPr>
          <w:rFonts w:ascii="Arial" w:cs="Arial" w:eastAsia="Arial" w:hAnsi="Arial"/>
          <w:sz w:val="18"/>
          <w:szCs w:val="18"/>
          <w:b w:val="1"/>
          <w:bCs w:val="1"/>
          <w:color w:val="auto"/>
        </w:rPr>
      </w:pPr>
    </w:p>
    <w:p>
      <w:pPr>
        <w:ind w:left="-140" w:right="20" w:firstLine="430"/>
        <w:spacing w:after="0" w:line="307" w:lineRule="auto"/>
        <w:tabs>
          <w:tab w:leader="none" w:pos="700" w:val="left"/>
        </w:tabs>
        <w:numPr>
          <w:ilvl w:val="0"/>
          <w:numId w:val="47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47" w:lineRule="exact"/>
        <w:rPr>
          <w:rFonts w:ascii="Arial" w:cs="Arial" w:eastAsia="Arial" w:hAnsi="Arial"/>
          <w:sz w:val="17"/>
          <w:szCs w:val="17"/>
          <w:b w:val="1"/>
          <w:bCs w:val="1"/>
          <w:color w:val="auto"/>
        </w:rPr>
      </w:pPr>
    </w:p>
    <w:p>
      <w:pPr>
        <w:ind w:left="-140" w:right="160" w:firstLine="430"/>
        <w:spacing w:after="0" w:line="263" w:lineRule="auto"/>
        <w:tabs>
          <w:tab w:leader="none" w:pos="650" w:val="left"/>
        </w:tabs>
        <w:numPr>
          <w:ilvl w:val="0"/>
          <w:numId w:val="4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00"/>
          </w:cols>
          <w:pgMar w:left="600" w:top="273" w:right="599" w:bottom="1440" w:gutter="0" w:footer="0" w:header="0"/>
        </w:sectPr>
      </w:pPr>
    </w:p>
    <w:bookmarkStart w:id="452" w:name="page453"/>
    <w:bookmarkEnd w:id="452"/>
    <w:p>
      <w:pPr>
        <w:ind w:left="-60" w:right="520" w:firstLine="430"/>
        <w:spacing w:after="0" w:line="277" w:lineRule="auto"/>
        <w:tabs>
          <w:tab w:leader="none" w:pos="829"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69" w:lineRule="exact"/>
        <w:rPr>
          <w:rFonts w:ascii="Arial" w:cs="Arial" w:eastAsia="Arial" w:hAnsi="Arial"/>
          <w:sz w:val="18"/>
          <w:szCs w:val="18"/>
          <w:b w:val="1"/>
          <w:bCs w:val="1"/>
          <w:color w:val="auto"/>
        </w:rPr>
      </w:pPr>
    </w:p>
    <w:p>
      <w:pPr>
        <w:ind w:left="760" w:hanging="390"/>
        <w:spacing w:after="0"/>
        <w:tabs>
          <w:tab w:leader="none" w:pos="760" w:val="left"/>
        </w:tabs>
        <w:numPr>
          <w:ilvl w:val="0"/>
          <w:numId w:val="47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760" w:hanging="390"/>
        <w:spacing w:after="0"/>
        <w:tabs>
          <w:tab w:leader="none" w:pos="76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4" w:lineRule="exact"/>
        <w:rPr>
          <w:rFonts w:ascii="Arial" w:cs="Arial" w:eastAsia="Arial" w:hAnsi="Arial"/>
          <w:sz w:val="18"/>
          <w:szCs w:val="18"/>
          <w:b w:val="1"/>
          <w:bCs w:val="1"/>
          <w:color w:val="auto"/>
        </w:rPr>
      </w:pPr>
    </w:p>
    <w:p>
      <w:pPr>
        <w:ind w:left="-60" w:right="20" w:firstLine="871"/>
        <w:spacing w:after="0" w:line="256" w:lineRule="auto"/>
        <w:tabs>
          <w:tab w:leader="none" w:pos="1170"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91" w:lineRule="exact"/>
        <w:rPr>
          <w:rFonts w:ascii="Arial" w:cs="Arial" w:eastAsia="Arial" w:hAnsi="Arial"/>
          <w:sz w:val="18"/>
          <w:szCs w:val="18"/>
          <w:b w:val="1"/>
          <w:bCs w:val="1"/>
          <w:color w:val="auto"/>
        </w:rPr>
      </w:pPr>
    </w:p>
    <w:p>
      <w:pPr>
        <w:ind w:left="-60" w:right="580" w:firstLine="871"/>
        <w:spacing w:after="0" w:line="277" w:lineRule="auto"/>
        <w:tabs>
          <w:tab w:leader="none" w:pos="1220"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69" w:lineRule="exact"/>
        <w:rPr>
          <w:rFonts w:ascii="Arial" w:cs="Arial" w:eastAsia="Arial" w:hAnsi="Arial"/>
          <w:sz w:val="18"/>
          <w:szCs w:val="18"/>
          <w:b w:val="1"/>
          <w:bCs w:val="1"/>
          <w:color w:val="auto"/>
        </w:rPr>
      </w:pPr>
    </w:p>
    <w:p>
      <w:pPr>
        <w:ind w:left="-60" w:right="80" w:firstLine="871"/>
        <w:spacing w:after="0" w:line="263" w:lineRule="auto"/>
        <w:tabs>
          <w:tab w:leader="none" w:pos="1270"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2" w:lineRule="exact"/>
        <w:rPr>
          <w:rFonts w:ascii="Arial" w:cs="Arial" w:eastAsia="Arial" w:hAnsi="Arial"/>
          <w:sz w:val="18"/>
          <w:szCs w:val="18"/>
          <w:b w:val="1"/>
          <w:bCs w:val="1"/>
          <w:color w:val="auto"/>
        </w:rPr>
      </w:pPr>
    </w:p>
    <w:p>
      <w:pPr>
        <w:ind w:left="-60" w:right="120" w:firstLine="430"/>
        <w:spacing w:after="0" w:line="277" w:lineRule="auto"/>
        <w:tabs>
          <w:tab w:leader="none" w:pos="78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69" w:lineRule="exact"/>
        <w:rPr>
          <w:rFonts w:ascii="Arial" w:cs="Arial" w:eastAsia="Arial" w:hAnsi="Arial"/>
          <w:sz w:val="18"/>
          <w:szCs w:val="18"/>
          <w:b w:val="1"/>
          <w:bCs w:val="1"/>
          <w:color w:val="auto"/>
        </w:rPr>
      </w:pPr>
    </w:p>
    <w:p>
      <w:pPr>
        <w:ind w:left="-60" w:firstLine="430"/>
        <w:spacing w:after="0" w:line="263" w:lineRule="auto"/>
        <w:tabs>
          <w:tab w:leader="none" w:pos="78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2" w:lineRule="exact"/>
        <w:rPr>
          <w:rFonts w:ascii="Arial" w:cs="Arial" w:eastAsia="Arial" w:hAnsi="Arial"/>
          <w:sz w:val="18"/>
          <w:szCs w:val="18"/>
          <w:b w:val="1"/>
          <w:bCs w:val="1"/>
          <w:color w:val="auto"/>
        </w:rPr>
      </w:pPr>
    </w:p>
    <w:p>
      <w:pPr>
        <w:ind w:left="740" w:hanging="370"/>
        <w:spacing w:after="0"/>
        <w:tabs>
          <w:tab w:leader="none" w:pos="74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4" w:lineRule="exact"/>
        <w:rPr>
          <w:rFonts w:ascii="Arial" w:cs="Arial" w:eastAsia="Arial" w:hAnsi="Arial"/>
          <w:sz w:val="18"/>
          <w:szCs w:val="18"/>
          <w:b w:val="1"/>
          <w:bCs w:val="1"/>
          <w:color w:val="auto"/>
        </w:rPr>
      </w:pPr>
    </w:p>
    <w:p>
      <w:pPr>
        <w:ind w:left="740" w:hanging="370"/>
        <w:spacing w:after="0"/>
        <w:tabs>
          <w:tab w:leader="none" w:pos="740" w:val="left"/>
        </w:tabs>
        <w:numPr>
          <w:ilvl w:val="0"/>
          <w:numId w:val="47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7" w:lineRule="exact"/>
        <w:rPr>
          <w:rFonts w:ascii="Arial" w:cs="Arial" w:eastAsia="Arial" w:hAnsi="Arial"/>
          <w:sz w:val="16"/>
          <w:szCs w:val="16"/>
          <w:b w:val="1"/>
          <w:bCs w:val="1"/>
          <w:color w:val="auto"/>
        </w:rPr>
      </w:pPr>
    </w:p>
    <w:p>
      <w:pPr>
        <w:ind w:left="720" w:hanging="350"/>
        <w:spacing w:after="0"/>
        <w:tabs>
          <w:tab w:leader="none" w:pos="72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4" w:lineRule="exact"/>
        <w:rPr>
          <w:rFonts w:ascii="Arial" w:cs="Arial" w:eastAsia="Arial" w:hAnsi="Arial"/>
          <w:sz w:val="18"/>
          <w:szCs w:val="18"/>
          <w:b w:val="1"/>
          <w:bCs w:val="1"/>
          <w:color w:val="auto"/>
        </w:rPr>
      </w:pPr>
    </w:p>
    <w:p>
      <w:pPr>
        <w:ind w:left="760" w:hanging="390"/>
        <w:spacing w:after="0"/>
        <w:tabs>
          <w:tab w:leader="none" w:pos="760" w:val="left"/>
        </w:tabs>
        <w:numPr>
          <w:ilvl w:val="0"/>
          <w:numId w:val="4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SI-BONE, Inc. 2018 Employee Stock Purchase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20" w:top="274" w:right="519" w:bottom="1440" w:gutter="0" w:footer="0" w:header="0"/>
        </w:sectPr>
      </w:pPr>
    </w:p>
    <w:bookmarkStart w:id="453" w:name="page454"/>
    <w:bookmarkEnd w:id="453"/>
    <w:p>
      <w:pPr>
        <w:ind w:right="400" w:firstLine="430"/>
        <w:spacing w:after="0" w:line="277" w:lineRule="auto"/>
        <w:tabs>
          <w:tab w:leader="none" w:pos="829" w:val="left"/>
        </w:tabs>
        <w:numPr>
          <w:ilvl w:val="0"/>
          <w:numId w:val="4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69" w:lineRule="exact"/>
        <w:rPr>
          <w:rFonts w:ascii="Arial" w:cs="Arial" w:eastAsia="Arial" w:hAnsi="Arial"/>
          <w:sz w:val="18"/>
          <w:szCs w:val="18"/>
          <w:b w:val="1"/>
          <w:bCs w:val="1"/>
          <w:color w:val="auto"/>
        </w:rPr>
      </w:pPr>
    </w:p>
    <w:p>
      <w:pPr>
        <w:ind w:right="300" w:firstLine="430"/>
        <w:spacing w:after="0" w:line="307" w:lineRule="auto"/>
        <w:tabs>
          <w:tab w:leader="none" w:pos="870" w:val="left"/>
        </w:tabs>
        <w:numPr>
          <w:ilvl w:val="0"/>
          <w:numId w:val="48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47" w:lineRule="exact"/>
        <w:rPr>
          <w:rFonts w:ascii="Arial" w:cs="Arial" w:eastAsia="Arial" w:hAnsi="Arial"/>
          <w:sz w:val="17"/>
          <w:szCs w:val="17"/>
          <w:b w:val="1"/>
          <w:bCs w:val="1"/>
          <w:color w:val="auto"/>
        </w:rPr>
      </w:pPr>
    </w:p>
    <w:p>
      <w:pPr>
        <w:ind w:left="820" w:hanging="390"/>
        <w:spacing w:after="0"/>
        <w:tabs>
          <w:tab w:leader="none" w:pos="820" w:val="left"/>
        </w:tabs>
        <w:numPr>
          <w:ilvl w:val="0"/>
          <w:numId w:val="4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4" w:lineRule="exact"/>
        <w:rPr>
          <w:rFonts w:ascii="Arial" w:cs="Arial" w:eastAsia="Arial" w:hAnsi="Arial"/>
          <w:sz w:val="18"/>
          <w:szCs w:val="18"/>
          <w:b w:val="1"/>
          <w:bCs w:val="1"/>
          <w:color w:val="auto"/>
        </w:rPr>
      </w:pPr>
    </w:p>
    <w:p>
      <w:pPr>
        <w:ind w:right="800" w:firstLine="430"/>
        <w:spacing w:after="0" w:line="277" w:lineRule="auto"/>
        <w:tabs>
          <w:tab w:leader="none" w:pos="829" w:val="left"/>
        </w:tabs>
        <w:numPr>
          <w:ilvl w:val="0"/>
          <w:numId w:val="4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69" w:lineRule="exact"/>
        <w:rPr>
          <w:rFonts w:ascii="Arial" w:cs="Arial" w:eastAsia="Arial" w:hAnsi="Arial"/>
          <w:sz w:val="18"/>
          <w:szCs w:val="18"/>
          <w:b w:val="1"/>
          <w:bCs w:val="1"/>
          <w:color w:val="auto"/>
        </w:rPr>
      </w:pPr>
    </w:p>
    <w:p>
      <w:pPr>
        <w:ind w:left="800" w:hanging="370"/>
        <w:spacing w:after="0"/>
        <w:tabs>
          <w:tab w:leader="none" w:pos="800" w:val="left"/>
        </w:tabs>
        <w:numPr>
          <w:ilvl w:val="0"/>
          <w:numId w:val="48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430"/>
        <w:spacing w:after="0" w:line="341" w:lineRule="auto"/>
        <w:tabs>
          <w:tab w:leader="none" w:pos="919" w:val="left"/>
        </w:tabs>
        <w:numPr>
          <w:ilvl w:val="0"/>
          <w:numId w:val="4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2, 2016</w:t>
      </w:r>
    </w:p>
    <w:p>
      <w:pPr>
        <w:sectPr>
          <w:pgSz w:w="11900" w:h="16838" w:orient="portrait"/>
          <w:cols w:equalWidth="0" w:num="1">
            <w:col w:w="10020"/>
          </w:cols>
          <w:pgMar w:left="1440" w:top="122" w:right="43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6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377"/>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20" w:type="dxa"/>
            <w:vAlign w:val="bottom"/>
          </w:tcPr>
          <w:p>
            <w:pPr>
              <w:jc w:val="right"/>
              <w:ind w:right="116"/>
              <w:spacing w:after="0"/>
              <w:rPr>
                <w:sz w:val="20"/>
                <w:szCs w:val="20"/>
                <w:color w:val="auto"/>
              </w:rPr>
            </w:pPr>
            <w:r>
              <w:rPr>
                <w:rFonts w:ascii="Arial" w:cs="Arial" w:eastAsia="Arial" w:hAnsi="Arial"/>
                <w:sz w:val="17"/>
                <w:szCs w:val="17"/>
                <w:color w:val="auto"/>
                <w:w w:val="70"/>
              </w:rPr>
              <w:t>1.</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56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560" w:type="dxa"/>
            <w:vAlign w:val="bottom"/>
          </w:tcPr>
          <w:p>
            <w:pPr>
              <w:ind w:left="160"/>
              <w:spacing w:after="0"/>
              <w:rPr>
                <w:sz w:val="20"/>
                <w:szCs w:val="20"/>
                <w:color w:val="auto"/>
              </w:rPr>
            </w:pPr>
            <w:r>
              <w:rPr>
                <w:rFonts w:ascii="Arial" w:cs="Arial" w:eastAsia="Arial" w:hAnsi="Arial"/>
                <w:sz w:val="18"/>
                <w:szCs w:val="18"/>
                <w:color w:val="auto"/>
              </w:rPr>
              <w:t>Request for Registration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560" w:type="dxa"/>
            <w:vAlign w:val="bottom"/>
          </w:tcPr>
          <w:p>
            <w:pPr>
              <w:ind w:left="160"/>
              <w:spacing w:after="0"/>
              <w:rPr>
                <w:sz w:val="20"/>
                <w:szCs w:val="20"/>
                <w:color w:val="auto"/>
              </w:rPr>
            </w:pPr>
            <w:r>
              <w:rPr>
                <w:rFonts w:ascii="Arial" w:cs="Arial" w:eastAsia="Arial" w:hAnsi="Arial"/>
                <w:sz w:val="18"/>
                <w:szCs w:val="18"/>
                <w:color w:val="auto"/>
              </w:rPr>
              <w:t>Company Registration</w:t>
            </w:r>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560" w:type="dxa"/>
            <w:vAlign w:val="bottom"/>
          </w:tcPr>
          <w:p>
            <w:pPr>
              <w:ind w:left="160"/>
              <w:spacing w:after="0"/>
              <w:rPr>
                <w:sz w:val="20"/>
                <w:szCs w:val="20"/>
                <w:color w:val="auto"/>
              </w:rPr>
            </w:pPr>
            <w:r>
              <w:rPr>
                <w:rFonts w:ascii="Arial" w:cs="Arial" w:eastAsia="Arial" w:hAnsi="Arial"/>
                <w:sz w:val="18"/>
                <w:szCs w:val="18"/>
                <w:color w:val="auto"/>
              </w:rPr>
              <w:t>Form S-3 Registration</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560" w:type="dxa"/>
            <w:vAlign w:val="bottom"/>
          </w:tcPr>
          <w:p>
            <w:pPr>
              <w:ind w:left="160"/>
              <w:spacing w:after="0"/>
              <w:rPr>
                <w:sz w:val="20"/>
                <w:szCs w:val="20"/>
                <w:color w:val="auto"/>
              </w:rPr>
            </w:pPr>
            <w:r>
              <w:rPr>
                <w:rFonts w:ascii="Arial" w:cs="Arial" w:eastAsia="Arial" w:hAnsi="Arial"/>
                <w:sz w:val="18"/>
                <w:szCs w:val="18"/>
                <w:color w:val="auto"/>
              </w:rPr>
              <w:t>Obligations of the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560" w:type="dxa"/>
            <w:vAlign w:val="bottom"/>
          </w:tcPr>
          <w:p>
            <w:pPr>
              <w:ind w:left="160"/>
              <w:spacing w:after="0"/>
              <w:rPr>
                <w:sz w:val="20"/>
                <w:szCs w:val="20"/>
                <w:color w:val="auto"/>
              </w:rPr>
            </w:pPr>
            <w:r>
              <w:rPr>
                <w:rFonts w:ascii="Arial" w:cs="Arial" w:eastAsia="Arial" w:hAnsi="Arial"/>
                <w:sz w:val="18"/>
                <w:szCs w:val="18"/>
                <w:color w:val="auto"/>
              </w:rPr>
              <w:t>Information from Holder</w:t>
            </w:r>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 of Registration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560" w:type="dxa"/>
            <w:vAlign w:val="bottom"/>
          </w:tcPr>
          <w:p>
            <w:pPr>
              <w:ind w:left="160"/>
              <w:spacing w:after="0"/>
              <w:rPr>
                <w:sz w:val="20"/>
                <w:szCs w:val="20"/>
                <w:color w:val="auto"/>
              </w:rPr>
            </w:pPr>
            <w:r>
              <w:rPr>
                <w:rFonts w:ascii="Arial" w:cs="Arial" w:eastAsia="Arial" w:hAnsi="Arial"/>
                <w:sz w:val="18"/>
                <w:szCs w:val="18"/>
                <w:color w:val="auto"/>
              </w:rPr>
              <w:t>Delay of Registration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56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560" w:type="dxa"/>
            <w:vAlign w:val="bottom"/>
          </w:tcPr>
          <w:p>
            <w:pPr>
              <w:ind w:left="160"/>
              <w:spacing w:after="0"/>
              <w:rPr>
                <w:sz w:val="20"/>
                <w:szCs w:val="20"/>
                <w:color w:val="auto"/>
              </w:rPr>
            </w:pPr>
            <w:r>
              <w:rPr>
                <w:rFonts w:ascii="Arial" w:cs="Arial" w:eastAsia="Arial" w:hAnsi="Arial"/>
                <w:sz w:val="18"/>
                <w:szCs w:val="18"/>
                <w:color w:val="auto"/>
              </w:rPr>
              <w:t>Reports Under the 1934 Act</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560" w:type="dxa"/>
            <w:vAlign w:val="bottom"/>
          </w:tcPr>
          <w:p>
            <w:pPr>
              <w:ind w:left="160"/>
              <w:spacing w:after="0"/>
              <w:rPr>
                <w:sz w:val="20"/>
                <w:szCs w:val="20"/>
                <w:color w:val="auto"/>
              </w:rPr>
            </w:pPr>
            <w:r>
              <w:rPr>
                <w:rFonts w:ascii="Arial" w:cs="Arial" w:eastAsia="Arial" w:hAnsi="Arial"/>
                <w:sz w:val="18"/>
                <w:szCs w:val="18"/>
                <w:color w:val="auto"/>
              </w:rPr>
              <w:t>Assignment of Registration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1.12</w:t>
            </w:r>
          </w:p>
        </w:tc>
        <w:tc>
          <w:tcPr>
            <w:tcW w:w="7560" w:type="dxa"/>
            <w:vAlign w:val="bottom"/>
          </w:tcPr>
          <w:p>
            <w:pPr>
              <w:ind w:left="160"/>
              <w:spacing w:after="0"/>
              <w:rPr>
                <w:sz w:val="20"/>
                <w:szCs w:val="20"/>
                <w:color w:val="auto"/>
              </w:rPr>
            </w:pPr>
            <w:r>
              <w:rPr>
                <w:rFonts w:ascii="Arial" w:cs="Arial" w:eastAsia="Arial" w:hAnsi="Arial"/>
                <w:sz w:val="18"/>
                <w:szCs w:val="18"/>
                <w:color w:val="auto"/>
              </w:rPr>
              <w:t>Limitations on Subsequent Registration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1.13</w:t>
            </w:r>
          </w:p>
        </w:tc>
        <w:tc>
          <w:tcPr>
            <w:tcW w:w="7560" w:type="dxa"/>
            <w:vAlign w:val="bottom"/>
          </w:tcPr>
          <w:p>
            <w:pPr>
              <w:ind w:left="160"/>
              <w:spacing w:after="0"/>
              <w:rPr>
                <w:sz w:val="20"/>
                <w:szCs w:val="20"/>
                <w:color w:val="auto"/>
              </w:rPr>
            </w:pPr>
            <w:r>
              <w:rPr>
                <w:rFonts w:ascii="Arial" w:cs="Arial" w:eastAsia="Arial" w:hAnsi="Arial"/>
                <w:sz w:val="18"/>
                <w:szCs w:val="18"/>
                <w:color w:val="auto"/>
              </w:rPr>
              <w:t>“Market Stand-Off”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2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1.14</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Registration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9"/>
        </w:trPr>
        <w:tc>
          <w:tcPr>
            <w:tcW w:w="320" w:type="dxa"/>
            <w:vAlign w:val="bottom"/>
          </w:tcPr>
          <w:p>
            <w:pPr>
              <w:jc w:val="right"/>
              <w:ind w:right="116"/>
              <w:spacing w:after="0"/>
              <w:rPr>
                <w:sz w:val="20"/>
                <w:szCs w:val="20"/>
                <w:color w:val="auto"/>
              </w:rPr>
            </w:pPr>
            <w:r>
              <w:rPr>
                <w:rFonts w:ascii="Arial" w:cs="Arial" w:eastAsia="Arial" w:hAnsi="Arial"/>
                <w:sz w:val="17"/>
                <w:szCs w:val="17"/>
                <w:color w:val="auto"/>
                <w:w w:val="70"/>
              </w:rPr>
              <w:t>2.</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COVENANTS OF THE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560" w:type="dxa"/>
            <w:vAlign w:val="bottom"/>
          </w:tcPr>
          <w:p>
            <w:pPr>
              <w:ind w:left="160"/>
              <w:spacing w:after="0"/>
              <w:rPr>
                <w:sz w:val="20"/>
                <w:szCs w:val="20"/>
                <w:color w:val="auto"/>
              </w:rPr>
            </w:pPr>
            <w:r>
              <w:rPr>
                <w:rFonts w:ascii="Arial" w:cs="Arial" w:eastAsia="Arial" w:hAnsi="Arial"/>
                <w:sz w:val="18"/>
                <w:szCs w:val="18"/>
                <w:color w:val="auto"/>
              </w:rPr>
              <w:t>Delivery of 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560" w:type="dxa"/>
            <w:vAlign w:val="bottom"/>
          </w:tcPr>
          <w:p>
            <w:pPr>
              <w:ind w:left="160"/>
              <w:spacing w:after="0"/>
              <w:rPr>
                <w:sz w:val="20"/>
                <w:szCs w:val="20"/>
                <w:color w:val="auto"/>
              </w:rPr>
            </w:pPr>
            <w:r>
              <w:rPr>
                <w:rFonts w:ascii="Arial" w:cs="Arial" w:eastAsia="Arial" w:hAnsi="Arial"/>
                <w:sz w:val="18"/>
                <w:szCs w:val="18"/>
                <w:color w:val="auto"/>
              </w:rPr>
              <w:t>Inspection</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Information and Inspection Covenants</w:t>
            </w:r>
          </w:p>
        </w:tc>
        <w:tc>
          <w:tcPr>
            <w:tcW w:w="2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560" w:type="dxa"/>
            <w:vAlign w:val="bottom"/>
          </w:tcPr>
          <w:p>
            <w:pPr>
              <w:ind w:left="160"/>
              <w:spacing w:after="0"/>
              <w:rPr>
                <w:sz w:val="20"/>
                <w:szCs w:val="20"/>
                <w:color w:val="auto"/>
              </w:rPr>
            </w:pPr>
            <w:r>
              <w:rPr>
                <w:rFonts w:ascii="Arial" w:cs="Arial" w:eastAsia="Arial" w:hAnsi="Arial"/>
                <w:sz w:val="18"/>
                <w:szCs w:val="18"/>
                <w:color w:val="auto"/>
              </w:rPr>
              <w:t>Right of First Offer</w:t>
            </w:r>
          </w:p>
        </w:tc>
        <w:tc>
          <w:tcPr>
            <w:tcW w:w="2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560" w:type="dxa"/>
            <w:vAlign w:val="bottom"/>
          </w:tcPr>
          <w:p>
            <w:pPr>
              <w:ind w:left="160"/>
              <w:spacing w:after="0"/>
              <w:rPr>
                <w:sz w:val="20"/>
                <w:szCs w:val="20"/>
                <w:color w:val="auto"/>
              </w:rPr>
            </w:pPr>
            <w:r>
              <w:rPr>
                <w:rFonts w:ascii="Arial" w:cs="Arial" w:eastAsia="Arial" w:hAnsi="Arial"/>
                <w:sz w:val="18"/>
                <w:szCs w:val="18"/>
                <w:color w:val="auto"/>
              </w:rPr>
              <w:t>D&amp;O Insurance</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560" w:type="dxa"/>
            <w:vAlign w:val="bottom"/>
          </w:tcPr>
          <w:p>
            <w:pPr>
              <w:ind w:left="160"/>
              <w:spacing w:after="0"/>
              <w:rPr>
                <w:sz w:val="20"/>
                <w:szCs w:val="20"/>
                <w:color w:val="auto"/>
              </w:rPr>
            </w:pPr>
            <w:r>
              <w:rPr>
                <w:rFonts w:ascii="Arial" w:cs="Arial" w:eastAsia="Arial" w:hAnsi="Arial"/>
                <w:sz w:val="18"/>
                <w:szCs w:val="18"/>
                <w:color w:val="auto"/>
              </w:rPr>
              <w:t>Proprietary Information and Inventions Agreements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560" w:type="dxa"/>
            <w:vAlign w:val="bottom"/>
          </w:tcPr>
          <w:p>
            <w:pPr>
              <w:ind w:left="160"/>
              <w:spacing w:after="0"/>
              <w:rPr>
                <w:sz w:val="20"/>
                <w:szCs w:val="20"/>
                <w:color w:val="auto"/>
              </w:rPr>
            </w:pPr>
            <w:r>
              <w:rPr>
                <w:rFonts w:ascii="Arial" w:cs="Arial" w:eastAsia="Arial" w:hAnsi="Arial"/>
                <w:sz w:val="18"/>
                <w:szCs w:val="18"/>
                <w:color w:val="auto"/>
              </w:rPr>
              <w:t>Employee Agreements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560" w:type="dxa"/>
            <w:vAlign w:val="bottom"/>
          </w:tcPr>
          <w:p>
            <w:pPr>
              <w:ind w:left="160"/>
              <w:spacing w:after="0"/>
              <w:rPr>
                <w:sz w:val="20"/>
                <w:szCs w:val="20"/>
                <w:color w:val="auto"/>
              </w:rPr>
            </w:pPr>
            <w:r>
              <w:rPr>
                <w:rFonts w:ascii="Arial" w:cs="Arial" w:eastAsia="Arial" w:hAnsi="Arial"/>
                <w:sz w:val="18"/>
                <w:szCs w:val="18"/>
                <w:color w:val="auto"/>
              </w:rPr>
              <w:t>Preservation of Qualified Small Business Stock Status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560" w:type="dxa"/>
            <w:vAlign w:val="bottom"/>
          </w:tcPr>
          <w:p>
            <w:pPr>
              <w:ind w:left="160"/>
              <w:spacing w:after="0"/>
              <w:rPr>
                <w:sz w:val="20"/>
                <w:szCs w:val="20"/>
                <w:color w:val="auto"/>
              </w:rPr>
            </w:pPr>
            <w:r>
              <w:rPr>
                <w:rFonts w:ascii="Arial" w:cs="Arial" w:eastAsia="Arial" w:hAnsi="Arial"/>
                <w:sz w:val="18"/>
                <w:szCs w:val="18"/>
                <w:color w:val="auto"/>
              </w:rPr>
              <w:t>Board Expenses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560" w:type="dxa"/>
            <w:vAlign w:val="bottom"/>
          </w:tcPr>
          <w:p>
            <w:pPr>
              <w:ind w:left="160"/>
              <w:spacing w:after="0"/>
              <w:rPr>
                <w:sz w:val="20"/>
                <w:szCs w:val="20"/>
                <w:color w:val="auto"/>
              </w:rPr>
            </w:pPr>
            <w:r>
              <w:rPr>
                <w:rFonts w:ascii="Arial" w:cs="Arial" w:eastAsia="Arial" w:hAnsi="Arial"/>
                <w:sz w:val="18"/>
                <w:szCs w:val="18"/>
                <w:color w:val="auto"/>
              </w:rPr>
              <w:t>Board Committees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2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Certain Covenants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9"/>
        </w:trPr>
        <w:tc>
          <w:tcPr>
            <w:tcW w:w="320" w:type="dxa"/>
            <w:vAlign w:val="bottom"/>
          </w:tcPr>
          <w:p>
            <w:pPr>
              <w:jc w:val="right"/>
              <w:ind w:right="116"/>
              <w:spacing w:after="0"/>
              <w:rPr>
                <w:sz w:val="20"/>
                <w:szCs w:val="20"/>
                <w:color w:val="auto"/>
              </w:rPr>
            </w:pPr>
            <w:r>
              <w:rPr>
                <w:rFonts w:ascii="Arial" w:cs="Arial" w:eastAsia="Arial" w:hAnsi="Arial"/>
                <w:sz w:val="17"/>
                <w:szCs w:val="17"/>
                <w:color w:val="auto"/>
                <w:w w:val="70"/>
              </w:rPr>
              <w:t>3.</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5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5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5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56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5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5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3.7</w:t>
            </w:r>
          </w:p>
        </w:tc>
        <w:tc>
          <w:tcPr>
            <w:tcW w:w="7560" w:type="dxa"/>
            <w:vAlign w:val="bottom"/>
          </w:tcPr>
          <w:p>
            <w:pPr>
              <w:ind w:left="160"/>
              <w:spacing w:after="0"/>
              <w:rPr>
                <w:sz w:val="20"/>
                <w:szCs w:val="20"/>
                <w:color w:val="auto"/>
              </w:rPr>
            </w:pPr>
            <w:r>
              <w:rPr>
                <w:rFonts w:ascii="Arial" w:cs="Arial" w:eastAsia="Arial" w:hAnsi="Arial"/>
                <w:sz w:val="18"/>
                <w:szCs w:val="18"/>
                <w:color w:val="auto"/>
              </w:rPr>
              <w:t>Entire Agreement; Amendments and Waivers</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3.8</w:t>
            </w:r>
          </w:p>
        </w:tc>
        <w:tc>
          <w:tcPr>
            <w:tcW w:w="75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3.9</w:t>
            </w:r>
          </w:p>
        </w:tc>
        <w:tc>
          <w:tcPr>
            <w:tcW w:w="7560" w:type="dxa"/>
            <w:vAlign w:val="bottom"/>
          </w:tcPr>
          <w:p>
            <w:pPr>
              <w:ind w:left="160"/>
              <w:spacing w:after="0"/>
              <w:rPr>
                <w:sz w:val="20"/>
                <w:szCs w:val="20"/>
                <w:color w:val="auto"/>
              </w:rPr>
            </w:pPr>
            <w:r>
              <w:rPr>
                <w:rFonts w:ascii="Arial" w:cs="Arial" w:eastAsia="Arial" w:hAnsi="Arial"/>
                <w:sz w:val="18"/>
                <w:szCs w:val="18"/>
                <w:color w:val="auto"/>
              </w:rPr>
              <w:t>Aggregation of Stock</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3.10</w:t>
            </w:r>
          </w:p>
        </w:tc>
        <w:tc>
          <w:tcPr>
            <w:tcW w:w="7560" w:type="dxa"/>
            <w:vAlign w:val="bottom"/>
          </w:tcPr>
          <w:p>
            <w:pPr>
              <w:ind w:left="160"/>
              <w:spacing w:after="0"/>
              <w:rPr>
                <w:sz w:val="20"/>
                <w:szCs w:val="20"/>
                <w:color w:val="auto"/>
              </w:rPr>
            </w:pPr>
            <w:r>
              <w:rPr>
                <w:rFonts w:ascii="Arial" w:cs="Arial" w:eastAsia="Arial" w:hAnsi="Arial"/>
                <w:sz w:val="18"/>
                <w:szCs w:val="18"/>
                <w:color w:val="auto"/>
              </w:rPr>
              <w:t>Limitation of Liability; Freedom to Operate Affiliates</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3.11</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 of Prior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2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3.12</w:t>
            </w:r>
          </w:p>
        </w:tc>
        <w:tc>
          <w:tcPr>
            <w:tcW w:w="7560" w:type="dxa"/>
            <w:vAlign w:val="bottom"/>
          </w:tcPr>
          <w:p>
            <w:pPr>
              <w:ind w:left="160"/>
              <w:spacing w:after="0"/>
              <w:rPr>
                <w:sz w:val="20"/>
                <w:szCs w:val="20"/>
                <w:color w:val="auto"/>
              </w:rPr>
            </w:pPr>
            <w:r>
              <w:rPr>
                <w:rFonts w:ascii="Arial" w:cs="Arial" w:eastAsia="Arial" w:hAnsi="Arial"/>
                <w:sz w:val="18"/>
                <w:szCs w:val="18"/>
                <w:color w:val="auto"/>
              </w:rPr>
              <w:t>Preemptive Rights Waiver</w:t>
            </w: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40"/>
          </w:cols>
          <w:pgMar w:left="460" w:top="270" w:right="499"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INVESTORS’ RIGHTS AGREEMENT</w:t>
      </w:r>
    </w:p>
    <w:p>
      <w:pPr>
        <w:spacing w:after="0" w:line="229" w:lineRule="exact"/>
        <w:rPr>
          <w:sz w:val="20"/>
          <w:szCs w:val="20"/>
          <w:color w:val="auto"/>
        </w:rPr>
      </w:pPr>
    </w:p>
    <w:p>
      <w:pPr>
        <w:jc w:val="both"/>
        <w:ind w:right="140" w:firstLine="880"/>
        <w:spacing w:after="0" w:line="263" w:lineRule="auto"/>
        <w:rPr>
          <w:sz w:val="20"/>
          <w:szCs w:val="20"/>
          <w:color w:val="auto"/>
        </w:rPr>
      </w:pPr>
      <w:r>
        <w:rPr>
          <w:rFonts w:ascii="Arial" w:cs="Arial" w:eastAsia="Arial" w:hAnsi="Arial"/>
          <w:sz w:val="18"/>
          <w:szCs w:val="18"/>
          <w:color w:val="auto"/>
        </w:rPr>
        <w:t>THIS AMENDED AND RESTATED INVESTORS’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2nd day of June, 2016, by and among SI-BONE,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herein referred to as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380" w:firstLine="88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u w:val="single" w:color="auto"/>
          <w:color w:val="auto"/>
        </w:rPr>
        <w:t>Prior Investors</w:t>
      </w:r>
      <w:r>
        <w:rPr>
          <w:rFonts w:ascii="Arial" w:cs="Arial" w:eastAsia="Arial" w:hAnsi="Arial"/>
          <w:sz w:val="18"/>
          <w:szCs w:val="18"/>
          <w:color w:val="auto"/>
        </w:rPr>
        <w:t>”) have previously entered into that certain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Investors’ Rights Agreement dated as of April 21, 2014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 pursuant to which the Company granted the Prior Investors certain rights;</w:t>
      </w:r>
    </w:p>
    <w:p>
      <w:pPr>
        <w:spacing w:after="0" w:line="175" w:lineRule="exact"/>
        <w:rPr>
          <w:sz w:val="20"/>
          <w:szCs w:val="20"/>
          <w:color w:val="auto"/>
        </w:rPr>
      </w:pPr>
    </w:p>
    <w:p>
      <w:pPr>
        <w:ind w:right="80" w:firstLine="880"/>
        <w:spacing w:after="0" w:line="28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Prior Agreement may be amended, and any provision therein waived, with the consent of the Company and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a majority of the voting power of the Company’s Series 1, 2, 3, 4, 5 and 6 Preferred Stock (collectively with the Series 7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outstanding (voting together as a single class and on an as-converted to common basis);</w:t>
      </w:r>
    </w:p>
    <w:p>
      <w:pPr>
        <w:spacing w:after="0" w:line="160" w:lineRule="exact"/>
        <w:rPr>
          <w:sz w:val="20"/>
          <w:szCs w:val="20"/>
          <w:color w:val="auto"/>
        </w:rPr>
      </w:pPr>
    </w:p>
    <w:p>
      <w:pPr>
        <w:ind w:right="240" w:firstLine="88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certain of the Investors (the “</w:t>
      </w:r>
      <w:r>
        <w:rPr>
          <w:rFonts w:ascii="Arial" w:cs="Arial" w:eastAsia="Arial" w:hAnsi="Arial"/>
          <w:sz w:val="16"/>
          <w:szCs w:val="16"/>
          <w:u w:val="single" w:color="auto"/>
          <w:color w:val="auto"/>
        </w:rPr>
        <w:t>Series 7 Investors</w:t>
      </w:r>
      <w:r>
        <w:rPr>
          <w:rFonts w:ascii="Arial" w:cs="Arial" w:eastAsia="Arial" w:hAnsi="Arial"/>
          <w:sz w:val="16"/>
          <w:szCs w:val="16"/>
          <w:color w:val="auto"/>
        </w:rPr>
        <w:t>”) are parties to that certain Series 7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Agreement of even date herewith (the “</w:t>
      </w:r>
      <w:r>
        <w:rPr>
          <w:rFonts w:ascii="Arial" w:cs="Arial" w:eastAsia="Arial" w:hAnsi="Arial"/>
          <w:sz w:val="16"/>
          <w:szCs w:val="16"/>
          <w:u w:val="single" w:color="auto"/>
          <w:color w:val="auto"/>
        </w:rPr>
        <w:t>Series 7 Purchase Agreement</w:t>
      </w:r>
      <w:r>
        <w:rPr>
          <w:rFonts w:ascii="Arial" w:cs="Arial" w:eastAsia="Arial" w:hAnsi="Arial"/>
          <w:sz w:val="16"/>
          <w:szCs w:val="16"/>
          <w:color w:val="auto"/>
        </w:rPr>
        <w:t>”) by and among the Company and certain of the Investors, pursuant to which the Series 7 Investors are purchasing shares of the Company’s Series 7 Preferred Stock (the “</w:t>
      </w:r>
      <w:r>
        <w:rPr>
          <w:rFonts w:ascii="Arial" w:cs="Arial" w:eastAsia="Arial" w:hAnsi="Arial"/>
          <w:sz w:val="16"/>
          <w:szCs w:val="16"/>
          <w:u w:val="single" w:color="auto"/>
          <w:color w:val="auto"/>
        </w:rPr>
        <w:t>Series 7 Preferred Stock</w:t>
      </w:r>
      <w:r>
        <w:rPr>
          <w:rFonts w:ascii="Arial" w:cs="Arial" w:eastAsia="Arial" w:hAnsi="Arial"/>
          <w:sz w:val="16"/>
          <w:szCs w:val="16"/>
          <w:color w:val="auto"/>
        </w:rPr>
        <w:t>”); and</w:t>
      </w:r>
    </w:p>
    <w:p>
      <w:pPr>
        <w:spacing w:after="0" w:line="141" w:lineRule="exact"/>
        <w:rPr>
          <w:sz w:val="20"/>
          <w:szCs w:val="20"/>
          <w:color w:val="auto"/>
        </w:rPr>
      </w:pPr>
    </w:p>
    <w:p>
      <w:pPr>
        <w:ind w:firstLine="880"/>
        <w:spacing w:after="0" w:line="26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Series 7 Investors to purchase Series 7 Preferred Stock pursuant to the Series 7 Purchase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Investors and the Company hereby agree that this Agreement shall govern certain rights of the Investors as they relate to the shares Common Stock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or issuable to them, including registration rights, financial information rights, rights of first refusal, and certain other matters as set forth herein.</w:t>
      </w:r>
    </w:p>
    <w:p>
      <w:pPr>
        <w:spacing w:after="0" w:line="182" w:lineRule="exact"/>
        <w:rPr>
          <w:sz w:val="20"/>
          <w:szCs w:val="20"/>
          <w:color w:val="auto"/>
        </w:rPr>
      </w:pPr>
    </w:p>
    <w:p>
      <w:pPr>
        <w:ind w:right="40" w:firstLine="88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the Prior Investors and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the Prior Agreement shall be superseded and replaced in its entirety by this Agreement, and the parties hereto further agree as follows:</w:t>
      </w:r>
    </w:p>
    <w:p>
      <w:pPr>
        <w:spacing w:after="0" w:line="119" w:lineRule="exact"/>
        <w:rPr>
          <w:sz w:val="20"/>
          <w:szCs w:val="20"/>
          <w:color w:val="auto"/>
        </w:rPr>
      </w:pPr>
    </w:p>
    <w:p>
      <w:pPr>
        <w:ind w:left="740" w:hanging="310"/>
        <w:spacing w:after="0"/>
        <w:tabs>
          <w:tab w:leader="none" w:pos="74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4" w:lineRule="exact"/>
        <w:rPr>
          <w:rFonts w:ascii="Arial" w:cs="Arial" w:eastAsia="Arial" w:hAnsi="Arial"/>
          <w:sz w:val="18"/>
          <w:szCs w:val="18"/>
          <w:color w:val="auto"/>
        </w:rPr>
      </w:pPr>
    </w:p>
    <w:p>
      <w:pPr>
        <w:ind w:left="1800" w:hanging="379"/>
        <w:spacing w:after="0"/>
        <w:tabs>
          <w:tab w:leader="none" w:pos="180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Act of 1933, as amended.</w:t>
      </w:r>
    </w:p>
    <w:p>
      <w:pPr>
        <w:spacing w:after="0" w:line="224" w:lineRule="exact"/>
        <w:rPr>
          <w:rFonts w:ascii="Arial" w:cs="Arial" w:eastAsia="Arial" w:hAnsi="Arial"/>
          <w:sz w:val="18"/>
          <w:szCs w:val="18"/>
          <w:color w:val="auto"/>
        </w:rPr>
      </w:pPr>
    </w:p>
    <w:p>
      <w:pPr>
        <w:ind w:right="620" w:firstLine="1421"/>
        <w:spacing w:after="0" w:line="341" w:lineRule="auto"/>
        <w:tabs>
          <w:tab w:leader="none" w:pos="1817" w:val="left"/>
        </w:tabs>
        <w:numPr>
          <w:ilvl w:val="1"/>
          <w:numId w:val="48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who or which, directly or indirectly, controls, is controlled by, or is under common control with such specified person, including, without limitation, any general partner,</w:t>
      </w:r>
    </w:p>
    <w:p>
      <w:pPr>
        <w:sectPr>
          <w:pgSz w:w="11900" w:h="16838" w:orient="portrait"/>
          <w:cols w:equalWidth="0" w:num="1">
            <w:col w:w="10980"/>
          </w:cols>
          <w:pgMar w:left="460" w:top="269" w:right="459" w:bottom="1440" w:gutter="0" w:footer="0" w:header="0"/>
        </w:sectPr>
      </w:pPr>
    </w:p>
    <w:bookmarkStart w:id="457" w:name="page458"/>
    <w:bookmarkEnd w:id="457"/>
    <w:p>
      <w:pPr>
        <w:ind w:left="1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director or manager of such person and any venture capital fund now or hereafter existing that is controlled by one or more general partners or managing members of, or is under common investment management with, such person.</w:t>
      </w:r>
    </w:p>
    <w:p>
      <w:pPr>
        <w:spacing w:after="0" w:line="170" w:lineRule="exact"/>
        <w:rPr>
          <w:sz w:val="20"/>
          <w:szCs w:val="20"/>
          <w:color w:val="auto"/>
        </w:rPr>
      </w:pPr>
    </w:p>
    <w:p>
      <w:pPr>
        <w:ind w:left="10" w:right="380" w:firstLine="1421"/>
        <w:spacing w:after="0" w:line="263" w:lineRule="auto"/>
        <w:tabs>
          <w:tab w:leader="none" w:pos="1817"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Form S-3</w:t>
      </w:r>
      <w:r>
        <w:rPr>
          <w:rFonts w:ascii="Arial" w:cs="Arial" w:eastAsia="Arial" w:hAnsi="Arial"/>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82" w:lineRule="exact"/>
        <w:rPr>
          <w:rFonts w:ascii="Arial" w:cs="Arial" w:eastAsia="Arial" w:hAnsi="Arial"/>
          <w:sz w:val="18"/>
          <w:szCs w:val="18"/>
          <w:color w:val="auto"/>
        </w:rPr>
      </w:pPr>
    </w:p>
    <w:p>
      <w:pPr>
        <w:ind w:left="1810" w:hanging="379"/>
        <w:spacing w:after="0"/>
        <w:tabs>
          <w:tab w:leader="none" w:pos="181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 free-writing prospectus, as defined in Rule 405.</w:t>
      </w:r>
    </w:p>
    <w:p>
      <w:pPr>
        <w:spacing w:after="0" w:line="224" w:lineRule="exact"/>
        <w:rPr>
          <w:rFonts w:ascii="Arial" w:cs="Arial" w:eastAsia="Arial" w:hAnsi="Arial"/>
          <w:sz w:val="18"/>
          <w:szCs w:val="18"/>
          <w:color w:val="auto"/>
        </w:rPr>
      </w:pPr>
    </w:p>
    <w:p>
      <w:pPr>
        <w:ind w:left="10" w:right="240" w:firstLine="1421"/>
        <w:spacing w:after="0" w:line="277" w:lineRule="auto"/>
        <w:tabs>
          <w:tab w:leader="none" w:pos="1817"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1.11 hereof.</w:t>
      </w:r>
    </w:p>
    <w:p>
      <w:pPr>
        <w:spacing w:after="0" w:line="169" w:lineRule="exact"/>
        <w:rPr>
          <w:rFonts w:ascii="Arial" w:cs="Arial" w:eastAsia="Arial" w:hAnsi="Arial"/>
          <w:sz w:val="18"/>
          <w:szCs w:val="18"/>
          <w:color w:val="auto"/>
        </w:rPr>
      </w:pPr>
    </w:p>
    <w:p>
      <w:pPr>
        <w:ind w:left="1790" w:hanging="359"/>
        <w:spacing w:after="0"/>
        <w:tabs>
          <w:tab w:leader="none" w:pos="1790" w:val="left"/>
        </w:tabs>
        <w:numPr>
          <w:ilvl w:val="1"/>
          <w:numId w:val="48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Initial Offering</w:t>
      </w:r>
      <w:r>
        <w:rPr>
          <w:rFonts w:ascii="Arial" w:cs="Arial" w:eastAsia="Arial" w:hAnsi="Arial"/>
          <w:sz w:val="17"/>
          <w:szCs w:val="17"/>
          <w:color w:val="auto"/>
        </w:rPr>
        <w:t>” means the Company’s first firm commitment underwritten public offering of its Common Stock</w:t>
      </w:r>
    </w:p>
    <w:p>
      <w:pPr>
        <w:spacing w:after="0" w:line="34" w:lineRule="exact"/>
        <w:rPr>
          <w:rFonts w:ascii="Arial" w:cs="Arial" w:eastAsia="Arial" w:hAnsi="Arial"/>
          <w:sz w:val="17"/>
          <w:szCs w:val="17"/>
          <w:color w:val="auto"/>
        </w:rPr>
      </w:pPr>
    </w:p>
    <w:p>
      <w:pPr>
        <w:ind w:left="10"/>
        <w:spacing w:after="0"/>
        <w:rPr>
          <w:rFonts w:ascii="Arial" w:cs="Arial" w:eastAsia="Arial" w:hAnsi="Arial"/>
          <w:sz w:val="17"/>
          <w:szCs w:val="17"/>
          <w:color w:val="auto"/>
        </w:rPr>
      </w:pPr>
      <w:r>
        <w:rPr>
          <w:rFonts w:ascii="Arial" w:cs="Arial" w:eastAsia="Arial" w:hAnsi="Arial"/>
          <w:sz w:val="18"/>
          <w:szCs w:val="18"/>
          <w:color w:val="auto"/>
        </w:rPr>
        <w:t>under the Act.</w:t>
      </w:r>
    </w:p>
    <w:p>
      <w:pPr>
        <w:spacing w:after="0" w:line="210" w:lineRule="exact"/>
        <w:rPr>
          <w:rFonts w:ascii="Arial" w:cs="Arial" w:eastAsia="Arial" w:hAnsi="Arial"/>
          <w:sz w:val="17"/>
          <w:szCs w:val="17"/>
          <w:color w:val="auto"/>
        </w:rPr>
      </w:pPr>
    </w:p>
    <w:p>
      <w:pPr>
        <w:ind w:left="1810" w:hanging="379"/>
        <w:spacing w:after="0"/>
        <w:tabs>
          <w:tab w:leader="none" w:pos="181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4" w:lineRule="exact"/>
        <w:rPr>
          <w:rFonts w:ascii="Arial" w:cs="Arial" w:eastAsia="Arial" w:hAnsi="Arial"/>
          <w:sz w:val="18"/>
          <w:szCs w:val="18"/>
          <w:color w:val="auto"/>
        </w:rPr>
      </w:pPr>
    </w:p>
    <w:p>
      <w:pPr>
        <w:ind w:left="10" w:right="160" w:firstLine="1421"/>
        <w:spacing w:after="0" w:line="341" w:lineRule="auto"/>
        <w:tabs>
          <w:tab w:leader="none" w:pos="1827" w:val="left"/>
        </w:tabs>
        <w:numPr>
          <w:ilvl w:val="1"/>
          <w:numId w:val="483"/>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24" w:lineRule="exact"/>
        <w:rPr>
          <w:rFonts w:ascii="Arial" w:cs="Arial" w:eastAsia="Arial" w:hAnsi="Arial"/>
          <w:sz w:val="16"/>
          <w:szCs w:val="16"/>
          <w:color w:val="auto"/>
        </w:rPr>
      </w:pPr>
    </w:p>
    <w:p>
      <w:pPr>
        <w:ind w:left="1770" w:hanging="339"/>
        <w:spacing w:after="0"/>
        <w:tabs>
          <w:tab w:leader="none" w:pos="1770" w:val="left"/>
        </w:tabs>
        <w:numPr>
          <w:ilvl w:val="1"/>
          <w:numId w:val="48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Common Stock issuable or issued upon conversion of the Preferred Stock and</w:t>
      </w:r>
    </w:p>
    <w:p>
      <w:pPr>
        <w:spacing w:after="0" w:line="46" w:lineRule="exact"/>
        <w:rPr>
          <w:rFonts w:ascii="Arial" w:cs="Arial" w:eastAsia="Arial" w:hAnsi="Arial"/>
          <w:sz w:val="16"/>
          <w:szCs w:val="16"/>
          <w:color w:val="auto"/>
        </w:rPr>
      </w:pPr>
    </w:p>
    <w:p>
      <w:pPr>
        <w:ind w:left="10" w:hanging="10"/>
        <w:spacing w:after="0" w:line="291" w:lineRule="auto"/>
        <w:tabs>
          <w:tab w:leader="none" w:pos="27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65" w:lineRule="exact"/>
        <w:rPr>
          <w:rFonts w:ascii="Arial" w:cs="Arial" w:eastAsia="Arial" w:hAnsi="Arial"/>
          <w:sz w:val="16"/>
          <w:szCs w:val="16"/>
          <w:color w:val="auto"/>
        </w:rPr>
      </w:pPr>
    </w:p>
    <w:p>
      <w:pPr>
        <w:ind w:left="1770" w:hanging="339"/>
        <w:spacing w:after="0"/>
        <w:tabs>
          <w:tab w:leader="none" w:pos="1770" w:val="left"/>
        </w:tabs>
        <w:numPr>
          <w:ilvl w:val="1"/>
          <w:numId w:val="48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mean the Company’s Restated Certificate of Incorporation, as amended and/or restated</w:t>
      </w:r>
    </w:p>
    <w:p>
      <w:pPr>
        <w:spacing w:after="0" w:line="46" w:lineRule="exact"/>
        <w:rPr>
          <w:rFonts w:ascii="Arial" w:cs="Arial" w:eastAsia="Arial" w:hAnsi="Arial"/>
          <w:sz w:val="16"/>
          <w:szCs w:val="16"/>
          <w:color w:val="auto"/>
        </w:rPr>
      </w:pPr>
    </w:p>
    <w:p>
      <w:pPr>
        <w:ind w:left="10"/>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10" w:lineRule="exact"/>
        <w:rPr>
          <w:rFonts w:ascii="Arial" w:cs="Arial" w:eastAsia="Arial" w:hAnsi="Arial"/>
          <w:sz w:val="16"/>
          <w:szCs w:val="16"/>
          <w:color w:val="auto"/>
        </w:rPr>
      </w:pPr>
    </w:p>
    <w:p>
      <w:pPr>
        <w:ind w:left="1810" w:hanging="379"/>
        <w:spacing w:after="0"/>
        <w:tabs>
          <w:tab w:leader="none" w:pos="181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Act.</w:t>
      </w:r>
    </w:p>
    <w:p>
      <w:pPr>
        <w:spacing w:after="0" w:line="224" w:lineRule="exact"/>
        <w:rPr>
          <w:rFonts w:ascii="Arial" w:cs="Arial" w:eastAsia="Arial" w:hAnsi="Arial"/>
          <w:sz w:val="18"/>
          <w:szCs w:val="18"/>
          <w:color w:val="auto"/>
        </w:rPr>
      </w:pPr>
    </w:p>
    <w:p>
      <w:pPr>
        <w:ind w:left="10" w:right="160" w:firstLine="1421"/>
        <w:spacing w:after="0" w:line="277" w:lineRule="auto"/>
        <w:tabs>
          <w:tab w:leader="none" w:pos="1787"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144(b)(1)(i)</w:t>
      </w:r>
      <w:r>
        <w:rPr>
          <w:rFonts w:ascii="Arial" w:cs="Arial" w:eastAsia="Arial" w:hAnsi="Arial"/>
          <w:sz w:val="18"/>
          <w:szCs w:val="18"/>
          <w:color w:val="auto"/>
        </w:rPr>
        <w:t>” shall mean subsection (b)(1)(i) of Rule 144 under the Act as it applies to persons who have held shares for more than one (1) year.</w:t>
      </w:r>
    </w:p>
    <w:p>
      <w:pPr>
        <w:spacing w:after="0" w:line="169" w:lineRule="exact"/>
        <w:rPr>
          <w:rFonts w:ascii="Arial" w:cs="Arial" w:eastAsia="Arial" w:hAnsi="Arial"/>
          <w:sz w:val="18"/>
          <w:szCs w:val="18"/>
          <w:color w:val="auto"/>
        </w:rPr>
      </w:pPr>
    </w:p>
    <w:p>
      <w:pPr>
        <w:ind w:left="1870" w:hanging="439"/>
        <w:spacing w:after="0"/>
        <w:tabs>
          <w:tab w:leader="none" w:pos="187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405</w:t>
      </w:r>
      <w:r>
        <w:rPr>
          <w:rFonts w:ascii="Arial" w:cs="Arial" w:eastAsia="Arial" w:hAnsi="Arial"/>
          <w:sz w:val="18"/>
          <w:szCs w:val="18"/>
          <w:color w:val="auto"/>
        </w:rPr>
        <w:t>” shall mean Rule 405 under the Act.</w:t>
      </w:r>
    </w:p>
    <w:p>
      <w:pPr>
        <w:spacing w:after="0" w:line="157"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70"/>
          </w:cols>
          <w:pgMar w:left="450" w:top="274" w:right="479" w:bottom="1440" w:gutter="0" w:footer="0" w:header="0"/>
        </w:sectPr>
      </w:pPr>
    </w:p>
    <w:bookmarkStart w:id="458" w:name="page459"/>
    <w:bookmarkEnd w:id="458"/>
    <w:p>
      <w:pPr>
        <w:ind w:left="1420"/>
        <w:spacing w:after="0"/>
        <w:tabs>
          <w:tab w:leader="none" w:pos="1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u w:val="single" w:color="auto"/>
          <w:color w:val="auto"/>
        </w:rPr>
        <w:t>SEC</w:t>
      </w:r>
      <w:r>
        <w:rPr>
          <w:rFonts w:ascii="Arial" w:cs="Arial" w:eastAsia="Arial" w:hAnsi="Arial"/>
          <w:sz w:val="16"/>
          <w:szCs w:val="16"/>
          <w:color w:val="auto"/>
        </w:rPr>
        <w:t>” shall mean the Securities and Exchange Commission.</w:t>
      </w:r>
    </w:p>
    <w:p>
      <w:pPr>
        <w:spacing w:after="0" w:line="33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w:t>
      </w:r>
    </w:p>
    <w:p>
      <w:pPr>
        <w:spacing w:after="0" w:line="117" w:lineRule="exact"/>
        <w:rPr>
          <w:sz w:val="20"/>
          <w:szCs w:val="20"/>
          <w:color w:val="auto"/>
        </w:rPr>
      </w:pPr>
    </w:p>
    <w:p>
      <w:pPr>
        <w:ind w:firstLine="1421"/>
        <w:spacing w:after="0" w:line="290" w:lineRule="auto"/>
        <w:tabs>
          <w:tab w:leader="none" w:pos="181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Subject to the conditions of this Section 1.2, if the Company shall receive at any time after the earlier of (i) five (5) years after the date of this Agreement or (ii) one hundred eighty (180) days after the effective date of the Initial Offering, a written request from the Holders of forty percent (40%) or more of the Registrable Securities then outstanding (for purposes of this Section 1.2,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that the Company file a registration statement under the Act covering the registration of at least twenty percent (20%) of the then outstanding Registrable Securities (or a lesser percentage provided that the anticipated aggregate offering price is at least $10,000,000 (net of any underwriters’ discounts or commissions)),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63" w:lineRule="exact"/>
        <w:rPr>
          <w:rFonts w:ascii="Arial" w:cs="Arial" w:eastAsia="Arial" w:hAnsi="Arial"/>
          <w:sz w:val="16"/>
          <w:szCs w:val="16"/>
          <w:color w:val="auto"/>
        </w:rPr>
      </w:pPr>
    </w:p>
    <w:p>
      <w:pPr>
        <w:ind w:right="120" w:firstLine="1421"/>
        <w:spacing w:after="0" w:line="286" w:lineRule="auto"/>
        <w:tabs>
          <w:tab w:leader="none" w:pos="182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 majority of the Registrable Securities held by all Initiating Holders (which underwriter or underwriters shall be reasonably acceptable to the Company).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71" w:lineRule="exact"/>
        <w:rPr>
          <w:rFonts w:ascii="Arial" w:cs="Arial" w:eastAsia="Arial" w:hAnsi="Arial"/>
          <w:sz w:val="16"/>
          <w:szCs w:val="16"/>
          <w:color w:val="auto"/>
        </w:rPr>
      </w:pPr>
    </w:p>
    <w:p>
      <w:pPr>
        <w:ind w:left="1800" w:hanging="379"/>
        <w:spacing w:after="0"/>
        <w:tabs>
          <w:tab w:leader="none" w:pos="180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Notwithstanding the foregoing, the Company shall not be required to effect a registration pursuant to this Section 1.2:</w:t>
      </w:r>
    </w:p>
    <w:p>
      <w:pPr>
        <w:spacing w:after="0" w:line="236" w:lineRule="exact"/>
        <w:rPr>
          <w:rFonts w:ascii="Arial" w:cs="Arial" w:eastAsia="Arial" w:hAnsi="Arial"/>
          <w:sz w:val="17"/>
          <w:szCs w:val="17"/>
          <w:color w:val="auto"/>
        </w:rPr>
      </w:pPr>
    </w:p>
    <w:p>
      <w:pPr>
        <w:ind w:right="60" w:firstLine="2302"/>
        <w:spacing w:after="0" w:line="263" w:lineRule="auto"/>
        <w:tabs>
          <w:tab w:leader="none" w:pos="2661" w:val="left"/>
        </w:tabs>
        <w:numPr>
          <w:ilvl w:val="1"/>
          <w:numId w:val="485"/>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459" w:name="page460"/>
    <w:bookmarkEnd w:id="459"/>
    <w:p>
      <w:pPr>
        <w:ind w:left="2700" w:hanging="398"/>
        <w:spacing w:after="0"/>
        <w:tabs>
          <w:tab w:leader="none" w:pos="2700" w:val="left"/>
        </w:tabs>
        <w:numPr>
          <w:ilvl w:val="0"/>
          <w:numId w:val="4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Company has effected two (2) registration pursuant to this Section 1.2, and such registrations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declared or ordered effective; or</w:t>
      </w:r>
    </w:p>
    <w:p>
      <w:pPr>
        <w:spacing w:after="0" w:line="210" w:lineRule="exact"/>
        <w:rPr>
          <w:rFonts w:ascii="Arial" w:cs="Arial" w:eastAsia="Arial" w:hAnsi="Arial"/>
          <w:sz w:val="16"/>
          <w:szCs w:val="16"/>
          <w:color w:val="auto"/>
        </w:rPr>
      </w:pPr>
    </w:p>
    <w:p>
      <w:pPr>
        <w:jc w:val="both"/>
        <w:ind w:right="200" w:firstLine="2302"/>
        <w:spacing w:after="0" w:line="259" w:lineRule="auto"/>
        <w:tabs>
          <w:tab w:leader="none" w:pos="2761" w:val="left"/>
        </w:tabs>
        <w:numPr>
          <w:ilvl w:val="0"/>
          <w:numId w:val="486"/>
        </w:numPr>
        <w:rPr>
          <w:rFonts w:ascii="Arial" w:cs="Arial" w:eastAsia="Arial" w:hAnsi="Arial"/>
          <w:sz w:val="18"/>
          <w:szCs w:val="18"/>
          <w:color w:val="auto"/>
        </w:rPr>
      </w:pPr>
      <w:r>
        <w:rPr>
          <w:rFonts w:ascii="Arial" w:cs="Arial" w:eastAsia="Arial" w:hAnsi="Arial"/>
          <w:sz w:val="18"/>
          <w:szCs w:val="18"/>
          <w:color w:val="auto"/>
        </w:rPr>
        <w:t>during the period starting with the date sixty (60) days prior to the Company’s good faith estimate of the date of the filing of and ending on a date one hundred eighty (180) days following the effective date of a Company initiated registration subject to Section 1.3 below, provided that the Company is actively employing in good faith all commercially reasonable efforts to cause such registration statement to become effective; or</w:t>
      </w:r>
    </w:p>
    <w:p>
      <w:pPr>
        <w:spacing w:after="0" w:line="185" w:lineRule="exact"/>
        <w:rPr>
          <w:rFonts w:ascii="Arial" w:cs="Arial" w:eastAsia="Arial" w:hAnsi="Arial"/>
          <w:sz w:val="18"/>
          <w:szCs w:val="18"/>
          <w:color w:val="auto"/>
        </w:rPr>
      </w:pPr>
    </w:p>
    <w:p>
      <w:pPr>
        <w:ind w:left="2740" w:hanging="438"/>
        <w:spacing w:after="0"/>
        <w:tabs>
          <w:tab w:leader="none" w:pos="274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the Initiating Holders propose to dispose of Registrable Securities that may be registered on Form S 3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Section 1.4 hereof;</w:t>
      </w:r>
    </w:p>
    <w:p>
      <w:pPr>
        <w:spacing w:after="0" w:line="210" w:lineRule="exact"/>
        <w:rPr>
          <w:rFonts w:ascii="Arial" w:cs="Arial" w:eastAsia="Arial" w:hAnsi="Arial"/>
          <w:sz w:val="16"/>
          <w:szCs w:val="16"/>
          <w:color w:val="auto"/>
        </w:rPr>
      </w:pPr>
    </w:p>
    <w:p>
      <w:pPr>
        <w:ind w:right="40" w:firstLine="2302"/>
        <w:spacing w:after="0" w:line="288" w:lineRule="auto"/>
        <w:tabs>
          <w:tab w:leader="none" w:pos="2701"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the Company shall furnish to Holders requesting a registration statement pursuant to this Section 1.2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or</w:t>
      </w:r>
    </w:p>
    <w:p>
      <w:pPr>
        <w:spacing w:after="0" w:line="166" w:lineRule="exact"/>
        <w:rPr>
          <w:rFonts w:ascii="Arial" w:cs="Arial" w:eastAsia="Arial" w:hAnsi="Arial"/>
          <w:sz w:val="16"/>
          <w:szCs w:val="16"/>
          <w:color w:val="auto"/>
        </w:rPr>
      </w:pPr>
    </w:p>
    <w:p>
      <w:pPr>
        <w:ind w:firstLine="2302"/>
        <w:spacing w:after="0" w:line="256" w:lineRule="auto"/>
        <w:tabs>
          <w:tab w:leader="none" w:pos="2751"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the Company, within thirty (30) days of receipt of the request for registration pursuant to this Section 1.2, gives notice to the requesting Holders of its bona fide intention to effect the filing of a registration statement with the SEC within ninety (90) days of receipt of such request (other than a registration effected solely to qualify an employee benefit plan or to effect a business combination pursuant to Rule 145), provided that the Company is actively employing in good faith all commercially reasonable efforts to cause such registration statement to become effective.</w:t>
      </w:r>
    </w:p>
    <w:p>
      <w:pPr>
        <w:spacing w:after="0" w:line="29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w:t>
      </w:r>
    </w:p>
    <w:p>
      <w:pPr>
        <w:spacing w:after="0" w:line="117" w:lineRule="exact"/>
        <w:rPr>
          <w:sz w:val="20"/>
          <w:szCs w:val="20"/>
          <w:color w:val="auto"/>
        </w:rPr>
      </w:pPr>
    </w:p>
    <w:p>
      <w:pPr>
        <w:ind w:right="140" w:firstLine="1421"/>
        <w:spacing w:after="0" w:line="259" w:lineRule="auto"/>
        <w:tabs>
          <w:tab w:leader="none" w:pos="181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1.2 or (ii) a registration relating solely to the sale of securities of participants in a Company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460" w:name="page461"/>
    <w:bookmarkEnd w:id="460"/>
    <w:p>
      <w:pPr>
        <w:ind w:right="1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In such event, if the Company intends to distribute the securities covered by the registration by means of an underwriting,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held by all Initiating Holders). Upon the written request of each Holder given within twenty (20) days after mailing of such notice by the Company in accordance with Section 3.5, the Company shall, subject to the provisions of Section 1.3(c), use all commercially reasonable efforts to cause to be registered under the Act all of the Registrable Securities that each such Holder requests to be registered.</w:t>
      </w:r>
    </w:p>
    <w:p>
      <w:pPr>
        <w:spacing w:after="0" w:line="184" w:lineRule="exact"/>
        <w:rPr>
          <w:sz w:val="20"/>
          <w:szCs w:val="20"/>
          <w:color w:val="auto"/>
        </w:rPr>
      </w:pPr>
    </w:p>
    <w:p>
      <w:pPr>
        <w:ind w:right="100" w:firstLine="1421"/>
        <w:spacing w:after="0" w:line="286" w:lineRule="auto"/>
        <w:tabs>
          <w:tab w:leader="none" w:pos="1820" w:val="left"/>
        </w:tabs>
        <w:numPr>
          <w:ilvl w:val="0"/>
          <w:numId w:val="488"/>
        </w:numPr>
        <w:rPr>
          <w:rFonts w:ascii="Arial" w:cs="Arial" w:eastAsia="Arial" w:hAnsi="Arial"/>
          <w:sz w:val="17"/>
          <w:szCs w:val="17"/>
          <w:color w:val="auto"/>
        </w:rPr>
      </w:pP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64" w:lineRule="exact"/>
        <w:rPr>
          <w:rFonts w:ascii="Arial" w:cs="Arial" w:eastAsia="Arial" w:hAnsi="Arial"/>
          <w:sz w:val="17"/>
          <w:szCs w:val="17"/>
          <w:color w:val="auto"/>
        </w:rPr>
      </w:pPr>
    </w:p>
    <w:p>
      <w:pPr>
        <w:ind w:firstLine="1421"/>
        <w:spacing w:after="0" w:line="268" w:lineRule="auto"/>
        <w:tabs>
          <w:tab w:leader="none" w:pos="1810" w:val="left"/>
        </w:tabs>
        <w:numPr>
          <w:ilvl w:val="0"/>
          <w:numId w:val="488"/>
        </w:numPr>
        <w:rPr>
          <w:rFonts w:ascii="Arial" w:cs="Arial" w:eastAsia="Arial" w:hAnsi="Arial"/>
          <w:sz w:val="17"/>
          <w:szCs w:val="17"/>
          <w:color w:val="auto"/>
        </w:rPr>
      </w:pPr>
      <w:r>
        <w:rPr>
          <w:rFonts w:ascii="Arial" w:cs="Arial" w:eastAsia="Arial" w:hAnsi="Arial"/>
          <w:sz w:val="17"/>
          <w:szCs w:val="17"/>
          <w:u w:val="single" w:color="auto"/>
          <w:color w:val="auto"/>
        </w:rPr>
        <w:t>Underwriting Requirements</w:t>
      </w:r>
      <w:r>
        <w:rPr>
          <w:rFonts w:ascii="Arial" w:cs="Arial" w:eastAsia="Arial" w:hAnsi="Arial"/>
          <w:sz w:val="17"/>
          <w:szCs w:val="17"/>
          <w:color w:val="auto"/>
        </w:rPr>
        <w:t>.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fifteen percent (15%) of the total amount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3" w:right="459" w:bottom="1440" w:gutter="0" w:footer="0" w:header="0"/>
        </w:sectPr>
      </w:pPr>
    </w:p>
    <w:bookmarkStart w:id="461" w:name="page462"/>
    <w:bookmarkEnd w:id="46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included in such offering, unless such offering is the Initial Offering, in which case the selling Holders may be excluded if the underwriters make the determination described above and no other stockholder’s securities (other than the Initiating Holders) are included in such offering. For purposes of the preceding sentence concerning apportionment, for any selling stockholder that is a Holder of Registrable Securities and that is a venture capital fund, partnership or corporation, the affiliated venture capital funds, partners, retired partners and stockholders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176" w:lineRule="exact"/>
        <w:rPr>
          <w:sz w:val="20"/>
          <w:szCs w:val="20"/>
          <w:color w:val="auto"/>
        </w:rPr>
      </w:pPr>
    </w:p>
    <w:p>
      <w:pPr>
        <w:ind w:firstLine="880"/>
        <w:spacing w:after="0" w:line="25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After the Initial Offering, the Company shall use its commercially reasonable efforts to qualify for registration on Form S-3 or any comparable or successor form or forms. In case the Company shall receive from the Holders of at least 5,000,000 Registrable Securities (for purposes of this Section 1.4, the “</w:t>
      </w:r>
      <w:r>
        <w:rPr>
          <w:rFonts w:ascii="Arial" w:cs="Arial" w:eastAsia="Arial" w:hAnsi="Arial"/>
          <w:sz w:val="18"/>
          <w:szCs w:val="18"/>
          <w:u w:val="single" w:color="auto"/>
          <w:color w:val="auto"/>
        </w:rPr>
        <w:t>S-3 Initiating Holders</w:t>
      </w:r>
      <w:r>
        <w:rPr>
          <w:rFonts w:ascii="Arial" w:cs="Arial" w:eastAsia="Arial" w:hAnsi="Arial"/>
          <w:sz w:val="18"/>
          <w:szCs w:val="18"/>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191" w:lineRule="exact"/>
        <w:rPr>
          <w:sz w:val="20"/>
          <w:szCs w:val="20"/>
          <w:color w:val="auto"/>
        </w:rPr>
      </w:pPr>
    </w:p>
    <w:p>
      <w:pPr>
        <w:ind w:left="1800" w:hanging="379"/>
        <w:spacing w:after="0"/>
        <w:tabs>
          <w:tab w:leader="none" w:pos="180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and</w:t>
      </w:r>
    </w:p>
    <w:p>
      <w:pPr>
        <w:spacing w:after="0" w:line="247" w:lineRule="exact"/>
        <w:rPr>
          <w:rFonts w:ascii="Arial" w:cs="Arial" w:eastAsia="Arial" w:hAnsi="Arial"/>
          <w:sz w:val="16"/>
          <w:szCs w:val="16"/>
          <w:color w:val="auto"/>
        </w:rPr>
      </w:pPr>
    </w:p>
    <w:p>
      <w:pPr>
        <w:ind w:right="120" w:firstLine="1421"/>
        <w:spacing w:after="0" w:line="275" w:lineRule="auto"/>
        <w:tabs>
          <w:tab w:leader="none" w:pos="1820"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use all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effect any such registration, qualification or compliance, pursuant to this Section 1.4:</w:t>
      </w:r>
    </w:p>
    <w:p>
      <w:pPr>
        <w:spacing w:after="0" w:line="175" w:lineRule="exact"/>
        <w:rPr>
          <w:rFonts w:ascii="Arial" w:cs="Arial" w:eastAsia="Arial" w:hAnsi="Arial"/>
          <w:sz w:val="17"/>
          <w:szCs w:val="17"/>
          <w:color w:val="auto"/>
        </w:rPr>
      </w:pPr>
    </w:p>
    <w:p>
      <w:pPr>
        <w:ind w:left="2220" w:hanging="358"/>
        <w:spacing w:after="0"/>
        <w:tabs>
          <w:tab w:leader="none" w:pos="222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224" w:lineRule="exact"/>
        <w:rPr>
          <w:rFonts w:ascii="Arial" w:cs="Arial" w:eastAsia="Arial" w:hAnsi="Arial"/>
          <w:sz w:val="18"/>
          <w:szCs w:val="18"/>
          <w:color w:val="auto"/>
        </w:rPr>
      </w:pPr>
    </w:p>
    <w:p>
      <w:pPr>
        <w:ind w:right="60" w:firstLine="1862"/>
        <w:spacing w:after="0" w:line="263" w:lineRule="auto"/>
        <w:tabs>
          <w:tab w:leader="none" w:pos="2271"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w:t>
      </w:r>
    </w:p>
    <w:p>
      <w:pPr>
        <w:spacing w:after="0" w:line="182" w:lineRule="exact"/>
        <w:rPr>
          <w:rFonts w:ascii="Arial" w:cs="Arial" w:eastAsia="Arial" w:hAnsi="Arial"/>
          <w:sz w:val="18"/>
          <w:szCs w:val="18"/>
          <w:color w:val="auto"/>
        </w:rPr>
      </w:pPr>
    </w:p>
    <w:p>
      <w:pPr>
        <w:ind w:right="20" w:firstLine="1862"/>
        <w:spacing w:after="0" w:line="296" w:lineRule="auto"/>
        <w:tabs>
          <w:tab w:leader="none" w:pos="2321" w:val="left"/>
        </w:tabs>
        <w:numPr>
          <w:ilvl w:val="1"/>
          <w:numId w:val="489"/>
        </w:numPr>
        <w:rPr>
          <w:rFonts w:ascii="Arial" w:cs="Arial" w:eastAsia="Arial" w:hAnsi="Arial"/>
          <w:sz w:val="16"/>
          <w:szCs w:val="16"/>
          <w:color w:val="auto"/>
        </w:rPr>
      </w:pPr>
      <w:r>
        <w:rPr>
          <w:rFonts w:ascii="Arial" w:cs="Arial" w:eastAsia="Arial" w:hAnsi="Arial"/>
          <w:sz w:val="16"/>
          <w:szCs w:val="16"/>
          <w:color w:val="auto"/>
        </w:rPr>
        <w:t xml:space="preserve">if the Company shall furnish to all Holders requesting a registration statement pursuant to this Section 1.4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shall be exercised by the Company not more than once in any twelve (12) month period and </w:t>
      </w:r>
      <w:r>
        <w:rPr>
          <w:rFonts w:ascii="Arial" w:cs="Arial" w:eastAsia="Arial" w:hAnsi="Arial"/>
          <w:sz w:val="16"/>
          <w:szCs w:val="16"/>
          <w:u w:val="single" w:color="auto"/>
          <w:color w:val="auto"/>
        </w:rPr>
        <w:t>provided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462" w:name="page463"/>
    <w:bookmarkEnd w:id="462"/>
    <w:p>
      <w:pPr>
        <w:ind w:left="10" w:right="20"/>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75" w:lineRule="exact"/>
        <w:rPr>
          <w:sz w:val="20"/>
          <w:szCs w:val="20"/>
          <w:color w:val="auto"/>
        </w:rPr>
      </w:pPr>
    </w:p>
    <w:p>
      <w:pPr>
        <w:ind w:left="2310" w:hanging="438"/>
        <w:spacing w:after="0"/>
        <w:tabs>
          <w:tab w:leader="none" w:pos="2310" w:val="left"/>
        </w:tabs>
        <w:numPr>
          <w:ilvl w:val="2"/>
          <w:numId w:val="490"/>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one</w:t>
      </w:r>
    </w:p>
    <w:p>
      <w:pPr>
        <w:spacing w:after="0" w:line="34" w:lineRule="exact"/>
        <w:rPr>
          <w:rFonts w:ascii="Arial" w:cs="Arial" w:eastAsia="Arial" w:hAnsi="Arial"/>
          <w:sz w:val="17"/>
          <w:szCs w:val="17"/>
          <w:color w:val="auto"/>
        </w:rPr>
      </w:pPr>
    </w:p>
    <w:p>
      <w:pPr>
        <w:ind w:left="250" w:hanging="250"/>
        <w:spacing w:after="0"/>
        <w:tabs>
          <w:tab w:leader="none" w:pos="25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registration on Form S-3 pursuant to this Section 1.4;</w:t>
      </w:r>
    </w:p>
    <w:p>
      <w:pPr>
        <w:spacing w:after="0" w:line="210" w:lineRule="exact"/>
        <w:rPr>
          <w:rFonts w:ascii="Arial" w:cs="Arial" w:eastAsia="Arial" w:hAnsi="Arial"/>
          <w:sz w:val="18"/>
          <w:szCs w:val="18"/>
          <w:color w:val="auto"/>
        </w:rPr>
      </w:pPr>
    </w:p>
    <w:p>
      <w:pPr>
        <w:ind w:left="10" w:right="180" w:firstLine="1862"/>
        <w:spacing w:after="0" w:line="277" w:lineRule="auto"/>
        <w:tabs>
          <w:tab w:leader="none" w:pos="2271" w:val="left"/>
        </w:tabs>
        <w:numPr>
          <w:ilvl w:val="2"/>
          <w:numId w:val="491"/>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9" w:lineRule="exact"/>
        <w:rPr>
          <w:rFonts w:ascii="Arial" w:cs="Arial" w:eastAsia="Arial" w:hAnsi="Arial"/>
          <w:sz w:val="18"/>
          <w:szCs w:val="18"/>
          <w:color w:val="auto"/>
        </w:rPr>
      </w:pPr>
    </w:p>
    <w:p>
      <w:pPr>
        <w:ind w:left="10" w:right="180" w:firstLine="1862"/>
        <w:spacing w:after="0" w:line="279" w:lineRule="auto"/>
        <w:tabs>
          <w:tab w:leader="none" w:pos="2320" w:val="left"/>
        </w:tabs>
        <w:numPr>
          <w:ilvl w:val="2"/>
          <w:numId w:val="491"/>
        </w:numPr>
        <w:rPr>
          <w:rFonts w:ascii="Arial" w:cs="Arial" w:eastAsia="Arial" w:hAnsi="Arial"/>
          <w:sz w:val="17"/>
          <w:szCs w:val="17"/>
          <w:color w:val="auto"/>
        </w:rPr>
      </w:pPr>
      <w:r>
        <w:rPr>
          <w:rFonts w:ascii="Arial" w:cs="Arial" w:eastAsia="Arial" w:hAnsi="Arial"/>
          <w:sz w:val="17"/>
          <w:szCs w:val="17"/>
          <w:color w:val="auto"/>
        </w:rPr>
        <w:t xml:space="preserve">if the Company, within thirty (30) days of receipt of the request of such S-3 Initiating Holders, gives notice of its bona fide intention to effect the filing of a registration statement with the SEC within ninety (90) days of receipt of such request (other than a registration effected solely to qualify an employee benefit plan or to effect a business combination pursuant to Rule 145),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all commercially reasonable efforts to cause such registration statement to become effective; or</w:t>
      </w:r>
    </w:p>
    <w:p>
      <w:pPr>
        <w:spacing w:after="0" w:line="170" w:lineRule="exact"/>
        <w:rPr>
          <w:rFonts w:ascii="Arial" w:cs="Arial" w:eastAsia="Arial" w:hAnsi="Arial"/>
          <w:sz w:val="17"/>
          <w:szCs w:val="17"/>
          <w:color w:val="auto"/>
        </w:rPr>
      </w:pPr>
    </w:p>
    <w:p>
      <w:pPr>
        <w:jc w:val="both"/>
        <w:ind w:left="10" w:right="260" w:firstLine="1862"/>
        <w:spacing w:after="0" w:line="311" w:lineRule="auto"/>
        <w:tabs>
          <w:tab w:leader="none" w:pos="2370" w:val="left"/>
        </w:tabs>
        <w:numPr>
          <w:ilvl w:val="2"/>
          <w:numId w:val="491"/>
        </w:numPr>
        <w:rPr>
          <w:rFonts w:ascii="Arial" w:cs="Arial" w:eastAsia="Arial" w:hAnsi="Arial"/>
          <w:sz w:val="16"/>
          <w:szCs w:val="16"/>
          <w:color w:val="auto"/>
        </w:rPr>
      </w:pPr>
      <w:r>
        <w:rPr>
          <w:rFonts w:ascii="Arial" w:cs="Arial" w:eastAsia="Arial" w:hAnsi="Arial"/>
          <w:sz w:val="16"/>
          <w:szCs w:val="16"/>
          <w:color w:val="auto"/>
        </w:rPr>
        <w:t xml:space="preserve">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w:t>
      </w:r>
    </w:p>
    <w:p>
      <w:pPr>
        <w:spacing w:after="0" w:line="148" w:lineRule="exact"/>
        <w:rPr>
          <w:rFonts w:ascii="Arial" w:cs="Arial" w:eastAsia="Arial" w:hAnsi="Arial"/>
          <w:sz w:val="16"/>
          <w:szCs w:val="16"/>
          <w:color w:val="auto"/>
        </w:rPr>
      </w:pPr>
    </w:p>
    <w:p>
      <w:pPr>
        <w:ind w:left="10" w:right="120" w:firstLine="1421"/>
        <w:spacing w:after="0" w:line="259" w:lineRule="auto"/>
        <w:tabs>
          <w:tab w:leader="none" w:pos="182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w:t>
      </w:r>
    </w:p>
    <w:p>
      <w:pPr>
        <w:spacing w:after="0" w:line="185" w:lineRule="exact"/>
        <w:rPr>
          <w:rFonts w:ascii="Arial" w:cs="Arial" w:eastAsia="Arial" w:hAnsi="Arial"/>
          <w:sz w:val="18"/>
          <w:szCs w:val="18"/>
          <w:color w:val="auto"/>
        </w:rPr>
      </w:pPr>
    </w:p>
    <w:p>
      <w:pPr>
        <w:ind w:left="10" w:firstLine="1421"/>
        <w:spacing w:after="0" w:line="277" w:lineRule="auto"/>
        <w:tabs>
          <w:tab w:leader="none" w:pos="183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S-3 Initiating Holders.</w:t>
      </w:r>
    </w:p>
    <w:p>
      <w:pPr>
        <w:spacing w:after="0" w:line="170" w:lineRule="exact"/>
        <w:rPr>
          <w:sz w:val="20"/>
          <w:szCs w:val="20"/>
          <w:color w:val="auto"/>
        </w:rPr>
      </w:pPr>
    </w:p>
    <w:p>
      <w:pPr>
        <w:ind w:left="890"/>
        <w:spacing w:after="0"/>
        <w:tabs>
          <w:tab w:leader="none" w:pos="1269"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1 to effect the registration of any Registrable Securities, the</w:t>
      </w:r>
    </w:p>
    <w:p>
      <w:pPr>
        <w:spacing w:after="0" w:line="23" w:lineRule="exact"/>
        <w:rPr>
          <w:sz w:val="20"/>
          <w:szCs w:val="20"/>
          <w:color w:val="auto"/>
        </w:rPr>
      </w:pPr>
    </w:p>
    <w:p>
      <w:pPr>
        <w:ind w:left="10"/>
        <w:spacing w:after="0"/>
        <w:rPr>
          <w:sz w:val="20"/>
          <w:szCs w:val="20"/>
          <w:color w:val="auto"/>
        </w:rPr>
      </w:pPr>
      <w:r>
        <w:rPr>
          <w:rFonts w:ascii="Arial" w:cs="Arial" w:eastAsia="Arial" w:hAnsi="Arial"/>
          <w:sz w:val="18"/>
          <w:szCs w:val="18"/>
          <w:color w:val="auto"/>
        </w:rPr>
        <w:t>Company shall, as expeditiously as reasonably possible:</w:t>
      </w:r>
    </w:p>
    <w:p>
      <w:pPr>
        <w:spacing w:after="0" w:line="210" w:lineRule="exact"/>
        <w:rPr>
          <w:sz w:val="20"/>
          <w:szCs w:val="20"/>
          <w:color w:val="auto"/>
        </w:rPr>
      </w:pPr>
    </w:p>
    <w:p>
      <w:pPr>
        <w:ind w:left="10" w:right="380" w:firstLine="1421"/>
        <w:spacing w:after="0" w:line="277" w:lineRule="auto"/>
        <w:tabs>
          <w:tab w:leader="none" w:pos="18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all commercially reasonable efforts to cause such</w:t>
      </w:r>
    </w:p>
    <w:p>
      <w:pPr>
        <w:spacing w:after="0" w:line="10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0"/>
          </w:cols>
          <w:pgMar w:left="450" w:top="274" w:right="459" w:bottom="1440" w:gutter="0" w:footer="0" w:header="0"/>
        </w:sectPr>
      </w:pPr>
    </w:p>
    <w:bookmarkStart w:id="463" w:name="page464"/>
    <w:bookmarkEnd w:id="463"/>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w:t>
      </w:r>
    </w:p>
    <w:p>
      <w:pPr>
        <w:spacing w:after="0" w:line="183" w:lineRule="exact"/>
        <w:rPr>
          <w:sz w:val="20"/>
          <w:szCs w:val="20"/>
          <w:color w:val="auto"/>
        </w:rPr>
      </w:pPr>
    </w:p>
    <w:p>
      <w:pPr>
        <w:ind w:right="60" w:firstLine="1421"/>
        <w:spacing w:after="0" w:line="263" w:lineRule="auto"/>
        <w:tabs>
          <w:tab w:leader="none" w:pos="18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82" w:lineRule="exact"/>
        <w:rPr>
          <w:rFonts w:ascii="Arial" w:cs="Arial" w:eastAsia="Arial" w:hAnsi="Arial"/>
          <w:sz w:val="18"/>
          <w:szCs w:val="18"/>
          <w:color w:val="auto"/>
        </w:rPr>
      </w:pPr>
    </w:p>
    <w:p>
      <w:pPr>
        <w:ind w:right="640" w:firstLine="1421"/>
        <w:spacing w:after="0" w:line="263" w:lineRule="auto"/>
        <w:tabs>
          <w:tab w:leader="none" w:pos="181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82" w:lineRule="exact"/>
        <w:rPr>
          <w:rFonts w:ascii="Arial" w:cs="Arial" w:eastAsia="Arial" w:hAnsi="Arial"/>
          <w:sz w:val="18"/>
          <w:szCs w:val="18"/>
          <w:color w:val="auto"/>
        </w:rPr>
      </w:pPr>
    </w:p>
    <w:p>
      <w:pPr>
        <w:jc w:val="both"/>
        <w:ind w:right="80" w:firstLine="1421"/>
        <w:spacing w:after="0" w:line="259" w:lineRule="auto"/>
        <w:tabs>
          <w:tab w:leader="none" w:pos="18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use all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85" w:lineRule="exact"/>
        <w:rPr>
          <w:rFonts w:ascii="Arial" w:cs="Arial" w:eastAsia="Arial" w:hAnsi="Arial"/>
          <w:sz w:val="18"/>
          <w:szCs w:val="18"/>
          <w:color w:val="auto"/>
        </w:rPr>
      </w:pPr>
    </w:p>
    <w:p>
      <w:pPr>
        <w:ind w:right="340" w:firstLine="1421"/>
        <w:spacing w:after="0" w:line="277" w:lineRule="auto"/>
        <w:tabs>
          <w:tab w:leader="none" w:pos="181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w:t>
      </w:r>
    </w:p>
    <w:p>
      <w:pPr>
        <w:spacing w:after="0" w:line="169" w:lineRule="exact"/>
        <w:rPr>
          <w:rFonts w:ascii="Arial" w:cs="Arial" w:eastAsia="Arial" w:hAnsi="Arial"/>
          <w:sz w:val="18"/>
          <w:szCs w:val="18"/>
          <w:color w:val="auto"/>
        </w:rPr>
      </w:pPr>
    </w:p>
    <w:p>
      <w:pPr>
        <w:ind w:firstLine="1421"/>
        <w:spacing w:after="0" w:line="290" w:lineRule="auto"/>
        <w:tabs>
          <w:tab w:leader="none" w:pos="179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63" w:lineRule="exact"/>
        <w:rPr>
          <w:rFonts w:ascii="Arial" w:cs="Arial" w:eastAsia="Arial" w:hAnsi="Arial"/>
          <w:sz w:val="16"/>
          <w:szCs w:val="16"/>
          <w:color w:val="auto"/>
        </w:rPr>
      </w:pPr>
    </w:p>
    <w:p>
      <w:pPr>
        <w:ind w:right="100" w:firstLine="1421"/>
        <w:spacing w:after="0" w:line="277" w:lineRule="auto"/>
        <w:tabs>
          <w:tab w:leader="none" w:pos="18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Section 1 to be listed on a national exchange or trading system and on each securities exchange and trading system on which similar securities issued by the Company are then listed;</w:t>
      </w:r>
    </w:p>
    <w:p>
      <w:pPr>
        <w:spacing w:after="0" w:line="169" w:lineRule="exact"/>
        <w:rPr>
          <w:rFonts w:ascii="Arial" w:cs="Arial" w:eastAsia="Arial" w:hAnsi="Arial"/>
          <w:sz w:val="18"/>
          <w:szCs w:val="18"/>
          <w:color w:val="auto"/>
        </w:rPr>
      </w:pPr>
    </w:p>
    <w:p>
      <w:pPr>
        <w:ind w:right="100" w:firstLine="1421"/>
        <w:spacing w:after="0" w:line="277" w:lineRule="auto"/>
        <w:tabs>
          <w:tab w:leader="none" w:pos="18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60" w:top="274" w:right="459" w:bottom="1440" w:gutter="0" w:footer="0" w:header="0"/>
        </w:sectPr>
      </w:pPr>
    </w:p>
    <w:bookmarkStart w:id="464" w:name="page465"/>
    <w:bookmarkEnd w:id="464"/>
    <w:p>
      <w:pPr>
        <w:ind w:right="80" w:firstLine="1421"/>
        <w:spacing w:after="0" w:line="296" w:lineRule="auto"/>
        <w:tabs>
          <w:tab w:leader="none" w:pos="1780" w:val="left"/>
        </w:tabs>
        <w:numPr>
          <w:ilvl w:val="0"/>
          <w:numId w:val="4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all reasonable efforts to prevent the issuance of any stop order (“</w:t>
      </w:r>
      <w:r>
        <w:rPr>
          <w:rFonts w:ascii="Arial" w:cs="Arial" w:eastAsia="Arial" w:hAnsi="Arial"/>
          <w:sz w:val="16"/>
          <w:szCs w:val="16"/>
          <w:u w:val="single" w:color="auto"/>
          <w:color w:val="auto"/>
        </w:rPr>
        <w:t>Stop Order</w:t>
      </w:r>
      <w:r>
        <w:rPr>
          <w:rFonts w:ascii="Arial" w:cs="Arial" w:eastAsia="Arial" w:hAnsi="Arial"/>
          <w:sz w:val="16"/>
          <w:szCs w:val="16"/>
          <w:color w:val="auto"/>
        </w:rPr>
        <w:t>”) suspending the effectiveness of a registration statement, or of any order suspending or preventing the use of any related prospectus or suspending the qualification of any securities included in such registration statement for sale in any jurisdiction, and, in the event of such issuance, the Company shall immediately notify the Holders of Registrable Securities covered by such registration statement of the receipt by the Company of such notification and shall use all reasonable efforts promptly to obtain the withdrawal of such order, and, in the event of the withdrawal of such order, the Company shall immediately notify such Holders thereof;</w:t>
      </w:r>
    </w:p>
    <w:p>
      <w:pPr>
        <w:spacing w:after="0" w:line="160" w:lineRule="exact"/>
        <w:rPr>
          <w:rFonts w:ascii="Arial" w:cs="Arial" w:eastAsia="Arial" w:hAnsi="Arial"/>
          <w:sz w:val="16"/>
          <w:szCs w:val="16"/>
          <w:color w:val="auto"/>
        </w:rPr>
      </w:pPr>
    </w:p>
    <w:p>
      <w:pPr>
        <w:ind w:right="20" w:firstLine="1421"/>
        <w:spacing w:after="0" w:line="279" w:lineRule="auto"/>
        <w:tabs>
          <w:tab w:leader="none" w:pos="178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 as the Holders holding a majority of the Registrable Securities being sold reasonably request;</w:t>
      </w:r>
    </w:p>
    <w:p>
      <w:pPr>
        <w:spacing w:after="0" w:line="170" w:lineRule="exact"/>
        <w:rPr>
          <w:rFonts w:ascii="Arial" w:cs="Arial" w:eastAsia="Arial" w:hAnsi="Arial"/>
          <w:sz w:val="17"/>
          <w:szCs w:val="17"/>
          <w:color w:val="auto"/>
        </w:rPr>
      </w:pPr>
    </w:p>
    <w:p>
      <w:pPr>
        <w:ind w:firstLine="1421"/>
        <w:spacing w:after="0" w:line="254" w:lineRule="auto"/>
        <w:tabs>
          <w:tab w:leader="none" w:pos="18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use its commercially reasonable efforts to provide, at the request of any Holder participating in such registration, on the date such securities are delivered to the underwriters for sale pursuant to such registration or, if such securities are not being sold through underwriters, on the date the registration statement with respect to such securities becomes effective, a legal opinion of the Company’s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193" w:lineRule="exact"/>
        <w:rPr>
          <w:rFonts w:ascii="Arial" w:cs="Arial" w:eastAsia="Arial" w:hAnsi="Arial"/>
          <w:sz w:val="18"/>
          <w:szCs w:val="18"/>
          <w:color w:val="auto"/>
        </w:rPr>
      </w:pPr>
    </w:p>
    <w:p>
      <w:pPr>
        <w:ind w:right="160" w:firstLine="1421"/>
        <w:spacing w:after="0" w:line="256" w:lineRule="auto"/>
        <w:tabs>
          <w:tab w:leader="none" w:pos="178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to the extent the Company is a well-known seasoned issuer (as defined in Rule 405) (a “</w:t>
      </w:r>
      <w:r>
        <w:rPr>
          <w:rFonts w:ascii="Arial" w:cs="Arial" w:eastAsia="Arial" w:hAnsi="Arial"/>
          <w:sz w:val="18"/>
          <w:szCs w:val="18"/>
          <w:u w:val="single" w:color="auto"/>
          <w:color w:val="auto"/>
        </w:rPr>
        <w:t>WKSI</w:t>
      </w:r>
      <w:r>
        <w:rPr>
          <w:rFonts w:ascii="Arial" w:cs="Arial" w:eastAsia="Arial" w:hAnsi="Arial"/>
          <w:sz w:val="18"/>
          <w:szCs w:val="18"/>
          <w:color w:val="auto"/>
        </w:rPr>
        <w:t>”) at the time any request for registration is submitted to the Company in accordance with Section 1.4, (i) if so requested, file an automatic shelf registration statement (as defined in Rule 405) (an “</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to effect such registration, and (ii) remain a WKSI (and not become an ineligible issuer (as defined in Rule 405)) during the period during which such Automatic Shelf Registration Statement is required to remain effective in accordance with this Agreement;</w:t>
      </w:r>
    </w:p>
    <w:p>
      <w:pPr>
        <w:spacing w:after="0" w:line="191" w:lineRule="exact"/>
        <w:rPr>
          <w:rFonts w:ascii="Arial" w:cs="Arial" w:eastAsia="Arial" w:hAnsi="Arial"/>
          <w:sz w:val="18"/>
          <w:szCs w:val="18"/>
          <w:color w:val="auto"/>
        </w:rPr>
      </w:pPr>
    </w:p>
    <w:p>
      <w:pPr>
        <w:ind w:right="60" w:firstLine="1421"/>
        <w:spacing w:after="0" w:line="296" w:lineRule="auto"/>
        <w:tabs>
          <w:tab w:leader="none" w:pos="187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if at any time when the Company is required to re-evaluate its WKSI status for purposes of an Automatic Shelf Registration Statement used to effect a request for registration in accordance with Section 1.4 (i) the Company determines that it is not a WKSI, (ii) the registration statement is required to be kept effective in accordance with this Agreement and (iii) the registration rights of the applicable Holders have not terminated, promptly amend the registration statement onto a form the Company is then eligible to use or file a new registration statement on such form, and keep such registration statement effective in accordance with the requirements otherwise applicable under this Agreement; and</w:t>
      </w:r>
    </w:p>
    <w:p>
      <w:pPr>
        <w:spacing w:after="0" w:line="160" w:lineRule="exact"/>
        <w:rPr>
          <w:rFonts w:ascii="Arial" w:cs="Arial" w:eastAsia="Arial" w:hAnsi="Arial"/>
          <w:sz w:val="16"/>
          <w:szCs w:val="16"/>
          <w:color w:val="auto"/>
        </w:rPr>
      </w:pPr>
    </w:p>
    <w:p>
      <w:pPr>
        <w:ind w:right="460" w:firstLine="1421"/>
        <w:spacing w:after="0" w:line="341" w:lineRule="auto"/>
        <w:tabs>
          <w:tab w:leader="none" w:pos="182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if (A) a registration made pursuant to a shelf registration statement is required to be kept effective in accordance with this Agreement after the third anniversary of the initial effective date of the shelf registration statement and (B) the registration rights of the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465" w:name="page466"/>
    <w:bookmarkEnd w:id="465"/>
    <w:p>
      <w:pPr>
        <w:ind w:left="1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Holders have not terminated, file a new registration statement with respect to any unsold Registrable Securities subject to the original request for registration prior to the end of the three (3) year period after the initial effective date of the shelf registration statement, and keep such registration statement effective in accordance with the requirements otherwise applicable under this Agreement.</w:t>
      </w:r>
    </w:p>
    <w:p>
      <w:pPr>
        <w:spacing w:after="0" w:line="183" w:lineRule="exact"/>
        <w:rPr>
          <w:sz w:val="20"/>
          <w:szCs w:val="20"/>
          <w:color w:val="auto"/>
        </w:rPr>
      </w:pPr>
    </w:p>
    <w:p>
      <w:pPr>
        <w:ind w:left="10" w:firstLine="880"/>
        <w:spacing w:after="0" w:line="259" w:lineRule="auto"/>
        <w:rPr>
          <w:sz w:val="20"/>
          <w:szCs w:val="20"/>
          <w:color w:val="auto"/>
        </w:rPr>
      </w:pPr>
      <w:r>
        <w:rPr>
          <w:rFonts w:ascii="Arial" w:cs="Arial" w:eastAsia="Arial" w:hAnsi="Arial"/>
          <w:sz w:val="18"/>
          <w:szCs w:val="18"/>
          <w:color w:val="auto"/>
        </w:rPr>
        <w:t>Notwithstanding the provisions of this Section 1, the Company shall be entitled to postpone or suspend, for a reasonable period of time, not to exceed ninety (90) days in any one (1) year period, the filing, effectiveness or use of, or trading under, any registration statement if the Company shall determine that any such filing or the sale of any securities pursuant to such registration statement would in the good faith judgment of the Board of Directors of the Company:</w:t>
      </w:r>
    </w:p>
    <w:p>
      <w:pPr>
        <w:spacing w:after="0" w:line="186" w:lineRule="exact"/>
        <w:rPr>
          <w:sz w:val="20"/>
          <w:szCs w:val="20"/>
          <w:color w:val="auto"/>
        </w:rPr>
      </w:pPr>
    </w:p>
    <w:p>
      <w:pPr>
        <w:ind w:left="10" w:right="560" w:firstLine="1862"/>
        <w:spacing w:after="0" w:line="341" w:lineRule="auto"/>
        <w:tabs>
          <w:tab w:leader="none" w:pos="2231" w:val="left"/>
        </w:tabs>
        <w:numPr>
          <w:ilvl w:val="0"/>
          <w:numId w:val="495"/>
        </w:numPr>
        <w:rPr>
          <w:rFonts w:ascii="Arial" w:cs="Arial" w:eastAsia="Arial" w:hAnsi="Arial"/>
          <w:sz w:val="16"/>
          <w:szCs w:val="16"/>
          <w:color w:val="auto"/>
        </w:rPr>
      </w:pPr>
      <w:r>
        <w:rPr>
          <w:rFonts w:ascii="Arial" w:cs="Arial" w:eastAsia="Arial" w:hAnsi="Arial"/>
          <w:sz w:val="16"/>
          <w:szCs w:val="16"/>
          <w:color w:val="auto"/>
        </w:rPr>
        <w:t>materially impede, delay or interfere with any material pending or proposed financing, acquisition, corporate reorganization or other similar transaction involving the Company for which the Board of Directors of the Company has authorized negotiations;</w:t>
      </w:r>
    </w:p>
    <w:p>
      <w:pPr>
        <w:spacing w:after="0" w:line="124" w:lineRule="exact"/>
        <w:rPr>
          <w:rFonts w:ascii="Arial" w:cs="Arial" w:eastAsia="Arial" w:hAnsi="Arial"/>
          <w:sz w:val="16"/>
          <w:szCs w:val="16"/>
          <w:color w:val="auto"/>
        </w:rPr>
      </w:pPr>
    </w:p>
    <w:p>
      <w:pPr>
        <w:ind w:left="2270" w:hanging="398"/>
        <w:spacing w:after="0"/>
        <w:tabs>
          <w:tab w:leader="none" w:pos="227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materially adversely impair the consummation of any pending or proposed material offering or sale of any class of</w:t>
      </w:r>
    </w:p>
    <w:p>
      <w:pPr>
        <w:spacing w:after="0" w:line="34" w:lineRule="exact"/>
        <w:rPr>
          <w:rFonts w:ascii="Arial" w:cs="Arial" w:eastAsia="Arial" w:hAnsi="Arial"/>
          <w:sz w:val="17"/>
          <w:szCs w:val="17"/>
          <w:color w:val="auto"/>
        </w:rPr>
      </w:pPr>
    </w:p>
    <w:p>
      <w:pPr>
        <w:ind w:left="10"/>
        <w:spacing w:after="0"/>
        <w:rPr>
          <w:rFonts w:ascii="Arial" w:cs="Arial" w:eastAsia="Arial" w:hAnsi="Arial"/>
          <w:sz w:val="17"/>
          <w:szCs w:val="17"/>
          <w:color w:val="auto"/>
        </w:rPr>
      </w:pPr>
      <w:r>
        <w:rPr>
          <w:rFonts w:ascii="Arial" w:cs="Arial" w:eastAsia="Arial" w:hAnsi="Arial"/>
          <w:sz w:val="18"/>
          <w:szCs w:val="18"/>
          <w:color w:val="auto"/>
        </w:rPr>
        <w:t>securities by the Company; or</w:t>
      </w:r>
    </w:p>
    <w:p>
      <w:pPr>
        <w:spacing w:after="0" w:line="210" w:lineRule="exact"/>
        <w:rPr>
          <w:rFonts w:ascii="Arial" w:cs="Arial" w:eastAsia="Arial" w:hAnsi="Arial"/>
          <w:sz w:val="17"/>
          <w:szCs w:val="17"/>
          <w:color w:val="auto"/>
        </w:rPr>
      </w:pPr>
    </w:p>
    <w:p>
      <w:pPr>
        <w:jc w:val="both"/>
        <w:ind w:left="10" w:right="160" w:firstLine="1862"/>
        <w:spacing w:after="0" w:line="286" w:lineRule="auto"/>
        <w:tabs>
          <w:tab w:leader="none" w:pos="2331" w:val="left"/>
        </w:tabs>
        <w:numPr>
          <w:ilvl w:val="0"/>
          <w:numId w:val="495"/>
        </w:numPr>
        <w:rPr>
          <w:rFonts w:ascii="Arial" w:cs="Arial" w:eastAsia="Arial" w:hAnsi="Arial"/>
          <w:sz w:val="17"/>
          <w:szCs w:val="17"/>
          <w:color w:val="auto"/>
        </w:rPr>
      </w:pPr>
      <w:r>
        <w:rPr>
          <w:rFonts w:ascii="Arial" w:cs="Arial" w:eastAsia="Arial" w:hAnsi="Arial"/>
          <w:sz w:val="17"/>
          <w:szCs w:val="17"/>
          <w:color w:val="auto"/>
        </w:rPr>
        <w:t xml:space="preserve">require disclosure of material nonpublic information that, if disclosed at such time, would be materially harmful to the interests of the Company and its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during any such period all executive officers and directors of the Company are also prohibited from selling securities of the Company (or any security of any of the Company’s subsidiaries or affiliates).</w:t>
      </w:r>
    </w:p>
    <w:p>
      <w:pPr>
        <w:spacing w:after="0" w:line="165" w:lineRule="exact"/>
        <w:rPr>
          <w:sz w:val="20"/>
          <w:szCs w:val="20"/>
          <w:color w:val="auto"/>
        </w:rPr>
      </w:pPr>
    </w:p>
    <w:p>
      <w:pPr>
        <w:jc w:val="both"/>
        <w:ind w:left="10" w:right="160" w:firstLine="880"/>
        <w:spacing w:after="0" w:line="263" w:lineRule="auto"/>
        <w:rPr>
          <w:sz w:val="20"/>
          <w:szCs w:val="20"/>
          <w:color w:val="auto"/>
        </w:rPr>
      </w:pPr>
      <w:r>
        <w:rPr>
          <w:rFonts w:ascii="Arial" w:cs="Arial" w:eastAsia="Arial" w:hAnsi="Arial"/>
          <w:sz w:val="18"/>
          <w:szCs w:val="18"/>
          <w:color w:val="auto"/>
        </w:rPr>
        <w:t>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w:t>
      </w:r>
    </w:p>
    <w:p>
      <w:pPr>
        <w:spacing w:after="0" w:line="183" w:lineRule="exact"/>
        <w:rPr>
          <w:sz w:val="20"/>
          <w:szCs w:val="20"/>
          <w:color w:val="auto"/>
        </w:rPr>
      </w:pPr>
    </w:p>
    <w:p>
      <w:pPr>
        <w:ind w:left="10" w:right="400" w:firstLine="880"/>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Information from Holder</w:t>
      </w:r>
      <w:r>
        <w:rPr>
          <w:rFonts w:ascii="Arial" w:cs="Arial" w:eastAsia="Arial" w:hAnsi="Arial"/>
          <w:sz w:val="18"/>
          <w:szCs w:val="18"/>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6" w:lineRule="exact"/>
        <w:rPr>
          <w:sz w:val="20"/>
          <w:szCs w:val="20"/>
          <w:color w:val="auto"/>
        </w:rPr>
      </w:pPr>
    </w:p>
    <w:p>
      <w:pPr>
        <w:ind w:left="10" w:right="180" w:firstLine="880"/>
        <w:spacing w:after="0" w:line="29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 filings or qualifications of (i) up to two (2) registrations pursuant to Section 1.2, (ii) all registrations pursuant to Section 1.3 and (ii) up to four</w:t>
      </w:r>
    </w:p>
    <w:p>
      <w:pPr>
        <w:spacing w:after="0" w:line="1" w:lineRule="exact"/>
        <w:rPr>
          <w:sz w:val="20"/>
          <w:szCs w:val="20"/>
          <w:color w:val="auto"/>
        </w:rPr>
      </w:pPr>
    </w:p>
    <w:p>
      <w:pPr>
        <w:jc w:val="both"/>
        <w:ind w:left="10" w:right="160" w:hanging="10"/>
        <w:spacing w:after="0" w:line="253" w:lineRule="auto"/>
        <w:tabs>
          <w:tab w:leader="none" w:pos="26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registrations pursuant to Section 1.4, including, without limitation, all registration, filing and qualification fees, printers’ and accounting fees, fees and disbursements of counsel for the Company and the reasonable fees and disbursements of one counsel for the selling Holders shall be borne by the Company. Notwithstanding the foregoing, the Company shall not be required to pay for any expenses of any registration proceeding begun pursuant to Sections 1.2</w:t>
      </w:r>
    </w:p>
    <w:p>
      <w:pPr>
        <w:spacing w:after="0" w:line="12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0"/>
          </w:cols>
          <w:pgMar w:left="450" w:top="273" w:right="459" w:bottom="1440" w:gutter="0" w:footer="0" w:header="0"/>
        </w:sectPr>
      </w:pPr>
    </w:p>
    <w:bookmarkStart w:id="466" w:name="page467"/>
    <w:bookmarkEnd w:id="466"/>
    <w:p>
      <w:pPr>
        <w:ind w:left="1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1.4.</w:t>
      </w:r>
    </w:p>
    <w:p>
      <w:pPr>
        <w:spacing w:after="0" w:line="165" w:lineRule="exact"/>
        <w:rPr>
          <w:sz w:val="20"/>
          <w:szCs w:val="20"/>
          <w:color w:val="auto"/>
        </w:rPr>
      </w:pPr>
    </w:p>
    <w:p>
      <w:pPr>
        <w:ind w:left="10" w:right="460" w:firstLine="880"/>
        <w:spacing w:after="0" w:line="307"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Delay of Registration</w:t>
      </w:r>
      <w:r>
        <w:rPr>
          <w:rFonts w:ascii="Arial" w:cs="Arial" w:eastAsia="Arial" w:hAnsi="Arial"/>
          <w:sz w:val="17"/>
          <w:szCs w:val="17"/>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7" w:lineRule="exact"/>
        <w:rPr>
          <w:sz w:val="20"/>
          <w:szCs w:val="20"/>
          <w:color w:val="auto"/>
        </w:rPr>
      </w:pPr>
    </w:p>
    <w:p>
      <w:pPr>
        <w:ind w:left="890"/>
        <w:spacing w:after="0"/>
        <w:tabs>
          <w:tab w:leader="none" w:pos="1269"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 this Section 1:</w:t>
      </w:r>
    </w:p>
    <w:p>
      <w:pPr>
        <w:spacing w:after="0" w:line="225" w:lineRule="exact"/>
        <w:rPr>
          <w:sz w:val="20"/>
          <w:szCs w:val="20"/>
          <w:color w:val="auto"/>
        </w:rPr>
      </w:pPr>
    </w:p>
    <w:p>
      <w:pPr>
        <w:ind w:left="10" w:right="40" w:firstLine="1421"/>
        <w:spacing w:after="0" w:line="283" w:lineRule="auto"/>
        <w:tabs>
          <w:tab w:leader="none" w:pos="1817" w:val="left"/>
        </w:tabs>
        <w:numPr>
          <w:ilvl w:val="1"/>
          <w:numId w:val="497"/>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w:t>
      </w:r>
    </w:p>
    <w:p>
      <w:pPr>
        <w:spacing w:after="0" w:line="4" w:lineRule="exact"/>
        <w:rPr>
          <w:rFonts w:ascii="Arial" w:cs="Arial" w:eastAsia="Arial" w:hAnsi="Arial"/>
          <w:sz w:val="16"/>
          <w:szCs w:val="16"/>
          <w:color w:val="auto"/>
        </w:rPr>
      </w:pPr>
    </w:p>
    <w:p>
      <w:pPr>
        <w:ind w:left="10" w:hanging="10"/>
        <w:spacing w:after="0" w:line="267" w:lineRule="auto"/>
        <w:tabs>
          <w:tab w:leader="none" w:pos="274" w:val="left"/>
        </w:tabs>
        <w:numPr>
          <w:ilvl w:val="0"/>
          <w:numId w:val="498"/>
        </w:numPr>
        <w:rPr>
          <w:rFonts w:ascii="Arial" w:cs="Arial" w:eastAsia="Arial" w:hAnsi="Arial"/>
          <w:sz w:val="17"/>
          <w:szCs w:val="17"/>
          <w:color w:val="auto"/>
        </w:rPr>
      </w:pPr>
      <w:r>
        <w:rPr>
          <w:rFonts w:ascii="Arial" w:cs="Arial" w:eastAsia="Arial" w:hAnsi="Arial"/>
          <w:sz w:val="17"/>
          <w:szCs w:val="17"/>
          <w:color w:val="auto"/>
        </w:rPr>
        <w:t xml:space="preserve">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indemnity agreement contained in this subsection l.8(a)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18"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30"/>
          </w:cols>
          <w:pgMar w:left="450" w:top="274" w:right="519" w:bottom="1440" w:gutter="0" w:footer="0" w:header="0"/>
        </w:sectPr>
      </w:pPr>
    </w:p>
    <w:bookmarkStart w:id="467" w:name="page468"/>
    <w:bookmarkEnd w:id="467"/>
    <w:p>
      <w:pPr>
        <w:ind w:right="40" w:firstLine="1421"/>
        <w:spacing w:after="0" w:line="286" w:lineRule="auto"/>
        <w:tabs>
          <w:tab w:leader="none" w:pos="1817" w:val="left"/>
        </w:tabs>
        <w:numPr>
          <w:ilvl w:val="0"/>
          <w:numId w:val="4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l.8(b) for any legal or other expenses reasonably incurred by such person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l.8(b)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indemnity under this subsection l.8(b) exceed the gross proceeds from the offering received by such Holder.</w:t>
      </w:r>
    </w:p>
    <w:p>
      <w:pPr>
        <w:spacing w:after="0" w:line="171" w:lineRule="exact"/>
        <w:rPr>
          <w:rFonts w:ascii="Arial" w:cs="Arial" w:eastAsia="Arial" w:hAnsi="Arial"/>
          <w:sz w:val="16"/>
          <w:szCs w:val="16"/>
          <w:color w:val="auto"/>
        </w:rPr>
      </w:pPr>
    </w:p>
    <w:p>
      <w:pPr>
        <w:ind w:firstLine="1421"/>
        <w:spacing w:after="0" w:line="268" w:lineRule="auto"/>
        <w:tabs>
          <w:tab w:leader="none" w:pos="181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1.8 of notice of the commencement of any action (including any governmental action) for which a party may be entitled to indemnification, such indemnified party will, if a claim in respect thereof is to be made against any indemnifying party under this Section 1.8,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1.8 to the extent of such prejudice, but the omission to so deliver written notice to the indemnifying party will not relieve it of any liability that it may have to any indemnified party otherwise than under this Section 1.8.</w:t>
      </w:r>
    </w:p>
    <w:p>
      <w:pPr>
        <w:spacing w:after="0" w:line="186" w:lineRule="exact"/>
        <w:rPr>
          <w:rFonts w:ascii="Arial" w:cs="Arial" w:eastAsia="Arial" w:hAnsi="Arial"/>
          <w:sz w:val="17"/>
          <w:szCs w:val="17"/>
          <w:color w:val="auto"/>
        </w:rPr>
      </w:pPr>
    </w:p>
    <w:p>
      <w:pPr>
        <w:ind w:right="520" w:firstLine="1421"/>
        <w:spacing w:after="0" w:line="307" w:lineRule="auto"/>
        <w:tabs>
          <w:tab w:leader="none" w:pos="182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1.8 is held by a court of competent jurisdiction to be unavailable to an indemnified party with respect to any loss, liability, claim, damage or expense referred to herein, then the indemnifying party, in lieu of</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468" w:name="page469"/>
    <w:bookmarkEnd w:id="46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no contribution by any Holder, when combined with any amounts paid by such Holder pursuant to Section 1.8(b), shall exceed the gross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Section 1.8(d), when combined with the amounts paid or payable by such Holder pursuant to Section 1.8(b),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86" w:lineRule="exact"/>
        <w:rPr>
          <w:sz w:val="20"/>
          <w:szCs w:val="20"/>
          <w:color w:val="auto"/>
        </w:rPr>
      </w:pPr>
    </w:p>
    <w:p>
      <w:pPr>
        <w:ind w:right="140" w:firstLine="1421"/>
        <w:spacing w:after="0" w:line="263" w:lineRule="auto"/>
        <w:tabs>
          <w:tab w:leader="none" w:pos="181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2" w:lineRule="exact"/>
        <w:rPr>
          <w:rFonts w:ascii="Arial" w:cs="Arial" w:eastAsia="Arial" w:hAnsi="Arial"/>
          <w:sz w:val="18"/>
          <w:szCs w:val="18"/>
          <w:color w:val="auto"/>
        </w:rPr>
      </w:pPr>
    </w:p>
    <w:p>
      <w:pPr>
        <w:ind w:right="80" w:firstLine="1421"/>
        <w:spacing w:after="0" w:line="277" w:lineRule="auto"/>
        <w:tabs>
          <w:tab w:leader="none" w:pos="1787"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1.8 shall survive the completion of any offering of Registrable Securities in a registration statement under this Section 1 and otherwise.</w:t>
      </w:r>
    </w:p>
    <w:p>
      <w:pPr>
        <w:spacing w:after="0" w:line="170" w:lineRule="exact"/>
        <w:rPr>
          <w:sz w:val="20"/>
          <w:szCs w:val="20"/>
          <w:color w:val="auto"/>
        </w:rPr>
      </w:pPr>
    </w:p>
    <w:p>
      <w:pPr>
        <w:jc w:val="both"/>
        <w:ind w:firstLine="880"/>
        <w:spacing w:after="0" w:line="263"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83" w:lineRule="exact"/>
        <w:rPr>
          <w:sz w:val="20"/>
          <w:szCs w:val="20"/>
          <w:color w:val="auto"/>
        </w:rPr>
      </w:pPr>
    </w:p>
    <w:p>
      <w:pPr>
        <w:ind w:right="520" w:firstLine="1421"/>
        <w:spacing w:after="0" w:line="277" w:lineRule="auto"/>
        <w:tabs>
          <w:tab w:leader="none" w:pos="181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effective date of the Initial Offering;</w:t>
      </w:r>
    </w:p>
    <w:p>
      <w:pPr>
        <w:spacing w:after="0" w:line="169" w:lineRule="exact"/>
        <w:rPr>
          <w:rFonts w:ascii="Arial" w:cs="Arial" w:eastAsia="Arial" w:hAnsi="Arial"/>
          <w:sz w:val="18"/>
          <w:szCs w:val="18"/>
          <w:color w:val="auto"/>
        </w:rPr>
      </w:pPr>
    </w:p>
    <w:p>
      <w:pPr>
        <w:ind w:left="1820" w:hanging="399"/>
        <w:spacing w:after="0"/>
        <w:tabs>
          <w:tab w:leader="none" w:pos="1820" w:val="left"/>
        </w:tabs>
        <w:numPr>
          <w:ilvl w:val="0"/>
          <w:numId w:val="501"/>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1421"/>
        <w:spacing w:after="0" w:line="254" w:lineRule="auto"/>
        <w:tabs>
          <w:tab w:leader="none" w:pos="181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469" w:name="page470"/>
    <w:bookmarkEnd w:id="469"/>
    <w:p>
      <w:pPr>
        <w:ind w:left="10" w:right="80" w:firstLine="8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to cause the Company to register Registrable Securities pursuant to this Section 1 may be assigned (but only with all related obligations) by a Holder to a transferee or assignee of such securities that (a) is an Affiliate, subsidiary, parent, partner, limited partner, retired partner or stockholder of a Holder, (b) is a Holder’s family member or trust for the benefit of an individual Holder, or</w:t>
      </w:r>
    </w:p>
    <w:p>
      <w:pPr>
        <w:spacing w:after="0" w:line="2" w:lineRule="exact"/>
        <w:rPr>
          <w:sz w:val="20"/>
          <w:szCs w:val="20"/>
          <w:color w:val="auto"/>
        </w:rPr>
      </w:pPr>
    </w:p>
    <w:p>
      <w:pPr>
        <w:ind w:left="10" w:right="40" w:hanging="10"/>
        <w:spacing w:after="0" w:line="269" w:lineRule="auto"/>
        <w:tabs>
          <w:tab w:leader="none" w:pos="254" w:val="left"/>
        </w:tabs>
        <w:numPr>
          <w:ilvl w:val="0"/>
          <w:numId w:val="502"/>
        </w:numPr>
        <w:rPr>
          <w:rFonts w:ascii="Arial" w:cs="Arial" w:eastAsia="Arial" w:hAnsi="Arial"/>
          <w:sz w:val="17"/>
          <w:szCs w:val="17"/>
          <w:color w:val="auto"/>
        </w:rPr>
      </w:pPr>
      <w:r>
        <w:rPr>
          <w:rFonts w:ascii="Arial" w:cs="Arial" w:eastAsia="Arial" w:hAnsi="Arial"/>
          <w:sz w:val="17"/>
          <w:szCs w:val="17"/>
          <w:color w:val="auto"/>
        </w:rPr>
        <w:t xml:space="preserve">after such assignment or transfer, holds at least one million (1,000,000) shares of Registrable Securities (appropriately adjusted for any stock split, dividend, combination or other recapitalization), </w:t>
      </w:r>
      <w:r>
        <w:rPr>
          <w:rFonts w:ascii="Arial" w:cs="Arial" w:eastAsia="Arial" w:hAnsi="Arial"/>
          <w:sz w:val="17"/>
          <w:szCs w:val="17"/>
          <w:u w:val="single" w:color="auto"/>
          <w:color w:val="auto"/>
        </w:rPr>
        <w:t>provided</w:t>
      </w:r>
      <w:r>
        <w:rPr>
          <w:rFonts w:ascii="Arial" w:cs="Arial" w:eastAsia="Arial" w:hAnsi="Arial"/>
          <w:sz w:val="17"/>
          <w:szCs w:val="17"/>
          <w:color w:val="auto"/>
        </w:rPr>
        <w:t>: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1.12 below; and (iii) such assignment shall be effective only if immediately following such transfer the further disposition of such securities by the transferee or assignee is restricted under the Act.</w:t>
      </w:r>
    </w:p>
    <w:p>
      <w:pPr>
        <w:spacing w:after="0" w:line="182" w:lineRule="exact"/>
        <w:rPr>
          <w:sz w:val="20"/>
          <w:szCs w:val="20"/>
          <w:color w:val="auto"/>
        </w:rPr>
      </w:pPr>
    </w:p>
    <w:p>
      <w:pPr>
        <w:ind w:left="10" w:right="40" w:firstLine="880"/>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holding a majority of the voting power (as determined in accordance with Section IV(B)(5)(a) of the Restated Certificate) represented by the Registrable Securities then held by all Holders (voting together as a single class and on an as-converted basis), enter into any agreement with any holder or prospective holder of any securities of the Company that would allow such holder or prospective holder (a) any registration rights the terms of which are equal to or more favorable than the registration rights granted to Holders hereunder or (b) to demand registration of their securities.</w:t>
      </w:r>
    </w:p>
    <w:p>
      <w:pPr>
        <w:spacing w:after="0" w:line="299" w:lineRule="exact"/>
        <w:rPr>
          <w:sz w:val="20"/>
          <w:szCs w:val="20"/>
          <w:color w:val="auto"/>
        </w:rPr>
      </w:pPr>
    </w:p>
    <w:p>
      <w:pPr>
        <w:ind w:left="890"/>
        <w:spacing w:after="0"/>
        <w:tabs>
          <w:tab w:leader="none" w:pos="1349"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w:t>
      </w:r>
    </w:p>
    <w:p>
      <w:pPr>
        <w:spacing w:after="0" w:line="117" w:lineRule="exact"/>
        <w:rPr>
          <w:sz w:val="20"/>
          <w:szCs w:val="20"/>
          <w:color w:val="auto"/>
        </w:rPr>
      </w:pPr>
    </w:p>
    <w:p>
      <w:pPr>
        <w:ind w:left="10" w:firstLine="1421"/>
        <w:spacing w:after="0" w:line="269" w:lineRule="auto"/>
        <w:tabs>
          <w:tab w:leader="none" w:pos="182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(l80)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of equity securities, shall not apply to the sale of any shares to an underwriter pursuant to an underwriting agreement, and shall only be applicable to the Holders if all officers, directors and greater than one percent (1%) stockholders of the Company enter into</w:t>
      </w:r>
    </w:p>
    <w:p>
      <w:pPr>
        <w:spacing w:after="0" w:line="11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0"/>
          </w:cols>
          <w:pgMar w:left="450" w:top="274" w:right="439" w:bottom="1440" w:gutter="0" w:footer="0" w:header="0"/>
        </w:sectPr>
      </w:pPr>
    </w:p>
    <w:bookmarkStart w:id="470" w:name="page471"/>
    <w:bookmarkEnd w:id="470"/>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60" w:lineRule="exact"/>
        <w:rPr>
          <w:sz w:val="20"/>
          <w:szCs w:val="20"/>
          <w:color w:val="auto"/>
        </w:rPr>
      </w:pPr>
    </w:p>
    <w:p>
      <w:pPr>
        <w:ind w:firstLine="880"/>
        <w:spacing w:after="0" w:line="271" w:lineRule="auto"/>
        <w:rPr>
          <w:sz w:val="20"/>
          <w:szCs w:val="20"/>
          <w:color w:val="auto"/>
        </w:rPr>
      </w:pPr>
      <w:r>
        <w:rPr>
          <w:rFonts w:ascii="Arial" w:cs="Arial" w:eastAsia="Arial" w:hAnsi="Arial"/>
          <w:sz w:val="17"/>
          <w:szCs w:val="17"/>
          <w:color w:val="auto"/>
        </w:rPr>
        <w:t>In order to enforce the foregoing covenant, the Company may impose stop transfer instructions with respect to the Registrable Securities of each Holder (and the shares or securities of every other person subject to the foregoing restriction) until the end of such period. Notwithstanding the foregoing, in the event the Company is not an “emerging growth company” as defined in Section 101 of the Jumpstart Our Business Startups Act of 2012, and, if (i) during the last seventeen (17) days of the one hundred eighty (180)-day restricted period, the Company issues an earnings release or material news or a material event relating to the Company occurs; or (ii) prior to the expiration of the one hundred eighty (180)-day restricted period, the Company announces that it will release earnings results during the sixteen (16)-day period beginning on the last day of the one hundred eighty (180)-day period, the restrictions imposed by this Section 1.13 shall continue to apply until the expiration of the eighteen (18)-day period beginning on the issuance of the earnings release or the occurrence of the material news or material event.</w:t>
      </w:r>
    </w:p>
    <w:p>
      <w:pPr>
        <w:spacing w:after="0" w:line="177" w:lineRule="exact"/>
        <w:rPr>
          <w:sz w:val="20"/>
          <w:szCs w:val="20"/>
          <w:color w:val="auto"/>
        </w:rPr>
      </w:pPr>
    </w:p>
    <w:p>
      <w:pPr>
        <w:ind w:right="60" w:firstLine="1421"/>
        <w:spacing w:after="0" w:line="307" w:lineRule="auto"/>
        <w:tabs>
          <w:tab w:leader="none" w:pos="182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Each Holder agrees that a legend reading substantially as follows shall be placed on all certificates representing all Registrable Securities of each Holder (and the shares or securities of every other person subject to the restriction contained in this Section 1.13):</w:t>
      </w:r>
    </w:p>
    <w:p>
      <w:pPr>
        <w:spacing w:after="0" w:line="39" w:lineRule="exact"/>
        <w:rPr>
          <w:sz w:val="20"/>
          <w:szCs w:val="20"/>
          <w:color w:val="auto"/>
        </w:rPr>
      </w:pPr>
    </w:p>
    <w:p>
      <w:pPr>
        <w:ind w:left="440" w:right="260"/>
        <w:spacing w:after="0" w:line="279" w:lineRule="auto"/>
        <w:rPr>
          <w:sz w:val="20"/>
          <w:szCs w:val="20"/>
          <w:color w:val="auto"/>
        </w:rPr>
      </w:pPr>
      <w:r>
        <w:rPr>
          <w:rFonts w:ascii="Arial" w:cs="Arial" w:eastAsia="Arial" w:hAnsi="Arial"/>
          <w:sz w:val="17"/>
          <w:szCs w:val="17"/>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70" w:lineRule="exact"/>
        <w:rPr>
          <w:sz w:val="20"/>
          <w:szCs w:val="20"/>
          <w:color w:val="auto"/>
        </w:rPr>
      </w:pPr>
    </w:p>
    <w:p>
      <w:pPr>
        <w:ind w:firstLine="880"/>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 Holder shall be entitled to exercise any right provided for in this Section 1 (a) after four (4)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3" w:right="459" w:bottom="1440" w:gutter="0" w:footer="0" w:header="0"/>
        </w:sectPr>
      </w:pPr>
    </w:p>
    <w:bookmarkStart w:id="471" w:name="page472"/>
    <w:bookmarkEnd w:id="471"/>
    <w:p>
      <w:pPr>
        <w:ind w:left="1180" w:hanging="309"/>
        <w:spacing w:after="0"/>
        <w:tabs>
          <w:tab w:leader="none" w:pos="1180"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Company</w:t>
      </w:r>
      <w:r>
        <w:rPr>
          <w:rFonts w:ascii="Arial" w:cs="Arial" w:eastAsia="Arial" w:hAnsi="Arial"/>
          <w:sz w:val="18"/>
          <w:szCs w:val="18"/>
          <w:color w:val="auto"/>
        </w:rPr>
        <w:t>.</w:t>
      </w:r>
    </w:p>
    <w:p>
      <w:pPr>
        <w:spacing w:after="0" w:line="117" w:lineRule="exact"/>
        <w:rPr>
          <w:sz w:val="20"/>
          <w:szCs w:val="20"/>
          <w:color w:val="auto"/>
        </w:rPr>
      </w:pPr>
    </w:p>
    <w:p>
      <w:pPr>
        <w:ind w:right="40" w:firstLine="1431"/>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upon request, deliver to each Investor (or transferee of an Investor) that holds at least 4,000,000 shares of Registrable Securities (appropriately adjusted for any stock split, dividend, combination or other recapitalization) (a “</w:t>
      </w:r>
      <w:r>
        <w:rPr>
          <w:rFonts w:ascii="Arial" w:cs="Arial" w:eastAsia="Arial" w:hAnsi="Arial"/>
          <w:sz w:val="18"/>
          <w:szCs w:val="18"/>
          <w:u w:val="single" w:color="auto"/>
          <w:color w:val="auto"/>
        </w:rPr>
        <w:t>Major Investor</w:t>
      </w:r>
      <w:r>
        <w:rPr>
          <w:rFonts w:ascii="Arial" w:cs="Arial" w:eastAsia="Arial" w:hAnsi="Arial"/>
          <w:sz w:val="18"/>
          <w:szCs w:val="18"/>
          <w:color w:val="auto"/>
        </w:rPr>
        <w:t>”):</w:t>
      </w:r>
    </w:p>
    <w:p>
      <w:pPr>
        <w:spacing w:after="0" w:line="183" w:lineRule="exact"/>
        <w:rPr>
          <w:sz w:val="20"/>
          <w:szCs w:val="20"/>
          <w:color w:val="auto"/>
        </w:rPr>
      </w:pPr>
    </w:p>
    <w:p>
      <w:pPr>
        <w:ind w:right="100" w:firstLine="1862"/>
        <w:spacing w:after="0" w:line="296" w:lineRule="auto"/>
        <w:tabs>
          <w:tab w:leader="none" w:pos="2251" w:val="left"/>
        </w:tabs>
        <w:numPr>
          <w:ilvl w:val="1"/>
          <w:numId w:val="506"/>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and setting forth in each case in comparative form the figures for the previous fiscal year, all in reasonable detail, and audited and certified by independent public accountants of nationally recognized standing selected by the Company;</w:t>
      </w:r>
    </w:p>
    <w:p>
      <w:pPr>
        <w:spacing w:after="0" w:line="160" w:lineRule="exact"/>
        <w:rPr>
          <w:rFonts w:ascii="Arial" w:cs="Arial" w:eastAsia="Arial" w:hAnsi="Arial"/>
          <w:sz w:val="16"/>
          <w:szCs w:val="16"/>
          <w:color w:val="auto"/>
        </w:rPr>
      </w:pPr>
    </w:p>
    <w:p>
      <w:pPr>
        <w:ind w:firstLine="1862"/>
        <w:spacing w:after="0" w:line="279" w:lineRule="auto"/>
        <w:tabs>
          <w:tab w:leader="none" w:pos="2261" w:val="left"/>
        </w:tabs>
        <w:numPr>
          <w:ilvl w:val="1"/>
          <w:numId w:val="506"/>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an unaudited income statement,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0" w:lineRule="exact"/>
        <w:rPr>
          <w:rFonts w:ascii="Arial" w:cs="Arial" w:eastAsia="Arial" w:hAnsi="Arial"/>
          <w:sz w:val="17"/>
          <w:szCs w:val="17"/>
          <w:color w:val="auto"/>
        </w:rPr>
      </w:pPr>
    </w:p>
    <w:p>
      <w:pPr>
        <w:ind w:right="160" w:firstLine="1421"/>
        <w:spacing w:after="0" w:line="259" w:lineRule="auto"/>
        <w:tabs>
          <w:tab w:leader="none" w:pos="181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 with a comparison to plan;</w:t>
      </w:r>
    </w:p>
    <w:p>
      <w:pPr>
        <w:spacing w:after="0" w:line="185" w:lineRule="exact"/>
        <w:rPr>
          <w:rFonts w:ascii="Arial" w:cs="Arial" w:eastAsia="Arial" w:hAnsi="Arial"/>
          <w:sz w:val="18"/>
          <w:szCs w:val="18"/>
          <w:color w:val="auto"/>
        </w:rPr>
      </w:pPr>
    </w:p>
    <w:p>
      <w:pPr>
        <w:jc w:val="both"/>
        <w:ind w:right="80" w:firstLine="1862"/>
        <w:spacing w:after="0" w:line="263" w:lineRule="auto"/>
        <w:tabs>
          <w:tab w:leader="none" w:pos="226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as soon as practicable, but in any event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 and</w:t>
      </w:r>
    </w:p>
    <w:p>
      <w:pPr>
        <w:spacing w:after="0" w:line="182" w:lineRule="exact"/>
        <w:rPr>
          <w:rFonts w:ascii="Arial" w:cs="Arial" w:eastAsia="Arial" w:hAnsi="Arial"/>
          <w:sz w:val="18"/>
          <w:szCs w:val="18"/>
          <w:color w:val="auto"/>
        </w:rPr>
      </w:pPr>
    </w:p>
    <w:p>
      <w:pPr>
        <w:ind w:firstLine="1862"/>
        <w:spacing w:after="0" w:line="255" w:lineRule="auto"/>
        <w:tabs>
          <w:tab w:leader="none" w:pos="225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recipient to calculate their respective percentage equity ownership in the Company.</w:t>
      </w:r>
    </w:p>
    <w:p>
      <w:pPr>
        <w:spacing w:after="0" w:line="191" w:lineRule="exact"/>
        <w:rPr>
          <w:sz w:val="20"/>
          <w:szCs w:val="20"/>
          <w:color w:val="auto"/>
        </w:rPr>
      </w:pPr>
    </w:p>
    <w:p>
      <w:pPr>
        <w:ind w:right="180" w:firstLine="1431"/>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472" w:name="page473"/>
    <w:bookmarkEnd w:id="472"/>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information that it reasonably considers to be a trade secret or similar confidential information until the Major Investor signs a confidentiality agreement in a form reasonably acceptable to the Company.</w:t>
      </w:r>
    </w:p>
    <w:p>
      <w:pPr>
        <w:spacing w:after="0" w:line="170" w:lineRule="exact"/>
        <w:rPr>
          <w:sz w:val="20"/>
          <w:szCs w:val="20"/>
          <w:color w:val="auto"/>
        </w:rPr>
      </w:pPr>
    </w:p>
    <w:p>
      <w:pPr>
        <w:ind w:firstLine="1431"/>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Termination of Information and Inspection Covenants</w:t>
      </w:r>
      <w:r>
        <w:rPr>
          <w:rFonts w:ascii="Arial" w:cs="Arial" w:eastAsia="Arial" w:hAnsi="Arial"/>
          <w:sz w:val="18"/>
          <w:szCs w:val="18"/>
          <w:color w:val="auto"/>
        </w:rPr>
        <w:t>. The covenants set forth in Sections 2.1 and 2.2 shall terminate and be of no further force or effect upon the earlier to occur of (i) the consummation of a Qualified Public Offering (as defined in the Restated Certificate) or (ii) the consummation of a Liquidation Event, (as defined in Restated Certificate).</w:t>
      </w:r>
    </w:p>
    <w:p>
      <w:pPr>
        <w:spacing w:after="0" w:line="183" w:lineRule="exact"/>
        <w:rPr>
          <w:sz w:val="20"/>
          <w:szCs w:val="20"/>
          <w:color w:val="auto"/>
        </w:rPr>
      </w:pPr>
    </w:p>
    <w:p>
      <w:pPr>
        <w:ind w:right="200" w:firstLine="1431"/>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Subject to the terms and conditions specified in this Section 2.4, the Company hereby grants to each Major Investor a right of first offer with respect to future sales by the Company of its Shares (as hereinafter defined). For purposes of this Section 2.4, the term “</w:t>
      </w:r>
      <w:r>
        <w:rPr>
          <w:rFonts w:ascii="Arial" w:cs="Arial" w:eastAsia="Arial" w:hAnsi="Arial"/>
          <w:sz w:val="17"/>
          <w:szCs w:val="17"/>
          <w:u w:val="single" w:color="auto"/>
          <w:color w:val="auto"/>
        </w:rPr>
        <w:t>Major Investor</w:t>
      </w:r>
      <w:r>
        <w:rPr>
          <w:rFonts w:ascii="Arial" w:cs="Arial" w:eastAsia="Arial" w:hAnsi="Arial"/>
          <w:sz w:val="17"/>
          <w:szCs w:val="17"/>
          <w:color w:val="auto"/>
        </w:rPr>
        <w:t>” includes any general partners and affiliates of a Major Investor. A Major Investor shall be entitled to apportion the right of first offer hereby granted it among itself and its partners and Affiliates in such proportions as it deems appropriate.</w:t>
      </w:r>
    </w:p>
    <w:p>
      <w:pPr>
        <w:spacing w:after="0" w:line="170" w:lineRule="exact"/>
        <w:rPr>
          <w:sz w:val="20"/>
          <w:szCs w:val="20"/>
          <w:color w:val="auto"/>
        </w:rPr>
      </w:pPr>
    </w:p>
    <w:p>
      <w:pPr>
        <w:ind w:right="100" w:firstLine="880"/>
        <w:spacing w:after="0" w:line="263" w:lineRule="auto"/>
        <w:rPr>
          <w:sz w:val="20"/>
          <w:szCs w:val="20"/>
          <w:color w:val="auto"/>
        </w:rPr>
      </w:pPr>
      <w:r>
        <w:rPr>
          <w:rFonts w:ascii="Arial" w:cs="Arial" w:eastAsia="Arial" w:hAnsi="Arial"/>
          <w:sz w:val="18"/>
          <w:szCs w:val="18"/>
          <w:color w:val="auto"/>
        </w:rPr>
        <w:t>Each time the Company proposes to offer any shares of, or securities convertible into or exchangeable or exercisable for any shares of, its capital stock (including, without limitation, any unit of debt or equity securities)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Investor in accordance with the following provisions:</w:t>
      </w:r>
    </w:p>
    <w:p>
      <w:pPr>
        <w:spacing w:after="0" w:line="183" w:lineRule="exact"/>
        <w:rPr>
          <w:sz w:val="20"/>
          <w:szCs w:val="20"/>
          <w:color w:val="auto"/>
        </w:rPr>
      </w:pPr>
    </w:p>
    <w:p>
      <w:pPr>
        <w:ind w:right="300" w:firstLine="1862"/>
        <w:spacing w:after="0" w:line="341" w:lineRule="auto"/>
        <w:tabs>
          <w:tab w:leader="none" w:pos="2247"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Company shall deliver a notice in accordance with Section 3.5 (“</w:t>
      </w:r>
      <w:r>
        <w:rPr>
          <w:rFonts w:ascii="Arial" w:cs="Arial" w:eastAsia="Arial" w:hAnsi="Arial"/>
          <w:sz w:val="16"/>
          <w:szCs w:val="16"/>
          <w:u w:val="single" w:color="auto"/>
          <w:color w:val="auto"/>
        </w:rPr>
        <w:t>Notice</w:t>
      </w:r>
      <w:r>
        <w:rPr>
          <w:rFonts w:ascii="Arial" w:cs="Arial" w:eastAsia="Arial" w:hAnsi="Arial"/>
          <w:sz w:val="16"/>
          <w:szCs w:val="16"/>
          <w:color w:val="auto"/>
        </w:rPr>
        <w:t>”) to the Investors stating (i) its bona fide intention to offer such Shares, (ii) the number of such Shares to be offered and (iii) the price and terms upon which it proposes to offer such Shares.</w:t>
      </w:r>
    </w:p>
    <w:p>
      <w:pPr>
        <w:spacing w:after="0" w:line="124" w:lineRule="exact"/>
        <w:rPr>
          <w:rFonts w:ascii="Arial" w:cs="Arial" w:eastAsia="Arial" w:hAnsi="Arial"/>
          <w:sz w:val="16"/>
          <w:szCs w:val="16"/>
          <w:color w:val="auto"/>
        </w:rPr>
      </w:pPr>
    </w:p>
    <w:p>
      <w:pPr>
        <w:ind w:right="20" w:firstLine="1862"/>
        <w:spacing w:after="0" w:line="269" w:lineRule="auto"/>
        <w:tabs>
          <w:tab w:leader="none" w:pos="2261" w:val="left"/>
        </w:tabs>
        <w:numPr>
          <w:ilvl w:val="0"/>
          <w:numId w:val="508"/>
        </w:numPr>
        <w:rPr>
          <w:rFonts w:ascii="Arial" w:cs="Arial" w:eastAsia="Arial" w:hAnsi="Arial"/>
          <w:sz w:val="17"/>
          <w:szCs w:val="17"/>
          <w:color w:val="auto"/>
        </w:rPr>
      </w:pPr>
      <w:r>
        <w:rPr>
          <w:rFonts w:ascii="Arial" w:cs="Arial" w:eastAsia="Arial" w:hAnsi="Arial"/>
          <w:sz w:val="17"/>
          <w:szCs w:val="17"/>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Common Stock issued and held, or issuable upon conversion of Preferred Stock then held, by such Investor bears to the total number of shares of Common Stock of the Company then outstanding (assuming full conversion and exercise of all convertible and exercisable securities then outstanding). The Company shall promptly, in writing, inform each Major Investor that elects to purchase all the shares available to it (a “</w:t>
      </w:r>
      <w:r>
        <w:rPr>
          <w:rFonts w:ascii="Arial" w:cs="Arial" w:eastAsia="Arial" w:hAnsi="Arial"/>
          <w:sz w:val="17"/>
          <w:szCs w:val="17"/>
          <w:u w:val="single" w:color="auto"/>
          <w:color w:val="auto"/>
        </w:rPr>
        <w:t>Fully-Exercising Major Investor</w:t>
      </w:r>
      <w:r>
        <w:rPr>
          <w:rFonts w:ascii="Arial" w:cs="Arial" w:eastAsia="Arial" w:hAnsi="Arial"/>
          <w:sz w:val="17"/>
          <w:szCs w:val="17"/>
          <w:color w:val="auto"/>
        </w:rPr>
        <w:t>”) of any other Major Investor’s failure to do likewise. During the ten (10) day period commencing after such information is given, each Fully-Exercising Major Investor may elect to purchase that portion of the Shares for which Major Investors were entitled to subscribe, but which were not subscribed for by the Major Investors, that is equal to the proportion that the number of shares of Common Stock held by such Fully-Exercising Major Investor (assuming full conversion and exercise of all convertible and exercisable securities then outstanding) bears to the number of shares of Common Stock held by all Fully-Exercising Major Investors (assuming full conversion and exercise of all convertible and exercisable securities then outstanding).</w:t>
      </w:r>
    </w:p>
    <w:p>
      <w:pPr>
        <w:spacing w:after="0" w:line="179" w:lineRule="exact"/>
        <w:rPr>
          <w:rFonts w:ascii="Arial" w:cs="Arial" w:eastAsia="Arial" w:hAnsi="Arial"/>
          <w:sz w:val="17"/>
          <w:szCs w:val="17"/>
          <w:color w:val="auto"/>
        </w:rPr>
      </w:pPr>
    </w:p>
    <w:p>
      <w:pPr>
        <w:ind w:left="2240" w:hanging="378"/>
        <w:spacing w:after="0"/>
        <w:tabs>
          <w:tab w:leader="none" w:pos="2240" w:val="left"/>
        </w:tabs>
        <w:numPr>
          <w:ilvl w:val="0"/>
          <w:numId w:val="508"/>
        </w:numPr>
        <w:rPr>
          <w:rFonts w:ascii="Arial" w:cs="Arial" w:eastAsia="Arial" w:hAnsi="Arial"/>
          <w:sz w:val="16"/>
          <w:szCs w:val="16"/>
          <w:color w:val="auto"/>
        </w:rPr>
      </w:pPr>
      <w:r>
        <w:rPr>
          <w:rFonts w:ascii="Arial" w:cs="Arial" w:eastAsia="Arial" w:hAnsi="Arial"/>
          <w:sz w:val="16"/>
          <w:szCs w:val="16"/>
          <w:color w:val="auto"/>
        </w:rPr>
        <w:t>If all Shares that Major Investors are entitled to obtain pursuant to subsection 2.4(b) are not elected to be obtained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provided in subsection 2.4(b)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73" w:name="page474"/>
    <w:bookmarkEnd w:id="47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the Company may, during the ninety (90) day period following the expiration of the period provided in subsection 2.4(b) hereof,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91" w:lineRule="exact"/>
        <w:rPr>
          <w:sz w:val="20"/>
          <w:szCs w:val="20"/>
          <w:color w:val="auto"/>
        </w:rPr>
      </w:pPr>
    </w:p>
    <w:p>
      <w:pPr>
        <w:ind w:firstLine="1862"/>
        <w:spacing w:after="0" w:line="285" w:lineRule="auto"/>
        <w:tabs>
          <w:tab w:leader="none" w:pos="2257" w:val="left"/>
        </w:tabs>
        <w:numPr>
          <w:ilvl w:val="1"/>
          <w:numId w:val="509"/>
        </w:numPr>
        <w:rPr>
          <w:rFonts w:ascii="Arial" w:cs="Arial" w:eastAsia="Arial" w:hAnsi="Arial"/>
          <w:sz w:val="16"/>
          <w:szCs w:val="16"/>
          <w:color w:val="auto"/>
        </w:rPr>
      </w:pPr>
      <w:r>
        <w:rPr>
          <w:rFonts w:ascii="Arial" w:cs="Arial" w:eastAsia="Arial" w:hAnsi="Arial"/>
          <w:sz w:val="16"/>
          <w:szCs w:val="16"/>
          <w:color w:val="auto"/>
        </w:rPr>
        <w:t>The right of first offer in this Section 2.4 shall not be applicable to (i) the issuance or sale of shares of Common Stock (or options therefor) to employees, directors, consultants and other service providers for the primary purpose of soliciting or retaining their services pursuant to plans or agreements approved by the Company’s Board of Directors (which approval shall include the affirmative vote of the Series 4 Director, Series 5 Director, Series 6 Director or Series 7 Director (each as defined in that certain Amended and Restated Voting Agreement, by and between the Company and certain stockholders, dated as of the date hereof, collectively,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(ii) the issuance of securities pursuant to a bona fide, firmly underwritten public offering of shares of Common Stock registered under the Act, (iii) the issuance of securities pursuant to the conversion or exercise of convertible or exercisable securities outstanding as of the date hereof, (iv) the issuance of securities in connection with a bona fide business acquisition of or by the Company, whether by merger, consolidation, sale of assets, sale or exchange of stock or otherwise, approved by the Company’s Board of Directors (which approval shall include the vote of a Preferred Director), (v) the issuance and sale of Series 7 Preferred Stock pursuant to the Series 7 Purchase Agreement, (vi) the issuance of stock, warrants or other securities or rights to persons or entities with which the Company has business relationships, provided such issuances are primarily for non-equity financing purposes (which approval shall include the affirmative vote of a Preferred Director), or (vii) the issuance of securities to non-Affiliates that are specifically deemed not to be subject to the right of first offer in this Section 2.4 by the written consent or affirmative vote of the Major Investors holding greater than fifty percent (50%) of the Registrable Securities then held by all Major Investors. In addition to the foregoing, the right of first offer in this Section 2.4 shall not be applicable with respect to any Investor in any subsequent offering of Shares if (i) at the time of such offering, the Investor is not an “accredited investor,” as that term is then defined in Rule 501(a) of the Act and (ii) such offering of Shares is otherwise being offered only to accredited investors.</w:t>
      </w:r>
    </w:p>
    <w:p>
      <w:pPr>
        <w:spacing w:after="0" w:line="173" w:lineRule="exact"/>
        <w:rPr>
          <w:rFonts w:ascii="Arial" w:cs="Arial" w:eastAsia="Arial" w:hAnsi="Arial"/>
          <w:sz w:val="16"/>
          <w:szCs w:val="16"/>
          <w:color w:val="auto"/>
        </w:rPr>
      </w:pPr>
    </w:p>
    <w:p>
      <w:pPr>
        <w:ind w:right="320" w:firstLine="1421"/>
        <w:spacing w:after="0" w:line="277" w:lineRule="auto"/>
        <w:tabs>
          <w:tab w:leader="none" w:pos="1807"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The rights provided in this Section 2.4 may not be assigned or transferred by any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Major Investor that is a venture capital fund may assign or transfer such rights to its Affiliates.</w:t>
      </w:r>
    </w:p>
    <w:p>
      <w:pPr>
        <w:spacing w:after="0" w:line="169" w:lineRule="exact"/>
        <w:rPr>
          <w:rFonts w:ascii="Arial" w:cs="Arial" w:eastAsia="Arial" w:hAnsi="Arial"/>
          <w:sz w:val="18"/>
          <w:szCs w:val="18"/>
          <w:color w:val="auto"/>
        </w:rPr>
      </w:pPr>
    </w:p>
    <w:p>
      <w:pPr>
        <w:ind w:right="220" w:firstLine="1421"/>
        <w:spacing w:after="0" w:line="277" w:lineRule="auto"/>
        <w:tabs>
          <w:tab w:leader="none" w:pos="1787"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covenants set forth in this Section 2.4 shall terminate and be of no further force or effect upon the consummation of (i) a Qualified Public Offering or (ii) a Liquidation Event.</w:t>
      </w:r>
    </w:p>
    <w:p>
      <w:pPr>
        <w:spacing w:after="0" w:line="170" w:lineRule="exact"/>
        <w:rPr>
          <w:sz w:val="20"/>
          <w:szCs w:val="20"/>
          <w:color w:val="auto"/>
        </w:rPr>
      </w:pPr>
    </w:p>
    <w:p>
      <w:pPr>
        <w:ind w:right="340" w:firstLine="88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shall have in place at all times at least $5,000,000 in directors and officers insurance policies or an amount approved by the Board of Directors, including a majority of the Preferred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474" w:name="page475"/>
    <w:bookmarkEnd w:id="474"/>
    <w:p>
      <w:pPr>
        <w:ind w:left="10" w:right="680" w:firstLine="8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183" w:lineRule="exact"/>
        <w:rPr>
          <w:sz w:val="20"/>
          <w:szCs w:val="20"/>
          <w:color w:val="auto"/>
        </w:rPr>
      </w:pPr>
    </w:p>
    <w:p>
      <w:pPr>
        <w:ind w:left="10" w:right="220" w:firstLine="880"/>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Unless approved by the Board of Directors of the Company,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w:t>
      </w:r>
    </w:p>
    <w:p>
      <w:pPr>
        <w:spacing w:after="0" w:line="1" w:lineRule="exact"/>
        <w:rPr>
          <w:sz w:val="20"/>
          <w:szCs w:val="20"/>
          <w:color w:val="auto"/>
        </w:rPr>
      </w:pPr>
    </w:p>
    <w:p>
      <w:pPr>
        <w:ind w:left="10" w:right="60" w:hanging="10"/>
        <w:spacing w:after="0" w:line="267" w:lineRule="auto"/>
        <w:tabs>
          <w:tab w:leader="none" w:pos="354" w:val="left"/>
        </w:tabs>
        <w:numPr>
          <w:ilvl w:val="0"/>
          <w:numId w:val="511"/>
        </w:numPr>
        <w:rPr>
          <w:rFonts w:ascii="Arial" w:cs="Arial" w:eastAsia="Arial" w:hAnsi="Arial"/>
          <w:sz w:val="17"/>
          <w:szCs w:val="17"/>
          <w:color w:val="auto"/>
        </w:rPr>
      </w:pPr>
      <w:r>
        <w:rPr>
          <w:rFonts w:ascii="Arial" w:cs="Arial" w:eastAsia="Arial" w:hAnsi="Arial"/>
          <w:sz w:val="17"/>
          <w:szCs w:val="17"/>
          <w:color w:val="auto"/>
        </w:rPr>
        <w:t>months thereafter and (b) a one hundred and eighty (180)-day lockup period (plus an additional period of up to eighteen (18) days) in connection with the Company’s initial public offering; provided, however, that all future equity issuances to current employees of the Company may vest in equal monthly installments over a forty eight (48) month period; provided further, however, that all future equity issuances to current employees of the Company that have not provided twelve (12) months of continued employment or services to the Company shall provide for vesting of shares over a four (4) year period with the first twenty five percent (25%) of such shares following twelve (12) months of continued employment or services. The Company shall retain a right of first refusal on transfers until the Company’s initial public offering and the right to repurchase unvested shares at cost. Notwithstanding the foregoing, any future grants of Common Stock equivalents to Jeffrey Dunn, Leonard Rudolf or Mark Reiley (collectively, the “</w:t>
      </w:r>
      <w:r>
        <w:rPr>
          <w:rFonts w:ascii="Arial" w:cs="Arial" w:eastAsia="Arial" w:hAnsi="Arial"/>
          <w:sz w:val="17"/>
          <w:szCs w:val="17"/>
          <w:u w:val="single" w:color="auto"/>
          <w:color w:val="auto"/>
        </w:rPr>
        <w:t>Founders</w:t>
      </w:r>
      <w:r>
        <w:rPr>
          <w:rFonts w:ascii="Arial" w:cs="Arial" w:eastAsia="Arial" w:hAnsi="Arial"/>
          <w:sz w:val="17"/>
          <w:szCs w:val="17"/>
          <w:color w:val="auto"/>
        </w:rPr>
        <w:t>”) shall provide that all of such unvested Common Stock equivalents held by a Founder shall vest immediately upon a change of control transaction where the stockholders of the Company immediately prior to the consummation of such transaction do not own 50% of the shares of capital stock of the surviving entity, provided that the Founder agrees to work for the acquirer or the surviving entity to facilitate an integration of the Company into the acquirer or surviving entity for a period not to exceed six (6) months unless otherwise agreed to by the Founder, the Company and the acquirer or surviving entity.</w:t>
      </w:r>
    </w:p>
    <w:p>
      <w:pPr>
        <w:spacing w:after="0" w:line="182" w:lineRule="exact"/>
        <w:rPr>
          <w:sz w:val="20"/>
          <w:szCs w:val="20"/>
          <w:color w:val="auto"/>
        </w:rPr>
      </w:pPr>
    </w:p>
    <w:p>
      <w:pPr>
        <w:ind w:left="10" w:firstLine="1431"/>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Preservation of Qualified Small Business Stock Status</w:t>
      </w:r>
      <w:r>
        <w:rPr>
          <w:rFonts w:ascii="Arial" w:cs="Arial" w:eastAsia="Arial" w:hAnsi="Arial"/>
          <w:sz w:val="16"/>
          <w:szCs w:val="16"/>
          <w:color w:val="auto"/>
        </w:rPr>
        <w:t>. The Company shall use commercially reasonable efforts to not take, or fail to take, any action which would cause the Preferred Stock (or Common Stock issuable upon conversion of Preferred Stock (the “</w:t>
      </w:r>
      <w:r>
        <w:rPr>
          <w:rFonts w:ascii="Arial" w:cs="Arial" w:eastAsia="Arial" w:hAnsi="Arial"/>
          <w:sz w:val="16"/>
          <w:szCs w:val="16"/>
          <w:u w:val="single" w:color="auto"/>
          <w:color w:val="auto"/>
        </w:rPr>
        <w:t>IOC Common</w:t>
      </w:r>
      <w:r>
        <w:rPr>
          <w:rFonts w:ascii="Arial" w:cs="Arial" w:eastAsia="Arial" w:hAnsi="Arial"/>
          <w:sz w:val="16"/>
          <w:szCs w:val="16"/>
          <w:color w:val="auto"/>
        </w:rPr>
        <w:t>”)) to fail to qualify as “qualified small business stock” within the meaning of Sections 1045 and 1202 of the Code and Sections 18152.5 and 18038.5 of the California Revenue and Taxation Code; provided that, notwithstanding the foregoing, the Company shall not be obligated to take any action, or refrain from any action, which the Board of Directors, including at least one Preferred Director, approves after taking into consideration the relevant “qualified small business stock” issues. In the event that the Company is or becomes aware that the Preferred Stock and/or IOC Common will or may fail to qualify as “qualified small business stock” within the meaning of Sections 1045 and 1202 of the Code or Sections 18152.5 and 18038.5 of the California Revenue and Taxation Code, the Company will promptly notify the holders of the Preferred Stock and/or IOC Common and will take such action as may be reasonably requested by such holders to avoid any loss of benefit attributable to such change.</w:t>
      </w:r>
    </w:p>
    <w:p>
      <w:pPr>
        <w:spacing w:after="0" w:line="9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10"/>
          </w:cols>
          <w:pgMar w:left="450" w:top="274" w:right="439" w:bottom="1440" w:gutter="0" w:footer="0" w:header="0"/>
        </w:sectPr>
      </w:pPr>
    </w:p>
    <w:bookmarkStart w:id="475" w:name="page476"/>
    <w:bookmarkEnd w:id="475"/>
    <w:p>
      <w:pPr>
        <w:ind w:right="120" w:firstLine="1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8"/>
          <w:szCs w:val="18"/>
          <w:u w:val="single" w:color="auto"/>
          <w:color w:val="auto"/>
        </w:rPr>
        <w:t>Board Expenses</w:t>
      </w:r>
      <w:r>
        <w:rPr>
          <w:rFonts w:ascii="Arial" w:cs="Arial" w:eastAsia="Arial" w:hAnsi="Arial"/>
          <w:sz w:val="18"/>
          <w:szCs w:val="18"/>
          <w:color w:val="auto"/>
        </w:rPr>
        <w:t>. The Company shall reimburse the nonemployee directors for all reasonable out-of-pocket expenses incurred in connection with attending meetings of the Board of Directors.</w:t>
      </w:r>
    </w:p>
    <w:p>
      <w:pPr>
        <w:spacing w:after="0" w:line="170" w:lineRule="exact"/>
        <w:rPr>
          <w:sz w:val="20"/>
          <w:szCs w:val="20"/>
          <w:color w:val="auto"/>
        </w:rPr>
      </w:pPr>
    </w:p>
    <w:p>
      <w:pPr>
        <w:ind w:right="80" w:firstLine="1431"/>
        <w:spacing w:after="0" w:line="26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Board Committees</w:t>
      </w:r>
      <w:r>
        <w:rPr>
          <w:rFonts w:ascii="Arial" w:cs="Arial" w:eastAsia="Arial" w:hAnsi="Arial"/>
          <w:sz w:val="18"/>
          <w:szCs w:val="18"/>
          <w:color w:val="auto"/>
        </w:rPr>
        <w:t>. The Series 7 Director (as defined in that certain Amended and Restated Voting Agreement, by and between the Company and certain stockholders, dated as of the date hereof) shall be entitled in such person’s discretion to be a member of any Board of Directors committee.</w:t>
      </w:r>
    </w:p>
    <w:p>
      <w:pPr>
        <w:spacing w:after="0" w:line="183" w:lineRule="exact"/>
        <w:rPr>
          <w:sz w:val="20"/>
          <w:szCs w:val="20"/>
          <w:color w:val="auto"/>
        </w:rPr>
      </w:pPr>
    </w:p>
    <w:p>
      <w:pPr>
        <w:ind w:firstLine="143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of Certain Covenants</w:t>
      </w:r>
      <w:r>
        <w:rPr>
          <w:rFonts w:ascii="Arial" w:cs="Arial" w:eastAsia="Arial" w:hAnsi="Arial"/>
          <w:sz w:val="18"/>
          <w:szCs w:val="18"/>
          <w:color w:val="auto"/>
        </w:rPr>
        <w:t>. The covenants set forth in Sections 2.5, 2.6, 2.7, 2.8, 2.9 and 2.10 shall terminate and be of no further force or effect upon the consummation of (i) a Qualified Public Offering or (ii) a Liquidation Event.</w:t>
      </w:r>
    </w:p>
    <w:p>
      <w:pPr>
        <w:spacing w:after="0" w:line="278" w:lineRule="exact"/>
        <w:rPr>
          <w:sz w:val="20"/>
          <w:szCs w:val="20"/>
          <w:color w:val="auto"/>
        </w:rPr>
      </w:pPr>
    </w:p>
    <w:p>
      <w:pPr>
        <w:ind w:left="1180" w:hanging="309"/>
        <w:spacing w:after="0"/>
        <w:tabs>
          <w:tab w:leader="none" w:pos="1180"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20" w:firstLine="1431"/>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terms and conditions of this Agreement shall inure to the benefit of and be binding upon the respective successors and assigns of the parties (including transferees of any shares of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56" w:lineRule="exact"/>
        <w:rPr>
          <w:sz w:val="20"/>
          <w:szCs w:val="20"/>
          <w:color w:val="auto"/>
        </w:rPr>
      </w:pPr>
    </w:p>
    <w:p>
      <w:pPr>
        <w:ind w:right="340" w:firstLine="143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as applied to agreements among Delaware residents entered into and to be performed entirely within Delaware.</w:t>
      </w:r>
    </w:p>
    <w:p>
      <w:pPr>
        <w:spacing w:after="0" w:line="170" w:lineRule="exact"/>
        <w:rPr>
          <w:sz w:val="20"/>
          <w:szCs w:val="20"/>
          <w:color w:val="auto"/>
        </w:rPr>
      </w:pPr>
    </w:p>
    <w:p>
      <w:pPr>
        <w:ind w:right="20" w:firstLine="143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80" w:firstLine="143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1420"/>
        <w:spacing w:after="0"/>
        <w:tabs>
          <w:tab w:leader="none" w:pos="18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hereto shall be in writing and shall be deemed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effectively given: (i) upon personal delivery to the party to be notified, (ii) when sent by confirmed electronic mail or facsimile if sent during normal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business hours of the recipient; if not, then on the next business day, (iii) five (5) days after having been sent by registered or certified mail, return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receipt requested, postage prepaid, or (iv) one (1) business day after deposit with a nationally recognized overnight courier, specifying next day delivery,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written verification of receipt and (ii) for persons located outside the United States, two (2) business days after deposit with an internationally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recognized overnight courier, with written verification of receipt. All communications shall be sent to the respective parties at the addresses set forth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signature pages attached hereto (or at such other addresses as shall be specified by notice given in accordance with this Section 3.5).</w:t>
      </w:r>
    </w:p>
    <w:p>
      <w:pPr>
        <w:spacing w:after="0" w:line="210" w:lineRule="exact"/>
        <w:rPr>
          <w:sz w:val="20"/>
          <w:szCs w:val="20"/>
          <w:color w:val="auto"/>
        </w:rPr>
      </w:pPr>
    </w:p>
    <w:p>
      <w:pPr>
        <w:ind w:right="60" w:firstLine="1431"/>
        <w:spacing w:after="0" w:line="34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3" w:right="459" w:bottom="1440" w:gutter="0" w:footer="0" w:header="0"/>
        </w:sectPr>
      </w:pPr>
    </w:p>
    <w:bookmarkStart w:id="476" w:name="page477"/>
    <w:bookmarkEnd w:id="476"/>
    <w:p>
      <w:pPr>
        <w:ind w:left="142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r>
        <w:rPr>
          <w:sz w:val="20"/>
          <w:szCs w:val="20"/>
          <w:color w:val="auto"/>
        </w:rPr>
        <w:tab/>
      </w:r>
      <w:r>
        <w:rPr>
          <w:rFonts w:ascii="Arial" w:cs="Arial" w:eastAsia="Arial" w:hAnsi="Arial"/>
          <w:sz w:val="16"/>
          <w:szCs w:val="16"/>
          <w:u w:val="single" w:color="auto"/>
          <w:color w:val="auto"/>
        </w:rPr>
        <w:t>Entire Agreement; Amendments and Waivers</w:t>
      </w:r>
      <w:r>
        <w:rPr>
          <w:rFonts w:ascii="Arial" w:cs="Arial" w:eastAsia="Arial" w:hAnsi="Arial"/>
          <w:sz w:val="16"/>
          <w:szCs w:val="16"/>
          <w:color w:val="auto"/>
        </w:rPr>
        <w:t>. This Agreement (including the Exhibits hereto, if any) constitutes the full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entire understanding and agreement among the parties with regard to the subjects hereof and thereof. Any term of this Agreement (other than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Section 2.1, Section 2.2, Section 2.3, Section 2.4 and 3.10) may be amended and the observance of any term of this Agreement may be waived (either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or in a particular instance and either retroactively or prospectively) only with the written consent of the Company and the holders of at least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voting power (as determined in accordance with Section IV(B)(5)(a) of the Restated Certificate) of Preferred Stock outstanding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as a single class and on an as-converted to common basis). The provisions of Section 2.1, Section 2.2, Section 2.3 and Section 2.4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or waived (either generally or in a particular instance and either retroactively or prospectively) only with the written consent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holders of at least a majority of the voting power (as determined in accordance with Section IV(B)(5)(a) of the Restated Certificate) of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outstanding that is held by all of the Major Investors (voting together as a single class and on an as-converted to common basis). The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3.10 may be amended or waived (either generally or in a particular instance and either retroactively or prospectively) only with the written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consent of Novo A/S. Notwithstanding the foregoing, this Agreement may not be amended or terminated and the observance of any term hereof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waived with respect to any Major Investor without the written consent of such Major Investor, unless such amendment, termination, or waiver applies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all Major Investors in the same fashion (it being agreed that (i) a waiver of the provisions of Section 2.4 with respect to a particular transaction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deemed to apply to all Major Investors in the same fashion if such waiver does so by its terms, notwithstanding the fact that certain Major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nonetheless, by agreement with the Company, purchase securities in such transaction and (ii) any amendment of the definition of Major Investor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would result in any Major Investor losing its status as a Major Investor shall require the consent of such adversely impacted Major Investor).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or waiver effected in accordance with this paragraph shall be binding upon each holder of any securities, each future holder of all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the Company. Notwithstanding this Section 3.7, no consent shall be necessary to add holders of the Company’s Preferred Stock as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signatories to this Agreement and to update Schedule A accordingly.</w:t>
      </w:r>
    </w:p>
    <w:p>
      <w:pPr>
        <w:spacing w:after="0" w:line="210" w:lineRule="exact"/>
        <w:rPr>
          <w:sz w:val="20"/>
          <w:szCs w:val="20"/>
          <w:color w:val="auto"/>
        </w:rPr>
      </w:pPr>
    </w:p>
    <w:p>
      <w:pPr>
        <w:ind w:right="100" w:firstLine="1431"/>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provision(s) shall be excluded from this Agreement and the balance of the Agreement shall be interpreted as if such provision(s) were so excluded and shall be enforceable in accordance with its terms.</w:t>
      </w:r>
    </w:p>
    <w:p>
      <w:pPr>
        <w:spacing w:after="0" w:line="183" w:lineRule="exact"/>
        <w:rPr>
          <w:sz w:val="20"/>
          <w:szCs w:val="20"/>
          <w:color w:val="auto"/>
        </w:rPr>
      </w:pPr>
    </w:p>
    <w:p>
      <w:pPr>
        <w:ind w:right="20" w:firstLine="1431"/>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securities held or acquired by affiliated entities (including affiliated venture capital funds) or persons shall be aggregated together for the purpose of determining the availability of any rights under this Agreement.</w:t>
      </w:r>
    </w:p>
    <w:p>
      <w:pPr>
        <w:spacing w:after="0" w:line="170" w:lineRule="exact"/>
        <w:rPr>
          <w:sz w:val="20"/>
          <w:szCs w:val="20"/>
          <w:color w:val="auto"/>
        </w:rPr>
      </w:pPr>
    </w:p>
    <w:p>
      <w:pPr>
        <w:jc w:val="both"/>
        <w:ind w:right="260" w:firstLine="1431"/>
        <w:spacing w:after="0" w:line="263"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 of Liability; Freedom to Operate Affiliates</w:t>
      </w:r>
      <w:r>
        <w:rPr>
          <w:rFonts w:ascii="Arial" w:cs="Arial" w:eastAsia="Arial" w:hAnsi="Arial"/>
          <w:sz w:val="18"/>
          <w:szCs w:val="18"/>
          <w:color w:val="auto"/>
        </w:rPr>
        <w:t>. The total 3.10 liability, in the aggregate, of any of Novo A/S and its respective officers, directors, employees and agents, for any and all monetary claims, losses, costs or damages, including attorneys’ and accountants’ fees and expenses and costs of any nature whatsoever or claims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60" w:top="274" w:right="439" w:bottom="1440" w:gutter="0" w:footer="0" w:header="0"/>
        </w:sectPr>
      </w:pPr>
    </w:p>
    <w:bookmarkStart w:id="477" w:name="page478"/>
    <w:bookmarkEnd w:id="47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resulting from or in any way related to this Agreement from any cause or causes shall be several and not joint with the other Stockholders and shall not exceed the aggregate purchase price paid to the Company by Novo A/S for securities of the Company, under the Series 7 Purchase Agreement or any other contract. It is intended that this limitation apply to any and all monetary liabilities or causes of action however alleged or arising, unless otherwise prohibited by law; provided, however, that this Section 3.10 shall in no way limit the Company’s right to equitable relief, including injunctive relief and specific performance from Novo A/S. Nothing in this Agreement or the Ancillary Agreements (as defined in the Purchase Agreement) shall restrict Novo A/S’s freedom to operate any of its affiliates (including any such affiliate that is a potential competitor of the Company).</w:t>
      </w:r>
    </w:p>
    <w:p>
      <w:pPr>
        <w:spacing w:after="0" w:line="163" w:lineRule="exact"/>
        <w:rPr>
          <w:sz w:val="20"/>
          <w:szCs w:val="20"/>
          <w:color w:val="auto"/>
        </w:rPr>
      </w:pPr>
    </w:p>
    <w:p>
      <w:pPr>
        <w:ind w:right="140" w:firstLine="1431"/>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Termination of Prior Agreement</w:t>
      </w:r>
      <w:r>
        <w:rPr>
          <w:rFonts w:ascii="Arial" w:cs="Arial" w:eastAsia="Arial" w:hAnsi="Arial"/>
          <w:sz w:val="18"/>
          <w:szCs w:val="18"/>
          <w:color w:val="auto"/>
        </w:rPr>
        <w:t>. Upon the effectiveness of this Agreement, the Prior Rights Agreement shall terminate and be of no further force and effect, and shall be superseded and replaced in its entirety by this Agreement.</w:t>
      </w:r>
    </w:p>
    <w:p>
      <w:pPr>
        <w:spacing w:after="0" w:line="170" w:lineRule="exact"/>
        <w:rPr>
          <w:sz w:val="20"/>
          <w:szCs w:val="20"/>
          <w:color w:val="auto"/>
        </w:rPr>
      </w:pPr>
    </w:p>
    <w:p>
      <w:pPr>
        <w:ind w:firstLine="1431"/>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Preemptive Rights Waiver</w:t>
      </w:r>
      <w:r>
        <w:rPr>
          <w:rFonts w:ascii="Arial" w:cs="Arial" w:eastAsia="Arial" w:hAnsi="Arial"/>
          <w:sz w:val="17"/>
          <w:szCs w:val="17"/>
          <w:color w:val="auto"/>
        </w:rPr>
        <w:t>. Each Investor hereby waives any rights to notice of and any rights to participate in the issuance of shares of Series 7 Preferred Stock pursuant to the Series 7 Purchase Agreement that such Investor may have, and, furthermore, each Investor, on its behalf and on behalf of all Major Investors (as such term is defined in the Prior Rights Agreement), hereby waives all rights set forth in Section 2.4 of the Prior Rights Agreement with respect to the transactions contemplated by the Series 7 Purchase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60" w:top="274" w:right="499" w:bottom="1440" w:gutter="0" w:footer="0" w:header="0"/>
        </w:sectPr>
      </w:pPr>
    </w:p>
    <w:bookmarkStart w:id="478" w:name="page479"/>
    <w:bookmarkEnd w:id="47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Dunn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ind w:left="100"/>
              <w:spacing w:after="0"/>
              <w:rPr>
                <w:sz w:val="20"/>
                <w:szCs w:val="20"/>
                <w:color w:val="auto"/>
              </w:rPr>
            </w:pPr>
            <w:r>
              <w:rPr>
                <w:rFonts w:ascii="Arial" w:cs="Arial" w:eastAsia="Arial" w:hAnsi="Arial"/>
                <w:sz w:val="18"/>
                <w:szCs w:val="18"/>
                <w:color w:val="auto"/>
              </w:rPr>
              <w:t>Jeffrey Dunn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79" w:name="page480"/>
    <w:bookmarkEnd w:id="479"/>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SKYLINE VENTURE PARTNERS V, L.P.</w:t>
      </w:r>
    </w:p>
    <w:p>
      <w:pPr>
        <w:spacing w:after="0" w:line="24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Skyline Venture Management V, LLC</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1158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8">
                      <a:extLst>
                        <a:ext uri="{28A0092B-C50C-407E-A947-70E740481C1C}"/>
                      </a:extLst>
                    </a:blip>
                    <a:srcRect/>
                    <a:stretch>
                      <a:fillRect/>
                    </a:stretch>
                  </pic:blipFill>
                  <pic:spPr bwMode="auto">
                    <a:xfrm>
                      <a:off x="0" y="0"/>
                      <a:ext cx="2115820" cy="8255"/>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G. Freund</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Its: Managing Director</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14605</wp:posOffset>
            </wp:positionV>
            <wp:extent cx="23215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9">
                      <a:extLst>
                        <a:ext uri="{28A0092B-C50C-407E-A947-70E740481C1C}"/>
                      </a:extLst>
                    </a:blip>
                    <a:srcRect/>
                    <a:stretch>
                      <a:fillRect/>
                    </a:stretch>
                  </pic:blipFill>
                  <pic:spPr bwMode="auto">
                    <a:xfrm>
                      <a:off x="0" y="0"/>
                      <a:ext cx="2321560" cy="825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168910</wp:posOffset>
            </wp:positionV>
            <wp:extent cx="23215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0">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4" w:right="819" w:bottom="1440" w:gutter="0" w:footer="0" w:header="0"/>
        </w:sectPr>
      </w:pPr>
    </w:p>
    <w:bookmarkStart w:id="480" w:name="page481"/>
    <w:bookmarkEnd w:id="48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MONTREUX EQUITY PARTNERS IV, LP</w:t>
      </w:r>
    </w:p>
    <w:p>
      <w:pPr>
        <w:spacing w:after="0" w:line="22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Partner</w:t>
      </w:r>
    </w:p>
    <w:p>
      <w:pPr>
        <w:spacing w:after="0" w:line="210"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Montreux Equity Partners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One Ferry Building</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Suite 255</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San Francisco, CA 94111</w:t>
      </w:r>
    </w:p>
    <w:p>
      <w:pPr>
        <w:spacing w:after="0" w:line="20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MONTREUX IV ASSOCIATES, LLC</w:t>
      </w:r>
    </w:p>
    <w:p>
      <w:pPr>
        <w:spacing w:after="0" w:line="229" w:lineRule="exact"/>
        <w:rPr>
          <w:sz w:val="20"/>
          <w:szCs w:val="20"/>
          <w:color w:val="auto"/>
        </w:rPr>
      </w:pPr>
    </w:p>
    <w:tbl>
      <w:tblPr>
        <w:tblLayout w:type="fixed"/>
        <w:tblInd w:w="73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Pr>
          <w:p>
            <w:pPr>
              <w:spacing w:after="0"/>
              <w:rPr>
                <w:sz w:val="20"/>
                <w:szCs w:val="20"/>
                <w:color w:val="auto"/>
              </w:rPr>
            </w:pPr>
            <w:r>
              <w:rPr>
                <w:rFonts w:ascii="Arial" w:cs="Arial" w:eastAsia="Arial" w:hAnsi="Arial"/>
                <w:sz w:val="18"/>
                <w:szCs w:val="18"/>
                <w:color w:val="auto"/>
                <w:w w:val="98"/>
              </w:rPr>
              <w:t>Montreux Equity Management IV, LLC,</w:t>
            </w: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81" w:name="page482"/>
    <w:bookmarkEnd w:id="48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MONTREUX IV ASSOCIATES IV, LLC</w:t>
      </w:r>
    </w:p>
    <w:p>
      <w:pPr>
        <w:spacing w:after="0" w:line="22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Partner</w:t>
      </w:r>
    </w:p>
    <w:p>
      <w:pPr>
        <w:spacing w:after="0" w:line="210"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82" w:name="page483"/>
    <w:bookmarkEnd w:id="482"/>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NOVO A/S</w:t>
      </w:r>
    </w:p>
    <w:p>
      <w:pPr>
        <w:spacing w:after="0" w:line="229" w:lineRule="exact"/>
        <w:rPr>
          <w:sz w:val="20"/>
          <w:szCs w:val="20"/>
          <w:color w:val="auto"/>
        </w:rPr>
      </w:pPr>
    </w:p>
    <w:tbl>
      <w:tblPr>
        <w:tblLayout w:type="fixed"/>
        <w:tblInd w:w="6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Dyrberg</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Thomas Dyrberg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Managing Partner Novo Ventures</w:t>
            </w:r>
          </w:p>
        </w:tc>
      </w:tr>
    </w:tbl>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297180</wp:posOffset>
            </wp:positionV>
            <wp:extent cx="23215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4">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20"/>
          </w:cols>
          <w:pgMar w:left="1440" w:top="270" w:right="439" w:bottom="1440" w:gutter="0" w:footer="0" w:header="0"/>
        </w:sectPr>
      </w:pPr>
    </w:p>
    <w:bookmarkStart w:id="483" w:name="page484"/>
    <w:bookmarkEnd w:id="483"/>
    <w:p>
      <w:pPr>
        <w:ind w:left="6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KEITH VALENTINE</w:t>
      </w:r>
    </w:p>
    <w:p>
      <w:pPr>
        <w:spacing w:after="0" w:line="229"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14605</wp:posOffset>
            </wp:positionV>
            <wp:extent cx="19532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6">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K. Valentine</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297180</wp:posOffset>
            </wp:positionV>
            <wp:extent cx="23215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7">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484" w:name="page485"/>
    <w:bookmarkEnd w:id="48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OrbiMed Private Investments V, LP</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OrbiMed Capital GP V LLC,</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Managing Member</w:t>
      </w:r>
    </w:p>
    <w:p>
      <w:pPr>
        <w:spacing w:after="0" w:line="21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/s/ Jonathan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14605</wp:posOffset>
            </wp:positionV>
            <wp:extent cx="238125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9">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Jonathan Silverstein</w:t>
      </w:r>
    </w:p>
    <w:p>
      <w:pPr>
        <w:spacing w:after="0" w:line="9"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4" w:right="819" w:bottom="1440" w:gutter="0" w:footer="0" w:header="0"/>
        </w:sectPr>
      </w:pPr>
    </w:p>
    <w:bookmarkStart w:id="485" w:name="page486"/>
    <w:bookmarkEnd w:id="48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Redline Capital Management S.A.</w:t>
      </w:r>
    </w:p>
    <w:p>
      <w:pPr>
        <w:spacing w:after="0" w:line="229"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Buyanov A.</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Buyanov 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86" w:name="page487"/>
    <w:bookmarkEnd w:id="48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Arboretum Ventures IV, L.P.</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Arboretum Investment Manager IV,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6600"/>
        <w:spacing w:after="0"/>
        <w:tabs>
          <w:tab w:leader="none" w:pos="7020" w:val="left"/>
        </w:tabs>
        <w:rPr>
          <w:sz w:val="20"/>
          <w:szCs w:val="20"/>
          <w:color w:val="auto"/>
        </w:rPr>
      </w:pPr>
      <w:r>
        <w:rPr>
          <w:rFonts w:ascii="Arial" w:cs="Arial" w:eastAsia="Arial" w:hAnsi="Arial"/>
          <w:sz w:val="18"/>
          <w:szCs w:val="18"/>
          <w:color w:val="auto"/>
        </w:rPr>
        <w:t>By</w:t>
        <w:tab/>
        <w:t>/s/ Timothy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14605</wp:posOffset>
            </wp:positionV>
            <wp:extent cx="26212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2">
                      <a:extLst>
                        <a:ext uri="{28A0092B-C50C-407E-A947-70E740481C1C}"/>
                      </a:extLst>
                    </a:blip>
                    <a:srcRect/>
                    <a:stretch>
                      <a:fillRect/>
                    </a:stretch>
                  </pic:blipFill>
                  <pic:spPr bwMode="auto">
                    <a:xfrm>
                      <a:off x="0" y="0"/>
                      <a:ext cx="262128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Timothy Petersen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 Managing Director</w:t>
      </w:r>
    </w:p>
    <w:p>
      <w:pPr>
        <w:spacing w:after="0" w:line="13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3" w:right="819" w:bottom="1440" w:gutter="0" w:footer="0" w:header="0"/>
        </w:sectPr>
      </w:pPr>
    </w:p>
    <w:bookmarkStart w:id="487" w:name="page488"/>
    <w:bookmarkEnd w:id="487"/>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Gregory K. Hinckley and Mary C. Hinckley as</w:t>
      </w:r>
    </w:p>
    <w:p>
      <w:pPr>
        <w:spacing w:after="0" w:line="50"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Community Property with the Right of</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Survivorship</w:t>
      </w:r>
    </w:p>
    <w:p>
      <w:pPr>
        <w:spacing w:after="0" w:line="210" w:lineRule="exact"/>
        <w:rPr>
          <w:sz w:val="20"/>
          <w:szCs w:val="20"/>
          <w:color w:val="auto"/>
        </w:rPr>
      </w:pPr>
    </w:p>
    <w:p>
      <w:pPr>
        <w:ind w:left="734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14605</wp:posOffset>
            </wp:positionV>
            <wp:extent cx="19532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4">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Mary C.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5715</wp:posOffset>
            </wp:positionV>
            <wp:extent cx="23215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5">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 Gregory K. Hinckley and Mary C.</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Hinckley</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60" w:top="274" w:right="519" w:bottom="1440" w:gutter="0" w:footer="0" w:header="0"/>
        </w:sectPr>
      </w:pPr>
    </w:p>
    <w:bookmarkStart w:id="488" w:name="page489"/>
    <w:bookmarkEnd w:id="48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Dennis M. Vaughan Revocable Trust</w:t>
      </w:r>
    </w:p>
    <w:p>
      <w:pPr>
        <w:spacing w:after="0" w:line="229"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Vaughan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Dennis M. Vaughan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89" w:name="page490"/>
    <w:bookmarkEnd w:id="489"/>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STEPHEN COOPER M.D. INC. 401K</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PROFIT SHARING PENSION PLAN</w:t>
      </w:r>
    </w:p>
    <w:p>
      <w:pPr>
        <w:spacing w:after="0" w:line="210"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Cooper, M.D.</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Stephen Cooper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90" w:name="page491"/>
    <w:bookmarkEnd w:id="49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JONATHAN B. ELLMAN</w:t>
      </w:r>
    </w:p>
    <w:p>
      <w:pPr>
        <w:spacing w:after="0" w:line="22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Jonathan B. 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9">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4" w:right="819" w:bottom="1440" w:gutter="0" w:footer="0" w:header="0"/>
        </w:sectPr>
      </w:pPr>
    </w:p>
    <w:bookmarkStart w:id="491" w:name="page492"/>
    <w:bookmarkEnd w:id="491"/>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ISAAC APPLBAUM</w:t>
      </w:r>
    </w:p>
    <w:p>
      <w:pPr>
        <w:spacing w:after="0" w:line="22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Isaac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1">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3" w:right="819" w:bottom="1440" w:gutter="0" w:footer="0" w:header="0"/>
        </w:sectPr>
      </w:pPr>
    </w:p>
    <w:bookmarkStart w:id="492" w:name="page493"/>
    <w:bookmarkEnd w:id="49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JAY CHATHAM</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Jay Chatham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3">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4" w:right="819" w:bottom="1440" w:gutter="0" w:footer="0" w:header="0"/>
        </w:sectPr>
      </w:pPr>
    </w:p>
    <w:bookmarkStart w:id="493" w:name="page494"/>
    <w:bookmarkEnd w:id="493"/>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G&amp;H PARTNERS</w:t>
      </w:r>
    </w:p>
    <w:p>
      <w:pPr>
        <w:spacing w:after="0" w:line="229" w:lineRule="exact"/>
        <w:rPr>
          <w:sz w:val="20"/>
          <w:szCs w:val="20"/>
          <w:color w:val="auto"/>
        </w:rPr>
      </w:pPr>
    </w:p>
    <w:tbl>
      <w:tblPr>
        <w:tblLayout w:type="fixed"/>
        <w:tblInd w:w="72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J. Palmer Jr.</w:t>
            </w:r>
          </w:p>
        </w:tc>
      </w:tr>
      <w:tr>
        <w:trPr>
          <w:trHeight w:val="208"/>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200" w:type="dxa"/>
            <w:vAlign w:val="bottom"/>
          </w:tcPr>
          <w:p>
            <w:pPr>
              <w:spacing w:after="0"/>
              <w:rPr>
                <w:sz w:val="20"/>
                <w:szCs w:val="20"/>
                <w:color w:val="auto"/>
              </w:rPr>
            </w:pPr>
            <w:r>
              <w:rPr>
                <w:rFonts w:ascii="Arial" w:cs="Arial" w:eastAsia="Arial" w:hAnsi="Arial"/>
                <w:sz w:val="18"/>
                <w:szCs w:val="18"/>
                <w:color w:val="auto"/>
              </w:rPr>
              <w:t>Stefan J. Palmer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tcPr>
          <w:p>
            <w:pPr>
              <w:spacing w:after="0"/>
              <w:rPr>
                <w:sz w:val="20"/>
                <w:szCs w:val="20"/>
                <w:color w:val="auto"/>
              </w:rPr>
            </w:pPr>
            <w:r>
              <w:rPr>
                <w:rFonts w:ascii="Arial" w:cs="Arial" w:eastAsia="Arial" w:hAnsi="Arial"/>
                <w:sz w:val="18"/>
                <w:szCs w:val="18"/>
                <w:color w:val="auto"/>
                <w:w w:val="90"/>
              </w:rPr>
              <w:t>General Partner and Director of Investments</w:t>
            </w:r>
          </w:p>
        </w:tc>
      </w:tr>
    </w:tbl>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94" w:name="page495"/>
    <w:bookmarkEnd w:id="494"/>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MATTHEW HOWARD DAHNKE</w:t>
      </w:r>
    </w:p>
    <w:p>
      <w:pPr>
        <w:spacing w:after="0" w:line="22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Matthew Howard Dahnke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6">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3" w:right="819" w:bottom="1440" w:gutter="0" w:footer="0" w:header="0"/>
        </w:sectPr>
      </w:pPr>
    </w:p>
    <w:bookmarkStart w:id="495" w:name="page496"/>
    <w:bookmarkEnd w:id="495"/>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MIN UNG YOON</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Min Ung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8">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4" w:right="819" w:bottom="1440" w:gutter="0" w:footer="0" w:header="0"/>
        </w:sectPr>
      </w:pPr>
    </w:p>
    <w:bookmarkStart w:id="496" w:name="page497"/>
    <w:bookmarkEnd w:id="496"/>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ANNETTE BLANDFORD &amp; TERESA</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JOHNSON</w:t>
      </w:r>
    </w:p>
    <w:p>
      <w:pPr>
        <w:spacing w:after="0" w:line="210"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Annette Blandford</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Annette Blandford/Teresa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Owners</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3" w:right="439" w:bottom="1440" w:gutter="0" w:footer="0" w:header="0"/>
        </w:sectPr>
      </w:pPr>
    </w:p>
    <w:bookmarkStart w:id="497" w:name="page498"/>
    <w:bookmarkEnd w:id="497"/>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LORNA W. STROTZ AND CHARLES R.</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STROTZ, TRUSTEES STROTZ FAMILY</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LIVING TRUST UNDER AGREEMENT</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DATED 10/15/2002</w:t>
      </w:r>
    </w:p>
    <w:p>
      <w:pPr>
        <w:spacing w:after="0" w:line="210"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Lorna Strotz /s/ C.R. Strotz</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Lorna Strotz and C.R. Strotz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Trustees</w:t>
            </w:r>
          </w:p>
        </w:tc>
      </w:tr>
    </w:tbl>
    <w:p>
      <w:pPr>
        <w:spacing w:after="0" w:line="20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498" w:name="page499"/>
    <w:bookmarkEnd w:id="49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SYLVIE RUDOLF</w:t>
      </w:r>
    </w:p>
    <w:p>
      <w:pPr>
        <w:spacing w:after="0" w:line="2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Sylvie Rudolf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2">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14605</wp:posOffset>
            </wp:positionV>
            <wp:extent cx="23126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3">
                      <a:extLst>
                        <a:ext uri="{28A0092B-C50C-407E-A947-70E740481C1C}"/>
                      </a:extLst>
                    </a:blip>
                    <a:srcRect/>
                    <a:stretch>
                      <a:fillRect/>
                    </a:stretch>
                  </pic:blipFill>
                  <pic:spPr bwMode="auto">
                    <a:xfrm>
                      <a:off x="0" y="0"/>
                      <a:ext cx="2312670" cy="825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168910</wp:posOffset>
            </wp:positionV>
            <wp:extent cx="23126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4">
                      <a:extLst>
                        <a:ext uri="{28A0092B-C50C-407E-A947-70E740481C1C}"/>
                      </a:extLst>
                    </a:blip>
                    <a:srcRect/>
                    <a:stretch>
                      <a:fillRect/>
                    </a:stretch>
                  </pic:blipFill>
                  <pic:spPr bwMode="auto">
                    <a:xfrm>
                      <a:off x="0" y="0"/>
                      <a:ext cx="231267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20"/>
          </w:cols>
          <w:pgMar w:left="460" w:top="274" w:right="819" w:bottom="1440" w:gutter="0" w:footer="0" w:header="0"/>
        </w:sectPr>
      </w:pPr>
    </w:p>
    <w:bookmarkStart w:id="499" w:name="page500"/>
    <w:bookmarkEnd w:id="499"/>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THE 1996 KLISZEWSKI FAMILY TRUST</w:t>
      </w:r>
    </w:p>
    <w:p>
      <w:pPr>
        <w:spacing w:after="0" w:line="229" w:lineRule="exact"/>
        <w:rPr>
          <w:sz w:val="20"/>
          <w:szCs w:val="20"/>
          <w:color w:val="auto"/>
        </w:rPr>
      </w:pPr>
    </w:p>
    <w:tbl>
      <w:tblPr>
        <w:tblLayout w:type="fixed"/>
        <w:tblInd w:w="73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Trustor</w:t>
            </w:r>
          </w:p>
        </w:tc>
      </w:tr>
    </w:tbl>
    <w:p>
      <w:pPr>
        <w:spacing w:after="0" w:line="2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Address: [Address intentionally omitted.]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60" w:top="274" w:right="439" w:bottom="1440" w:gutter="0" w:footer="0" w:header="0"/>
        </w:sectPr>
      </w:pPr>
    </w:p>
    <w:bookmarkStart w:id="500" w:name="page501"/>
    <w:bookmarkEnd w:id="500"/>
    <w:p>
      <w:pPr>
        <w:ind w:left="50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23" w:lineRule="exact"/>
        <w:rPr>
          <w:sz w:val="20"/>
          <w:szCs w:val="20"/>
          <w:color w:val="auto"/>
        </w:rPr>
      </w:pPr>
    </w:p>
    <w:p>
      <w:pPr>
        <w:ind w:right="4539"/>
        <w:spacing w:after="0" w:line="250" w:lineRule="auto"/>
        <w:rPr>
          <w:sz w:val="20"/>
          <w:szCs w:val="20"/>
          <w:color w:val="auto"/>
        </w:rPr>
      </w:pPr>
      <w:r>
        <w:rPr>
          <w:rFonts w:ascii="Arial" w:cs="Arial" w:eastAsia="Arial" w:hAnsi="Arial"/>
          <w:sz w:val="18"/>
          <w:szCs w:val="18"/>
          <w:color w:val="auto"/>
        </w:rPr>
        <w:t>Berkeley Orthopaedic Medical Profit Sharing Plan, F.B.O. Charles R. Strotz Barry Jacobson</w:t>
      </w: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Shirin &amp; Dave Kollar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Ross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Judd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Todd True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Annette Blandford &amp; Teresa E.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T. &amp; Janet A. Mattson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 Ung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Min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Leslie Kennedy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William L. Brizendine and Emily L. Brizendine, Trustees of the William and Emily Brizendine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Terry Hensle &amp; Elizabeth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JPMCC fbo Terry W. Hensle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H. Dahnke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Chatham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&amp; Dana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B. Ellman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Rosalie Auster &amp; Simon Auster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Scherkenbach and Kimberly McGovern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Peterschmidt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Jayshree Desai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and Christine Guidici</w:t>
      </w:r>
    </w:p>
    <w:p>
      <w:pPr>
        <w:spacing w:after="0" w:line="9" w:lineRule="exact"/>
        <w:rPr>
          <w:sz w:val="20"/>
          <w:szCs w:val="20"/>
          <w:color w:val="auto"/>
        </w:rPr>
      </w:pPr>
    </w:p>
    <w:p>
      <w:pPr>
        <w:ind w:right="4699"/>
        <w:spacing w:after="0" w:line="250" w:lineRule="auto"/>
        <w:rPr>
          <w:sz w:val="20"/>
          <w:szCs w:val="20"/>
          <w:color w:val="auto"/>
        </w:rPr>
      </w:pPr>
      <w:r>
        <w:rPr>
          <w:rFonts w:ascii="Arial" w:cs="Arial" w:eastAsia="Arial" w:hAnsi="Arial"/>
          <w:sz w:val="18"/>
          <w:szCs w:val="18"/>
          <w:color w:val="auto"/>
        </w:rPr>
        <w:t>Joseph and Elena Caselle TTEEs of the Caselle Family Trust DTD 6/6/03 IRA Services Trust Company custodian FBO Joseph Caselle Matthew A. Reiley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Richard W. Dunn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Isaac Applbaum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Braxton Robert Richardson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P.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Floyd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Skyline Venture Partners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G&amp;H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Hinckley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Gregory K. Hinckley and Mary C. Hinckley as Community Property with the Right of Survivorship</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9999"/>
          </w:cols>
          <w:pgMar w:left="460" w:top="274" w:right="1440" w:bottom="1440" w:gutter="0" w:footer="0" w:header="0"/>
        </w:sectPr>
      </w:pPr>
    </w:p>
    <w:bookmarkStart w:id="501" w:name="page502"/>
    <w:bookmarkEnd w:id="5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Citigroup Global Markets Inc. as IRA Rollover Custodian FBO Landis Dibble, ACCT #240-66176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Joseph Caselle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 FBO Frederick Dibble SEP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Barry McKinley &amp; Gail G. McKinley, The McKinley Family Trust U/A Dated 1/24/97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Lily Chen,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J. Redmond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Sheldon C. Brown &amp; Janet Roth Brown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 M.D. Inc. 401k Profit Sharing Pension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Equity Partners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Novo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Redline Capital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Shea Ventures Opportunity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Chase Trustee of the Andrew Chase 2005 Revocable Trust UAD 3/29/05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Tatiana Evtushenkova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McHardy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Bengala Investment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Alastair Cookson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Dickie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Spector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Dennis M. Vaughan Revocable Trust, Dennis M. Vaughan 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Mattson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Arboretum Ventures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 Valentine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999"/>
          </w:cols>
          <w:pgMar w:left="460" w:top="273" w:right="1440" w:bottom="1440" w:gutter="0" w:footer="0" w:header="0"/>
        </w:sectPr>
      </w:pPr>
    </w:p>
    <w:bookmarkStart w:id="502" w:name="page503"/>
    <w:bookmarkEnd w:id="5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 TO AMENDED AND RESTATED INVESTORS’ RIGHTS AGREEMENT</w:t>
      </w:r>
    </w:p>
    <w:p>
      <w:pPr>
        <w:spacing w:after="0" w:line="229"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This AMENDMENT NO. 1 TO AMENDED AND RESTATED INVESTORS’ RIGHTS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made and entered into as of October 4, 2018, by and among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persons and entities listed on the signature pages attached hereto. Capitalized terms used herein and not otherwise defined herein shall have the meanings assigned to such terms in that certain Amended and Restated Investors’ Rights Agreement (as amended,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dated as of June 2, 2016, by and among the Company and the Investors listed on Schedule A thereto, as amended.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have agreed to amend the Rights Agreement as described herein;</w:t>
      </w:r>
    </w:p>
    <w:p>
      <w:pPr>
        <w:spacing w:after="0" w:line="225" w:lineRule="exact"/>
        <w:rPr>
          <w:sz w:val="20"/>
          <w:szCs w:val="20"/>
          <w:color w:val="auto"/>
        </w:rPr>
      </w:pPr>
    </w:p>
    <w:p>
      <w:pPr>
        <w:ind w:right="120" w:firstLine="440"/>
        <w:spacing w:after="0" w:line="26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3.7 of the Rights Agreement provides that the Rights Agreement may be amended and the observance of any term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may be waived only with the written consent of (a) the Company and (b) the holders of at least a majority of the voting power (as determined in accordance with Section 5(a) of Article IV of the Company’s Amended and Restated Certificate of Incorporation as currently in effect) of the Preferred Stock outstanding that is held by all of the Major Investors (together, the “</w:t>
      </w:r>
      <w:r>
        <w:rPr>
          <w:rFonts w:ascii="Arial" w:cs="Arial" w:eastAsia="Arial" w:hAnsi="Arial"/>
          <w:sz w:val="18"/>
          <w:szCs w:val="18"/>
          <w:u w:val="single" w:color="auto"/>
          <w:color w:val="auto"/>
        </w:rPr>
        <w:t>Requisite Parties</w:t>
      </w:r>
      <w:r>
        <w:rPr>
          <w:rFonts w:ascii="Arial" w:cs="Arial" w:eastAsia="Arial" w:hAnsi="Arial"/>
          <w:sz w:val="18"/>
          <w:szCs w:val="18"/>
          <w:color w:val="auto"/>
        </w:rPr>
        <w:t>”); and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represent the Requisite Parties.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to Section 2.3</w:t>
      </w:r>
      <w:r>
        <w:rPr>
          <w:rFonts w:ascii="Arial" w:cs="Arial" w:eastAsia="Arial" w:hAnsi="Arial"/>
          <w:sz w:val="18"/>
          <w:szCs w:val="18"/>
          <w:color w:val="auto"/>
        </w:rPr>
        <w:t>. Section 2.3 of the Rights Agreement is hereby revised to provide as follows:</w:t>
      </w:r>
    </w:p>
    <w:p>
      <w:pPr>
        <w:spacing w:after="0" w:line="117" w:lineRule="exact"/>
        <w:rPr>
          <w:sz w:val="20"/>
          <w:szCs w:val="20"/>
          <w:color w:val="auto"/>
        </w:rPr>
      </w:pPr>
    </w:p>
    <w:p>
      <w:pPr>
        <w:ind w:left="440" w:right="120"/>
        <w:spacing w:after="0" w:line="301" w:lineRule="auto"/>
        <w:rPr>
          <w:sz w:val="20"/>
          <w:szCs w:val="20"/>
          <w:color w:val="auto"/>
        </w:rPr>
      </w:pPr>
      <w:r>
        <w:rPr>
          <w:rFonts w:ascii="Arial" w:cs="Arial" w:eastAsia="Arial" w:hAnsi="Arial"/>
          <w:sz w:val="16"/>
          <w:szCs w:val="16"/>
          <w:color w:val="auto"/>
        </w:rPr>
        <w:t>“The covenants set forth in Sections 2.1 and 2.2 shall terminate and be of no further force or effect upon the earlier to occur of (i) the consummation of a Qualified Public Offering (as defined in the Restated Certificate), (ii) the consummation of a Liquidation Event (as defined in the Restated Certificate) or (iii) the sale of the Company’s Common Stock in a firm commitment underwritten public offering pursuant to a registration statement on Form S-1 of up to $150,000,000 of shares of Common Stock, consummated prior to December 31, 2018.”</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Amendment to Section 2.4(f)</w:t>
      </w:r>
      <w:r>
        <w:rPr>
          <w:rFonts w:ascii="Arial" w:cs="Arial" w:eastAsia="Arial" w:hAnsi="Arial"/>
          <w:sz w:val="18"/>
          <w:szCs w:val="18"/>
          <w:color w:val="auto"/>
        </w:rPr>
        <w:t>. Section 2.4(f) of the Rights Agreement is hereby revised to provide as follows:</w:t>
      </w:r>
    </w:p>
    <w:p>
      <w:pPr>
        <w:spacing w:after="0" w:line="117"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“The covenants set forth in this Section 2.4 shall terminate and be of no further force or effect upon the earlier to occur of (i) the consummation of a Qualified Public Offering, (ii) the consummation of a Liquidation Event or (iii) the sale of the Company’s Common Stock in a firm commitment underwritten public offering pursuant to a registration statement on Form S-1 of up to $150,000,000 of shares of Common Stock, consummated prior to December 31, 2018.”</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Amendment to Section 2.11</w:t>
      </w:r>
      <w:r>
        <w:rPr>
          <w:rFonts w:ascii="Arial" w:cs="Arial" w:eastAsia="Arial" w:hAnsi="Arial"/>
          <w:sz w:val="18"/>
          <w:szCs w:val="18"/>
          <w:color w:val="auto"/>
        </w:rPr>
        <w:t>. Section 2.11 of the Rights Agreement is hereby revised to provide as follows:</w:t>
      </w:r>
    </w:p>
    <w:p>
      <w:pPr>
        <w:spacing w:after="0" w:line="11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covenants set forth in this Sections 2.5, 2.6, 2.7, 2.8, 2.9 and 2.10 shall terminate and be of no further force or effect upon the earlier to occur of (i) the consummation of a Qualified Public Offering, (ii) the consummation of a Liquidation Event or (iii) the sale of the Company’s Common Stock in a firm commitment underwritten public offering pursuant to a registration statement on Form S-1 of up to $150,000,000 of shares of Common Stock, consummated prior to December 31, 2018.”</w:t>
      </w:r>
    </w:p>
    <w:p>
      <w:pPr>
        <w:spacing w:after="0" w:line="186" w:lineRule="exact"/>
        <w:rPr>
          <w:sz w:val="20"/>
          <w:szCs w:val="20"/>
          <w:color w:val="auto"/>
        </w:rPr>
      </w:pPr>
    </w:p>
    <w:p>
      <w:pPr>
        <w:ind w:right="240" w:firstLine="430"/>
        <w:spacing w:after="0" w:line="263" w:lineRule="auto"/>
        <w:tabs>
          <w:tab w:leader="none" w:pos="620"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General Corporation Law of the State of Delaware as to matters within the scope thereof, and as to all other matters shall be governed by and construed in accordance with the internal laws of Delaware, without regard to conflicts of law principles thereof.</w:t>
      </w:r>
    </w:p>
    <w:p>
      <w:pPr>
        <w:sectPr>
          <w:pgSz w:w="11900" w:h="16838" w:orient="portrait"/>
          <w:cols w:equalWidth="0" w:num="1">
            <w:col w:w="11000"/>
          </w:cols>
          <w:pgMar w:left="460" w:top="270" w:right="439" w:bottom="1440" w:gutter="0" w:footer="0" w:header="0"/>
        </w:sectPr>
      </w:pPr>
    </w:p>
    <w:bookmarkStart w:id="503" w:name="page504"/>
    <w:bookmarkEnd w:id="503"/>
    <w:p>
      <w:pPr>
        <w:jc w:val="both"/>
        <w:ind w:left="-430" w:firstLine="430"/>
        <w:spacing w:after="0" w:line="279" w:lineRule="auto"/>
        <w:tabs>
          <w:tab w:leader="none" w:pos="190"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7"/>
          <w:szCs w:val="17"/>
          <w:color w:val="auto"/>
        </w:rPr>
        <w:t xml:space="preserve">.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70" w:lineRule="exact"/>
        <w:rPr>
          <w:rFonts w:ascii="Arial" w:cs="Arial" w:eastAsia="Arial" w:hAnsi="Arial"/>
          <w:sz w:val="17"/>
          <w:szCs w:val="17"/>
          <w:color w:val="auto"/>
        </w:rPr>
      </w:pPr>
    </w:p>
    <w:p>
      <w:pPr>
        <w:ind w:left="-430" w:right="100" w:firstLine="430"/>
        <w:spacing w:after="0" w:line="277" w:lineRule="auto"/>
        <w:tabs>
          <w:tab w:leader="none" w:pos="19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Amendment may not be assigned by any party without the prior written consent of the other parties hereto. Notwithstanding the foregoing, this Amendment shall be binding upon the successors, assigns and representatives of each party.</w:t>
      </w:r>
    </w:p>
    <w:p>
      <w:pPr>
        <w:spacing w:after="0" w:line="169" w:lineRule="exact"/>
        <w:rPr>
          <w:rFonts w:ascii="Arial" w:cs="Arial" w:eastAsia="Arial" w:hAnsi="Arial"/>
          <w:sz w:val="18"/>
          <w:szCs w:val="18"/>
          <w:color w:val="auto"/>
        </w:rPr>
      </w:pPr>
    </w:p>
    <w:p>
      <w:pPr>
        <w:ind w:left="190" w:hanging="190"/>
        <w:spacing w:after="0"/>
        <w:tabs>
          <w:tab w:leader="none" w:pos="190"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Limited Effect</w:t>
      </w:r>
      <w:r>
        <w:rPr>
          <w:rFonts w:ascii="Arial" w:cs="Arial" w:eastAsia="Arial" w:hAnsi="Arial"/>
          <w:sz w:val="16"/>
          <w:szCs w:val="16"/>
          <w:color w:val="auto"/>
        </w:rPr>
        <w:t>. Except as specified in this Amendment, all terms and conditions of the Rights Agreement shall continue in full force and effect.</w:t>
      </w:r>
    </w:p>
    <w:p>
      <w:pPr>
        <w:spacing w:after="0" w:line="247" w:lineRule="exact"/>
        <w:rPr>
          <w:rFonts w:ascii="Arial" w:cs="Arial" w:eastAsia="Arial" w:hAnsi="Arial"/>
          <w:sz w:val="16"/>
          <w:szCs w:val="16"/>
          <w:color w:val="auto"/>
        </w:rPr>
      </w:pPr>
    </w:p>
    <w:p>
      <w:pPr>
        <w:ind w:left="-430" w:right="220" w:firstLine="430"/>
        <w:spacing w:after="0" w:line="277" w:lineRule="auto"/>
        <w:tabs>
          <w:tab w:leader="none" w:pos="19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Rights Agreement and this Amendment constitute the full and entire understanding and agreement among the parties with regard to the subjects hereof and thereof.</w:t>
      </w:r>
    </w:p>
    <w:p>
      <w:pPr>
        <w:spacing w:after="0" w:line="169" w:lineRule="exact"/>
        <w:rPr>
          <w:rFonts w:ascii="Arial" w:cs="Arial" w:eastAsia="Arial" w:hAnsi="Arial"/>
          <w:sz w:val="18"/>
          <w:szCs w:val="18"/>
          <w:color w:val="auto"/>
        </w:rPr>
      </w:pPr>
    </w:p>
    <w:p>
      <w:pPr>
        <w:ind w:left="445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0510"/>
          </w:cols>
          <w:pgMar w:left="890" w:top="274" w:right="499" w:bottom="1440" w:gutter="0" w:footer="0" w:header="0"/>
        </w:sectPr>
      </w:pPr>
    </w:p>
    <w:bookmarkStart w:id="504" w:name="page505"/>
    <w:bookmarkEnd w:id="50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undersigned has executed this Amendment as of the date first above written.</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Michael A. Pisetksy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29210</wp:posOffset>
            </wp:positionV>
            <wp:extent cx="24587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1">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2">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0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3">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p>
    <w:p>
      <w:pPr>
        <w:sectPr>
          <w:pgSz w:w="11900" w:h="16838" w:orient="portrait"/>
          <w:cols w:equalWidth="0" w:num="1">
            <w:col w:w="9119"/>
          </w:cols>
          <w:pgMar w:left="1340" w:top="270" w:right="1440"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EDLINE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S.A.</w:t>
      </w:r>
    </w:p>
    <w:p>
      <w:pPr>
        <w:spacing w:after="0" w:line="229"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Tatiana Evtushenkova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5">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Tatiana Evtushenkova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6">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0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7">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9119"/>
          </w:cols>
          <w:pgMar w:left="1340" w:top="270" w:right="1440"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KYLINE</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V,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Skyline Venture Management V, LLC</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6123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9">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G. Freund</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Managing Director</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9119"/>
          </w:cols>
          <w:pgMar w:left="1340" w:top="270" w:right="1440" w:bottom="1440" w:gutter="0" w:footer="0" w:header="0"/>
        </w:sectPr>
      </w:pPr>
    </w:p>
    <w:bookmarkStart w:id="507" w:name="page508"/>
    <w:bookmarkEnd w:id="5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ONTREUX</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IV, LP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Montreux Equity Management IV, LLC, its General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Partner</w:t>
      </w:r>
    </w:p>
    <w:p>
      <w:pPr>
        <w:spacing w:after="0" w:line="210"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By: /s/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6123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1">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Daniel K. Turner III</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Managing Member</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ONTREUX</w:t>
      </w:r>
      <w:r>
        <w:rPr>
          <w:rFonts w:ascii="Arial" w:cs="Arial" w:eastAsia="Arial" w:hAnsi="Arial"/>
          <w:sz w:val="18"/>
          <w:szCs w:val="18"/>
          <w:b w:val="1"/>
          <w:bCs w:val="1"/>
          <w:color w:val="auto"/>
        </w:rPr>
        <w:t xml:space="preserve"> IV A</w:t>
      </w:r>
      <w:r>
        <w:rPr>
          <w:rFonts w:ascii="Arial" w:cs="Arial" w:eastAsia="Arial" w:hAnsi="Arial"/>
          <w:sz w:val="14"/>
          <w:szCs w:val="14"/>
          <w:b w:val="1"/>
          <w:bCs w:val="1"/>
          <w:color w:val="auto"/>
        </w:rPr>
        <w:t>SSOCIATES</w:t>
      </w:r>
      <w:r>
        <w:rPr>
          <w:rFonts w:ascii="Arial" w:cs="Arial" w:eastAsia="Arial" w:hAnsi="Arial"/>
          <w:sz w:val="18"/>
          <w:szCs w:val="18"/>
          <w:b w:val="1"/>
          <w:bCs w:val="1"/>
          <w:color w:val="auto"/>
        </w:rPr>
        <w:t xml:space="preserve"> IV, LLC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Montreux Equity Management IV, LLC, its General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Partner</w:t>
      </w:r>
    </w:p>
    <w:p>
      <w:pPr>
        <w:spacing w:after="0" w:line="210"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By: /s/ Daniel K.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6123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2">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Daniel K. Turner III</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Managing Member</w:t>
      </w:r>
    </w:p>
    <w:p>
      <w:pPr>
        <w:spacing w:after="0" w:line="13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9820"/>
          </w:cols>
          <w:pgMar w:left="1340" w:top="270" w:right="739"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OVO</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A/S</w:t>
      </w:r>
    </w:p>
    <w:p>
      <w:pPr>
        <w:spacing w:after="0" w:line="229"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Dryberg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4">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Thomas Dryberg, by specific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29210</wp:posOffset>
            </wp:positionV>
            <wp:extent cx="245872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5">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228"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14605</wp:posOffset>
            </wp:positionV>
            <wp:extent cx="245872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6">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4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9720"/>
          </w:cols>
          <w:pgMar w:left="1340" w:top="270" w:right="839"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RBI</w:t>
      </w:r>
      <w:r>
        <w:rPr>
          <w:rFonts w:ascii="Arial" w:cs="Arial" w:eastAsia="Arial" w:hAnsi="Arial"/>
          <w:sz w:val="18"/>
          <w:szCs w:val="18"/>
          <w:b w:val="1"/>
          <w:bCs w:val="1"/>
          <w:color w:val="auto"/>
        </w:rPr>
        <w:t>M</w:t>
      </w:r>
      <w:r>
        <w:rPr>
          <w:rFonts w:ascii="Arial" w:cs="Arial" w:eastAsia="Arial" w:hAnsi="Arial"/>
          <w:sz w:val="14"/>
          <w:szCs w:val="14"/>
          <w:b w:val="1"/>
          <w:bCs w:val="1"/>
          <w:color w:val="auto"/>
        </w:rPr>
        <w: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V,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Pr>
          <w:p>
            <w:pPr>
              <w:ind w:left="100"/>
              <w:spacing w:after="0"/>
              <w:rPr>
                <w:sz w:val="20"/>
                <w:szCs w:val="20"/>
                <w:color w:val="auto"/>
              </w:rPr>
            </w:pPr>
            <w:r>
              <w:rPr>
                <w:rFonts w:ascii="Arial" w:cs="Arial" w:eastAsia="Arial" w:hAnsi="Arial"/>
                <w:sz w:val="18"/>
                <w:szCs w:val="18"/>
                <w:color w:val="auto"/>
              </w:rPr>
              <w:t>OrbiMed Capital GP V LLC,</w:t>
            </w:r>
          </w:p>
        </w:tc>
      </w:tr>
      <w:tr>
        <w:trPr>
          <w:trHeight w:val="230"/>
        </w:trPr>
        <w:tc>
          <w:tcPr>
            <w:tcW w:w="66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31"/>
        </w:trPr>
        <w:tc>
          <w:tcPr>
            <w:tcW w:w="660" w:type="dxa"/>
            <w:vAlign w:val="bottom"/>
          </w:tcPr>
          <w:p>
            <w:pPr>
              <w:ind w:left="360"/>
              <w:spacing w:after="0"/>
              <w:rPr>
                <w:sz w:val="20"/>
                <w:szCs w:val="20"/>
                <w:color w:val="auto"/>
              </w:rPr>
            </w:pPr>
            <w:r>
              <w:rPr>
                <w:rFonts w:ascii="Arial" w:cs="Arial" w:eastAsia="Arial" w:hAnsi="Arial"/>
                <w:sz w:val="18"/>
                <w:szCs w:val="18"/>
                <w:color w:val="auto"/>
              </w:rPr>
              <w:t>By:</w:t>
            </w:r>
          </w:p>
        </w:tc>
        <w:tc>
          <w:tcPr>
            <w:tcW w:w="3740" w:type="dxa"/>
            <w:vAlign w:val="bottom"/>
          </w:tcPr>
          <w:p>
            <w:pPr>
              <w:ind w:left="100"/>
              <w:spacing w:after="0"/>
              <w:rPr>
                <w:sz w:val="20"/>
                <w:szCs w:val="20"/>
                <w:color w:val="auto"/>
              </w:rPr>
            </w:pPr>
            <w:r>
              <w:rPr>
                <w:rFonts w:ascii="Arial" w:cs="Arial" w:eastAsia="Arial" w:hAnsi="Arial"/>
                <w:sz w:val="18"/>
                <w:szCs w:val="18"/>
                <w:color w:val="auto"/>
              </w:rPr>
              <w:t>OrbiMed Advisors LLC,</w:t>
            </w:r>
          </w:p>
        </w:tc>
      </w:tr>
      <w:tr>
        <w:trPr>
          <w:trHeight w:val="230"/>
        </w:trPr>
        <w:tc>
          <w:tcPr>
            <w:tcW w:w="66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its Managing Member</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Carl L. Gordon</w:t>
            </w: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Carl L. Gordon</w:t>
            </w: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Member</w:t>
            </w:r>
          </w:p>
        </w:tc>
      </w:tr>
    </w:tbl>
    <w:p>
      <w:pPr>
        <w:spacing w:after="0" w:line="130"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10120"/>
          </w:cols>
          <w:pgMar w:left="1340" w:top="270" w:right="43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RBORETUM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IV,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Arboretum Investment Manager IV, LLC</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Timothy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6123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9">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Timothy Petersen</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Managing Director</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9119"/>
          </w:cols>
          <w:pgMar w:left="1340" w:top="269" w:right="1440" w:bottom="1440" w:gutter="0" w:footer="0" w:header="0"/>
        </w:sectPr>
      </w:pPr>
    </w:p>
    <w:bookmarkStart w:id="511" w:name="page512"/>
    <w:bookmarkEnd w:id="5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undersigned has executed this Amendment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EFFREY</w:t>
      </w:r>
      <w:r>
        <w:rPr>
          <w:rFonts w:ascii="Arial" w:cs="Arial" w:eastAsia="Arial" w:hAnsi="Arial"/>
          <w:sz w:val="18"/>
          <w:szCs w:val="18"/>
          <w:b w:val="1"/>
          <w:bCs w:val="1"/>
          <w:color w:val="auto"/>
        </w:rPr>
        <w:t xml:space="preserve"> W. D</w:t>
      </w:r>
      <w:r>
        <w:rPr>
          <w:rFonts w:ascii="Arial" w:cs="Arial" w:eastAsia="Arial" w:hAnsi="Arial"/>
          <w:sz w:val="14"/>
          <w:szCs w:val="14"/>
          <w:b w:val="1"/>
          <w:bCs w:val="1"/>
          <w:color w:val="auto"/>
        </w:rPr>
        <w:t>UNN</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IVING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 DATED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18"/>
          <w:szCs w:val="18"/>
          <w:b w:val="1"/>
          <w:bCs w:val="1"/>
          <w:color w:val="auto"/>
        </w:rPr>
        <w:t xml:space="preserve"> 17, 2012</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6123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1">
                      <a:extLst>
                        <a:ext uri="{28A0092B-C50C-407E-A947-70E740481C1C}"/>
                      </a:extLst>
                    </a:blip>
                    <a:srcRect/>
                    <a:stretch>
                      <a:fillRect/>
                    </a:stretch>
                  </pic:blipFill>
                  <pic:spPr bwMode="auto">
                    <a:xfrm>
                      <a:off x="0" y="0"/>
                      <a:ext cx="261239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W. Dunn</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Trustee</w:t>
      </w:r>
    </w:p>
    <w:p>
      <w:pPr>
        <w:spacing w:after="0" w:line="13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OF</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ectPr>
          <w:pgSz w:w="11900" w:h="16838" w:orient="portrait"/>
          <w:cols w:equalWidth="0" w:num="1">
            <w:col w:w="10000"/>
          </w:cols>
          <w:pgMar w:left="1340" w:top="270" w:right="559" w:bottom="1440" w:gutter="0" w:footer="0" w:header="0"/>
        </w:sectPr>
      </w:pPr>
    </w:p>
    <w:bookmarkStart w:id="512" w:name="page513"/>
    <w:bookmarkEnd w:id="512"/>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We hereby consent to the use in this Amendment No. 1 to Registration Statement on Form S-1 of SI-BONE, Inc. of our report dated July 31, 2018, except for the effects of the reverse stock split discussed in Note 2 to the consolidated financial statements, as to which the date is October 5, 2018, relating to the financial statements of SI-BONE, Inc., which appears in this Registration Statement.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5, 2018</w:t>
      </w:r>
    </w:p>
    <w:sectPr>
      <w:pgSz w:w="11900" w:h="16838" w:orient="portrait"/>
      <w:cols w:equalWidth="0" w:num="1">
        <w:col w:w="11000"/>
      </w:cols>
      <w:pgMar w:left="46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48B982"/>
    <w:multiLevelType w:val="hybridMultilevel"/>
    <w:lvl w:ilvl="0">
      <w:lvlJc w:val="left"/>
      <w:lvlText w:val="(%1)"/>
      <w:numFmt w:val="decimal"/>
      <w:start w:val="1"/>
    </w:lvl>
  </w:abstractNum>
  <w:abstractNum w:abstractNumId="1">
    <w:nsid w:val="46BA8FCA"/>
    <w:multiLevelType w:val="hybridMultilevel"/>
    <w:lvl w:ilvl="0">
      <w:lvlJc w:val="left"/>
      <w:lvlText w:val="(%1)"/>
      <w:numFmt w:val="decimal"/>
      <w:start w:val="1"/>
    </w:lvl>
  </w:abstractNum>
  <w:abstractNum w:abstractNumId="2">
    <w:nsid w:val="7835626C"/>
    <w:multiLevelType w:val="hybridMultilevel"/>
    <w:lvl w:ilvl="0">
      <w:lvlJc w:val="left"/>
      <w:lvlText w:val="•"/>
      <w:numFmt w:val="bullet"/>
      <w:start w:val="1"/>
    </w:lvl>
  </w:abstractNum>
  <w:abstractNum w:abstractNumId="3">
    <w:nsid w:val="665ACA49"/>
    <w:multiLevelType w:val="hybridMultilevel"/>
    <w:lvl w:ilvl="0">
      <w:lvlJc w:val="left"/>
      <w:lvlText w:val="•"/>
      <w:numFmt w:val="bullet"/>
      <w:start w:val="1"/>
    </w:lvl>
  </w:abstractNum>
  <w:abstractNum w:abstractNumId="4">
    <w:nsid w:val="6835B2AE"/>
    <w:multiLevelType w:val="hybridMultilevel"/>
    <w:lvl w:ilvl="0">
      <w:lvlJc w:val="left"/>
      <w:lvlText w:val="•"/>
      <w:numFmt w:val="bullet"/>
      <w:start w:val="1"/>
    </w:lvl>
  </w:abstractNum>
  <w:abstractNum w:abstractNumId="5">
    <w:nsid w:val="4C187C90"/>
    <w:multiLevelType w:val="hybridMultilevel"/>
    <w:lvl w:ilvl="0">
      <w:lvlJc w:val="left"/>
      <w:lvlText w:val="•"/>
      <w:numFmt w:val="bullet"/>
      <w:start w:val="1"/>
    </w:lvl>
  </w:abstractNum>
  <w:abstractNum w:abstractNumId="6">
    <w:nsid w:val="541F28CD"/>
    <w:multiLevelType w:val="hybridMultilevel"/>
    <w:lvl w:ilvl="0">
      <w:lvlJc w:val="left"/>
      <w:lvlText w:val="•"/>
      <w:numFmt w:val="bullet"/>
      <w:start w:val="1"/>
    </w:lvl>
  </w:abstractNum>
  <w:abstractNum w:abstractNumId="7">
    <w:nsid w:val="7F65FD16"/>
    <w:multiLevelType w:val="hybridMultilevel"/>
    <w:lvl w:ilvl="0">
      <w:lvlJc w:val="left"/>
      <w:lvlText w:val="•"/>
      <w:numFmt w:val="bullet"/>
      <w:start w:val="1"/>
    </w:lvl>
  </w:abstractNum>
  <w:abstractNum w:abstractNumId="8">
    <w:nsid w:val="77C9FD68"/>
    <w:multiLevelType w:val="hybridMultilevel"/>
    <w:lvl w:ilvl="0">
      <w:lvlJc w:val="left"/>
      <w:lvlText w:val="•"/>
      <w:numFmt w:val="bullet"/>
      <w:start w:val="1"/>
    </w:lvl>
  </w:abstractNum>
  <w:abstractNum w:abstractNumId="9">
    <w:nsid w:val="298A92BA"/>
    <w:multiLevelType w:val="hybridMultilevel"/>
    <w:lvl w:ilvl="0">
      <w:lvlJc w:val="left"/>
      <w:lvlText w:val="(%1)"/>
      <w:numFmt w:val="decimal"/>
      <w:start w:val="1"/>
    </w:lvl>
  </w:abstractNum>
  <w:abstractNum w:abstractNumId="10">
    <w:nsid w:val="6FE95EAC"/>
    <w:multiLevelType w:val="hybridMultilevel"/>
    <w:lvl w:ilvl="0">
      <w:lvlJc w:val="left"/>
      <w:lvlText w:val="(%1)"/>
      <w:numFmt w:val="decimal"/>
      <w:start w:val="1"/>
    </w:lvl>
  </w:abstractNum>
  <w:abstractNum w:abstractNumId="11">
    <w:nsid w:val="4B697C7A"/>
    <w:multiLevelType w:val="hybridMultilevel"/>
    <w:lvl w:ilvl="0">
      <w:lvlJc w:val="left"/>
      <w:lvlText w:val="•"/>
      <w:numFmt w:val="bullet"/>
      <w:start w:val="1"/>
    </w:lvl>
  </w:abstractNum>
  <w:abstractNum w:abstractNumId="12">
    <w:nsid w:val="51A27AA6"/>
    <w:multiLevelType w:val="hybridMultilevel"/>
    <w:lvl w:ilvl="0">
      <w:lvlJc w:val="left"/>
      <w:lvlText w:val="•"/>
      <w:numFmt w:val="bullet"/>
      <w:start w:val="1"/>
    </w:lvl>
  </w:abstractNum>
  <w:abstractNum w:abstractNumId="13">
    <w:nsid w:val="613183F2"/>
    <w:multiLevelType w:val="hybridMultilevel"/>
    <w:lvl w:ilvl="0">
      <w:lvlJc w:val="left"/>
      <w:lvlText w:val="•"/>
      <w:numFmt w:val="bullet"/>
      <w:start w:val="1"/>
    </w:lvl>
  </w:abstractNum>
  <w:abstractNum w:abstractNumId="14">
    <w:nsid w:val="634102B4"/>
    <w:multiLevelType w:val="hybridMultilevel"/>
    <w:lvl w:ilvl="0">
      <w:lvlJc w:val="left"/>
      <w:lvlText w:val="•"/>
      <w:numFmt w:val="bullet"/>
      <w:start w:val="1"/>
    </w:lvl>
  </w:abstractNum>
  <w:abstractNum w:abstractNumId="15">
    <w:nsid w:val="65BF9DA8"/>
    <w:multiLevelType w:val="hybridMultilevel"/>
    <w:lvl w:ilvl="0">
      <w:lvlJc w:val="left"/>
      <w:lvlText w:val="•"/>
      <w:numFmt w:val="bullet"/>
      <w:start w:val="1"/>
    </w:lvl>
  </w:abstractNum>
  <w:abstractNum w:abstractNumId="16">
    <w:nsid w:val="21A2ECCA"/>
    <w:multiLevelType w:val="hybridMultilevel"/>
    <w:lvl w:ilvl="0">
      <w:lvlJc w:val="left"/>
      <w:lvlText w:val="•"/>
      <w:numFmt w:val="bullet"/>
      <w:start w:val="1"/>
    </w:lvl>
  </w:abstractNum>
  <w:abstractNum w:abstractNumId="17">
    <w:nsid w:val="4D5C4899"/>
    <w:multiLevelType w:val="hybridMultilevel"/>
    <w:lvl w:ilvl="0">
      <w:lvlJc w:val="left"/>
      <w:lvlText w:val="•"/>
      <w:numFmt w:val="bullet"/>
      <w:start w:val="1"/>
    </w:lvl>
  </w:abstractNum>
  <w:abstractNum w:abstractNumId="18">
    <w:nsid w:val="3C3B72B2"/>
    <w:multiLevelType w:val="hybridMultilevel"/>
    <w:lvl w:ilvl="0">
      <w:lvlJc w:val="left"/>
      <w:lvlText w:val="•"/>
      <w:numFmt w:val="bullet"/>
      <w:start w:val="1"/>
    </w:lvl>
  </w:abstractNum>
  <w:abstractNum w:abstractNumId="19">
    <w:nsid w:val="155EC4C2"/>
    <w:multiLevelType w:val="hybridMultilevel"/>
    <w:lvl w:ilvl="0">
      <w:lvlJc w:val="left"/>
      <w:lvlText w:val="•"/>
      <w:numFmt w:val="bullet"/>
      <w:start w:val="1"/>
    </w:lvl>
  </w:abstractNum>
  <w:abstractNum w:abstractNumId="20">
    <w:nsid w:val="65D2A137"/>
    <w:multiLevelType w:val="hybridMultilevel"/>
    <w:lvl w:ilvl="0">
      <w:lvlJc w:val="left"/>
      <w:lvlText w:val="•"/>
      <w:numFmt w:val="bullet"/>
      <w:start w:val="1"/>
    </w:lvl>
  </w:abstractNum>
  <w:abstractNum w:abstractNumId="21">
    <w:nsid w:val="6EBB1F2A"/>
    <w:multiLevelType w:val="hybridMultilevel"/>
    <w:lvl w:ilvl="0">
      <w:lvlJc w:val="left"/>
      <w:lvlText w:val="•"/>
      <w:numFmt w:val="bullet"/>
      <w:start w:val="1"/>
    </w:lvl>
  </w:abstractNum>
  <w:abstractNum w:abstractNumId="22">
    <w:nsid w:val="6FBF29CB"/>
    <w:multiLevelType w:val="hybridMultilevel"/>
    <w:lvl w:ilvl="0">
      <w:lvlJc w:val="left"/>
      <w:lvlText w:val="•"/>
      <w:numFmt w:val="bullet"/>
      <w:start w:val="1"/>
    </w:lvl>
  </w:abstractNum>
  <w:abstractNum w:abstractNumId="23">
    <w:nsid w:val="550B8808"/>
    <w:multiLevelType w:val="hybridMultilevel"/>
    <w:lvl w:ilvl="0">
      <w:lvlJc w:val="left"/>
      <w:lvlText w:val="•"/>
      <w:numFmt w:val="bullet"/>
      <w:start w:val="1"/>
    </w:lvl>
  </w:abstractNum>
  <w:abstractNum w:abstractNumId="24">
    <w:nsid w:val="34CC3ACF"/>
    <w:multiLevelType w:val="hybridMultilevel"/>
    <w:lvl w:ilvl="0">
      <w:lvlJc w:val="left"/>
      <w:lvlText w:val="•"/>
      <w:numFmt w:val="bullet"/>
      <w:start w:val="1"/>
    </w:lvl>
  </w:abstractNum>
  <w:abstractNum w:abstractNumId="25">
    <w:nsid w:val="4E556261"/>
    <w:multiLevelType w:val="hybridMultilevel"/>
    <w:lvl w:ilvl="0">
      <w:lvlJc w:val="left"/>
      <w:lvlText w:val="•"/>
      <w:numFmt w:val="bullet"/>
      <w:start w:val="1"/>
    </w:lvl>
  </w:abstractNum>
  <w:abstractNum w:abstractNumId="26">
    <w:nsid w:val="4C672FC9"/>
    <w:multiLevelType w:val="hybridMultilevel"/>
    <w:lvl w:ilvl="0">
      <w:lvlJc w:val="left"/>
      <w:lvlText w:val="•"/>
      <w:numFmt w:val="bullet"/>
      <w:start w:val="1"/>
    </w:lvl>
  </w:abstractNum>
  <w:abstractNum w:abstractNumId="27">
    <w:nsid w:val="52A311C3"/>
    <w:multiLevelType w:val="hybridMultilevel"/>
    <w:lvl w:ilvl="0">
      <w:lvlJc w:val="left"/>
      <w:lvlText w:val="•"/>
      <w:numFmt w:val="bullet"/>
      <w:start w:val="1"/>
    </w:lvl>
  </w:abstractNum>
  <w:abstractNum w:abstractNumId="28">
    <w:nsid w:val="44EF6B80"/>
    <w:multiLevelType w:val="hybridMultilevel"/>
    <w:lvl w:ilvl="0">
      <w:lvlJc w:val="left"/>
      <w:lvlText w:val="•"/>
      <w:numFmt w:val="bullet"/>
      <w:start w:val="1"/>
    </w:lvl>
  </w:abstractNum>
  <w:abstractNum w:abstractNumId="29">
    <w:nsid w:val="12FCDE5E"/>
    <w:multiLevelType w:val="hybridMultilevel"/>
    <w:lvl w:ilvl="0">
      <w:lvlJc w:val="left"/>
      <w:lvlText w:val="•"/>
      <w:numFmt w:val="bullet"/>
      <w:start w:val="1"/>
    </w:lvl>
  </w:abstractNum>
  <w:abstractNum w:abstractNumId="30">
    <w:nsid w:val="4A1D606E"/>
    <w:multiLevelType w:val="hybridMultilevel"/>
    <w:lvl w:ilvl="0">
      <w:lvlJc w:val="left"/>
      <w:lvlText w:val="•"/>
      <w:numFmt w:val="bullet"/>
      <w:start w:val="1"/>
    </w:lvl>
  </w:abstractNum>
  <w:abstractNum w:abstractNumId="31">
    <w:nsid w:val="4382503"/>
    <w:multiLevelType w:val="hybridMultilevel"/>
    <w:lvl w:ilvl="0">
      <w:lvlJc w:val="left"/>
      <w:lvlText w:val="•"/>
      <w:numFmt w:val="bullet"/>
      <w:start w:val="1"/>
    </w:lvl>
  </w:abstractNum>
  <w:abstractNum w:abstractNumId="32">
    <w:nsid w:val="59B76E28"/>
    <w:multiLevelType w:val="hybridMultilevel"/>
    <w:lvl w:ilvl="0">
      <w:lvlJc w:val="left"/>
      <w:lvlText w:val="•"/>
      <w:numFmt w:val="bullet"/>
      <w:start w:val="1"/>
    </w:lvl>
  </w:abstractNum>
  <w:abstractNum w:abstractNumId="33">
    <w:nsid w:val="4252C2DA"/>
    <w:multiLevelType w:val="hybridMultilevel"/>
    <w:lvl w:ilvl="0">
      <w:lvlJc w:val="left"/>
      <w:lvlText w:val="•"/>
      <w:numFmt w:val="bullet"/>
      <w:start w:val="1"/>
    </w:lvl>
  </w:abstractNum>
  <w:abstractNum w:abstractNumId="34">
    <w:nsid w:val="6A92EF4C"/>
    <w:multiLevelType w:val="hybridMultilevel"/>
    <w:lvl w:ilvl="0">
      <w:lvlJc w:val="left"/>
      <w:lvlText w:val="•"/>
      <w:numFmt w:val="bullet"/>
      <w:start w:val="1"/>
    </w:lvl>
  </w:abstractNum>
  <w:abstractNum w:abstractNumId="35">
    <w:nsid w:val="41ED20D7"/>
    <w:multiLevelType w:val="hybridMultilevel"/>
    <w:lvl w:ilvl="0">
      <w:lvlJc w:val="left"/>
      <w:lvlText w:val="•"/>
      <w:numFmt w:val="bullet"/>
      <w:start w:val="1"/>
    </w:lvl>
  </w:abstractNum>
  <w:abstractNum w:abstractNumId="36">
    <w:nsid w:val="E6B3F6A"/>
    <w:multiLevelType w:val="hybridMultilevel"/>
    <w:lvl w:ilvl="0">
      <w:lvlJc w:val="left"/>
      <w:lvlText w:val="•"/>
      <w:numFmt w:val="bullet"/>
      <w:start w:val="1"/>
    </w:lvl>
  </w:abstractNum>
  <w:abstractNum w:abstractNumId="37">
    <w:nsid w:val="3EB21819"/>
    <w:multiLevelType w:val="hybridMultilevel"/>
    <w:lvl w:ilvl="0">
      <w:lvlJc w:val="left"/>
      <w:lvlText w:val="•"/>
      <w:numFmt w:val="bullet"/>
      <w:start w:val="1"/>
    </w:lvl>
  </w:abstractNum>
  <w:abstractNum w:abstractNumId="38">
    <w:nsid w:val="41531DED"/>
    <w:multiLevelType w:val="hybridMultilevel"/>
    <w:lvl w:ilvl="0">
      <w:lvlJc w:val="left"/>
      <w:lvlText w:val="•"/>
      <w:numFmt w:val="bullet"/>
      <w:start w:val="1"/>
    </w:lvl>
  </w:abstractNum>
  <w:abstractNum w:abstractNumId="39">
    <w:nsid w:val="6353CD2"/>
    <w:multiLevelType w:val="hybridMultilevel"/>
    <w:lvl w:ilvl="0">
      <w:lvlJc w:val="left"/>
      <w:lvlText w:val="•"/>
      <w:numFmt w:val="bullet"/>
      <w:start w:val="1"/>
    </w:lvl>
  </w:abstractNum>
  <w:abstractNum w:abstractNumId="40">
    <w:nsid w:val="683CAAD3"/>
    <w:multiLevelType w:val="hybridMultilevel"/>
    <w:lvl w:ilvl="0">
      <w:lvlJc w:val="left"/>
      <w:lvlText w:val="•"/>
      <w:numFmt w:val="bullet"/>
      <w:start w:val="1"/>
    </w:lvl>
  </w:abstractNum>
  <w:abstractNum w:abstractNumId="41">
    <w:nsid w:val="313C7C99"/>
    <w:multiLevelType w:val="hybridMultilevel"/>
    <w:lvl w:ilvl="0">
      <w:lvlJc w:val="left"/>
      <w:lvlText w:val="•"/>
      <w:numFmt w:val="bullet"/>
      <w:start w:val="1"/>
    </w:lvl>
  </w:abstractNum>
  <w:abstractNum w:abstractNumId="42">
    <w:nsid w:val="519EB94C"/>
    <w:multiLevelType w:val="hybridMultilevel"/>
    <w:lvl w:ilvl="0">
      <w:lvlJc w:val="left"/>
      <w:lvlText w:val="•"/>
      <w:numFmt w:val="bullet"/>
      <w:start w:val="1"/>
    </w:lvl>
    <w:lvl w:ilvl="1">
      <w:lvlJc w:val="left"/>
      <w:lvlText w:val="•"/>
      <w:numFmt w:val="bullet"/>
      <w:start w:val="1"/>
    </w:lvl>
  </w:abstractNum>
  <w:abstractNum w:abstractNumId="43">
    <w:nsid w:val="39DF2579"/>
    <w:multiLevelType w:val="hybridMultilevel"/>
    <w:lvl w:ilvl="0">
      <w:lvlJc w:val="left"/>
      <w:lvlText w:val="(%1)"/>
      <w:numFmt w:val="decimal"/>
      <w:start w:val="1"/>
    </w:lvl>
  </w:abstractNum>
  <w:abstractNum w:abstractNumId="44">
    <w:nsid w:val="126E008B"/>
    <w:multiLevelType w:val="hybridMultilevel"/>
    <w:lvl w:ilvl="0">
      <w:lvlJc w:val="left"/>
      <w:lvlText w:val="•"/>
      <w:numFmt w:val="bullet"/>
      <w:start w:val="1"/>
    </w:lvl>
  </w:abstractNum>
  <w:abstractNum w:abstractNumId="45">
    <w:nsid w:val="34DFBC00"/>
    <w:multiLevelType w:val="hybridMultilevel"/>
    <w:lvl w:ilvl="0">
      <w:lvlJc w:val="left"/>
      <w:lvlText w:val="•"/>
      <w:numFmt w:val="bullet"/>
      <w:start w:val="1"/>
    </w:lvl>
  </w:abstractNum>
  <w:abstractNum w:abstractNumId="46">
    <w:nsid w:val="1F9EC322"/>
    <w:multiLevelType w:val="hybridMultilevel"/>
    <w:lvl w:ilvl="0">
      <w:lvlJc w:val="left"/>
      <w:lvlText w:val="•"/>
      <w:numFmt w:val="bullet"/>
      <w:start w:val="1"/>
    </w:lvl>
  </w:abstractNum>
  <w:abstractNum w:abstractNumId="47">
    <w:nsid w:val="3410ED56"/>
    <w:multiLevelType w:val="hybridMultilevel"/>
    <w:lvl w:ilvl="0">
      <w:lvlJc w:val="left"/>
      <w:lvlText w:val="•"/>
      <w:numFmt w:val="bullet"/>
      <w:start w:val="1"/>
    </w:lvl>
  </w:abstractNum>
  <w:abstractNum w:abstractNumId="48">
    <w:nsid w:val="23C049A"/>
    <w:multiLevelType w:val="hybridMultilevel"/>
    <w:lvl w:ilvl="0">
      <w:lvlJc w:val="left"/>
      <w:lvlText w:val="(%1)"/>
      <w:numFmt w:val="decimal"/>
      <w:start w:val="1"/>
    </w:lvl>
  </w:abstractNum>
  <w:abstractNum w:abstractNumId="49">
    <w:nsid w:val="5BDA35D4"/>
    <w:multiLevelType w:val="hybridMultilevel"/>
    <w:lvl w:ilvl="0">
      <w:lvlJc w:val="left"/>
      <w:lvlText w:val="(%1)"/>
      <w:numFmt w:val="decimal"/>
      <w:start w:val="1"/>
    </w:lvl>
  </w:abstractNum>
  <w:abstractNum w:abstractNumId="50">
    <w:nsid w:val="496FB218"/>
    <w:multiLevelType w:val="hybridMultilevel"/>
    <w:lvl w:ilvl="0">
      <w:lvlJc w:val="left"/>
      <w:lvlText w:val="•"/>
      <w:numFmt w:val="bullet"/>
      <w:start w:val="1"/>
    </w:lvl>
  </w:abstractNum>
  <w:abstractNum w:abstractNumId="51">
    <w:nsid w:val="680EA5D1"/>
    <w:multiLevelType w:val="hybridMultilevel"/>
    <w:lvl w:ilvl="0">
      <w:lvlJc w:val="left"/>
      <w:lvlText w:val="•"/>
      <w:numFmt w:val="bullet"/>
      <w:start w:val="1"/>
    </w:lvl>
  </w:abstractNum>
  <w:abstractNum w:abstractNumId="52">
    <w:nsid w:val="4A9554FE"/>
    <w:multiLevelType w:val="hybridMultilevel"/>
    <w:lvl w:ilvl="0">
      <w:lvlJc w:val="left"/>
      <w:lvlText w:val="•"/>
      <w:numFmt w:val="bullet"/>
      <w:start w:val="1"/>
    </w:lvl>
  </w:abstractNum>
  <w:abstractNum w:abstractNumId="53">
    <w:nsid w:val="392EDBE4"/>
    <w:multiLevelType w:val="hybridMultilevel"/>
    <w:lvl w:ilvl="0">
      <w:lvlJc w:val="left"/>
      <w:lvlText w:val="•"/>
      <w:numFmt w:val="bullet"/>
      <w:start w:val="1"/>
    </w:lvl>
  </w:abstractNum>
  <w:abstractNum w:abstractNumId="54">
    <w:nsid w:val="3D1A2DD9"/>
    <w:multiLevelType w:val="hybridMultilevel"/>
    <w:lvl w:ilvl="0">
      <w:lvlJc w:val="left"/>
      <w:lvlText w:val="•"/>
      <w:numFmt w:val="bullet"/>
      <w:start w:val="1"/>
    </w:lvl>
  </w:abstractNum>
  <w:abstractNum w:abstractNumId="55">
    <w:nsid w:val="7F618FCD"/>
    <w:multiLevelType w:val="hybridMultilevel"/>
    <w:lvl w:ilvl="0">
      <w:lvlJc w:val="left"/>
      <w:lvlText w:val="•"/>
      <w:numFmt w:val="bullet"/>
      <w:start w:val="1"/>
    </w:lvl>
  </w:abstractNum>
  <w:abstractNum w:abstractNumId="56">
    <w:nsid w:val="7843E45"/>
    <w:multiLevelType w:val="hybridMultilevel"/>
    <w:lvl w:ilvl="0">
      <w:lvlJc w:val="left"/>
      <w:lvlText w:val="•"/>
      <w:numFmt w:val="bullet"/>
      <w:start w:val="1"/>
    </w:lvl>
  </w:abstractNum>
  <w:abstractNum w:abstractNumId="57">
    <w:nsid w:val="9815DA3"/>
    <w:multiLevelType w:val="hybridMultilevel"/>
    <w:lvl w:ilvl="0">
      <w:lvlJc w:val="left"/>
      <w:lvlText w:val="•"/>
      <w:numFmt w:val="bullet"/>
      <w:start w:val="1"/>
    </w:lvl>
  </w:abstractNum>
  <w:abstractNum w:abstractNumId="58">
    <w:nsid w:val="5204A191"/>
    <w:multiLevelType w:val="hybridMultilevel"/>
    <w:lvl w:ilvl="0">
      <w:lvlJc w:val="left"/>
      <w:lvlText w:val="•"/>
      <w:numFmt w:val="bullet"/>
      <w:start w:val="1"/>
    </w:lvl>
  </w:abstractNum>
  <w:abstractNum w:abstractNumId="59">
    <w:nsid w:val="4C73A9C6"/>
    <w:multiLevelType w:val="hybridMultilevel"/>
    <w:lvl w:ilvl="0">
      <w:lvlJc w:val="left"/>
      <w:lvlText w:val="•"/>
      <w:numFmt w:val="bullet"/>
      <w:start w:val="1"/>
    </w:lvl>
  </w:abstractNum>
  <w:abstractNum w:abstractNumId="60">
    <w:nsid w:val="1C7E3C01"/>
    <w:multiLevelType w:val="hybridMultilevel"/>
    <w:lvl w:ilvl="0">
      <w:lvlJc w:val="left"/>
      <w:lvlText w:val="•"/>
      <w:numFmt w:val="bullet"/>
      <w:start w:val="1"/>
    </w:lvl>
  </w:abstractNum>
  <w:abstractNum w:abstractNumId="61">
    <w:nsid w:val="1C2201FF"/>
    <w:multiLevelType w:val="hybridMultilevel"/>
    <w:lvl w:ilvl="0">
      <w:lvlJc w:val="left"/>
      <w:lvlText w:val="*"/>
      <w:numFmt w:val="bullet"/>
      <w:start w:val="1"/>
    </w:lvl>
  </w:abstractNum>
  <w:abstractNum w:abstractNumId="62">
    <w:nsid w:val="50ABCEC9"/>
    <w:multiLevelType w:val="hybridMultilevel"/>
    <w:lvl w:ilvl="0">
      <w:lvlJc w:val="left"/>
      <w:lvlText w:val="•"/>
      <w:numFmt w:val="bullet"/>
      <w:start w:val="1"/>
    </w:lvl>
  </w:abstractNum>
  <w:abstractNum w:abstractNumId="63">
    <w:nsid w:val="7635AA2A"/>
    <w:multiLevelType w:val="hybridMultilevel"/>
    <w:lvl w:ilvl="0">
      <w:lvlJc w:val="left"/>
      <w:lvlText w:val="•"/>
      <w:numFmt w:val="bullet"/>
      <w:start w:val="1"/>
    </w:lvl>
  </w:abstractNum>
  <w:abstractNum w:abstractNumId="64">
    <w:nsid w:val="5E74C4D9"/>
    <w:multiLevelType w:val="hybridMultilevel"/>
    <w:lvl w:ilvl="0">
      <w:lvlJc w:val="left"/>
      <w:lvlText w:val="•"/>
      <w:numFmt w:val="bullet"/>
      <w:start w:val="1"/>
    </w:lvl>
  </w:abstractNum>
  <w:abstractNum w:abstractNumId="65">
    <w:nsid w:val="3B3EBE15"/>
    <w:multiLevelType w:val="hybridMultilevel"/>
    <w:lvl w:ilvl="0">
      <w:lvlJc w:val="left"/>
      <w:lvlText w:val="•"/>
      <w:numFmt w:val="bullet"/>
      <w:start w:val="1"/>
    </w:lvl>
  </w:abstractNum>
  <w:abstractNum w:abstractNumId="66">
    <w:nsid w:val="3822CB01"/>
    <w:multiLevelType w:val="hybridMultilevel"/>
    <w:lvl w:ilvl="0">
      <w:lvlJc w:val="left"/>
      <w:lvlText w:val="•"/>
      <w:numFmt w:val="bullet"/>
      <w:start w:val="1"/>
    </w:lvl>
  </w:abstractNum>
  <w:abstractNum w:abstractNumId="67">
    <w:nsid w:val="6CE00443"/>
    <w:multiLevelType w:val="hybridMultilevel"/>
    <w:lvl w:ilvl="0">
      <w:lvlJc w:val="left"/>
      <w:lvlText w:val="•"/>
      <w:numFmt w:val="bullet"/>
      <w:start w:val="1"/>
    </w:lvl>
  </w:abstractNum>
  <w:abstractNum w:abstractNumId="68">
    <w:nsid w:val="79F0D62F"/>
    <w:multiLevelType w:val="hybridMultilevel"/>
    <w:lvl w:ilvl="0">
      <w:lvlJc w:val="left"/>
      <w:lvlText w:val="•"/>
      <w:numFmt w:val="bullet"/>
      <w:start w:val="1"/>
    </w:lvl>
  </w:abstractNum>
  <w:abstractNum w:abstractNumId="69">
    <w:nsid w:val="7975E8EE"/>
    <w:multiLevelType w:val="hybridMultilevel"/>
    <w:lvl w:ilvl="0">
      <w:lvlJc w:val="left"/>
      <w:lvlText w:val="•"/>
      <w:numFmt w:val="bullet"/>
      <w:start w:val="1"/>
    </w:lvl>
  </w:abstractNum>
  <w:abstractNum w:abstractNumId="70">
    <w:nsid w:val="73154115"/>
    <w:multiLevelType w:val="hybridMultilevel"/>
    <w:lvl w:ilvl="0">
      <w:lvlJc w:val="left"/>
      <w:lvlText w:val="(%1)"/>
      <w:numFmt w:val="lowerRoman"/>
      <w:start w:val="1"/>
    </w:lvl>
  </w:abstractNum>
  <w:abstractNum w:abstractNumId="71">
    <w:nsid w:val="622D8102"/>
    <w:multiLevelType w:val="hybridMultilevel"/>
    <w:lvl w:ilvl="0">
      <w:lvlJc w:val="left"/>
      <w:lvlText w:val="(%1)"/>
      <w:numFmt w:val="decimal"/>
      <w:start w:val="1"/>
    </w:lvl>
  </w:abstractNum>
  <w:abstractNum w:abstractNumId="72">
    <w:nsid w:val="2AB26587"/>
    <w:multiLevelType w:val="hybridMultilevel"/>
    <w:lvl w:ilvl="0">
      <w:lvlJc w:val="left"/>
      <w:lvlText w:val="•"/>
      <w:numFmt w:val="bullet"/>
      <w:start w:val="1"/>
    </w:lvl>
  </w:abstractNum>
  <w:abstractNum w:abstractNumId="73">
    <w:nsid w:val="44B3FA61"/>
    <w:multiLevelType w:val="hybridMultilevel"/>
    <w:lvl w:ilvl="0">
      <w:lvlJc w:val="left"/>
      <w:lvlText w:val="•"/>
      <w:numFmt w:val="bullet"/>
      <w:start w:val="1"/>
    </w:lvl>
  </w:abstractNum>
  <w:abstractNum w:abstractNumId="74">
    <w:nsid w:val="1C0CA67C"/>
    <w:multiLevelType w:val="hybridMultilevel"/>
    <w:lvl w:ilvl="0">
      <w:lvlJc w:val="left"/>
      <w:lvlText w:val="•"/>
      <w:numFmt w:val="bullet"/>
      <w:start w:val="1"/>
    </w:lvl>
  </w:abstractNum>
  <w:abstractNum w:abstractNumId="75">
    <w:nsid w:val="3D206613"/>
    <w:multiLevelType w:val="hybridMultilevel"/>
    <w:lvl w:ilvl="0">
      <w:lvlJc w:val="left"/>
      <w:lvlText w:val="•"/>
      <w:numFmt w:val="bullet"/>
      <w:start w:val="1"/>
    </w:lvl>
  </w:abstractNum>
  <w:abstractNum w:abstractNumId="76">
    <w:nsid w:val="7993B662"/>
    <w:multiLevelType w:val="hybridMultilevel"/>
    <w:lvl w:ilvl="0">
      <w:lvlJc w:val="left"/>
      <w:lvlText w:val="•"/>
      <w:numFmt w:val="bullet"/>
      <w:start w:val="1"/>
    </w:lvl>
  </w:abstractNum>
  <w:abstractNum w:abstractNumId="77">
    <w:nsid w:val="3BAB699E"/>
    <w:multiLevelType w:val="hybridMultilevel"/>
    <w:lvl w:ilvl="0">
      <w:lvlJc w:val="left"/>
      <w:lvlText w:val="•"/>
      <w:numFmt w:val="bullet"/>
      <w:start w:val="1"/>
    </w:lvl>
  </w:abstractNum>
  <w:abstractNum w:abstractNumId="78">
    <w:nsid w:val="71315369"/>
    <w:multiLevelType w:val="hybridMultilevel"/>
    <w:lvl w:ilvl="0">
      <w:lvlJc w:val="left"/>
      <w:lvlText w:val="(%1)"/>
      <w:numFmt w:val="decimal"/>
      <w:start w:val="1"/>
    </w:lvl>
  </w:abstractNum>
  <w:abstractNum w:abstractNumId="79">
    <w:nsid w:val="7BCFBAFC"/>
    <w:multiLevelType w:val="hybridMultilevel"/>
    <w:lvl w:ilvl="0">
      <w:lvlJc w:val="left"/>
      <w:lvlText w:val="(%1)"/>
      <w:numFmt w:val="decimal"/>
      <w:start w:val="1"/>
    </w:lvl>
  </w:abstractNum>
  <w:abstractNum w:abstractNumId="80">
    <w:nsid w:val="17859F72"/>
    <w:multiLevelType w:val="hybridMultilevel"/>
    <w:lvl w:ilvl="0">
      <w:lvlJc w:val="left"/>
      <w:lvlText w:val="(%1)"/>
      <w:numFmt w:val="decimal"/>
      <w:start w:val="1"/>
    </w:lvl>
  </w:abstractNum>
  <w:abstractNum w:abstractNumId="81">
    <w:nsid w:val="3AA10581"/>
    <w:multiLevelType w:val="hybridMultilevel"/>
    <w:lvl w:ilvl="0">
      <w:lvlJc w:val="left"/>
      <w:lvlText w:val="•"/>
      <w:numFmt w:val="bullet"/>
      <w:start w:val="1"/>
    </w:lvl>
  </w:abstractNum>
  <w:abstractNum w:abstractNumId="82">
    <w:nsid w:val="63DE60CD"/>
    <w:multiLevelType w:val="hybridMultilevel"/>
    <w:lvl w:ilvl="0">
      <w:lvlJc w:val="left"/>
      <w:lvlText w:val="•"/>
      <w:numFmt w:val="bullet"/>
      <w:start w:val="1"/>
    </w:lvl>
  </w:abstractNum>
  <w:abstractNum w:abstractNumId="83">
    <w:nsid w:val="621AF471"/>
    <w:multiLevelType w:val="hybridMultilevel"/>
    <w:lvl w:ilvl="0">
      <w:lvlJc w:val="left"/>
      <w:lvlText w:val="•"/>
      <w:numFmt w:val="bullet"/>
      <w:start w:val="1"/>
    </w:lvl>
  </w:abstractNum>
  <w:abstractNum w:abstractNumId="84">
    <w:nsid w:val="73CFE165"/>
    <w:multiLevelType w:val="hybridMultilevel"/>
    <w:lvl w:ilvl="0">
      <w:lvlJc w:val="left"/>
      <w:lvlText w:val="•"/>
      <w:numFmt w:val="bullet"/>
      <w:start w:val="1"/>
    </w:lvl>
  </w:abstractNum>
  <w:abstractNum w:abstractNumId="85">
    <w:nsid w:val="20F88EA6"/>
    <w:multiLevelType w:val="hybridMultilevel"/>
    <w:lvl w:ilvl="0">
      <w:lvlJc w:val="left"/>
      <w:lvlText w:val="(%1)"/>
      <w:numFmt w:val="decimal"/>
      <w:start w:val="7"/>
    </w:lvl>
  </w:abstractNum>
  <w:abstractNum w:abstractNumId="86">
    <w:nsid w:val="617C843E"/>
    <w:multiLevelType w:val="hybridMultilevel"/>
    <w:lvl w:ilvl="0">
      <w:lvlJc w:val="left"/>
      <w:lvlText w:val="(%1)"/>
      <w:numFmt w:val="decimal"/>
      <w:start w:val="12"/>
    </w:lvl>
  </w:abstractNum>
  <w:abstractNum w:abstractNumId="87">
    <w:nsid w:val="7B541FAB"/>
    <w:multiLevelType w:val="hybridMultilevel"/>
    <w:lvl w:ilvl="0">
      <w:lvlJc w:val="left"/>
      <w:lvlText w:val="(%1)"/>
      <w:numFmt w:val="decimal"/>
      <w:start w:val="20"/>
    </w:lvl>
  </w:abstractNum>
  <w:abstractNum w:abstractNumId="88">
    <w:nsid w:val="2A79EC49"/>
    <w:multiLevelType w:val="hybridMultilevel"/>
    <w:lvl w:ilvl="0">
      <w:lvlJc w:val="left"/>
      <w:lvlText w:val="(%1)"/>
      <w:numFmt w:val="decimal"/>
      <w:start w:val="26"/>
    </w:lvl>
  </w:abstractNum>
  <w:abstractNum w:abstractNumId="89">
    <w:nsid w:val="338125CF"/>
    <w:multiLevelType w:val="hybridMultilevel"/>
    <w:lvl w:ilvl="0">
      <w:lvlJc w:val="left"/>
      <w:lvlText w:val="(%1)"/>
      <w:numFmt w:val="decimal"/>
      <w:start w:val="39"/>
    </w:lvl>
  </w:abstractNum>
  <w:abstractNum w:abstractNumId="90">
    <w:nsid w:val="47C7C971"/>
    <w:multiLevelType w:val="hybridMultilevel"/>
    <w:lvl w:ilvl="0">
      <w:lvlJc w:val="left"/>
      <w:lvlText w:val="(%1)"/>
      <w:numFmt w:val="decimal"/>
      <w:start w:val="43"/>
    </w:lvl>
  </w:abstractNum>
  <w:abstractNum w:abstractNumId="91">
    <w:nsid w:val="46F8284B"/>
    <w:multiLevelType w:val="hybridMultilevel"/>
    <w:lvl w:ilvl="0">
      <w:lvlJc w:val="left"/>
      <w:lvlText w:val="(%1)"/>
      <w:numFmt w:val="decimal"/>
      <w:start w:val="4"/>
    </w:lvl>
  </w:abstractNum>
  <w:abstractNum w:abstractNumId="92">
    <w:nsid w:val="4FA327CE"/>
    <w:multiLevelType w:val="hybridMultilevel"/>
    <w:lvl w:ilvl="0">
      <w:lvlJc w:val="left"/>
      <w:lvlText w:val="(%1)"/>
      <w:numFmt w:val="decimal"/>
      <w:start w:val="2"/>
    </w:lvl>
  </w:abstractNum>
  <w:abstractNum w:abstractNumId="93">
    <w:nsid w:val="1873983A"/>
    <w:multiLevelType w:val="hybridMultilevel"/>
    <w:lvl w:ilvl="0">
      <w:lvlJc w:val="left"/>
      <w:lvlText w:val="•"/>
      <w:numFmt w:val="bullet"/>
      <w:start w:val="1"/>
    </w:lvl>
  </w:abstractNum>
  <w:abstractNum w:abstractNumId="94">
    <w:nsid w:val="3D2DD275"/>
    <w:multiLevelType w:val="hybridMultilevel"/>
    <w:lvl w:ilvl="0">
      <w:lvlJc w:val="left"/>
      <w:lvlText w:val="•"/>
      <w:numFmt w:val="bullet"/>
      <w:start w:val="1"/>
    </w:lvl>
  </w:abstractNum>
  <w:abstractNum w:abstractNumId="95">
    <w:nsid w:val="2E17ECA7"/>
    <w:multiLevelType w:val="hybridMultilevel"/>
    <w:lvl w:ilvl="0">
      <w:lvlJc w:val="left"/>
      <w:lvlText w:val="(%1)"/>
      <w:numFmt w:val="decimal"/>
      <w:start w:val="1"/>
    </w:lvl>
  </w:abstractNum>
  <w:abstractNum w:abstractNumId="96">
    <w:nsid w:val="53B2564F"/>
    <w:multiLevelType w:val="hybridMultilevel"/>
    <w:lvl w:ilvl="0">
      <w:lvlJc w:val="left"/>
      <w:lvlText w:val="(%1)"/>
      <w:numFmt w:val="decimal"/>
      <w:start w:val="1"/>
    </w:lvl>
  </w:abstractNum>
  <w:abstractNum w:abstractNumId="97">
    <w:nsid w:val="75509D76"/>
    <w:multiLevelType w:val="hybridMultilevel"/>
    <w:lvl w:ilvl="0">
      <w:lvlJc w:val="left"/>
      <w:lvlText w:val="•"/>
      <w:numFmt w:val="bullet"/>
      <w:start w:val="1"/>
    </w:lvl>
  </w:abstractNum>
  <w:abstractNum w:abstractNumId="98">
    <w:nsid w:val="1AF7F0EA"/>
    <w:multiLevelType w:val="hybridMultilevel"/>
    <w:lvl w:ilvl="0">
      <w:lvlJc w:val="left"/>
      <w:lvlText w:val="*"/>
      <w:numFmt w:val="bullet"/>
      <w:start w:val="1"/>
    </w:lvl>
  </w:abstractNum>
  <w:abstractNum w:abstractNumId="99">
    <w:nsid w:val="4DA32C7E"/>
    <w:multiLevelType w:val="hybridMultilevel"/>
    <w:lvl w:ilvl="0">
      <w:lvlJc w:val="left"/>
      <w:lvlText w:val="(%1)"/>
      <w:numFmt w:val="decimal"/>
      <w:start w:val="1"/>
    </w:lvl>
  </w:abstractNum>
  <w:abstractNum w:abstractNumId="100">
    <w:nsid w:val="6EC68664"/>
    <w:multiLevelType w:val="hybridMultilevel"/>
    <w:lvl w:ilvl="0">
      <w:lvlJc w:val="left"/>
      <w:lvlText w:val="(%1)"/>
      <w:numFmt w:val="decimal"/>
      <w:start w:val="2"/>
    </w:lvl>
  </w:abstractNum>
  <w:abstractNum w:abstractNumId="101">
    <w:nsid w:val="E0D31FF"/>
    <w:multiLevelType w:val="hybridMultilevel"/>
    <w:lvl w:ilvl="0">
      <w:lvlJc w:val="left"/>
      <w:lvlText w:val="(%1)"/>
      <w:numFmt w:val="decimal"/>
      <w:start w:val="7"/>
    </w:lvl>
  </w:abstractNum>
  <w:abstractNum w:abstractNumId="102">
    <w:nsid w:val="2FD0AD81"/>
    <w:multiLevelType w:val="hybridMultilevel"/>
    <w:lvl w:ilvl="0">
      <w:lvlJc w:val="left"/>
      <w:lvlText w:val="(%1)"/>
      <w:numFmt w:val="decimal"/>
      <w:start w:val="16"/>
    </w:lvl>
  </w:abstractNum>
  <w:abstractNum w:abstractNumId="103">
    <w:nsid w:val="1978EBEB"/>
    <w:multiLevelType w:val="hybridMultilevel"/>
    <w:lvl w:ilvl="0">
      <w:lvlJc w:val="left"/>
      <w:lvlText w:val="•"/>
      <w:numFmt w:val="bullet"/>
      <w:start w:val="1"/>
    </w:lvl>
  </w:abstractNum>
  <w:abstractNum w:abstractNumId="104">
    <w:nsid w:val="52C12C61"/>
    <w:multiLevelType w:val="hybridMultilevel"/>
    <w:lvl w:ilvl="0">
      <w:lvlJc w:val="left"/>
      <w:lvlText w:val="•"/>
      <w:numFmt w:val="bullet"/>
      <w:start w:val="1"/>
    </w:lvl>
  </w:abstractNum>
  <w:abstractNum w:abstractNumId="105">
    <w:nsid w:val="4BDD53FD"/>
    <w:multiLevelType w:val="hybridMultilevel"/>
    <w:lvl w:ilvl="0">
      <w:lvlJc w:val="left"/>
      <w:lvlText w:val="•"/>
      <w:numFmt w:val="bullet"/>
      <w:start w:val="1"/>
    </w:lvl>
  </w:abstractNum>
  <w:abstractNum w:abstractNumId="106">
    <w:nsid w:val="569951FE"/>
    <w:multiLevelType w:val="hybridMultilevel"/>
    <w:lvl w:ilvl="0">
      <w:lvlJc w:val="left"/>
      <w:lvlText w:val="•"/>
      <w:numFmt w:val="bullet"/>
      <w:start w:val="1"/>
    </w:lvl>
  </w:abstractNum>
  <w:abstractNum w:abstractNumId="107">
    <w:nsid w:val="4C54E2C3"/>
    <w:multiLevelType w:val="hybridMultilevel"/>
    <w:lvl w:ilvl="0">
      <w:lvlJc w:val="left"/>
      <w:lvlText w:val="•"/>
      <w:numFmt w:val="bullet"/>
      <w:start w:val="1"/>
    </w:lvl>
  </w:abstractNum>
  <w:abstractNum w:abstractNumId="108">
    <w:nsid w:val="788BD9B"/>
    <w:multiLevelType w:val="hybridMultilevel"/>
    <w:lvl w:ilvl="0">
      <w:lvlJc w:val="left"/>
      <w:lvlText w:val="•"/>
      <w:numFmt w:val="bullet"/>
      <w:start w:val="1"/>
    </w:lvl>
  </w:abstractNum>
  <w:abstractNum w:abstractNumId="109">
    <w:nsid w:val="47CAA567"/>
    <w:multiLevelType w:val="hybridMultilevel"/>
    <w:lvl w:ilvl="0">
      <w:lvlJc w:val="left"/>
      <w:lvlText w:val="•"/>
      <w:numFmt w:val="bullet"/>
      <w:start w:val="1"/>
    </w:lvl>
  </w:abstractNum>
  <w:abstractNum w:abstractNumId="110">
    <w:nsid w:val="48249DBF"/>
    <w:multiLevelType w:val="hybridMultilevel"/>
    <w:lvl w:ilvl="0">
      <w:lvlJc w:val="left"/>
      <w:lvlText w:val="%1."/>
      <w:numFmt w:val="decimal"/>
      <w:start w:val="701"/>
    </w:lvl>
  </w:abstractNum>
  <w:abstractNum w:abstractNumId="111">
    <w:nsid w:val="1F0E5D0D"/>
    <w:multiLevelType w:val="hybridMultilevel"/>
    <w:lvl w:ilvl="0">
      <w:lvlJc w:val="left"/>
      <w:lvlText w:val="•"/>
      <w:numFmt w:val="bullet"/>
      <w:start w:val="1"/>
    </w:lvl>
  </w:abstractNum>
  <w:abstractNum w:abstractNumId="112">
    <w:nsid w:val="26BAAE9"/>
    <w:multiLevelType w:val="hybridMultilevel"/>
    <w:lvl w:ilvl="0">
      <w:lvlJc w:val="left"/>
      <w:lvlText w:val="•"/>
      <w:numFmt w:val="bullet"/>
      <w:start w:val="1"/>
    </w:lvl>
  </w:abstractNum>
  <w:abstractNum w:abstractNumId="113">
    <w:nsid w:val="2C02FE8C"/>
    <w:multiLevelType w:val="hybridMultilevel"/>
    <w:lvl w:ilvl="0">
      <w:lvlJc w:val="left"/>
      <w:lvlText w:val="•"/>
      <w:numFmt w:val="bullet"/>
      <w:start w:val="1"/>
    </w:lvl>
  </w:abstractNum>
  <w:abstractNum w:abstractNumId="114">
    <w:nsid w:val="129517E"/>
    <w:multiLevelType w:val="hybridMultilevel"/>
    <w:lvl w:ilvl="0">
      <w:lvlJc w:val="left"/>
      <w:lvlText w:val="•"/>
      <w:numFmt w:val="bullet"/>
      <w:start w:val="1"/>
    </w:lvl>
  </w:abstractNum>
  <w:abstractNum w:abstractNumId="115">
    <w:nsid w:val="763B8C4E"/>
    <w:multiLevelType w:val="hybridMultilevel"/>
    <w:lvl w:ilvl="0">
      <w:lvlJc w:val="left"/>
      <w:lvlText w:val="•"/>
      <w:numFmt w:val="bullet"/>
      <w:start w:val="1"/>
    </w:lvl>
  </w:abstractNum>
  <w:abstractNum w:abstractNumId="116">
    <w:nsid w:val="4CFB8D32"/>
    <w:multiLevelType w:val="hybridMultilevel"/>
    <w:lvl w:ilvl="0">
      <w:lvlJc w:val="left"/>
      <w:lvlText w:val="•"/>
      <w:numFmt w:val="bullet"/>
      <w:start w:val="1"/>
    </w:lvl>
  </w:abstractNum>
  <w:abstractNum w:abstractNumId="117">
    <w:nsid w:val="62A5D5BD"/>
    <w:multiLevelType w:val="hybridMultilevel"/>
    <w:lvl w:ilvl="0">
      <w:lvlJc w:val="left"/>
      <w:lvlText w:val="•"/>
      <w:numFmt w:val="bullet"/>
      <w:start w:val="1"/>
    </w:lvl>
  </w:abstractNum>
  <w:abstractNum w:abstractNumId="118">
    <w:nsid w:val="718FABF9"/>
    <w:multiLevelType w:val="hybridMultilevel"/>
    <w:lvl w:ilvl="0">
      <w:lvlJc w:val="left"/>
      <w:lvlText w:val="(%1)"/>
      <w:numFmt w:val="lowerRoman"/>
      <w:start w:val="1"/>
    </w:lvl>
  </w:abstractNum>
  <w:abstractNum w:abstractNumId="119">
    <w:nsid w:val="7775797C"/>
    <w:multiLevelType w:val="hybridMultilevel"/>
    <w:lvl w:ilvl="0">
      <w:lvlJc w:val="left"/>
      <w:lvlText w:val="(%1)"/>
      <w:numFmt w:val="lowerLetter"/>
      <w:start w:val="1"/>
    </w:lvl>
  </w:abstractNum>
  <w:abstractNum w:abstractNumId="120">
    <w:nsid w:val="1626FB8C"/>
    <w:multiLevelType w:val="hybridMultilevel"/>
    <w:lvl w:ilvl="0">
      <w:lvlJc w:val="left"/>
      <w:lvlText w:val="(%1)"/>
      <w:numFmt w:val="lowerLetter"/>
      <w:start w:val="2"/>
    </w:lvl>
  </w:abstractNum>
  <w:abstractNum w:abstractNumId="121">
    <w:nsid w:val="3957756A"/>
    <w:multiLevelType w:val="hybridMultilevel"/>
    <w:lvl w:ilvl="0">
      <w:lvlJc w:val="left"/>
      <w:lvlText w:val="(%1)"/>
      <w:numFmt w:val="lowerLetter"/>
      <w:start w:val="1"/>
    </w:lvl>
  </w:abstractNum>
  <w:abstractNum w:abstractNumId="122">
    <w:nsid w:val="3E6DA1C7"/>
    <w:multiLevelType w:val="hybridMultilevel"/>
    <w:lvl w:ilvl="0">
      <w:lvlJc w:val="left"/>
      <w:lvlText w:val="(%1)"/>
      <w:numFmt w:val="lowerLetter"/>
      <w:start w:val="1"/>
    </w:lvl>
  </w:abstractNum>
  <w:abstractNum w:abstractNumId="123">
    <w:nsid w:val="65CA235B"/>
    <w:multiLevelType w:val="hybridMultilevel"/>
    <w:lvl w:ilvl="0">
      <w:lvlJc w:val="left"/>
      <w:lvlText w:val="(%1)"/>
      <w:numFmt w:val="lowerLetter"/>
      <w:start w:val="1"/>
    </w:lvl>
  </w:abstractNum>
  <w:abstractNum w:abstractNumId="124">
    <w:nsid w:val="51CB0DA4"/>
    <w:multiLevelType w:val="hybridMultilevel"/>
    <w:lvl w:ilvl="0">
      <w:lvlJc w:val="left"/>
      <w:lvlText w:val="(%1)"/>
      <w:numFmt w:val="lowerRoman"/>
      <w:start w:val="2"/>
    </w:lvl>
  </w:abstractNum>
  <w:abstractNum w:abstractNumId="125">
    <w:nsid w:val="7B9B743C"/>
    <w:multiLevelType w:val="hybridMultilevel"/>
    <w:lvl w:ilvl="0">
      <w:lvlJc w:val="left"/>
      <w:lvlText w:val="(%1)"/>
      <w:numFmt w:val="lowerRoman"/>
      <w:start w:val="3"/>
    </w:lvl>
  </w:abstractNum>
  <w:abstractNum w:abstractNumId="126">
    <w:nsid w:val="13E21002"/>
    <w:multiLevelType w:val="hybridMultilevel"/>
    <w:lvl w:ilvl="0">
      <w:lvlJc w:val="left"/>
      <w:lvlText w:val="[%1]"/>
      <w:numFmt w:val="decimal"/>
      <w:start w:val="1"/>
    </w:lvl>
  </w:abstractNum>
  <w:abstractNum w:abstractNumId="127">
    <w:nsid w:val="257D63F4"/>
    <w:multiLevelType w:val="hybridMultilevel"/>
    <w:lvl w:ilvl="0">
      <w:lvlJc w:val="left"/>
      <w:lvlText w:val="(%1)"/>
      <w:numFmt w:val="lowerRoman"/>
      <w:start w:val="1"/>
    </w:lvl>
  </w:abstractNum>
  <w:abstractNum w:abstractNumId="128">
    <w:nsid w:val="70EC11B2"/>
    <w:multiLevelType w:val="hybridMultilevel"/>
    <w:lvl w:ilvl="0">
      <w:lvlJc w:val="left"/>
      <w:lvlText w:val="(%1)"/>
      <w:numFmt w:val="lowerRoman"/>
      <w:start w:val="10"/>
    </w:lvl>
  </w:abstractNum>
  <w:abstractNum w:abstractNumId="129">
    <w:nsid w:val="2EDA00ED"/>
    <w:multiLevelType w:val="hybridMultilevel"/>
    <w:lvl w:ilvl="0">
      <w:lvlJc w:val="left"/>
      <w:lvlText w:val="[%1]"/>
      <w:numFmt w:val="lowerLetter"/>
      <w:start w:val="1"/>
    </w:lvl>
  </w:abstractNum>
  <w:abstractNum w:abstractNumId="130">
    <w:nsid w:val="73209072"/>
    <w:multiLevelType w:val="hybridMultilevel"/>
    <w:lvl w:ilvl="0">
      <w:lvlJc w:val="left"/>
      <w:lvlText w:val="[%1]"/>
      <w:numFmt w:val="lowerLetter"/>
      <w:start w:val="1"/>
    </w:lvl>
  </w:abstractNum>
  <w:abstractNum w:abstractNumId="131">
    <w:nsid w:val="5FB29816"/>
    <w:multiLevelType w:val="hybridMultilevel"/>
    <w:lvl w:ilvl="0">
      <w:lvlJc w:val="left"/>
      <w:lvlText w:val="%1."/>
      <w:numFmt w:val="decimal"/>
      <w:start w:val="14"/>
    </w:lvl>
  </w:abstractNum>
  <w:abstractNum w:abstractNumId="132">
    <w:nsid w:val="3CE732EC"/>
    <w:multiLevelType w:val="hybridMultilevel"/>
    <w:lvl w:ilvl="0">
      <w:lvlJc w:val="left"/>
      <w:lvlText w:val="•"/>
      <w:numFmt w:val="bullet"/>
      <w:start w:val="1"/>
    </w:lvl>
  </w:abstractNum>
  <w:abstractNum w:abstractNumId="133">
    <w:nsid w:val="22F13DF3"/>
    <w:multiLevelType w:val="hybridMultilevel"/>
    <w:lvl w:ilvl="0">
      <w:lvlJc w:val="left"/>
      <w:lvlText w:val="(%1)"/>
      <w:numFmt w:val="decimal"/>
      <w:start w:val="1"/>
    </w:lvl>
  </w:abstractNum>
  <w:abstractNum w:abstractNumId="134">
    <w:nsid w:val="792B8401"/>
    <w:multiLevelType w:val="hybridMultilevel"/>
    <w:lvl w:ilvl="0">
      <w:lvlJc w:val="left"/>
      <w:lvlText w:val="(%1)"/>
      <w:numFmt w:val="decimal"/>
      <w:start w:val="5"/>
    </w:lvl>
  </w:abstractNum>
  <w:abstractNum w:abstractNumId="135">
    <w:nsid w:val="FA85F4D"/>
    <w:multiLevelType w:val="hybridMultilevel"/>
    <w:lvl w:ilvl="0">
      <w:lvlJc w:val="left"/>
      <w:lvlText w:val="(%1)"/>
      <w:numFmt w:val="decimal"/>
      <w:start w:val="1"/>
    </w:lvl>
  </w:abstractNum>
  <w:abstractNum w:abstractNumId="136">
    <w:nsid w:val="6ECE91F0"/>
    <w:multiLevelType w:val="hybridMultilevel"/>
    <w:lvl w:ilvl="0">
      <w:lvlJc w:val="left"/>
      <w:lvlText w:val="*"/>
      <w:numFmt w:val="bullet"/>
      <w:start w:val="1"/>
    </w:lvl>
  </w:abstractNum>
  <w:abstractNum w:abstractNumId="137">
    <w:nsid w:val="4FC4D600"/>
    <w:multiLevelType w:val="hybridMultilevel"/>
    <w:lvl w:ilvl="0">
      <w:lvlJc w:val="left"/>
      <w:lvlText w:val="+"/>
      <w:numFmt w:val="bullet"/>
      <w:start w:val="1"/>
    </w:lvl>
  </w:abstractNum>
  <w:abstractNum w:abstractNumId="138">
    <w:nsid w:val="5BFD4210"/>
    <w:multiLevelType w:val="hybridMultilevel"/>
    <w:lvl w:ilvl="0">
      <w:lvlJc w:val="left"/>
      <w:lvlText w:val="#"/>
      <w:numFmt w:val="bullet"/>
      <w:start w:val="1"/>
    </w:lvl>
    <w:lvl w:ilvl="1">
      <w:lvlJc w:val="left"/>
      <w:lvlText w:val="(%2)"/>
      <w:numFmt w:val="lowerLetter"/>
      <w:start w:val="2"/>
    </w:lvl>
  </w:abstractNum>
  <w:abstractNum w:abstractNumId="139">
    <w:nsid w:val="76574F8B"/>
    <w:multiLevelType w:val="hybridMultilevel"/>
    <w:lvl w:ilvl="0">
      <w:lvlJc w:val="left"/>
      <w:lvlText w:val="%1"/>
      <w:numFmt w:val="decimal"/>
      <w:start w:val="1"/>
    </w:lvl>
    <w:lvl w:ilvl="1">
      <w:lvlJc w:val="left"/>
      <w:lvlText w:val="(%2)"/>
      <w:numFmt w:val="decimal"/>
      <w:start w:val="1"/>
    </w:lvl>
  </w:abstractNum>
  <w:abstractNum w:abstractNumId="140">
    <w:nsid w:val="178F7B67"/>
    <w:multiLevelType w:val="hybridMultilevel"/>
    <w:lvl w:ilvl="0">
      <w:lvlJc w:val="left"/>
      <w:lvlText w:val="(%1)"/>
      <w:numFmt w:val="decimal"/>
      <w:start w:val="4"/>
    </w:lvl>
    <w:lvl w:ilvl="1">
      <w:lvlJc w:val="left"/>
      <w:lvlText w:val="(%2)"/>
      <w:numFmt w:val="decimal"/>
      <w:start w:val="2"/>
    </w:lvl>
  </w:abstractNum>
  <w:abstractNum w:abstractNumId="141">
    <w:nsid w:val="2421DFCF"/>
    <w:multiLevelType w:val="hybridMultilevel"/>
    <w:lvl w:ilvl="0">
      <w:lvlJc w:val="left"/>
      <w:lvlText w:val="[•]"/>
      <w:numFmt w:val="bullet"/>
      <w:start w:val="1"/>
    </w:lvl>
  </w:abstractNum>
  <w:abstractNum w:abstractNumId="142">
    <w:nsid w:val="1565AC99"/>
    <w:multiLevelType w:val="hybridMultilevel"/>
    <w:lvl w:ilvl="0">
      <w:lvlJc w:val="left"/>
      <w:lvlText w:val="%1"/>
      <w:numFmt w:val="lowerLetter"/>
      <w:start w:val="1"/>
    </w:lvl>
    <w:lvl w:ilvl="1">
      <w:lvlJc w:val="left"/>
      <w:lvlText w:val="(%2)"/>
      <w:numFmt w:val="lowerLetter"/>
      <w:start w:val="1"/>
    </w:lvl>
  </w:abstractNum>
  <w:abstractNum w:abstractNumId="143">
    <w:nsid w:val="19FB2650"/>
    <w:multiLevelType w:val="hybridMultilevel"/>
    <w:lvl w:ilvl="0">
      <w:lvlJc w:val="left"/>
      <w:lvlText w:val="(%1)"/>
      <w:numFmt w:val="lowerLetter"/>
      <w:start w:val="22"/>
    </w:lvl>
    <w:lvl w:ilvl="1">
      <w:lvlJc w:val="left"/>
      <w:lvlText w:val="(%2)"/>
      <w:numFmt w:val="lowerLetter"/>
      <w:start w:val="3"/>
    </w:lvl>
  </w:abstractNum>
  <w:abstractNum w:abstractNumId="144">
    <w:nsid w:val="5024DE5B"/>
    <w:multiLevelType w:val="hybridMultilevel"/>
    <w:lvl w:ilvl="0">
      <w:lvlJc w:val="left"/>
      <w:lvlText w:val="(%1)"/>
      <w:numFmt w:val="lowerLetter"/>
      <w:start w:val="4"/>
    </w:lvl>
  </w:abstractNum>
  <w:abstractNum w:abstractNumId="145">
    <w:nsid w:val="168EFE17"/>
    <w:multiLevelType w:val="hybridMultilevel"/>
    <w:lvl w:ilvl="0">
      <w:lvlJc w:val="left"/>
      <w:lvlText w:val="%1"/>
      <w:numFmt w:val="lowerRoman"/>
      <w:start w:val="1"/>
    </w:lvl>
    <w:lvl w:ilvl="1">
      <w:lvlJc w:val="left"/>
      <w:lvlText w:val="(%2)"/>
      <w:numFmt w:val="lowerLetter"/>
      <w:start w:val="8"/>
    </w:lvl>
  </w:abstractNum>
  <w:abstractNum w:abstractNumId="146">
    <w:nsid w:val="1036B29F"/>
    <w:multiLevelType w:val="hybridMultilevel"/>
    <w:lvl w:ilvl="0">
      <w:lvlJc w:val="left"/>
      <w:lvlText w:val="(%1)"/>
      <w:numFmt w:val="lowerRoman"/>
      <w:start w:val="4"/>
    </w:lvl>
    <w:lvl w:ilvl="1">
      <w:lvlJc w:val="left"/>
      <w:lvlText w:val="%2"/>
      <w:numFmt w:val="lowerLetter"/>
      <w:start w:val="1"/>
    </w:lvl>
  </w:abstractNum>
  <w:abstractNum w:abstractNumId="147">
    <w:nsid w:val="1D206B8E"/>
    <w:multiLevelType w:val="hybridMultilevel"/>
    <w:lvl w:ilvl="0">
      <w:lvlJc w:val="left"/>
      <w:lvlText w:val="(%1)"/>
      <w:numFmt w:val="lowerLetter"/>
      <w:start w:val="14"/>
    </w:lvl>
  </w:abstractNum>
  <w:abstractNum w:abstractNumId="148">
    <w:nsid w:val="7934D3D4"/>
    <w:multiLevelType w:val="hybridMultilevel"/>
    <w:lvl w:ilvl="0">
      <w:lvlJc w:val="left"/>
      <w:lvlText w:val="(%1)"/>
      <w:numFmt w:val="lowerLetter"/>
      <w:start w:val="20"/>
    </w:lvl>
    <w:lvl w:ilvl="1">
      <w:lvlJc w:val="left"/>
      <w:lvlText w:val="(%2)"/>
      <w:numFmt w:val="upperLetter"/>
      <w:start w:val="1"/>
    </w:lvl>
  </w:abstractNum>
  <w:abstractNum w:abstractNumId="149">
    <w:nsid w:val="1C65E98"/>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150">
    <w:nsid w:val="1495E50A"/>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51">
    <w:nsid w:val="F5BCF61"/>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152">
    <w:nsid w:val="3B1DD403"/>
    <w:multiLevelType w:val="hybridMultilevel"/>
    <w:lvl w:ilvl="0">
      <w:lvlJc w:val="left"/>
      <w:lvlText w:val="(%1)"/>
      <w:numFmt w:val="lowerLetter"/>
      <w:start w:val="25"/>
    </w:lvl>
  </w:abstractNum>
  <w:abstractNum w:abstractNumId="153">
    <w:nsid w:val="530386D1"/>
    <w:multiLevelType w:val="hybridMultilevel"/>
    <w:lvl w:ilvl="0">
      <w:lvlJc w:val="left"/>
      <w:lvlText w:val="(%1)"/>
      <w:numFmt w:val="lowerLetter"/>
      <w:start w:val="27"/>
    </w:lvl>
  </w:abstractNum>
  <w:abstractNum w:abstractNumId="154">
    <w:nsid w:val="7525F2BC"/>
    <w:multiLevelType w:val="hybridMultilevel"/>
    <w:lvl w:ilvl="0">
      <w:lvlJc w:val="left"/>
      <w:lvlText w:val="(%1)"/>
      <w:numFmt w:val="lowerRoman"/>
      <w:start w:val="4"/>
    </w:lvl>
  </w:abstractNum>
  <w:abstractNum w:abstractNumId="155">
    <w:nsid w:val="CE8E1A7"/>
    <w:multiLevelType w:val="hybridMultilevel"/>
    <w:lvl w:ilvl="0">
      <w:lvlJc w:val="left"/>
      <w:lvlText w:val="(%1)"/>
      <w:numFmt w:val="lowerLetter"/>
      <w:start w:val="31"/>
    </w:lvl>
  </w:abstractNum>
  <w:abstractNum w:abstractNumId="156">
    <w:nsid w:val="4E9EFB0D"/>
    <w:multiLevelType w:val="hybridMultilevel"/>
    <w:lvl w:ilvl="0">
      <w:lvlJc w:val="left"/>
      <w:lvlText w:val="(%1)"/>
      <w:numFmt w:val="lowerLetter"/>
      <w:start w:val="33"/>
    </w:lvl>
  </w:abstractNum>
  <w:abstractNum w:abstractNumId="157">
    <w:nsid w:val="90802BE"/>
    <w:multiLevelType w:val="hybridMultilevel"/>
    <w:lvl w:ilvl="0">
      <w:lvlJc w:val="left"/>
      <w:lvlText w:val="%1"/>
      <w:numFmt w:val="lowerLetter"/>
      <w:start w:val="1"/>
    </w:lvl>
    <w:lvl w:ilvl="1">
      <w:lvlJc w:val="left"/>
      <w:lvlText w:val="(%2)"/>
      <w:numFmt w:val="lowerLetter"/>
      <w:start w:val="37"/>
    </w:lvl>
  </w:abstractNum>
  <w:abstractNum w:abstractNumId="158">
    <w:nsid w:val="3266459B"/>
    <w:multiLevelType w:val="hybridMultilevel"/>
    <w:lvl w:ilvl="0">
      <w:lvlJc w:val="left"/>
      <w:lvlText w:val="(%1)"/>
      <w:numFmt w:val="lowerLetter"/>
      <w:start w:val="35"/>
    </w:lvl>
    <w:lvl w:ilvl="1">
      <w:lvlJc w:val="left"/>
      <w:lvlText w:val="(%2)"/>
      <w:numFmt w:val="lowerLetter"/>
      <w:start w:val="38"/>
    </w:lvl>
  </w:abstractNum>
  <w:abstractNum w:abstractNumId="159">
    <w:nsid w:val="3F8B0CBF"/>
    <w:multiLevelType w:val="hybridMultilevel"/>
    <w:lvl w:ilvl="0">
      <w:lvlJc w:val="left"/>
      <w:lvlText w:val="(%1)"/>
      <w:numFmt w:val="lowerLetter"/>
      <w:start w:val="41"/>
    </w:lvl>
  </w:abstractNum>
  <w:abstractNum w:abstractNumId="160">
    <w:nsid w:val="37E203AB"/>
    <w:multiLevelType w:val="hybridMultilevel"/>
    <w:lvl w:ilvl="0">
      <w:lvlJc w:val="left"/>
      <w:lvlText w:val="%1."/>
      <w:numFmt w:val="decimal"/>
      <w:start w:val="2"/>
    </w:lvl>
  </w:abstractNum>
  <w:abstractNum w:abstractNumId="161">
    <w:nsid w:val="2586D60E"/>
    <w:multiLevelType w:val="hybridMultilevel"/>
    <w:lvl w:ilvl="0">
      <w:lvlJc w:val="left"/>
      <w:lvlText w:val="%1."/>
      <w:numFmt w:val="decimal"/>
      <w:start w:val="3"/>
    </w:lvl>
  </w:abstractNum>
  <w:abstractNum w:abstractNumId="162">
    <w:nsid w:val="1F3DA4D5"/>
    <w:multiLevelType w:val="hybridMultilevel"/>
    <w:lvl w:ilvl="0">
      <w:lvlJc w:val="left"/>
      <w:lvlText w:val="%1."/>
      <w:numFmt w:val="decimal"/>
      <w:start w:val="5"/>
    </w:lvl>
  </w:abstractNum>
  <w:abstractNum w:abstractNumId="163">
    <w:nsid w:val="74C93698"/>
    <w:multiLevelType w:val="hybridMultilevel"/>
    <w:lvl w:ilvl="0">
      <w:lvlJc w:val="left"/>
      <w:lvlText w:val="(%1)"/>
      <w:numFmt w:val="lowerLetter"/>
      <w:start w:val="1"/>
    </w:lvl>
  </w:abstractNum>
  <w:abstractNum w:abstractNumId="164">
    <w:nsid w:val="48781401"/>
    <w:multiLevelType w:val="hybridMultilevel"/>
    <w:lvl w:ilvl="0">
      <w:lvlJc w:val="left"/>
      <w:lvlText w:val="(%1)"/>
      <w:numFmt w:val="lowerLetter"/>
      <w:start w:val="3"/>
    </w:lvl>
  </w:abstractNum>
  <w:abstractNum w:abstractNumId="165">
    <w:nsid w:val="186928D6"/>
    <w:multiLevelType w:val="hybridMultilevel"/>
    <w:lvl w:ilvl="0">
      <w:lvlJc w:val="left"/>
      <w:lvlText w:val="(%1)"/>
      <w:numFmt w:val="lowerLetter"/>
      <w:start w:val="5"/>
    </w:lvl>
    <w:lvl w:ilvl="1">
      <w:lvlJc w:val="left"/>
      <w:lvlText w:val="(%2)"/>
      <w:numFmt w:val="lowerRoman"/>
      <w:start w:val="1"/>
    </w:lvl>
  </w:abstractNum>
  <w:abstractNum w:abstractNumId="166">
    <w:nsid w:val="47195E5"/>
    <w:multiLevelType w:val="hybridMultilevel"/>
    <w:lvl w:ilvl="0">
      <w:lvlJc w:val="left"/>
      <w:lvlText w:val="(%1)"/>
      <w:numFmt w:val="lowerRoman"/>
      <w:start w:val="4"/>
    </w:lvl>
  </w:abstractNum>
  <w:abstractNum w:abstractNumId="167">
    <w:nsid w:val="3746A5F2"/>
    <w:multiLevelType w:val="hybridMultilevel"/>
    <w:lvl w:ilvl="0">
      <w:lvlJc w:val="left"/>
      <w:lvlText w:val="(%1)"/>
      <w:numFmt w:val="lowerLetter"/>
      <w:start w:val="12"/>
    </w:lvl>
  </w:abstractNum>
  <w:abstractNum w:abstractNumId="168">
    <w:nsid w:val="682DFED6"/>
    <w:multiLevelType w:val="hybridMultilevel"/>
    <w:lvl w:ilvl="0">
      <w:lvlJc w:val="left"/>
      <w:lvlText w:val="(%1)"/>
      <w:numFmt w:val="lowerLetter"/>
      <w:start w:val="1"/>
    </w:lvl>
  </w:abstractNum>
  <w:abstractNum w:abstractNumId="169">
    <w:nsid w:val="606ED7F6"/>
    <w:multiLevelType w:val="hybridMultilevel"/>
    <w:lvl w:ilvl="0">
      <w:lvlJc w:val="left"/>
      <w:lvlText w:val="(%1)"/>
      <w:numFmt w:val="lowerLetter"/>
      <w:start w:val="3"/>
    </w:lvl>
  </w:abstractNum>
  <w:abstractNum w:abstractNumId="170">
    <w:nsid w:val="2D9DF57D"/>
    <w:multiLevelType w:val="hybridMultilevel"/>
    <w:lvl w:ilvl="0">
      <w:lvlJc w:val="left"/>
      <w:lvlText w:val="(%1)"/>
      <w:numFmt w:val="lowerLetter"/>
      <w:start w:val="8"/>
    </w:lvl>
  </w:abstractNum>
  <w:abstractNum w:abstractNumId="171">
    <w:nsid w:val="7FBD7A3E"/>
    <w:multiLevelType w:val="hybridMultilevel"/>
    <w:lvl w:ilvl="0">
      <w:lvlJc w:val="left"/>
      <w:lvlText w:val="%1"/>
      <w:numFmt w:val="decimal"/>
      <w:start w:val="1"/>
    </w:lvl>
    <w:lvl w:ilvl="1">
      <w:lvlJc w:val="left"/>
      <w:lvlText w:val="(%2)"/>
      <w:numFmt w:val="lowerLetter"/>
      <w:start w:val="16"/>
    </w:lvl>
  </w:abstractNum>
  <w:abstractNum w:abstractNumId="172">
    <w:nsid w:val="490B7C5"/>
    <w:multiLevelType w:val="hybridMultilevel"/>
    <w:lvl w:ilvl="0">
      <w:lvlJc w:val="left"/>
      <w:lvlText w:val="(%1)"/>
      <w:numFmt w:val="decimal"/>
      <w:start w:val="2"/>
    </w:lvl>
    <w:lvl w:ilvl="1">
      <w:lvlJc w:val="left"/>
      <w:lvlText w:val="%2"/>
      <w:numFmt w:val="lowerLetter"/>
      <w:start w:val="1"/>
    </w:lvl>
  </w:abstractNum>
  <w:abstractNum w:abstractNumId="173">
    <w:nsid w:val="4303A216"/>
    <w:multiLevelType w:val="hybridMultilevel"/>
    <w:lvl w:ilvl="0">
      <w:lvlJc w:val="left"/>
      <w:lvlText w:val="(%1)"/>
      <w:numFmt w:val="lowerLetter"/>
      <w:start w:val="17"/>
    </w:lvl>
  </w:abstractNum>
  <w:abstractNum w:abstractNumId="174">
    <w:nsid w:val="19B8A08E"/>
    <w:multiLevelType w:val="hybridMultilevel"/>
    <w:lvl w:ilvl="0">
      <w:lvlJc w:val="left"/>
      <w:lvlText w:val="%1."/>
      <w:numFmt w:val="decimal"/>
      <w:start w:val="7"/>
    </w:lvl>
  </w:abstractNum>
  <w:abstractNum w:abstractNumId="175">
    <w:nsid w:val="54B59621"/>
    <w:multiLevelType w:val="hybridMultilevel"/>
    <w:lvl w:ilvl="0">
      <w:lvlJc w:val="left"/>
      <w:lvlText w:val="%1."/>
      <w:numFmt w:val="decimal"/>
      <w:start w:val="8"/>
    </w:lvl>
  </w:abstractNum>
  <w:abstractNum w:abstractNumId="176">
    <w:nsid w:val="5992A02E"/>
    <w:multiLevelType w:val="hybridMultilevel"/>
    <w:lvl w:ilvl="0">
      <w:lvlJc w:val="left"/>
      <w:lvlText w:val="(%1)"/>
      <w:numFmt w:val="lowerLetter"/>
      <w:start w:val="2"/>
    </w:lvl>
  </w:abstractNum>
  <w:abstractNum w:abstractNumId="177">
    <w:nsid w:val="29EF532D"/>
    <w:multiLevelType w:val="hybridMultilevel"/>
    <w:lvl w:ilvl="0">
      <w:lvlJc w:val="left"/>
      <w:lvlText w:val="(%1)"/>
      <w:numFmt w:val="lowerLetter"/>
      <w:start w:val="4"/>
    </w:lvl>
  </w:abstractNum>
  <w:abstractNum w:abstractNumId="178">
    <w:nsid w:val="71D601AF"/>
    <w:multiLevelType w:val="hybridMultilevel"/>
    <w:lvl w:ilvl="0">
      <w:lvlJc w:val="left"/>
      <w:lvlText w:val="(%1)"/>
      <w:numFmt w:val="lowerLetter"/>
      <w:start w:val="5"/>
    </w:lvl>
  </w:abstractNum>
  <w:abstractNum w:abstractNumId="179">
    <w:nsid w:val="52C77402"/>
    <w:multiLevelType w:val="hybridMultilevel"/>
    <w:lvl w:ilvl="0">
      <w:lvlJc w:val="left"/>
      <w:lvlText w:val="%1."/>
      <w:numFmt w:val="decimal"/>
      <w:start w:val="9"/>
    </w:lvl>
  </w:abstractNum>
  <w:abstractNum w:abstractNumId="180">
    <w:nsid w:val="2BB5B1C6"/>
    <w:multiLevelType w:val="hybridMultilevel"/>
    <w:lvl w:ilvl="0">
      <w:lvlJc w:val="left"/>
      <w:lvlText w:val="(%1)"/>
      <w:numFmt w:val="lowerRoman"/>
      <w:start w:val="1"/>
    </w:lvl>
  </w:abstractNum>
  <w:abstractNum w:abstractNumId="181">
    <w:nsid w:val="66BE6B9"/>
    <w:multiLevelType w:val="hybridMultilevel"/>
    <w:lvl w:ilvl="0">
      <w:lvlJc w:val="left"/>
      <w:lvlText w:val="(%1)"/>
      <w:numFmt w:val="lowerLetter"/>
      <w:start w:val="1"/>
    </w:lvl>
    <w:lvl w:ilvl="1">
      <w:lvlJc w:val="left"/>
      <w:lvlText w:val="%2."/>
      <w:numFmt w:val="decimal"/>
      <w:start w:val="11"/>
    </w:lvl>
  </w:abstractNum>
  <w:abstractNum w:abstractNumId="182">
    <w:nsid w:val="62234363"/>
    <w:multiLevelType w:val="hybridMultilevel"/>
    <w:lvl w:ilvl="0">
      <w:lvlJc w:val="left"/>
      <w:lvlText w:val="(%1)"/>
      <w:numFmt w:val="lowerLetter"/>
      <w:start w:val="2"/>
    </w:lvl>
  </w:abstractNum>
  <w:abstractNum w:abstractNumId="183">
    <w:nsid w:val="66D385C9"/>
    <w:multiLevelType w:val="hybridMultilevel"/>
    <w:lvl w:ilvl="0">
      <w:lvlJc w:val="left"/>
      <w:lvlText w:val="%1."/>
      <w:numFmt w:val="decimal"/>
      <w:start w:val="12"/>
    </w:lvl>
  </w:abstractNum>
  <w:abstractNum w:abstractNumId="184">
    <w:nsid w:val="596F6D8A"/>
    <w:multiLevelType w:val="hybridMultilevel"/>
    <w:lvl w:ilvl="0">
      <w:lvlJc w:val="left"/>
      <w:lvlText w:val="%1."/>
      <w:numFmt w:val="decimal"/>
      <w:start w:val="14"/>
    </w:lvl>
  </w:abstractNum>
  <w:abstractNum w:abstractNumId="185">
    <w:nsid w:val="5749361F"/>
    <w:multiLevelType w:val="hybridMultilevel"/>
    <w:lvl w:ilvl="0">
      <w:lvlJc w:val="left"/>
      <w:lvlText w:val="%1."/>
      <w:numFmt w:val="decimal"/>
      <w:start w:val="1"/>
    </w:lvl>
  </w:abstractNum>
  <w:abstractNum w:abstractNumId="186">
    <w:nsid w:val="73BC6770"/>
    <w:multiLevelType w:val="hybridMultilevel"/>
    <w:lvl w:ilvl="0">
      <w:lvlJc w:val="left"/>
      <w:lvlText w:val="(%1)"/>
      <w:numFmt w:val="decimal"/>
      <w:start w:val="1"/>
    </w:lvl>
    <w:lvl w:ilvl="1">
      <w:lvlJc w:val="left"/>
      <w:lvlText w:val="(%2)"/>
      <w:numFmt w:val="lowerLetter"/>
      <w:start w:val="1"/>
    </w:lvl>
  </w:abstractNum>
  <w:abstractNum w:abstractNumId="187">
    <w:nsid w:val="280E6897"/>
    <w:multiLevelType w:val="hybridMultilevel"/>
    <w:lvl w:ilvl="0">
      <w:lvlJc w:val="left"/>
      <w:lvlText w:val="%1"/>
      <w:numFmt w:val="lowerRoman"/>
      <w:start w:val="1"/>
    </w:lvl>
    <w:lvl w:ilvl="1">
      <w:lvlJc w:val="left"/>
      <w:lvlText w:val="(%2)"/>
      <w:numFmt w:val="lowerLetter"/>
      <w:start w:val="2"/>
    </w:lvl>
  </w:abstractNum>
  <w:abstractNum w:abstractNumId="188">
    <w:nsid w:val="605138DE"/>
    <w:multiLevelType w:val="hybridMultilevel"/>
    <w:lvl w:ilvl="0">
      <w:lvlJc w:val="left"/>
      <w:lvlText w:val="(%1)"/>
      <w:numFmt w:val="lowerRoman"/>
      <w:start w:val="2"/>
    </w:lvl>
    <w:lvl w:ilvl="1">
      <w:lvlJc w:val="left"/>
      <w:lvlText w:val="(%2)"/>
      <w:numFmt w:val="lowerLetter"/>
      <w:start w:val="3"/>
    </w:lvl>
  </w:abstractNum>
  <w:abstractNum w:abstractNumId="189">
    <w:nsid w:val="2622AD0C"/>
    <w:multiLevelType w:val="hybridMultilevel"/>
    <w:lvl w:ilvl="0">
      <w:lvlJc w:val="left"/>
      <w:lvlText w:val="(%1)"/>
      <w:numFmt w:val="lowerRoman"/>
      <w:start w:val="1"/>
    </w:lvl>
    <w:lvl w:ilvl="1">
      <w:lvlJc w:val="left"/>
      <w:lvlText w:val="(%2)"/>
      <w:numFmt w:val="lowerLetter"/>
      <w:start w:val="5"/>
    </w:lvl>
  </w:abstractNum>
  <w:abstractNum w:abstractNumId="190">
    <w:nsid w:val="67997556"/>
    <w:multiLevelType w:val="hybridMultilevel"/>
    <w:lvl w:ilvl="0">
      <w:lvlJc w:val="left"/>
      <w:lvlText w:val="%1"/>
      <w:numFmt w:val="upperLetter"/>
      <w:start w:val="1"/>
    </w:lvl>
    <w:lvl w:ilvl="1">
      <w:lvlJc w:val="left"/>
      <w:lvlText w:val="(%2)"/>
      <w:numFmt w:val="lowerLetter"/>
      <w:start w:val="7"/>
    </w:lvl>
  </w:abstractNum>
  <w:abstractNum w:abstractNumId="191">
    <w:nsid w:val="18333C89"/>
    <w:multiLevelType w:val="hybridMultilevel"/>
    <w:lvl w:ilvl="0">
      <w:lvlJc w:val="left"/>
      <w:lvlText w:val="(%1)"/>
      <w:numFmt w:val="upperLetter"/>
      <w:start w:val="2"/>
    </w:lvl>
    <w:lvl w:ilvl="1">
      <w:lvlJc w:val="left"/>
      <w:lvlText w:val="(%2)"/>
      <w:numFmt w:val="lowerLetter"/>
      <w:start w:val="10"/>
    </w:lvl>
  </w:abstractNum>
  <w:abstractNum w:abstractNumId="192">
    <w:nsid w:val="4BA9831A"/>
    <w:multiLevelType w:val="hybridMultilevel"/>
    <w:lvl w:ilvl="0">
      <w:lvlJc w:val="left"/>
      <w:lvlText w:val="%1."/>
      <w:numFmt w:val="decimal"/>
      <w:start w:val="1"/>
    </w:lvl>
  </w:abstractNum>
  <w:abstractNum w:abstractNumId="193">
    <w:nsid w:val="6D71A2B"/>
    <w:multiLevelType w:val="hybridMultilevel"/>
    <w:lvl w:ilvl="0">
      <w:lvlJc w:val="left"/>
      <w:lvlText w:val="%1."/>
      <w:numFmt w:val="decimal"/>
      <w:start w:val="4"/>
    </w:lvl>
  </w:abstractNum>
  <w:abstractNum w:abstractNumId="194">
    <w:nsid w:val="CFC7321"/>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abstractNum>
  <w:abstractNum w:abstractNumId="195">
    <w:nsid w:val="1421971B"/>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96">
    <w:nsid w:val="1F404301"/>
    <w:multiLevelType w:val="hybridMultilevel"/>
    <w:lvl w:ilvl="0">
      <w:lvlJc w:val="left"/>
      <w:lvlText w:val="%1."/>
      <w:numFmt w:val="decimal"/>
      <w:start w:val="2"/>
    </w:lvl>
    <w:lvl w:ilvl="1">
      <w:lvlJc w:val="left"/>
      <w:lvlText w:val="(%2)"/>
      <w:numFmt w:val="lowerLetter"/>
      <w:start w:val="1"/>
    </w:lvl>
  </w:abstractNum>
  <w:abstractNum w:abstractNumId="197">
    <w:nsid w:val="116E0907"/>
    <w:multiLevelType w:val="hybridMultilevel"/>
    <w:lvl w:ilvl="0">
      <w:lvlJc w:val="left"/>
      <w:lvlText w:val="%1"/>
      <w:numFmt w:val="lowerLetter"/>
      <w:start w:val="1"/>
    </w:lvl>
    <w:lvl w:ilvl="1">
      <w:lvlJc w:val="left"/>
      <w:lvlText w:val="(%2)"/>
      <w:numFmt w:val="lowerLetter"/>
      <w:start w:val="4"/>
    </w:lvl>
  </w:abstractNum>
  <w:abstractNum w:abstractNumId="198">
    <w:nsid w:val="4B683D0D"/>
    <w:multiLevelType w:val="hybridMultilevel"/>
    <w:lvl w:ilvl="0">
      <w:lvlJc w:val="left"/>
      <w:lvlText w:val="(%1)"/>
      <w:numFmt w:val="lowerLetter"/>
      <w:start w:val="25"/>
    </w:lvl>
    <w:lvl w:ilvl="1">
      <w:lvlJc w:val="left"/>
      <w:lvlText w:val="%2"/>
      <w:numFmt w:val="lowerLetter"/>
      <w:start w:val="1"/>
    </w:lvl>
  </w:abstractNum>
  <w:abstractNum w:abstractNumId="199">
    <w:nsid w:val="76E41D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00">
    <w:nsid w:val="71DCE0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01">
    <w:nsid w:val="7906328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202">
    <w:nsid w:val="72BBC1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03">
    <w:nsid w:val="766D98C2"/>
    <w:multiLevelType w:val="hybridMultilevel"/>
    <w:lvl w:ilvl="0">
      <w:lvlJc w:val="left"/>
      <w:lvlText w:val="(%1)"/>
      <w:numFmt w:val="lowerLetter"/>
      <w:start w:val="2"/>
    </w:lvl>
  </w:abstractNum>
  <w:abstractNum w:abstractNumId="204">
    <w:nsid w:val="3C09D4A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205">
    <w:nsid w:val="20E45CA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06">
    <w:nsid w:val="4B232EE3"/>
    <w:multiLevelType w:val="hybridMultilevel"/>
    <w:lvl w:ilvl="0">
      <w:lvlJc w:val="left"/>
      <w:lvlText w:val="(%1)"/>
      <w:numFmt w:val="upperLetter"/>
      <w:start w:val="2"/>
    </w:lvl>
  </w:abstractNum>
  <w:abstractNum w:abstractNumId="207">
    <w:nsid w:val="159C74CF"/>
    <w:multiLevelType w:val="hybridMultilevel"/>
    <w:lvl w:ilvl="0">
      <w:lvlJc w:val="left"/>
      <w:lvlText w:val="(%1)"/>
      <w:numFmt w:val="upperLetter"/>
      <w:start w:val="5"/>
    </w:lvl>
    <w:lvl w:ilvl="1">
      <w:lvlJc w:val="left"/>
      <w:lvlText w:val="(%2)"/>
      <w:numFmt w:val="decimal"/>
      <w:start w:val="1"/>
    </w:lvl>
  </w:abstractNum>
  <w:abstractNum w:abstractNumId="208">
    <w:nsid w:val="4AD3AFD2"/>
    <w:multiLevelType w:val="hybridMultilevel"/>
    <w:lvl w:ilvl="0">
      <w:lvlJc w:val="left"/>
      <w:lvlText w:val="%1"/>
      <w:numFmt w:val="lowerRoman"/>
      <w:start w:val="1"/>
    </w:lvl>
    <w:lvl w:ilvl="1">
      <w:lvlJc w:val="left"/>
      <w:lvlText w:val="(%2)"/>
      <w:numFmt w:val="decimal"/>
      <w:start w:val="5"/>
    </w:lvl>
  </w:abstractNum>
  <w:abstractNum w:abstractNumId="209">
    <w:nsid w:val="3CF93092"/>
    <w:multiLevelType w:val="hybridMultilevel"/>
    <w:lvl w:ilvl="0">
      <w:lvlJc w:val="left"/>
      <w:lvlText w:val="(%1)"/>
      <w:numFmt w:val="lowerRoman"/>
      <w:start w:val="2"/>
    </w:lvl>
    <w:lvl w:ilvl="1">
      <w:lvlJc w:val="left"/>
      <w:lvlText w:val="%2"/>
      <w:numFmt w:val="decimal"/>
      <w:start w:val="1"/>
    </w:lvl>
  </w:abstractNum>
  <w:abstractNum w:abstractNumId="210">
    <w:nsid w:val="6863E8D2"/>
    <w:multiLevelType w:val="hybridMultilevel"/>
    <w:lvl w:ilvl="0">
      <w:lvlJc w:val="left"/>
      <w:lvlText w:val="(%1)"/>
      <w:numFmt w:val="upperLetter"/>
      <w:start w:val="1"/>
    </w:lvl>
  </w:abstractNum>
  <w:abstractNum w:abstractNumId="211">
    <w:nsid w:val="76896198"/>
    <w:multiLevelType w:val="hybridMultilevel"/>
    <w:lvl w:ilvl="0">
      <w:lvlJc w:val="left"/>
      <w:lvlText w:val="(%1)"/>
      <w:numFmt w:val="upperLetter"/>
      <w:start w:val="9"/>
    </w:lvl>
  </w:abstractNum>
  <w:abstractNum w:abstractNumId="212">
    <w:nsid w:val="4365174B"/>
    <w:multiLevelType w:val="hybridMultilevel"/>
    <w:lvl w:ilvl="0">
      <w:lvlJc w:val="left"/>
      <w:lvlText w:val="%1"/>
      <w:numFmt w:val="lowerLetter"/>
      <w:start w:val="1"/>
    </w:lvl>
    <w:lvl w:ilvl="1">
      <w:lvlJc w:val="left"/>
      <w:lvlText w:val="(%2)"/>
      <w:numFmt w:val="lowerRoman"/>
      <w:start w:val="3"/>
    </w:lvl>
  </w:abstractNum>
  <w:abstractNum w:abstractNumId="213">
    <w:nsid w:val="4A872C35"/>
    <w:multiLevelType w:val="hybridMultilevel"/>
    <w:lvl w:ilvl="0">
      <w:lvlJc w:val="left"/>
      <w:lvlText w:val="(%1)"/>
      <w:numFmt w:val="lowerLetter"/>
      <w:start w:val="5"/>
    </w:lvl>
    <w:lvl w:ilvl="1">
      <w:lvlJc w:val="left"/>
      <w:lvlText w:val="%2"/>
      <w:numFmt w:val="lowerRoman"/>
      <w:start w:val="1"/>
    </w:lvl>
  </w:abstractNum>
  <w:abstractNum w:abstractNumId="214">
    <w:nsid w:val="5D5CE761"/>
    <w:multiLevelType w:val="hybridMultilevel"/>
    <w:lvl w:ilvl="0">
      <w:lvlJc w:val="left"/>
      <w:lvlText w:val="(%1)"/>
      <w:numFmt w:val="lowerLetter"/>
      <w:start w:val="7"/>
    </w:lvl>
    <w:lvl w:ilvl="1">
      <w:lvlJc w:val="left"/>
      <w:lvlText w:val="(%2)"/>
      <w:numFmt w:val="lowerRoman"/>
      <w:start w:val="1"/>
    </w:lvl>
  </w:abstractNum>
  <w:abstractNum w:abstractNumId="215">
    <w:nsid w:val="1CD484D5"/>
    <w:multiLevelType w:val="hybridMultilevel"/>
    <w:lvl w:ilvl="0">
      <w:lvlJc w:val="left"/>
      <w:lvlText w:val="%1"/>
      <w:numFmt w:val="lowerLetter"/>
      <w:start w:val="1"/>
    </w:lvl>
    <w:lvl w:ilvl="1">
      <w:lvlJc w:val="left"/>
      <w:lvlText w:val="(%2)"/>
      <w:numFmt w:val="lowerRoman"/>
      <w:start w:val="5"/>
    </w:lvl>
  </w:abstractNum>
  <w:abstractNum w:abstractNumId="216">
    <w:nsid w:val="21D06255"/>
    <w:multiLevelType w:val="hybridMultilevel"/>
    <w:lvl w:ilvl="0">
      <w:lvlJc w:val="left"/>
      <w:lvlText w:val="(%1)"/>
      <w:numFmt w:val="lowerLetter"/>
      <w:start w:val="8"/>
    </w:lvl>
    <w:lvl w:ilvl="1">
      <w:lvlJc w:val="left"/>
      <w:lvlText w:val="(%2)"/>
      <w:numFmt w:val="lowerRoman"/>
      <w:start w:val="1"/>
    </w:lvl>
  </w:abstractNum>
  <w:abstractNum w:abstractNumId="217">
    <w:nsid w:val="51194E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218">
    <w:nsid w:val="44E2ED6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19">
    <w:nsid w:val="2219B3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20">
    <w:nsid w:val="773BFBD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21">
    <w:nsid w:val="2C7C62C2"/>
    <w:multiLevelType w:val="hybridMultilevel"/>
    <w:lvl w:ilvl="0">
      <w:lvlJc w:val="left"/>
      <w:lvlText w:val="%1"/>
      <w:numFmt w:val="lowerLetter"/>
      <w:start w:val="1"/>
    </w:lvl>
    <w:lvl w:ilvl="1">
      <w:lvlJc w:val="left"/>
      <w:lvlText w:val="(%2)"/>
      <w:numFmt w:val="lowerRoman"/>
      <w:start w:val="2"/>
    </w:lvl>
  </w:abstractNum>
  <w:abstractNum w:abstractNumId="222">
    <w:nsid w:val="1A54D7BC"/>
    <w:multiLevelType w:val="hybridMultilevel"/>
    <w:lvl w:ilvl="0">
      <w:lvlJc w:val="left"/>
      <w:lvlText w:val="(%1)"/>
      <w:numFmt w:val="lowerLetter"/>
      <w:start w:val="2"/>
    </w:lvl>
    <w:lvl w:ilvl="1">
      <w:lvlJc w:val="left"/>
      <w:lvlText w:val="%2"/>
      <w:numFmt w:val="lowerRoman"/>
      <w:start w:val="1"/>
    </w:lvl>
  </w:abstractNum>
  <w:abstractNum w:abstractNumId="223">
    <w:nsid w:val="42E57EF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224">
    <w:nsid w:val="33537CED"/>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225">
    <w:nsid w:val="27514AD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6">
    <w:nsid w:val="57071613"/>
    <w:multiLevelType w:val="hybridMultilevel"/>
    <w:lvl w:ilvl="0">
      <w:lvlJc w:val="left"/>
      <w:lvlText w:val="(%1)"/>
      <w:numFmt w:val="lowerRoman"/>
      <w:start w:val="2"/>
    </w:lvl>
  </w:abstractNum>
  <w:abstractNum w:abstractNumId="227">
    <w:nsid w:val="5293BFEF"/>
    <w:multiLevelType w:val="hybridMultilevel"/>
    <w:lvl w:ilvl="0">
      <w:lvlJc w:val="left"/>
      <w:lvlText w:val="%1."/>
      <w:numFmt w:val="decimal"/>
      <w:start w:val="1"/>
    </w:lvl>
  </w:abstractNum>
  <w:abstractNum w:abstractNumId="228">
    <w:nsid w:val="38BF53E5"/>
    <w:multiLevelType w:val="hybridMultilevel"/>
    <w:lvl w:ilvl="0">
      <w:lvlJc w:val="left"/>
      <w:lvlText w:val="%1."/>
      <w:numFmt w:val="decimal"/>
      <w:start w:val="1"/>
    </w:lvl>
  </w:abstractNum>
  <w:abstractNum w:abstractNumId="229">
    <w:nsid w:val="226F5320"/>
    <w:multiLevelType w:val="hybridMultilevel"/>
    <w:lvl w:ilvl="0">
      <w:lvlJc w:val="left"/>
      <w:lvlText w:val="%1."/>
      <w:numFmt w:val="decimal"/>
      <w:start w:val="2"/>
    </w:lvl>
    <w:lvl w:ilvl="1">
      <w:lvlJc w:val="left"/>
      <w:lvlText w:val="%2."/>
      <w:numFmt w:val="lowerLetter"/>
      <w:start w:val="1"/>
    </w:lvl>
  </w:abstractNum>
  <w:abstractNum w:abstractNumId="230">
    <w:nsid w:val="5A0201C7"/>
    <w:multiLevelType w:val="hybridMultilevel"/>
    <w:lvl w:ilvl="0">
      <w:lvlJc w:val="left"/>
      <w:lvlText w:val="%1."/>
      <w:numFmt w:val="decimal"/>
      <w:start w:val="4"/>
    </w:lvl>
  </w:abstractNum>
  <w:abstractNum w:abstractNumId="231">
    <w:nsid w:val="2A9C34E2"/>
    <w:multiLevelType w:val="hybridMultilevel"/>
    <w:lvl w:ilvl="0">
      <w:lvlJc w:val="left"/>
      <w:lvlText w:val="(%1)"/>
      <w:numFmt w:val="lowerLetter"/>
      <w:start w:val="1"/>
    </w:lvl>
  </w:abstractNum>
  <w:abstractNum w:abstractNumId="232">
    <w:nsid w:val="1B7585AB"/>
    <w:multiLevelType w:val="hybridMultilevel"/>
    <w:lvl w:ilvl="0">
      <w:lvlJc w:val="left"/>
      <w:lvlText w:val="(%1)"/>
      <w:numFmt w:val="lowerLetter"/>
      <w:start w:val="2"/>
    </w:lvl>
    <w:lvl w:ilvl="1">
      <w:lvlJc w:val="left"/>
      <w:lvlText w:val="(%2)"/>
      <w:numFmt w:val="lowerRoman"/>
      <w:start w:val="1"/>
    </w:lvl>
  </w:abstractNum>
  <w:abstractNum w:abstractNumId="233">
    <w:nsid w:val="612DBDDD"/>
    <w:multiLevelType w:val="hybridMultilevel"/>
    <w:lvl w:ilvl="0">
      <w:lvlJc w:val="left"/>
      <w:lvlText w:val="%1"/>
      <w:numFmt w:val="decimal"/>
      <w:start w:val="1"/>
    </w:lvl>
    <w:lvl w:ilvl="1">
      <w:lvlJc w:val="left"/>
      <w:lvlText w:val="(%2)"/>
      <w:numFmt w:val="lowerRoman"/>
      <w:start w:val="3"/>
    </w:lvl>
  </w:abstractNum>
  <w:abstractNum w:abstractNumId="234">
    <w:nsid w:val="2109CDA4"/>
    <w:multiLevelType w:val="hybridMultilevel"/>
    <w:lvl w:ilvl="0">
      <w:lvlJc w:val="left"/>
      <w:lvlText w:val="(%1)"/>
      <w:numFmt w:val="decimal"/>
      <w:start w:val="30"/>
    </w:lvl>
    <w:lvl w:ilvl="1">
      <w:lvlJc w:val="left"/>
      <w:lvlText w:val="(%2)"/>
      <w:numFmt w:val="lowerRoman"/>
      <w:start w:val="4"/>
    </w:lvl>
  </w:abstractNum>
  <w:abstractNum w:abstractNumId="235">
    <w:nsid w:val="577F5A4D"/>
    <w:multiLevelType w:val="hybridMultilevel"/>
    <w:lvl w:ilvl="0">
      <w:lvlJc w:val="left"/>
      <w:lvlText w:val="(%1)"/>
      <w:numFmt w:val="decimal"/>
      <w:start w:val="12"/>
    </w:lvl>
    <w:lvl w:ilvl="1">
      <w:lvlJc w:val="left"/>
      <w:lvlText w:val="%2"/>
      <w:numFmt w:val="lowerRoman"/>
      <w:start w:val="1"/>
    </w:lvl>
  </w:abstractNum>
  <w:abstractNum w:abstractNumId="236">
    <w:nsid w:val="2121A81"/>
    <w:multiLevelType w:val="hybridMultilevel"/>
    <w:lvl w:ilvl="0">
      <w:lvlJc w:val="left"/>
      <w:lvlText w:val="(%1)"/>
      <w:numFmt w:val="lowerLetter"/>
      <w:start w:val="23"/>
    </w:lvl>
  </w:abstractNum>
  <w:abstractNum w:abstractNumId="237">
    <w:nsid w:val="6C2CFC88"/>
    <w:multiLevelType w:val="hybridMultilevel"/>
    <w:lvl w:ilvl="0">
      <w:lvlJc w:val="left"/>
      <w:lvlText w:val="(%1)"/>
      <w:numFmt w:val="lowerLetter"/>
      <w:start w:val="24"/>
    </w:lvl>
  </w:abstractNum>
  <w:abstractNum w:abstractNumId="238">
    <w:nsid w:val="6D1BCF1C"/>
    <w:multiLevelType w:val="hybridMultilevel"/>
    <w:lvl w:ilvl="0">
      <w:lvlJc w:val="left"/>
      <w:lvlText w:val="%1"/>
      <w:numFmt w:val="decimal"/>
      <w:start w:val="1"/>
    </w:lvl>
    <w:lvl w:ilvl="1">
      <w:lvlJc w:val="left"/>
      <w:lvlText w:val="(%2)"/>
      <w:numFmt w:val="lowerLetter"/>
      <w:start w:val="3"/>
    </w:lvl>
  </w:abstractNum>
  <w:abstractNum w:abstractNumId="239">
    <w:nsid w:val="4CE5CA53"/>
    <w:multiLevelType w:val="hybridMultilevel"/>
    <w:lvl w:ilvl="0">
      <w:lvlJc w:val="left"/>
      <w:lvlText w:val="(%1)"/>
      <w:numFmt w:val="decimal"/>
      <w:start w:val="5"/>
    </w:lvl>
    <w:lvl w:ilvl="1">
      <w:lvlJc w:val="left"/>
      <w:lvlText w:val="(%2)"/>
      <w:numFmt w:val="lowerLetter"/>
      <w:start w:val="4"/>
    </w:lvl>
  </w:abstractNum>
  <w:abstractNum w:abstractNumId="240">
    <w:nsid w:val="29262D1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41">
    <w:nsid w:val="557FB7EE"/>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242">
    <w:nsid w:val="436F2BEB"/>
    <w:multiLevelType w:val="hybridMultilevel"/>
    <w:lvl w:ilvl="0">
      <w:lvlJc w:val="left"/>
      <w:lvlText w:val="(%1)"/>
      <w:numFmt w:val="lowerLetter"/>
      <w:start w:val="1"/>
    </w:lvl>
  </w:abstractNum>
  <w:abstractNum w:abstractNumId="243">
    <w:nsid w:val="6C8B4466"/>
    <w:multiLevelType w:val="hybridMultilevel"/>
    <w:lvl w:ilvl="0">
      <w:lvlJc w:val="left"/>
      <w:lvlText w:val="(%1)"/>
      <w:numFmt w:val="lowerLetter"/>
      <w:start w:val="3"/>
    </w:lvl>
  </w:abstractNum>
  <w:abstractNum w:abstractNumId="244">
    <w:nsid w:val="2006E424"/>
    <w:multiLevelType w:val="hybridMultilevel"/>
    <w:lvl w:ilvl="0">
      <w:lvlJc w:val="left"/>
      <w:lvlText w:val="(%1)"/>
      <w:numFmt w:val="lowerLetter"/>
      <w:start w:val="1"/>
    </w:lvl>
  </w:abstractNum>
  <w:abstractNum w:abstractNumId="245">
    <w:nsid w:val="20CC134C"/>
    <w:multiLevelType w:val="hybridMultilevel"/>
    <w:lvl w:ilvl="0">
      <w:lvlJc w:val="left"/>
      <w:lvlText w:val="(%1)"/>
      <w:numFmt w:val="lowerLetter"/>
      <w:start w:val="1"/>
    </w:lvl>
  </w:abstractNum>
  <w:abstractNum w:abstractNumId="246">
    <w:nsid w:val="95FC93B"/>
    <w:multiLevelType w:val="hybridMultilevel"/>
    <w:lvl w:ilvl="0">
      <w:lvlJc w:val="left"/>
      <w:lvlText w:val="(%1)"/>
      <w:numFmt w:val="lowerLetter"/>
      <w:start w:val="1"/>
    </w:lvl>
  </w:abstractNum>
  <w:abstractNum w:abstractNumId="247">
    <w:nsid w:val="41D74679"/>
    <w:multiLevelType w:val="hybridMultilevel"/>
    <w:lvl w:ilvl="0">
      <w:lvlJc w:val="left"/>
      <w:lvlText w:val="(%1)"/>
      <w:numFmt w:val="lowerLetter"/>
      <w:start w:val="2"/>
    </w:lvl>
  </w:abstractNum>
  <w:abstractNum w:abstractNumId="248">
    <w:nsid w:val="71E5621E"/>
    <w:multiLevelType w:val="hybridMultilevel"/>
    <w:lvl w:ilvl="0">
      <w:lvlJc w:val="left"/>
      <w:lvlText w:val="(%1)"/>
      <w:numFmt w:val="lowerLetter"/>
      <w:start w:val="1"/>
    </w:lvl>
  </w:abstractNum>
  <w:abstractNum w:abstractNumId="249">
    <w:nsid w:val="4E42B6A8"/>
    <w:multiLevelType w:val="hybridMultilevel"/>
    <w:lvl w:ilvl="0">
      <w:lvlJc w:val="left"/>
      <w:lvlText w:val="%1"/>
      <w:numFmt w:val="lowerLetter"/>
      <w:start w:val="1"/>
    </w:lvl>
    <w:lvl w:ilvl="1">
      <w:lvlJc w:val="left"/>
      <w:lvlText w:val="(%2)"/>
      <w:numFmt w:val="lowerLetter"/>
      <w:start w:val="1"/>
    </w:lvl>
  </w:abstractNum>
  <w:abstractNum w:abstractNumId="250">
    <w:nsid w:val="43F8E1AC"/>
    <w:multiLevelType w:val="hybridMultilevel"/>
    <w:lvl w:ilvl="0">
      <w:lvlJc w:val="left"/>
      <w:lvlText w:val="(%1)"/>
      <w:numFmt w:val="lowerLetter"/>
      <w:start w:val="9"/>
    </w:lvl>
    <w:lvl w:ilvl="1">
      <w:lvlJc w:val="left"/>
      <w:lvlText w:val="(%2)"/>
      <w:numFmt w:val="lowerLetter"/>
      <w:start w:val="2"/>
    </w:lvl>
  </w:abstractNum>
  <w:abstractNum w:abstractNumId="251">
    <w:nsid w:val="69215DFB"/>
    <w:multiLevelType w:val="hybridMultilevel"/>
    <w:lvl w:ilvl="0">
      <w:lvlJc w:val="left"/>
      <w:lvlText w:val="(%1)"/>
      <w:numFmt w:val="lowerLetter"/>
      <w:start w:val="4"/>
    </w:lvl>
  </w:abstractNum>
  <w:abstractNum w:abstractNumId="252">
    <w:nsid w:val="7ABF196A"/>
    <w:multiLevelType w:val="hybridMultilevel"/>
    <w:lvl w:ilvl="0">
      <w:lvlJc w:val="left"/>
      <w:lvlText w:val="(%1)"/>
      <w:numFmt w:val="lowerLetter"/>
      <w:start w:val="1"/>
    </w:lvl>
  </w:abstractNum>
  <w:abstractNum w:abstractNumId="253">
    <w:nsid w:val="5E4DB968"/>
    <w:multiLevelType w:val="hybridMultilevel"/>
    <w:lvl w:ilvl="0">
      <w:lvlJc w:val="left"/>
      <w:lvlText w:val="(%1)"/>
      <w:numFmt w:val="lowerLetter"/>
      <w:start w:val="3"/>
    </w:lvl>
  </w:abstractNum>
  <w:abstractNum w:abstractNumId="254">
    <w:nsid w:val="2C06DCF3"/>
    <w:multiLevelType w:val="hybridMultilevel"/>
    <w:lvl w:ilvl="0">
      <w:lvlJc w:val="left"/>
      <w:lvlText w:val="(%1)"/>
      <w:numFmt w:val="lowerLetter"/>
      <w:start w:val="4"/>
    </w:lvl>
  </w:abstractNum>
  <w:abstractNum w:abstractNumId="255">
    <w:nsid w:val="2E129658"/>
    <w:multiLevelType w:val="hybridMultilevel"/>
    <w:lvl w:ilvl="0">
      <w:lvlJc w:val="left"/>
      <w:lvlText w:val="(%1)"/>
      <w:numFmt w:val="lowerLetter"/>
      <w:start w:val="1"/>
    </w:lvl>
  </w:abstractNum>
  <w:abstractNum w:abstractNumId="256">
    <w:nsid w:val="59F0446"/>
    <w:multiLevelType w:val="hybridMultilevel"/>
    <w:lvl w:ilvl="0">
      <w:lvlJc w:val="left"/>
      <w:lvlText w:val="(%1)"/>
      <w:numFmt w:val="lowerLetter"/>
      <w:start w:val="1"/>
    </w:lvl>
  </w:abstractNum>
  <w:abstractNum w:abstractNumId="257">
    <w:nsid w:val="30DF306"/>
    <w:multiLevelType w:val="hybridMultilevel"/>
    <w:lvl w:ilvl="0">
      <w:lvlJc w:val="left"/>
      <w:lvlText w:val="(%1)"/>
      <w:numFmt w:val="lowerLetter"/>
      <w:start w:val="2"/>
    </w:lvl>
  </w:abstractNum>
  <w:abstractNum w:abstractNumId="258">
    <w:nsid w:val="A65647"/>
    <w:multiLevelType w:val="hybridMultilevel"/>
    <w:lvl w:ilvl="0">
      <w:lvlJc w:val="left"/>
      <w:lvlText w:val="(%1)"/>
      <w:numFmt w:val="lowerLetter"/>
      <w:start w:val="1"/>
    </w:lvl>
  </w:abstractNum>
  <w:abstractNum w:abstractNumId="259">
    <w:nsid w:val="3E5E582B"/>
    <w:multiLevelType w:val="hybridMultilevel"/>
    <w:lvl w:ilvl="0">
      <w:lvlJc w:val="left"/>
      <w:lvlText w:val="(%1)"/>
      <w:numFmt w:val="lowerLetter"/>
      <w:start w:val="2"/>
    </w:lvl>
  </w:abstractNum>
  <w:abstractNum w:abstractNumId="260">
    <w:nsid w:val="257D4626"/>
    <w:multiLevelType w:val="hybridMultilevel"/>
    <w:lvl w:ilvl="0">
      <w:lvlJc w:val="left"/>
      <w:lvlText w:val="(%1)"/>
      <w:numFmt w:val="lowerLetter"/>
      <w:start w:val="4"/>
    </w:lvl>
  </w:abstractNum>
  <w:abstractNum w:abstractNumId="261">
    <w:nsid w:val="5AA8580E"/>
    <w:multiLevelType w:val="hybridMultilevel"/>
    <w:lvl w:ilvl="0">
      <w:lvlJc w:val="left"/>
      <w:lvlText w:val="(%1)"/>
      <w:numFmt w:val="lowerLetter"/>
      <w:start w:val="5"/>
    </w:lvl>
  </w:abstractNum>
  <w:abstractNum w:abstractNumId="262">
    <w:nsid w:val="68FA8D0D"/>
    <w:multiLevelType w:val="hybridMultilevel"/>
    <w:lvl w:ilvl="0">
      <w:lvlJc w:val="left"/>
      <w:lvlText w:val="(%1)"/>
      <w:numFmt w:val="lowerLetter"/>
      <w:start w:val="10"/>
    </w:lvl>
    <w:lvl w:ilvl="1">
      <w:lvlJc w:val="left"/>
      <w:lvlText w:val="(%2)"/>
      <w:numFmt w:val="lowerRoman"/>
      <w:start w:val="1"/>
    </w:lvl>
  </w:abstractNum>
  <w:abstractNum w:abstractNumId="263">
    <w:nsid w:val="40F2CBD2"/>
    <w:multiLevelType w:val="hybridMultilevel"/>
    <w:lvl w:ilvl="0">
      <w:lvlJc w:val="left"/>
      <w:lvlText w:val="(%1)"/>
      <w:numFmt w:val="lowerLetter"/>
      <w:start w:val="1"/>
    </w:lvl>
  </w:abstractNum>
  <w:abstractNum w:abstractNumId="264">
    <w:nsid w:val="3BD615EB"/>
    <w:multiLevelType w:val="hybridMultilevel"/>
    <w:lvl w:ilvl="0">
      <w:lvlJc w:val="left"/>
      <w:lvlText w:val="(%1)"/>
      <w:numFmt w:val="lowerLetter"/>
      <w:start w:val="2"/>
    </w:lvl>
  </w:abstractNum>
  <w:abstractNum w:abstractNumId="265">
    <w:nsid w:val="A045AB2"/>
    <w:multiLevelType w:val="hybridMultilevel"/>
    <w:lvl w:ilvl="0">
      <w:lvlJc w:val="left"/>
      <w:lvlText w:val="(%1)"/>
      <w:numFmt w:val="lowerLetter"/>
      <w:start w:val="1"/>
    </w:lvl>
  </w:abstractNum>
  <w:abstractNum w:abstractNumId="266">
    <w:nsid w:val="1872261F"/>
    <w:multiLevelType w:val="hybridMultilevel"/>
    <w:lvl w:ilvl="0">
      <w:lvlJc w:val="left"/>
      <w:lvlText w:val="(%1)"/>
      <w:numFmt w:val="lowerLetter"/>
      <w:start w:val="1"/>
    </w:lvl>
  </w:abstractNum>
  <w:abstractNum w:abstractNumId="267">
    <w:nsid w:val="3DE8306C"/>
    <w:multiLevelType w:val="hybridMultilevel"/>
    <w:lvl w:ilvl="0">
      <w:lvlJc w:val="left"/>
      <w:lvlText w:val="(%1)"/>
      <w:numFmt w:val="lowerLetter"/>
      <w:start w:val="1"/>
    </w:lvl>
  </w:abstractNum>
  <w:abstractNum w:abstractNumId="268">
    <w:nsid w:val="7631573A"/>
    <w:multiLevelType w:val="hybridMultilevel"/>
    <w:lvl w:ilvl="0">
      <w:lvlJc w:val="left"/>
      <w:lvlText w:val="%1"/>
      <w:numFmt w:val="decimal"/>
      <w:start w:val="1"/>
    </w:lvl>
    <w:lvl w:ilvl="1">
      <w:lvlJc w:val="left"/>
      <w:lvlText w:val="(%2)"/>
      <w:numFmt w:val="lowerLetter"/>
      <w:start w:val="1"/>
    </w:lvl>
  </w:abstractNum>
  <w:abstractNum w:abstractNumId="269">
    <w:nsid w:val="58DF53B"/>
    <w:multiLevelType w:val="hybridMultilevel"/>
    <w:lvl w:ilvl="0">
      <w:lvlJc w:val="left"/>
      <w:lvlText w:val="(%1)"/>
      <w:numFmt w:val="lowerLetter"/>
      <w:start w:val="5"/>
    </w:lvl>
  </w:abstractNum>
  <w:abstractNum w:abstractNumId="270">
    <w:nsid w:val="ACDFAC0"/>
    <w:multiLevelType w:val="hybridMultilevel"/>
    <w:lvl w:ilvl="0">
      <w:lvlJc w:val="left"/>
      <w:lvlText w:val="(%1)"/>
      <w:numFmt w:val="lowerLetter"/>
      <w:start w:val="1"/>
    </w:lvl>
    <w:lvl w:ilvl="1">
      <w:lvlJc w:val="left"/>
      <w:lvlText w:val="(%2)"/>
      <w:numFmt w:val="lowerLetter"/>
      <w:start w:val="9"/>
    </w:lvl>
  </w:abstractNum>
  <w:abstractNum w:abstractNumId="271">
    <w:nsid w:val="1F578454"/>
    <w:multiLevelType w:val="hybridMultilevel"/>
    <w:lvl w:ilvl="0">
      <w:lvlJc w:val="left"/>
      <w:lvlText w:val="(%1)"/>
      <w:numFmt w:val="lowerRoman"/>
      <w:start w:val="2"/>
    </w:lvl>
  </w:abstractNum>
  <w:abstractNum w:abstractNumId="272">
    <w:nsid w:val="5B0DAD2A"/>
    <w:multiLevelType w:val="hybridMultilevel"/>
    <w:lvl w:ilvl="0">
      <w:lvlJc w:val="left"/>
      <w:lvlText w:val="(%1)"/>
      <w:numFmt w:val="lowerLetter"/>
      <w:start w:val="7"/>
    </w:lvl>
    <w:lvl w:ilvl="1">
      <w:lvlJc w:val="left"/>
      <w:lvlText w:val="(%2)"/>
      <w:numFmt w:val="lowerRoman"/>
      <w:start w:val="1"/>
    </w:lvl>
  </w:abstractNum>
  <w:abstractNum w:abstractNumId="273">
    <w:nsid w:val="4E3D26AB"/>
    <w:multiLevelType w:val="hybridMultilevel"/>
    <w:lvl w:ilvl="0">
      <w:lvlJc w:val="left"/>
      <w:lvlText w:val="(%1)"/>
      <w:numFmt w:val="lowerRoman"/>
      <w:start w:val="1"/>
    </w:lvl>
  </w:abstractNum>
  <w:abstractNum w:abstractNumId="274">
    <w:nsid w:val="BE2C8BA"/>
    <w:multiLevelType w:val="hybridMultilevel"/>
    <w:lvl w:ilvl="0">
      <w:lvlJc w:val="left"/>
      <w:lvlText w:val="(%1)"/>
      <w:numFmt w:val="lowerLetter"/>
      <w:start w:val="10"/>
    </w:lvl>
  </w:abstractNum>
  <w:abstractNum w:abstractNumId="275">
    <w:nsid w:val="7B14914E"/>
    <w:multiLevelType w:val="hybridMultilevel"/>
    <w:lvl w:ilvl="0">
      <w:lvlJc w:val="left"/>
      <w:lvlText w:val="(%1)"/>
      <w:numFmt w:val="lowerLetter"/>
      <w:start w:val="1"/>
    </w:lvl>
  </w:abstractNum>
  <w:abstractNum w:abstractNumId="276">
    <w:nsid w:val="6F0939F8"/>
    <w:multiLevelType w:val="hybridMultilevel"/>
    <w:lvl w:ilvl="0">
      <w:lvlJc w:val="left"/>
      <w:lvlText w:val="(%1)"/>
      <w:numFmt w:val="lowerLetter"/>
      <w:start w:val="4"/>
    </w:lvl>
  </w:abstractNum>
  <w:abstractNum w:abstractNumId="277">
    <w:nsid w:val="154291F6"/>
    <w:multiLevelType w:val="hybridMultilevel"/>
    <w:lvl w:ilvl="0">
      <w:lvlJc w:val="left"/>
      <w:lvlText w:val="(%1)"/>
      <w:numFmt w:val="lowerLetter"/>
      <w:start w:val="1"/>
    </w:lvl>
    <w:lvl w:ilvl="1">
      <w:lvlJc w:val="left"/>
      <w:lvlText w:val="(%2)"/>
      <w:numFmt w:val="lowerRoman"/>
      <w:start w:val="1"/>
    </w:lvl>
  </w:abstractNum>
  <w:abstractNum w:abstractNumId="278">
    <w:nsid w:val="3CEBD7C7"/>
    <w:multiLevelType w:val="hybridMultilevel"/>
    <w:lvl w:ilvl="0">
      <w:lvlJc w:val="left"/>
      <w:lvlText w:val="%1"/>
      <w:numFmt w:val="lowerLetter"/>
      <w:start w:val="1"/>
    </w:lvl>
    <w:lvl w:ilvl="1">
      <w:lvlJc w:val="left"/>
      <w:lvlText w:val="(%2)"/>
      <w:numFmt w:val="lowerRoman"/>
      <w:start w:val="3"/>
    </w:lvl>
  </w:abstractNum>
  <w:abstractNum w:abstractNumId="279">
    <w:nsid w:val="60EE9C16"/>
    <w:multiLevelType w:val="hybridMultilevel"/>
    <w:lvl w:ilvl="0">
      <w:lvlJc w:val="left"/>
      <w:lvlText w:val="(%1)"/>
      <w:numFmt w:val="lowerLetter"/>
      <w:start w:val="3"/>
    </w:lvl>
    <w:lvl w:ilvl="1">
      <w:lvlJc w:val="left"/>
      <w:lvlText w:val="%2"/>
      <w:numFmt w:val="lowerRoman"/>
      <w:start w:val="1"/>
    </w:lvl>
  </w:abstractNum>
  <w:abstractNum w:abstractNumId="280">
    <w:nsid w:val="6385489E"/>
    <w:multiLevelType w:val="hybridMultilevel"/>
    <w:lvl w:ilvl="0">
      <w:lvlJc w:val="left"/>
      <w:lvlText w:val="(%1)"/>
      <w:numFmt w:val="lowerLetter"/>
      <w:start w:val="1"/>
    </w:lvl>
  </w:abstractNum>
  <w:abstractNum w:abstractNumId="281">
    <w:nsid w:val="E4B973"/>
    <w:multiLevelType w:val="hybridMultilevel"/>
    <w:lvl w:ilvl="0">
      <w:lvlJc w:val="left"/>
      <w:lvlText w:val="(%1)"/>
      <w:numFmt w:val="lowerLetter"/>
      <w:start w:val="1"/>
    </w:lvl>
  </w:abstractNum>
  <w:abstractNum w:abstractNumId="282">
    <w:nsid w:val="4A0FFA11"/>
    <w:multiLevelType w:val="hybridMultilevel"/>
    <w:lvl w:ilvl="0">
      <w:lvlJc w:val="left"/>
      <w:lvlText w:val="(%1)"/>
      <w:numFmt w:val="lowerLetter"/>
      <w:start w:val="14"/>
    </w:lvl>
  </w:abstractNum>
  <w:abstractNum w:abstractNumId="283">
    <w:nsid w:val="5E446208"/>
    <w:multiLevelType w:val="hybridMultilevel"/>
    <w:lvl w:ilvl="0">
      <w:lvlJc w:val="left"/>
      <w:lvlText w:val="(%1)"/>
      <w:numFmt w:val="lowerLetter"/>
      <w:start w:val="1"/>
    </w:lvl>
  </w:abstractNum>
  <w:abstractNum w:abstractNumId="284">
    <w:nsid w:val="5F3272DB"/>
    <w:multiLevelType w:val="hybridMultilevel"/>
    <w:lvl w:ilvl="0">
      <w:lvlJc w:val="left"/>
      <w:lvlText w:val="(%1)"/>
      <w:numFmt w:val="lowerLetter"/>
      <w:start w:val="1"/>
    </w:lvl>
  </w:abstractNum>
  <w:abstractNum w:abstractNumId="285">
    <w:nsid w:val="7616D704"/>
    <w:multiLevelType w:val="hybridMultilevel"/>
    <w:lvl w:ilvl="0">
      <w:lvlJc w:val="left"/>
      <w:lvlText w:val="%1"/>
      <w:numFmt w:val="lowerLetter"/>
      <w:start w:val="1"/>
    </w:lvl>
    <w:lvl w:ilvl="1">
      <w:lvlJc w:val="left"/>
      <w:lvlText w:val="(%2)"/>
      <w:numFmt w:val="lowerLetter"/>
      <w:start w:val="1"/>
    </w:lvl>
  </w:abstractNum>
  <w:abstractNum w:abstractNumId="286">
    <w:nsid w:val="C56F860"/>
    <w:multiLevelType w:val="hybridMultilevel"/>
    <w:lvl w:ilvl="0">
      <w:lvlJc w:val="left"/>
      <w:lvlText w:val="(%1)"/>
      <w:numFmt w:val="lowerLetter"/>
      <w:start w:val="35"/>
    </w:lvl>
    <w:lvl w:ilvl="1">
      <w:lvlJc w:val="left"/>
      <w:lvlText w:val="(%2)"/>
      <w:numFmt w:val="lowerLetter"/>
      <w:start w:val="3"/>
    </w:lvl>
  </w:abstractNum>
  <w:abstractNum w:abstractNumId="287">
    <w:nsid w:val="64D17722"/>
    <w:multiLevelType w:val="hybridMultilevel"/>
    <w:lvl w:ilvl="0">
      <w:lvlJc w:val="left"/>
      <w:lvlText w:val="(%1)"/>
      <w:numFmt w:val="lowerLetter"/>
      <w:start w:val="1"/>
    </w:lvl>
  </w:abstractNum>
  <w:abstractNum w:abstractNumId="288">
    <w:nsid w:val="7924CA0A"/>
    <w:multiLevelType w:val="hybridMultilevel"/>
    <w:lvl w:ilvl="0">
      <w:lvlJc w:val="left"/>
      <w:lvlText w:val="(%1)"/>
      <w:numFmt w:val="lowerLetter"/>
      <w:start w:val="3"/>
    </w:lvl>
  </w:abstractNum>
  <w:abstractNum w:abstractNumId="289">
    <w:nsid w:val="CFD4EA7"/>
    <w:multiLevelType w:val="hybridMultilevel"/>
    <w:lvl w:ilvl="0">
      <w:lvlJc w:val="left"/>
      <w:lvlText w:val="(%1)"/>
      <w:numFmt w:val="lowerLetter"/>
      <w:start w:val="1"/>
    </w:lvl>
    <w:lvl w:ilvl="1">
      <w:lvlJc w:val="left"/>
      <w:lvlText w:val="(%2)"/>
      <w:numFmt w:val="lowerRoman"/>
      <w:start w:val="1"/>
    </w:lvl>
  </w:abstractNum>
  <w:abstractNum w:abstractNumId="290">
    <w:nsid w:val="232FCF4D"/>
    <w:multiLevelType w:val="hybridMultilevel"/>
    <w:lvl w:ilvl="0">
      <w:lvlJc w:val="left"/>
      <w:lvlText w:val="(%1)"/>
      <w:numFmt w:val="lowerLetter"/>
      <w:start w:val="3"/>
    </w:lvl>
    <w:lvl w:ilvl="1">
      <w:lvlJc w:val="left"/>
      <w:lvlText w:val="(%2)"/>
      <w:numFmt w:val="lowerRoman"/>
      <w:start w:val="1"/>
    </w:lvl>
  </w:abstractNum>
  <w:abstractNum w:abstractNumId="291">
    <w:nsid w:val="1EA21031"/>
    <w:multiLevelType w:val="hybridMultilevel"/>
    <w:lvl w:ilvl="0">
      <w:lvlJc w:val="left"/>
      <w:lvlText w:val="(%1)"/>
      <w:numFmt w:val="lowerLetter"/>
      <w:start w:val="4"/>
    </w:lvl>
    <w:lvl w:ilvl="1">
      <w:lvlJc w:val="left"/>
      <w:lvlText w:val="(%2)"/>
      <w:numFmt w:val="lowerRoman"/>
      <w:start w:val="1"/>
    </w:lvl>
  </w:abstractNum>
  <w:abstractNum w:abstractNumId="292">
    <w:nsid w:val="67A5A6B5"/>
    <w:multiLevelType w:val="hybridMultilevel"/>
    <w:lvl w:ilvl="0">
      <w:lvlJc w:val="left"/>
      <w:lvlText w:val="(%1)"/>
      <w:numFmt w:val="lowerLetter"/>
      <w:start w:val="1"/>
    </w:lvl>
  </w:abstractNum>
  <w:abstractNum w:abstractNumId="293">
    <w:nsid w:val="C2A5C5B"/>
    <w:multiLevelType w:val="hybridMultilevel"/>
    <w:lvl w:ilvl="0">
      <w:lvlJc w:val="left"/>
      <w:lvlText w:val="(%1)"/>
      <w:numFmt w:val="lowerLetter"/>
      <w:start w:val="2"/>
    </w:lvl>
  </w:abstractNum>
  <w:abstractNum w:abstractNumId="294">
    <w:nsid w:val="5F94DC03"/>
    <w:multiLevelType w:val="hybridMultilevel"/>
    <w:lvl w:ilvl="0">
      <w:lvlJc w:val="left"/>
      <w:lvlText w:val="(%1)"/>
      <w:numFmt w:val="lowerLetter"/>
      <w:start w:val="6"/>
    </w:lvl>
  </w:abstractNum>
  <w:abstractNum w:abstractNumId="295">
    <w:nsid w:val="237BBCA0"/>
    <w:multiLevelType w:val="hybridMultilevel"/>
    <w:lvl w:ilvl="0">
      <w:lvlJc w:val="left"/>
      <w:lvlText w:val="(%1)"/>
      <w:numFmt w:val="lowerLetter"/>
      <w:start w:val="1"/>
    </w:lvl>
  </w:abstractNum>
  <w:abstractNum w:abstractNumId="296">
    <w:nsid w:val="162EB70D"/>
    <w:multiLevelType w:val="hybridMultilevel"/>
    <w:lvl w:ilvl="0">
      <w:lvlJc w:val="left"/>
      <w:lvlText w:val="%1"/>
      <w:numFmt w:val="decimal"/>
      <w:start w:val="1"/>
    </w:lvl>
    <w:lvl w:ilvl="1">
      <w:lvlJc w:val="left"/>
      <w:lvlText w:val="(%2)"/>
      <w:numFmt w:val="lowerLetter"/>
      <w:start w:val="2"/>
    </w:lvl>
  </w:abstractNum>
  <w:abstractNum w:abstractNumId="297">
    <w:nsid w:val="78070222"/>
    <w:multiLevelType w:val="hybridMultilevel"/>
    <w:lvl w:ilvl="0">
      <w:lvlJc w:val="left"/>
      <w:lvlText w:val="(%1)"/>
      <w:numFmt w:val="decimal"/>
      <w:start w:val="4"/>
    </w:lvl>
    <w:lvl w:ilvl="1">
      <w:lvlJc w:val="left"/>
      <w:lvlText w:val="(%2)"/>
      <w:numFmt w:val="lowerLetter"/>
      <w:start w:val="3"/>
    </w:lvl>
  </w:abstractNum>
  <w:abstractNum w:abstractNumId="298">
    <w:nsid w:val="6163ED0D"/>
    <w:multiLevelType w:val="hybridMultilevel"/>
    <w:lvl w:ilvl="0">
      <w:lvlJc w:val="left"/>
      <w:lvlText w:val="(%1)"/>
      <w:numFmt w:val="lowerLetter"/>
      <w:start w:val="6"/>
    </w:lvl>
  </w:abstractNum>
  <w:abstractNum w:abstractNumId="299">
    <w:nsid w:val="C600E47"/>
    <w:multiLevelType w:val="hybridMultilevel"/>
    <w:lvl w:ilvl="0">
      <w:lvlJc w:val="left"/>
      <w:lvlText w:val="(%1)"/>
      <w:numFmt w:val="lowerLetter"/>
      <w:start w:val="1"/>
    </w:lvl>
  </w:abstractNum>
  <w:abstractNum w:abstractNumId="300">
    <w:nsid w:val="7D94F75D"/>
    <w:multiLevelType w:val="hybridMultilevel"/>
    <w:lvl w:ilvl="0">
      <w:lvlJc w:val="left"/>
      <w:lvlText w:val="(%1)"/>
      <w:numFmt w:val="lowerLetter"/>
      <w:start w:val="2"/>
    </w:lvl>
  </w:abstractNum>
  <w:abstractNum w:abstractNumId="301">
    <w:nsid w:val="6C31E7CD"/>
    <w:multiLevelType w:val="hybridMultilevel"/>
    <w:lvl w:ilvl="0">
      <w:lvlJc w:val="left"/>
      <w:lvlText w:val="(%1)"/>
      <w:numFmt w:val="lowerLetter"/>
      <w:start w:val="1"/>
    </w:lvl>
  </w:abstractNum>
  <w:abstractNum w:abstractNumId="302">
    <w:nsid w:val="2BB7929B"/>
    <w:multiLevelType w:val="hybridMultilevel"/>
    <w:lvl w:ilvl="0">
      <w:lvlJc w:val="left"/>
      <w:lvlText w:val="(%1)"/>
      <w:numFmt w:val="lowerLetter"/>
      <w:start w:val="1"/>
    </w:lvl>
  </w:abstractNum>
  <w:abstractNum w:abstractNumId="303">
    <w:nsid w:val="58A2A487"/>
    <w:multiLevelType w:val="hybridMultilevel"/>
    <w:lvl w:ilvl="0">
      <w:lvlJc w:val="left"/>
      <w:lvlText w:val="(%1)"/>
      <w:numFmt w:val="lowerLetter"/>
      <w:start w:val="14"/>
    </w:lvl>
  </w:abstractNum>
  <w:abstractNum w:abstractNumId="304">
    <w:nsid w:val="3A6F0E78"/>
    <w:multiLevelType w:val="hybridMultilevel"/>
    <w:lvl w:ilvl="0">
      <w:lvlJc w:val="left"/>
      <w:lvlText w:val="(%1)"/>
      <w:numFmt w:val="lowerLetter"/>
      <w:start w:val="27"/>
    </w:lvl>
  </w:abstractNum>
  <w:abstractNum w:abstractNumId="305">
    <w:nsid w:val="379A5B56"/>
    <w:multiLevelType w:val="hybridMultilevel"/>
    <w:lvl w:ilvl="0">
      <w:lvlJc w:val="left"/>
      <w:lvlText w:val="(%1)"/>
      <w:numFmt w:val="lowerLetter"/>
      <w:start w:val="28"/>
    </w:lvl>
  </w:abstractNum>
  <w:abstractNum w:abstractNumId="306">
    <w:nsid w:val="53B735D5"/>
    <w:multiLevelType w:val="hybridMultilevel"/>
    <w:lvl w:ilvl="0">
      <w:lvlJc w:val="left"/>
      <w:lvlText w:val="☐"/>
      <w:numFmt w:val="bullet"/>
      <w:start w:val="1"/>
    </w:lvl>
  </w:abstractNum>
  <w:abstractNum w:abstractNumId="307">
    <w:nsid w:val="29784870"/>
    <w:multiLevelType w:val="hybridMultilevel"/>
    <w:lvl w:ilvl="0">
      <w:lvlJc w:val="left"/>
      <w:lvlText w:val="☐"/>
      <w:numFmt w:val="bullet"/>
      <w:start w:val="1"/>
    </w:lvl>
  </w:abstractNum>
  <w:abstractNum w:abstractNumId="308">
    <w:nsid w:val="4CDCED4C"/>
    <w:multiLevelType w:val="hybridMultilevel"/>
    <w:lvl w:ilvl="0">
      <w:lvlJc w:val="left"/>
      <w:lvlText w:val="☐"/>
      <w:numFmt w:val="bullet"/>
      <w:start w:val="1"/>
    </w:lvl>
  </w:abstractNum>
  <w:abstractNum w:abstractNumId="309">
    <w:nsid w:val="10A30D9C"/>
    <w:multiLevelType w:val="hybridMultilevel"/>
    <w:lvl w:ilvl="0">
      <w:lvlJc w:val="left"/>
      <w:lvlText w:val="☐"/>
      <w:numFmt w:val="bullet"/>
      <w:start w:val="1"/>
    </w:lvl>
  </w:abstractNum>
  <w:abstractNum w:abstractNumId="310">
    <w:nsid w:val="A66E486"/>
    <w:multiLevelType w:val="hybridMultilevel"/>
    <w:lvl w:ilvl="0">
      <w:lvlJc w:val="left"/>
      <w:lvlText w:val="(%1)"/>
      <w:numFmt w:val="lowerLetter"/>
      <w:start w:val="1"/>
    </w:lvl>
  </w:abstractNum>
  <w:abstractNum w:abstractNumId="311">
    <w:nsid w:val="306235EA"/>
    <w:multiLevelType w:val="hybridMultilevel"/>
    <w:lvl w:ilvl="0">
      <w:lvlJc w:val="left"/>
      <w:lvlText w:val="(%1)"/>
      <w:numFmt w:val="lowerLetter"/>
      <w:start w:val="1"/>
    </w:lvl>
  </w:abstractNum>
  <w:abstractNum w:abstractNumId="312">
    <w:nsid w:val="1187C70F"/>
    <w:multiLevelType w:val="hybridMultilevel"/>
    <w:lvl w:ilvl="0">
      <w:lvlJc w:val="left"/>
      <w:lvlText w:val="%1"/>
      <w:numFmt w:val="lowerLetter"/>
      <w:start w:val="1"/>
    </w:lvl>
    <w:lvl w:ilvl="1">
      <w:lvlJc w:val="left"/>
      <w:lvlText w:val="(%2)"/>
      <w:numFmt w:val="lowerLetter"/>
      <w:start w:val="1"/>
    </w:lvl>
  </w:abstractNum>
  <w:abstractNum w:abstractNumId="313">
    <w:nsid w:val="5476DE98"/>
    <w:multiLevelType w:val="hybridMultilevel"/>
    <w:lvl w:ilvl="0">
      <w:lvlJc w:val="left"/>
      <w:lvlText w:val="(%1)"/>
      <w:numFmt w:val="lowerLetter"/>
      <w:start w:val="35"/>
    </w:lvl>
    <w:lvl w:ilvl="1">
      <w:lvlJc w:val="left"/>
      <w:lvlText w:val="(%2)"/>
      <w:numFmt w:val="lowerLetter"/>
      <w:start w:val="3"/>
    </w:lvl>
  </w:abstractNum>
  <w:abstractNum w:abstractNumId="314">
    <w:nsid w:val="EA697F2"/>
    <w:multiLevelType w:val="hybridMultilevel"/>
    <w:lvl w:ilvl="0">
      <w:lvlJc w:val="left"/>
      <w:lvlText w:val="(%1)"/>
      <w:numFmt w:val="lowerLetter"/>
      <w:start w:val="1"/>
    </w:lvl>
  </w:abstractNum>
  <w:abstractNum w:abstractNumId="315">
    <w:nsid w:val="70BA39EB"/>
    <w:multiLevelType w:val="hybridMultilevel"/>
    <w:lvl w:ilvl="0">
      <w:lvlJc w:val="left"/>
      <w:lvlText w:val="(%1)"/>
      <w:numFmt w:val="lowerLetter"/>
      <w:start w:val="3"/>
    </w:lvl>
  </w:abstractNum>
  <w:abstractNum w:abstractNumId="316">
    <w:nsid w:val="4A8DB59C"/>
    <w:multiLevelType w:val="hybridMultilevel"/>
    <w:lvl w:ilvl="0">
      <w:lvlJc w:val="left"/>
      <w:lvlText w:val="(%1)"/>
      <w:numFmt w:val="lowerLetter"/>
      <w:start w:val="1"/>
    </w:lvl>
    <w:lvl w:ilvl="1">
      <w:lvlJc w:val="left"/>
      <w:lvlText w:val="(%2)"/>
      <w:numFmt w:val="lowerRoman"/>
      <w:start w:val="1"/>
    </w:lvl>
  </w:abstractNum>
  <w:abstractNum w:abstractNumId="317">
    <w:nsid w:val="1AFD9053"/>
    <w:multiLevelType w:val="hybridMultilevel"/>
    <w:lvl w:ilvl="0">
      <w:lvlJc w:val="left"/>
      <w:lvlText w:val="(%1)"/>
      <w:numFmt w:val="lowerLetter"/>
      <w:start w:val="3"/>
    </w:lvl>
    <w:lvl w:ilvl="1">
      <w:lvlJc w:val="left"/>
      <w:lvlText w:val="(%2)"/>
      <w:numFmt w:val="lowerRoman"/>
      <w:start w:val="1"/>
    </w:lvl>
  </w:abstractNum>
  <w:abstractNum w:abstractNumId="318">
    <w:nsid w:val="558BB10D"/>
    <w:multiLevelType w:val="hybridMultilevel"/>
    <w:lvl w:ilvl="0">
      <w:lvlJc w:val="left"/>
      <w:lvlText w:val="%1"/>
      <w:numFmt w:val="lowerRoman"/>
      <w:start w:val="1"/>
    </w:lvl>
    <w:lvl w:ilvl="1">
      <w:lvlJc w:val="left"/>
      <w:lvlText w:val="(%2)"/>
      <w:numFmt w:val="lowerLetter"/>
      <w:start w:val="4"/>
    </w:lvl>
  </w:abstractNum>
  <w:abstractNum w:abstractNumId="319">
    <w:nsid w:val="43B27FA7"/>
    <w:multiLevelType w:val="hybridMultilevel"/>
    <w:lvl w:ilvl="0">
      <w:lvlJc w:val="left"/>
      <w:lvlText w:val="(%1)"/>
      <w:numFmt w:val="lowerRoman"/>
      <w:start w:val="1"/>
    </w:lvl>
    <w:lvl w:ilvl="1">
      <w:lvlJc w:val="left"/>
      <w:lvlText w:val="%2"/>
      <w:numFmt w:val="lowerLetter"/>
      <w:start w:val="1"/>
    </w:lvl>
  </w:abstractNum>
  <w:abstractNum w:abstractNumId="320">
    <w:nsid w:val="27FADEFA"/>
    <w:multiLevelType w:val="hybridMultilevel"/>
    <w:lvl w:ilvl="0">
      <w:lvlJc w:val="left"/>
      <w:lvlText w:val="(%1)"/>
      <w:numFmt w:val="lowerLetter"/>
      <w:start w:val="1"/>
    </w:lvl>
  </w:abstractNum>
  <w:abstractNum w:abstractNumId="321">
    <w:nsid w:val="78BB805A"/>
    <w:multiLevelType w:val="hybridMultilevel"/>
    <w:lvl w:ilvl="0">
      <w:lvlJc w:val="left"/>
      <w:lvlText w:val="%1"/>
      <w:numFmt w:val="lowerLetter"/>
      <w:start w:val="1"/>
    </w:lvl>
    <w:lvl w:ilvl="1">
      <w:lvlJc w:val="left"/>
      <w:lvlText w:val="(%2)"/>
      <w:numFmt w:val="lowerLetter"/>
      <w:start w:val="2"/>
    </w:lvl>
  </w:abstractNum>
  <w:abstractNum w:abstractNumId="322">
    <w:nsid w:val="62548FD8"/>
    <w:multiLevelType w:val="hybridMultilevel"/>
    <w:lvl w:ilvl="0">
      <w:lvlJc w:val="left"/>
      <w:lvlText w:val="(%1)"/>
      <w:numFmt w:val="lowerLetter"/>
      <w:start w:val="9"/>
    </w:lvl>
    <w:lvl w:ilvl="1">
      <w:lvlJc w:val="left"/>
      <w:lvlText w:val="(%2)"/>
      <w:numFmt w:val="lowerLetter"/>
      <w:start w:val="4"/>
    </w:lvl>
  </w:abstractNum>
  <w:abstractNum w:abstractNumId="323">
    <w:nsid w:val="FA085B0"/>
    <w:multiLevelType w:val="hybridMultilevel"/>
    <w:lvl w:ilvl="0">
      <w:lvlJc w:val="left"/>
      <w:lvlText w:val="(%1)"/>
      <w:numFmt w:val="lowerLetter"/>
      <w:start w:val="6"/>
    </w:lvl>
  </w:abstractNum>
  <w:abstractNum w:abstractNumId="324">
    <w:nsid w:val="4E5DCB5"/>
    <w:multiLevelType w:val="hybridMultilevel"/>
    <w:lvl w:ilvl="0">
      <w:lvlJc w:val="left"/>
      <w:lvlText w:val="(%1)"/>
      <w:numFmt w:val="lowerLetter"/>
      <w:start w:val="1"/>
    </w:lvl>
  </w:abstractNum>
  <w:abstractNum w:abstractNumId="325">
    <w:nsid w:val="41E96BDB"/>
    <w:multiLevelType w:val="hybridMultilevel"/>
    <w:lvl w:ilvl="0">
      <w:lvlJc w:val="left"/>
      <w:lvlText w:val="(%1)"/>
      <w:numFmt w:val="lowerLetter"/>
      <w:start w:val="2"/>
    </w:lvl>
  </w:abstractNum>
  <w:abstractNum w:abstractNumId="326">
    <w:nsid w:val="331C4250"/>
    <w:multiLevelType w:val="hybridMultilevel"/>
    <w:lvl w:ilvl="0">
      <w:lvlJc w:val="left"/>
      <w:lvlText w:val="(%1)"/>
      <w:numFmt w:val="lowerLetter"/>
      <w:start w:val="6"/>
    </w:lvl>
  </w:abstractNum>
  <w:abstractNum w:abstractNumId="327">
    <w:nsid w:val="1B1493C2"/>
    <w:multiLevelType w:val="hybridMultilevel"/>
    <w:lvl w:ilvl="0">
      <w:lvlJc w:val="left"/>
      <w:lvlText w:val="(%1)"/>
      <w:numFmt w:val="lowerLetter"/>
      <w:start w:val="1"/>
    </w:lvl>
  </w:abstractNum>
  <w:abstractNum w:abstractNumId="328">
    <w:nsid w:val="39F06DFD"/>
    <w:multiLevelType w:val="hybridMultilevel"/>
    <w:lvl w:ilvl="0">
      <w:lvlJc w:val="left"/>
      <w:lvlText w:val="%1"/>
      <w:numFmt w:val="decimal"/>
      <w:start w:val="1"/>
    </w:lvl>
    <w:lvl w:ilvl="1">
      <w:lvlJc w:val="left"/>
      <w:lvlText w:val="(%2)"/>
      <w:numFmt w:val="lowerLetter"/>
      <w:start w:val="2"/>
    </w:lvl>
  </w:abstractNum>
  <w:abstractNum w:abstractNumId="329">
    <w:nsid w:val="14802F5D"/>
    <w:multiLevelType w:val="hybridMultilevel"/>
    <w:lvl w:ilvl="0">
      <w:lvlJc w:val="left"/>
      <w:lvlText w:val="(%1)"/>
      <w:numFmt w:val="decimal"/>
      <w:start w:val="4"/>
    </w:lvl>
    <w:lvl w:ilvl="1">
      <w:lvlJc w:val="left"/>
      <w:lvlText w:val="(%2)"/>
      <w:numFmt w:val="lowerLetter"/>
      <w:start w:val="3"/>
    </w:lvl>
  </w:abstractNum>
  <w:abstractNum w:abstractNumId="330">
    <w:nsid w:val="2774A209"/>
    <w:multiLevelType w:val="hybridMultilevel"/>
    <w:lvl w:ilvl="0">
      <w:lvlJc w:val="left"/>
      <w:lvlText w:val="(%1)"/>
      <w:numFmt w:val="lowerLetter"/>
      <w:start w:val="5"/>
    </w:lvl>
  </w:abstractNum>
  <w:abstractNum w:abstractNumId="331">
    <w:nsid w:val="3785655A"/>
    <w:multiLevelType w:val="hybridMultilevel"/>
    <w:lvl w:ilvl="0">
      <w:lvlJc w:val="left"/>
      <w:lvlText w:val="(%1)"/>
      <w:numFmt w:val="lowerLetter"/>
      <w:start w:val="6"/>
    </w:lvl>
  </w:abstractNum>
  <w:abstractNum w:abstractNumId="332">
    <w:nsid w:val="B2172A"/>
    <w:multiLevelType w:val="hybridMultilevel"/>
    <w:lvl w:ilvl="0">
      <w:lvlJc w:val="left"/>
      <w:lvlText w:val="(%1)"/>
      <w:numFmt w:val="lowerLetter"/>
      <w:start w:val="1"/>
    </w:lvl>
  </w:abstractNum>
  <w:abstractNum w:abstractNumId="333">
    <w:nsid w:val="532C34A5"/>
    <w:multiLevelType w:val="hybridMultilevel"/>
    <w:lvl w:ilvl="0">
      <w:lvlJc w:val="left"/>
      <w:lvlText w:val="(%1)"/>
      <w:numFmt w:val="lowerLetter"/>
      <w:start w:val="2"/>
    </w:lvl>
  </w:abstractNum>
  <w:abstractNum w:abstractNumId="334">
    <w:nsid w:val="102809E2"/>
    <w:multiLevelType w:val="hybridMultilevel"/>
    <w:lvl w:ilvl="0">
      <w:lvlJc w:val="left"/>
      <w:lvlText w:val="(%1)"/>
      <w:numFmt w:val="lowerLetter"/>
      <w:start w:val="1"/>
    </w:lvl>
  </w:abstractNum>
  <w:abstractNum w:abstractNumId="335">
    <w:nsid w:val="3B2125A3"/>
    <w:multiLevelType w:val="hybridMultilevel"/>
    <w:lvl w:ilvl="0">
      <w:lvlJc w:val="left"/>
      <w:lvlText w:val="(%1)"/>
      <w:numFmt w:val="lowerLetter"/>
      <w:start w:val="1"/>
    </w:lvl>
  </w:abstractNum>
  <w:abstractNum w:abstractNumId="336">
    <w:nsid w:val="AC68FFB"/>
    <w:multiLevelType w:val="hybridMultilevel"/>
    <w:lvl w:ilvl="0">
      <w:lvlJc w:val="left"/>
      <w:lvlText w:val="(%1)"/>
      <w:numFmt w:val="lowerLetter"/>
      <w:start w:val="14"/>
    </w:lvl>
  </w:abstractNum>
  <w:abstractNum w:abstractNumId="337">
    <w:nsid w:val="63DF3FB7"/>
    <w:multiLevelType w:val="hybridMultilevel"/>
    <w:lvl w:ilvl="0">
      <w:lvlJc w:val="left"/>
      <w:lvlText w:val="(%1)"/>
      <w:numFmt w:val="lowerLetter"/>
      <w:start w:val="27"/>
    </w:lvl>
  </w:abstractNum>
  <w:abstractNum w:abstractNumId="338">
    <w:nsid w:val="64996E13"/>
    <w:multiLevelType w:val="hybridMultilevel"/>
    <w:lvl w:ilvl="0">
      <w:lvlJc w:val="left"/>
      <w:lvlText w:val="(%1)"/>
      <w:numFmt w:val="lowerLetter"/>
      <w:start w:val="29"/>
    </w:lvl>
  </w:abstractNum>
  <w:abstractNum w:abstractNumId="339">
    <w:nsid w:val="57A37D47"/>
    <w:multiLevelType w:val="hybridMultilevel"/>
    <w:lvl w:ilvl="0">
      <w:lvlJc w:val="left"/>
      <w:lvlText w:val="☐"/>
      <w:numFmt w:val="bullet"/>
      <w:start w:val="1"/>
    </w:lvl>
  </w:abstractNum>
  <w:abstractNum w:abstractNumId="340">
    <w:nsid w:val="74824D54"/>
    <w:multiLevelType w:val="hybridMultilevel"/>
    <w:lvl w:ilvl="0">
      <w:lvlJc w:val="left"/>
      <w:lvlText w:val="☐"/>
      <w:numFmt w:val="bullet"/>
      <w:start w:val="1"/>
    </w:lvl>
  </w:abstractNum>
  <w:abstractNum w:abstractNumId="341">
    <w:nsid w:val="6F00529A"/>
    <w:multiLevelType w:val="hybridMultilevel"/>
    <w:lvl w:ilvl="0">
      <w:lvlJc w:val="left"/>
      <w:lvlText w:val="☐"/>
      <w:numFmt w:val="bullet"/>
      <w:start w:val="1"/>
    </w:lvl>
  </w:abstractNum>
  <w:abstractNum w:abstractNumId="342">
    <w:nsid w:val="805B331"/>
    <w:multiLevelType w:val="hybridMultilevel"/>
    <w:lvl w:ilvl="0">
      <w:lvlJc w:val="left"/>
      <w:lvlText w:val="☐"/>
      <w:numFmt w:val="bullet"/>
      <w:start w:val="1"/>
    </w:lvl>
  </w:abstractNum>
  <w:abstractNum w:abstractNumId="343">
    <w:nsid w:val="60A1463"/>
    <w:multiLevelType w:val="hybridMultilevel"/>
    <w:lvl w:ilvl="0">
      <w:lvlJc w:val="left"/>
      <w:lvlText w:val="(%1)"/>
      <w:numFmt w:val="lowerLetter"/>
      <w:start w:val="1"/>
    </w:lvl>
  </w:abstractNum>
  <w:abstractNum w:abstractNumId="344">
    <w:nsid w:val="43773132"/>
    <w:multiLevelType w:val="hybridMultilevel"/>
    <w:lvl w:ilvl="0">
      <w:lvlJc w:val="left"/>
      <w:lvlText w:val="(%1)"/>
      <w:numFmt w:val="lowerLetter"/>
      <w:start w:val="1"/>
    </w:lvl>
  </w:abstractNum>
  <w:abstractNum w:abstractNumId="345">
    <w:nsid w:val="16AC4B23"/>
    <w:multiLevelType w:val="hybridMultilevel"/>
    <w:lvl w:ilvl="0">
      <w:lvlJc w:val="left"/>
      <w:lvlText w:val="%1"/>
      <w:numFmt w:val="lowerLetter"/>
      <w:start w:val="1"/>
    </w:lvl>
    <w:lvl w:ilvl="1">
      <w:lvlJc w:val="left"/>
      <w:lvlText w:val="(%2)"/>
      <w:numFmt w:val="lowerLetter"/>
      <w:start w:val="1"/>
    </w:lvl>
  </w:abstractNum>
  <w:abstractNum w:abstractNumId="346">
    <w:nsid w:val="76C44E4E"/>
    <w:multiLevelType w:val="hybridMultilevel"/>
    <w:lvl w:ilvl="0">
      <w:lvlJc w:val="left"/>
      <w:lvlText w:val="(%1)"/>
      <w:numFmt w:val="lowerLetter"/>
      <w:start w:val="35"/>
    </w:lvl>
    <w:lvl w:ilvl="1">
      <w:lvlJc w:val="left"/>
      <w:lvlText w:val="(%2)"/>
      <w:numFmt w:val="lowerLetter"/>
      <w:start w:val="3"/>
    </w:lvl>
  </w:abstractNum>
  <w:abstractNum w:abstractNumId="347">
    <w:nsid w:val="E04E6CE"/>
    <w:multiLevelType w:val="hybridMultilevel"/>
    <w:lvl w:ilvl="0">
      <w:lvlJc w:val="left"/>
      <w:lvlText w:val="(%1)"/>
      <w:numFmt w:val="lowerLetter"/>
      <w:start w:val="1"/>
    </w:lvl>
  </w:abstractNum>
  <w:abstractNum w:abstractNumId="348">
    <w:nsid w:val="31A9DB76"/>
    <w:multiLevelType w:val="hybridMultilevel"/>
    <w:lvl w:ilvl="0">
      <w:lvlJc w:val="left"/>
      <w:lvlText w:val="(%1)"/>
      <w:numFmt w:val="lowerLetter"/>
      <w:start w:val="1"/>
    </w:lvl>
    <w:lvl w:ilvl="1">
      <w:lvlJc w:val="left"/>
      <w:lvlText w:val="(%2)"/>
      <w:numFmt w:val="lowerRoman"/>
      <w:start w:val="1"/>
    </w:lvl>
  </w:abstractNum>
  <w:abstractNum w:abstractNumId="349">
    <w:nsid w:val="4C4FFF5B"/>
    <w:multiLevelType w:val="hybridMultilevel"/>
    <w:lvl w:ilvl="0">
      <w:lvlJc w:val="left"/>
      <w:lvlText w:val="(%1)"/>
      <w:numFmt w:val="lowerLetter"/>
      <w:start w:val="3"/>
    </w:lvl>
    <w:lvl w:ilvl="1">
      <w:lvlJc w:val="left"/>
      <w:lvlText w:val="(%2)"/>
      <w:numFmt w:val="lowerRoman"/>
      <w:start w:val="1"/>
    </w:lvl>
  </w:abstractNum>
  <w:abstractNum w:abstractNumId="350">
    <w:nsid w:val="51B76675"/>
    <w:multiLevelType w:val="hybridMultilevel"/>
    <w:lvl w:ilvl="0">
      <w:lvlJc w:val="left"/>
      <w:lvlText w:val="(%1)"/>
      <w:numFmt w:val="lowerLetter"/>
      <w:start w:val="4"/>
    </w:lvl>
    <w:lvl w:ilvl="1">
      <w:lvlJc w:val="left"/>
      <w:lvlText w:val="(%2)"/>
      <w:numFmt w:val="lowerRoman"/>
      <w:start w:val="1"/>
    </w:lvl>
  </w:abstractNum>
  <w:abstractNum w:abstractNumId="351">
    <w:nsid w:val="59A4BA71"/>
    <w:multiLevelType w:val="hybridMultilevel"/>
    <w:lvl w:ilvl="0">
      <w:lvlJc w:val="left"/>
      <w:lvlText w:val="(%1)"/>
      <w:numFmt w:val="lowerLetter"/>
      <w:start w:val="1"/>
    </w:lvl>
  </w:abstractNum>
  <w:abstractNum w:abstractNumId="352">
    <w:nsid w:val="450B7FB6"/>
    <w:multiLevelType w:val="hybridMultilevel"/>
    <w:lvl w:ilvl="0">
      <w:lvlJc w:val="left"/>
      <w:lvlText w:val="(%1)"/>
      <w:numFmt w:val="lowerLetter"/>
      <w:start w:val="2"/>
    </w:lvl>
  </w:abstractNum>
  <w:abstractNum w:abstractNumId="353">
    <w:nsid w:val="340BF64D"/>
    <w:multiLevelType w:val="hybridMultilevel"/>
    <w:lvl w:ilvl="0">
      <w:lvlJc w:val="left"/>
      <w:lvlText w:val="%1"/>
      <w:numFmt w:val="lowerLetter"/>
      <w:start w:val="1"/>
    </w:lvl>
    <w:lvl w:ilvl="1">
      <w:lvlJc w:val="left"/>
      <w:lvlText w:val="(%2)"/>
      <w:numFmt w:val="lowerLetter"/>
      <w:start w:val="3"/>
    </w:lvl>
  </w:abstractNum>
  <w:abstractNum w:abstractNumId="354">
    <w:nsid w:val="69454021"/>
    <w:multiLevelType w:val="hybridMultilevel"/>
    <w:lvl w:ilvl="0">
      <w:lvlJc w:val="left"/>
      <w:lvlText w:val="(%1)"/>
      <w:numFmt w:val="lowerLetter"/>
      <w:start w:val="9"/>
    </w:lvl>
    <w:lvl w:ilvl="1">
      <w:lvlJc w:val="left"/>
      <w:lvlText w:val="(%2)"/>
      <w:numFmt w:val="lowerLetter"/>
      <w:start w:val="4"/>
    </w:lvl>
  </w:abstractNum>
  <w:abstractNum w:abstractNumId="355">
    <w:nsid w:val="49F15C6B"/>
    <w:multiLevelType w:val="hybridMultilevel"/>
    <w:lvl w:ilvl="0">
      <w:lvlJc w:val="left"/>
      <w:lvlText w:val="(%1)"/>
      <w:numFmt w:val="lowerLetter"/>
      <w:start w:val="6"/>
    </w:lvl>
  </w:abstractNum>
  <w:abstractNum w:abstractNumId="356">
    <w:nsid w:val="75F56228"/>
    <w:multiLevelType w:val="hybridMultilevel"/>
    <w:lvl w:ilvl="0">
      <w:lvlJc w:val="left"/>
      <w:lvlText w:val="(%1)"/>
      <w:numFmt w:val="lowerLetter"/>
      <w:start w:val="1"/>
    </w:lvl>
  </w:abstractNum>
  <w:abstractNum w:abstractNumId="357">
    <w:nsid w:val="1C618271"/>
    <w:multiLevelType w:val="hybridMultilevel"/>
    <w:lvl w:ilvl="0">
      <w:lvlJc w:val="left"/>
      <w:lvlText w:val="(%1)"/>
      <w:numFmt w:val="lowerLetter"/>
      <w:start w:val="2"/>
    </w:lvl>
  </w:abstractNum>
  <w:abstractNum w:abstractNumId="358">
    <w:nsid w:val="6505F02E"/>
    <w:multiLevelType w:val="hybridMultilevel"/>
    <w:lvl w:ilvl="0">
      <w:lvlJc w:val="left"/>
      <w:lvlText w:val="(%1)"/>
      <w:numFmt w:val="lowerLetter"/>
      <w:start w:val="7"/>
    </w:lvl>
  </w:abstractNum>
  <w:abstractNum w:abstractNumId="359">
    <w:nsid w:val="2FE5D025"/>
    <w:multiLevelType w:val="hybridMultilevel"/>
    <w:lvl w:ilvl="0">
      <w:lvlJc w:val="left"/>
      <w:lvlText w:val="(%1)"/>
      <w:numFmt w:val="lowerLetter"/>
      <w:start w:val="1"/>
    </w:lvl>
  </w:abstractNum>
  <w:abstractNum w:abstractNumId="360">
    <w:nsid w:val="30E1B1CF"/>
    <w:multiLevelType w:val="hybridMultilevel"/>
    <w:lvl w:ilvl="0">
      <w:lvlJc w:val="left"/>
      <w:lvlText w:val="(%1)"/>
      <w:numFmt w:val="lowerLetter"/>
      <w:start w:val="1"/>
    </w:lvl>
  </w:abstractNum>
  <w:abstractNum w:abstractNumId="361">
    <w:nsid w:val="C7A9237"/>
    <w:multiLevelType w:val="hybridMultilevel"/>
    <w:lvl w:ilvl="0">
      <w:lvlJc w:val="left"/>
      <w:lvlText w:val="(%1)"/>
      <w:numFmt w:val="lowerLetter"/>
      <w:start w:val="3"/>
    </w:lvl>
  </w:abstractNum>
  <w:abstractNum w:abstractNumId="362">
    <w:nsid w:val="676B3580"/>
    <w:multiLevelType w:val="hybridMultilevel"/>
    <w:lvl w:ilvl="0">
      <w:lvlJc w:val="left"/>
      <w:lvlText w:val="(%1)"/>
      <w:numFmt w:val="lowerLetter"/>
      <w:start w:val="6"/>
    </w:lvl>
  </w:abstractNum>
  <w:abstractNum w:abstractNumId="363">
    <w:nsid w:val="3193C8F9"/>
    <w:multiLevelType w:val="hybridMultilevel"/>
    <w:lvl w:ilvl="0">
      <w:lvlJc w:val="left"/>
      <w:lvlText w:val="(%1)"/>
      <w:numFmt w:val="lowerLetter"/>
      <w:start w:val="1"/>
    </w:lvl>
  </w:abstractNum>
  <w:abstractNum w:abstractNumId="364">
    <w:nsid w:val="5FA6C6DC"/>
    <w:multiLevelType w:val="hybridMultilevel"/>
    <w:lvl w:ilvl="0">
      <w:lvlJc w:val="left"/>
      <w:lvlText w:val="(%1)"/>
      <w:numFmt w:val="lowerLetter"/>
      <w:start w:val="61"/>
    </w:lvl>
    <w:lvl w:ilvl="1">
      <w:lvlJc w:val="left"/>
      <w:lvlText w:val="(%2)"/>
      <w:numFmt w:val="lowerLetter"/>
      <w:start w:val="4"/>
    </w:lvl>
  </w:abstractNum>
  <w:abstractNum w:abstractNumId="365">
    <w:nsid w:val="77933F62"/>
    <w:multiLevelType w:val="hybridMultilevel"/>
    <w:lvl w:ilvl="0">
      <w:lvlJc w:val="left"/>
      <w:lvlText w:val="(%1)."/>
      <w:numFmt w:val="lowerLetter"/>
      <w:start w:val="10"/>
    </w:lvl>
    <w:lvl w:ilvl="1">
      <w:lvlJc w:val="left"/>
      <w:lvlText w:val="%2"/>
      <w:numFmt w:val="lowerLetter"/>
      <w:start w:val="1"/>
    </w:lvl>
  </w:abstractNum>
  <w:abstractNum w:abstractNumId="366">
    <w:nsid w:val="6CB4EE9C"/>
    <w:multiLevelType w:val="hybridMultilevel"/>
    <w:lvl w:ilvl="0">
      <w:lvlJc w:val="left"/>
      <w:lvlText w:val="(%1)"/>
      <w:numFmt w:val="lowerLetter"/>
      <w:start w:val="1"/>
    </w:lvl>
  </w:abstractNum>
  <w:abstractNum w:abstractNumId="367">
    <w:nsid w:val="6A6D56D7"/>
    <w:multiLevelType w:val="hybridMultilevel"/>
    <w:lvl w:ilvl="0">
      <w:lvlJc w:val="left"/>
      <w:lvlText w:val="(%1)"/>
      <w:numFmt w:val="lowerLetter"/>
      <w:start w:val="1"/>
    </w:lvl>
  </w:abstractNum>
  <w:abstractNum w:abstractNumId="368">
    <w:nsid w:val="5B727F19"/>
    <w:multiLevelType w:val="hybridMultilevel"/>
    <w:lvl w:ilvl="0">
      <w:lvlJc w:val="left"/>
      <w:lvlText w:val="%1"/>
      <w:numFmt w:val="lowerLetter"/>
      <w:start w:val="1"/>
    </w:lvl>
    <w:lvl w:ilvl="1">
      <w:lvlJc w:val="left"/>
      <w:lvlText w:val="(%2)"/>
      <w:numFmt w:val="lowerLetter"/>
      <w:start w:val="3"/>
    </w:lvl>
  </w:abstractNum>
  <w:abstractNum w:abstractNumId="369">
    <w:nsid w:val="514E5CB0"/>
    <w:multiLevelType w:val="hybridMultilevel"/>
    <w:lvl w:ilvl="0">
      <w:lvlJc w:val="left"/>
      <w:lvlText w:val="(%1)"/>
      <w:numFmt w:val="lowerLetter"/>
      <w:start w:val="35"/>
    </w:lvl>
    <w:lvl w:ilvl="1">
      <w:lvlJc w:val="left"/>
      <w:lvlText w:val="(%2)"/>
      <w:numFmt w:val="lowerLetter"/>
      <w:start w:val="4"/>
    </w:lvl>
  </w:abstractNum>
  <w:abstractNum w:abstractNumId="370">
    <w:nsid w:val="4210D41E"/>
    <w:multiLevelType w:val="hybridMultilevel"/>
    <w:lvl w:ilvl="0">
      <w:lvlJc w:val="left"/>
      <w:lvlText w:val="(%1)"/>
      <w:numFmt w:val="lowerLetter"/>
      <w:start w:val="16"/>
    </w:lvl>
  </w:abstractNum>
  <w:abstractNum w:abstractNumId="371">
    <w:nsid w:val="4FF4CC6D"/>
    <w:multiLevelType w:val="hybridMultilevel"/>
    <w:lvl w:ilvl="0">
      <w:lvlJc w:val="left"/>
      <w:lvlText w:val="(%1)"/>
      <w:numFmt w:val="lowerLetter"/>
      <w:start w:val="27"/>
    </w:lvl>
  </w:abstractNum>
  <w:abstractNum w:abstractNumId="372">
    <w:nsid w:val="404EAF4A"/>
    <w:multiLevelType w:val="hybridMultilevel"/>
    <w:lvl w:ilvl="0">
      <w:lvlJc w:val="left"/>
      <w:lvlText w:val="(%1)"/>
      <w:numFmt w:val="lowerLetter"/>
      <w:start w:val="32"/>
    </w:lvl>
  </w:abstractNum>
  <w:abstractNum w:abstractNumId="373">
    <w:nsid w:val="4A1687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4">
    <w:nsid w:val="55FEE0D1"/>
    <w:multiLevelType w:val="hybridMultilevel"/>
    <w:lvl w:ilvl="0">
      <w:lvlJc w:val="left"/>
      <w:lvlText w:val="%1"/>
      <w:numFmt w:val="upperLetter"/>
      <w:start w:val="1"/>
    </w:lvl>
    <w:lvl w:ilvl="1">
      <w:lvlJc w:val="left"/>
      <w:lvlText w:val="(%2)"/>
      <w:numFmt w:val="lowerRoman"/>
      <w:start w:val="5"/>
    </w:lvl>
  </w:abstractNum>
  <w:abstractNum w:abstractNumId="375">
    <w:nsid w:val="3C5E07C"/>
    <w:multiLevelType w:val="hybridMultilevel"/>
    <w:lvl w:ilvl="0">
      <w:lvlJc w:val="left"/>
      <w:lvlText w:val="(%1)"/>
      <w:numFmt w:val="upperLetter"/>
      <w:start w:val="4"/>
    </w:lvl>
    <w:lvl w:ilvl="1">
      <w:lvlJc w:val="left"/>
      <w:lvlText w:val="(%2)"/>
      <w:numFmt w:val="lowerRoman"/>
      <w:start w:val="8"/>
    </w:lvl>
  </w:abstractNum>
  <w:abstractNum w:abstractNumId="376">
    <w:nsid w:val="60C2D273"/>
    <w:multiLevelType w:val="hybridMultilevel"/>
    <w:lvl w:ilvl="0">
      <w:lvlJc w:val="left"/>
      <w:lvlText w:val="%1"/>
      <w:numFmt w:val="lowerLetter"/>
      <w:start w:val="1"/>
    </w:lvl>
    <w:lvl w:ilvl="1">
      <w:lvlJc w:val="left"/>
      <w:lvlText w:val="(%2)"/>
      <w:numFmt w:val="lowerRoman"/>
      <w:start w:val="10"/>
    </w:lvl>
  </w:abstractNum>
  <w:abstractNum w:abstractNumId="377">
    <w:nsid w:val="4CC32F1F"/>
    <w:multiLevelType w:val="hybridMultilevel"/>
    <w:lvl w:ilvl="0">
      <w:lvlJc w:val="left"/>
      <w:lvlText w:val="(%1)"/>
      <w:numFmt w:val="lowerLetter"/>
      <w:start w:val="3"/>
    </w:lvl>
    <w:lvl w:ilvl="1">
      <w:lvlJc w:val="left"/>
      <w:lvlText w:val="(%2)"/>
      <w:numFmt w:val="lowerRoman"/>
      <w:start w:val="1"/>
    </w:lvl>
  </w:abstractNum>
  <w:abstractNum w:abstractNumId="378">
    <w:nsid w:val="11CAC74A"/>
    <w:multiLevelType w:val="hybridMultilevel"/>
    <w:lvl w:ilvl="0">
      <w:lvlJc w:val="left"/>
      <w:lvlText w:val="%1"/>
      <w:numFmt w:val="decimal"/>
      <w:start w:val="1"/>
    </w:lvl>
    <w:lvl w:ilvl="1">
      <w:lvlJc w:val="left"/>
      <w:lvlText w:val="(%2)"/>
      <w:numFmt w:val="lowerLetter"/>
      <w:start w:val="5"/>
    </w:lvl>
  </w:abstractNum>
  <w:abstractNum w:abstractNumId="379">
    <w:nsid w:val="126CADE9"/>
    <w:multiLevelType w:val="hybridMultilevel"/>
    <w:lvl w:ilvl="0">
      <w:lvlJc w:val="left"/>
      <w:lvlText w:val="%1."/>
      <w:numFmt w:val="decimal"/>
      <w:start w:val="3"/>
    </w:lvl>
    <w:lvl w:ilvl="1">
      <w:lvlJc w:val="left"/>
      <w:lvlText w:val="(%2)"/>
      <w:numFmt w:val="lowerLetter"/>
      <w:start w:val="1"/>
    </w:lvl>
  </w:abstractNum>
  <w:abstractNum w:abstractNumId="380">
    <w:nsid w:val="19132E7B"/>
    <w:multiLevelType w:val="hybridMultilevel"/>
    <w:lvl w:ilvl="0">
      <w:lvlJc w:val="left"/>
      <w:lvlText w:val="%1"/>
      <w:numFmt w:val="decimal"/>
      <w:start w:val="1"/>
    </w:lvl>
    <w:lvl w:ilvl="1">
      <w:lvlJc w:val="left"/>
      <w:lvlText w:val="(%2)"/>
      <w:numFmt w:val="lowerLetter"/>
      <w:start w:val="4"/>
    </w:lvl>
  </w:abstractNum>
  <w:abstractNum w:abstractNumId="381">
    <w:nsid w:val="63822DC0"/>
    <w:multiLevelType w:val="hybridMultilevel"/>
    <w:lvl w:ilvl="0">
      <w:lvlJc w:val="left"/>
      <w:lvlText w:val="%1."/>
      <w:numFmt w:val="decimal"/>
      <w:start w:val="4"/>
    </w:lvl>
    <w:lvl w:ilvl="1">
      <w:lvlJc w:val="left"/>
      <w:lvlText w:val="(%2)"/>
      <w:numFmt w:val="lowerLetter"/>
      <w:start w:val="1"/>
    </w:lvl>
  </w:abstractNum>
  <w:abstractNum w:abstractNumId="382">
    <w:nsid w:val="6C11685A"/>
    <w:multiLevelType w:val="hybridMultilevel"/>
    <w:lvl w:ilvl="0">
      <w:lvlJc w:val="left"/>
      <w:lvlText w:val="(%1)"/>
      <w:numFmt w:val="lowerLetter"/>
      <w:start w:val="1"/>
    </w:lvl>
    <w:lvl w:ilvl="1">
      <w:lvlJc w:val="left"/>
      <w:lvlText w:val="(%2)"/>
      <w:numFmt w:val="lowerRoman"/>
      <w:start w:val="1"/>
    </w:lvl>
  </w:abstractNum>
  <w:abstractNum w:abstractNumId="383">
    <w:nsid w:val="5E1EAE31"/>
    <w:multiLevelType w:val="hybridMultilevel"/>
    <w:lvl w:ilvl="0">
      <w:lvlJc w:val="left"/>
      <w:lvlText w:val="(%1)"/>
      <w:numFmt w:val="upperLetter"/>
      <w:start w:val="3"/>
    </w:lvl>
    <w:lvl w:ilvl="1">
      <w:lvlJc w:val="left"/>
      <w:lvlText w:val="(%2)"/>
      <w:numFmt w:val="lowerLetter"/>
      <w:start w:val="3"/>
    </w:lvl>
    <w:lvl w:ilvl="2">
      <w:lvlJc w:val="left"/>
      <w:lvlText w:val="(%3)"/>
      <w:numFmt w:val="lowerLetter"/>
      <w:start w:val="22"/>
    </w:lvl>
  </w:abstractNum>
  <w:abstractNum w:abstractNumId="384">
    <w:nsid w:val="178E240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85">
    <w:nsid w:val="5556A87B"/>
    <w:multiLevelType w:val="hybridMultilevel"/>
    <w:lvl w:ilvl="0">
      <w:lvlJc w:val="left"/>
      <w:lvlText w:val="(%1)"/>
      <w:numFmt w:val="lowerRoman"/>
      <w:start w:val="2"/>
    </w:lvl>
  </w:abstractNum>
  <w:abstractNum w:abstractNumId="386">
    <w:nsid w:val="28100A9C"/>
    <w:multiLevelType w:val="hybridMultilevel"/>
    <w:lvl w:ilvl="0">
      <w:lvlJc w:val="left"/>
      <w:lvlText w:val="%1"/>
      <w:numFmt w:val="lowerLetter"/>
      <w:start w:val="1"/>
    </w:lvl>
    <w:lvl w:ilvl="1">
      <w:lvlJc w:val="left"/>
      <w:lvlText w:val="(%2)"/>
      <w:numFmt w:val="lowerLetter"/>
      <w:start w:val="61"/>
    </w:lvl>
  </w:abstractNum>
  <w:abstractNum w:abstractNumId="387">
    <w:nsid w:val="D838636"/>
    <w:multiLevelType w:val="hybridMultilevel"/>
    <w:lvl w:ilvl="0">
      <w:lvlJc w:val="left"/>
      <w:lvlText w:val="(%1)"/>
      <w:numFmt w:val="lowerLetter"/>
      <w:start w:val="6"/>
    </w:lvl>
    <w:lvl w:ilvl="1">
      <w:lvlJc w:val="left"/>
      <w:lvlText w:val="%2"/>
      <w:numFmt w:val="lowerLetter"/>
      <w:start w:val="1"/>
    </w:lvl>
  </w:abstractNum>
  <w:abstractNum w:abstractNumId="388">
    <w:nsid w:val="71B82AED"/>
    <w:multiLevelType w:val="hybridMultilevel"/>
    <w:lvl w:ilvl="0">
      <w:lvlJc w:val="left"/>
      <w:lvlText w:val="%1"/>
      <w:numFmt w:val="lowerLetter"/>
      <w:start w:val="1"/>
    </w:lvl>
    <w:lvl w:ilvl="1">
      <w:lvlJc w:val="left"/>
      <w:lvlText w:val="(%2)"/>
      <w:numFmt w:val="lowerLetter"/>
      <w:start w:val="9"/>
    </w:lvl>
  </w:abstractNum>
  <w:abstractNum w:abstractNumId="389">
    <w:nsid w:val="D15FACA"/>
    <w:multiLevelType w:val="hybridMultilevel"/>
    <w:lvl w:ilvl="0">
      <w:lvlJc w:val="left"/>
      <w:lvlText w:val="(%1)"/>
      <w:numFmt w:val="lowerLetter"/>
      <w:start w:val="61"/>
    </w:lvl>
    <w:lvl w:ilvl="1">
      <w:lvlJc w:val="left"/>
      <w:lvlText w:val="%2"/>
      <w:numFmt w:val="lowerLetter"/>
      <w:start w:val="1"/>
    </w:lvl>
  </w:abstractNum>
  <w:abstractNum w:abstractNumId="390">
    <w:nsid w:val="3D69565B"/>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391">
    <w:nsid w:val="2299DCB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2">
    <w:nsid w:val="19908D02"/>
    <w:multiLevelType w:val="hybridMultilevel"/>
    <w:lvl w:ilvl="0">
      <w:lvlJc w:val="left"/>
      <w:lvlText w:val="%1"/>
      <w:numFmt w:val="lowerLetter"/>
      <w:start w:val="1"/>
    </w:lvl>
    <w:lvl w:ilvl="1">
      <w:lvlJc w:val="left"/>
      <w:lvlText w:val="(%2)"/>
      <w:numFmt w:val="lowerRoman"/>
      <w:start w:val="4"/>
    </w:lvl>
  </w:abstractNum>
  <w:abstractNum w:abstractNumId="393">
    <w:nsid w:val="24D48BDB"/>
    <w:multiLevelType w:val="hybridMultilevel"/>
    <w:lvl w:ilvl="0">
      <w:lvlJc w:val="left"/>
      <w:lvlText w:val="(%1)"/>
      <w:numFmt w:val="lowerLetter"/>
      <w:start w:val="2"/>
    </w:lvl>
    <w:lvl w:ilvl="1">
      <w:lvlJc w:val="left"/>
      <w:lvlText w:val="(%2)"/>
      <w:numFmt w:val="lowerRoman"/>
      <w:start w:val="1"/>
    </w:lvl>
  </w:abstractNum>
  <w:abstractNum w:abstractNumId="394">
    <w:nsid w:val="542DA5B5"/>
    <w:multiLevelType w:val="hybridMultilevel"/>
    <w:lvl w:ilvl="0">
      <w:lvlJc w:val="left"/>
      <w:lvlText w:val="%1"/>
      <w:numFmt w:val="lowerLetter"/>
      <w:start w:val="1"/>
    </w:lvl>
    <w:lvl w:ilvl="1">
      <w:lvlJc w:val="left"/>
      <w:lvlText w:val="(%2)"/>
      <w:numFmt w:val="lowerRoman"/>
      <w:start w:val="7"/>
    </w:lvl>
  </w:abstractNum>
  <w:abstractNum w:abstractNumId="395">
    <w:nsid w:val="793753DE"/>
    <w:multiLevelType w:val="hybridMultilevel"/>
    <w:lvl w:ilvl="0">
      <w:lvlJc w:val="left"/>
      <w:lvlText w:val="(%1)"/>
      <w:numFmt w:val="lowerLetter"/>
      <w:start w:val="3"/>
    </w:lvl>
    <w:lvl w:ilvl="1">
      <w:lvlJc w:val="left"/>
      <w:lvlText w:val="(%2)"/>
      <w:numFmt w:val="lowerRoman"/>
      <w:start w:val="1"/>
    </w:lvl>
  </w:abstractNum>
  <w:abstractNum w:abstractNumId="396">
    <w:nsid w:val="1C67CB3D"/>
    <w:multiLevelType w:val="hybridMultilevel"/>
    <w:lvl w:ilvl="0">
      <w:lvlJc w:val="left"/>
      <w:lvlText w:val="%1."/>
      <w:numFmt w:val="decimal"/>
      <w:start w:val="7"/>
    </w:lvl>
    <w:lvl w:ilvl="1">
      <w:lvlJc w:val="left"/>
      <w:lvlText w:val="(%2)"/>
      <w:numFmt w:val="lowerLetter"/>
      <w:start w:val="1"/>
    </w:lvl>
  </w:abstractNum>
  <w:abstractNum w:abstractNumId="397">
    <w:nsid w:val="40E29452"/>
    <w:multiLevelType w:val="hybridMultilevel"/>
    <w:lvl w:ilvl="0">
      <w:lvlJc w:val="left"/>
      <w:lvlText w:val="%1"/>
      <w:numFmt w:val="lowerRoman"/>
      <w:start w:val="1"/>
    </w:lvl>
    <w:lvl w:ilvl="1">
      <w:lvlJc w:val="left"/>
      <w:lvlText w:val="(%2)"/>
      <w:numFmt w:val="lowerLetter"/>
      <w:start w:val="2"/>
    </w:lvl>
  </w:abstractNum>
  <w:abstractNum w:abstractNumId="398">
    <w:nsid w:val="63A4AAB6"/>
    <w:multiLevelType w:val="hybridMultilevel"/>
    <w:lvl w:ilvl="0">
      <w:lvlJc w:val="left"/>
      <w:lvlText w:val="(%1)"/>
      <w:numFmt w:val="lowerRoman"/>
      <w:start w:val="1"/>
    </w:lvl>
    <w:lvl w:ilvl="1">
      <w:lvlJc w:val="left"/>
      <w:lvlText w:val="%2"/>
      <w:numFmt w:val="lowerLetter"/>
      <w:start w:val="1"/>
    </w:lvl>
  </w:abstractNum>
  <w:abstractNum w:abstractNumId="399">
    <w:nsid w:val="77DA4A57"/>
    <w:multiLevelType w:val="hybridMultilevel"/>
    <w:lvl w:ilvl="0">
      <w:lvlJc w:val="left"/>
      <w:lvlText w:val="(%1)"/>
      <w:numFmt w:val="lowerRoman"/>
      <w:start w:val="4"/>
    </w:lvl>
    <w:lvl w:ilvl="1">
      <w:lvlJc w:val="left"/>
      <w:lvlText w:val="(%2)"/>
      <w:numFmt w:val="lowerLetter"/>
      <w:start w:val="3"/>
    </w:lvl>
  </w:abstractNum>
  <w:abstractNum w:abstractNumId="400">
    <w:nsid w:val="1230F102"/>
    <w:multiLevelType w:val="hybridMultilevel"/>
    <w:lvl w:ilvl="0">
      <w:lvlJc w:val="left"/>
      <w:lvlText w:val="%1."/>
      <w:numFmt w:val="decimal"/>
      <w:start w:val="9"/>
    </w:lvl>
    <w:lvl w:ilvl="1">
      <w:lvlJc w:val="left"/>
      <w:lvlText w:val="(%2)"/>
      <w:numFmt w:val="lowerLetter"/>
      <w:start w:val="1"/>
    </w:lvl>
  </w:abstractNum>
  <w:abstractNum w:abstractNumId="401">
    <w:nsid w:val="25B57ED4"/>
    <w:multiLevelType w:val="hybridMultilevel"/>
    <w:lvl w:ilvl="0">
      <w:lvlJc w:val="left"/>
      <w:lvlText w:val="(%1)"/>
      <w:numFmt w:val="lowerLetter"/>
      <w:start w:val="3"/>
    </w:lvl>
  </w:abstractNum>
  <w:abstractNum w:abstractNumId="402">
    <w:nsid w:val="47CF16C4"/>
    <w:multiLevelType w:val="hybridMultilevel"/>
    <w:lvl w:ilvl="0">
      <w:lvlJc w:val="left"/>
      <w:lvlText w:val="(%1)"/>
      <w:numFmt w:val="lowerLetter"/>
      <w:start w:val="7"/>
    </w:lvl>
  </w:abstractNum>
  <w:abstractNum w:abstractNumId="403">
    <w:nsid w:val="527FA04C"/>
    <w:multiLevelType w:val="hybridMultilevel"/>
    <w:lvl w:ilvl="0">
      <w:lvlJc w:val="left"/>
      <w:lvlText w:val="%1"/>
      <w:numFmt w:val="decimal"/>
      <w:start w:val="1"/>
    </w:lvl>
    <w:lvl w:ilvl="1">
      <w:lvlJc w:val="left"/>
      <w:lvlText w:val="(%2)"/>
      <w:numFmt w:val="lowerLetter"/>
      <w:start w:val="13"/>
    </w:lvl>
  </w:abstractNum>
  <w:abstractNum w:abstractNumId="404">
    <w:nsid w:val="6FCC0624"/>
    <w:multiLevelType w:val="hybridMultilevel"/>
    <w:lvl w:ilvl="0">
      <w:lvlJc w:val="left"/>
      <w:lvlText w:val="%1."/>
      <w:numFmt w:val="decimal"/>
      <w:start w:val="10"/>
    </w:lvl>
    <w:lvl w:ilvl="1">
      <w:lvlJc w:val="left"/>
      <w:lvlText w:val="(%2)"/>
      <w:numFmt w:val="lowerLetter"/>
      <w:start w:val="1"/>
    </w:lvl>
  </w:abstractNum>
  <w:abstractNum w:abstractNumId="405">
    <w:nsid w:val="1DCDF795"/>
    <w:multiLevelType w:val="hybridMultilevel"/>
    <w:lvl w:ilvl="0">
      <w:lvlJc w:val="left"/>
      <w:lvlText w:val="(%1)"/>
      <w:numFmt w:val="lowerLetter"/>
      <w:start w:val="3"/>
    </w:lvl>
    <w:lvl w:ilvl="1">
      <w:lvlJc w:val="left"/>
      <w:lvlText w:val="(%2)"/>
      <w:numFmt w:val="lowerRoman"/>
      <w:start w:val="1"/>
    </w:lvl>
  </w:abstractNum>
  <w:abstractNum w:abstractNumId="406">
    <w:nsid w:val="564580C8"/>
    <w:multiLevelType w:val="hybridMultilevel"/>
    <w:lvl w:ilvl="0">
      <w:lvlJc w:val="left"/>
      <w:lvlText w:val="%1"/>
      <w:numFmt w:val="decimal"/>
      <w:start w:val="1"/>
    </w:lvl>
    <w:lvl w:ilvl="1">
      <w:lvlJc w:val="left"/>
      <w:lvlText w:val="(%2)"/>
      <w:numFmt w:val="lowerLetter"/>
      <w:start w:val="4"/>
    </w:lvl>
  </w:abstractNum>
  <w:abstractNum w:abstractNumId="407">
    <w:nsid w:val="508ED897"/>
    <w:multiLevelType w:val="hybridMultilevel"/>
    <w:lvl w:ilvl="0">
      <w:lvlJc w:val="left"/>
      <w:lvlText w:val="%1."/>
      <w:numFmt w:val="decimal"/>
      <w:start w:val="11"/>
    </w:lvl>
    <w:lvl w:ilvl="1">
      <w:lvlJc w:val="left"/>
      <w:lvlText w:val="%2"/>
      <w:numFmt w:val="lowerLetter"/>
      <w:start w:val="1"/>
    </w:lvl>
  </w:abstractNum>
  <w:abstractNum w:abstractNumId="408">
    <w:nsid w:val="6A9126B5"/>
    <w:multiLevelType w:val="hybridMultilevel"/>
    <w:lvl w:ilvl="0">
      <w:lvlJc w:val="left"/>
      <w:lvlText w:val="%1."/>
      <w:numFmt w:val="decimal"/>
      <w:start w:val="14"/>
    </w:lvl>
  </w:abstractNum>
  <w:abstractNum w:abstractNumId="409">
    <w:nsid w:val="68104812"/>
    <w:multiLevelType w:val="hybridMultilevel"/>
    <w:lvl w:ilvl="0">
      <w:lvlJc w:val="left"/>
      <w:lvlText w:val="%1."/>
      <w:numFmt w:val="decimal"/>
      <w:start w:val="15"/>
    </w:lvl>
    <w:lvl w:ilvl="1">
      <w:lvlJc w:val="left"/>
      <w:lvlText w:val="(%2)"/>
      <w:numFmt w:val="lowerLetter"/>
      <w:start w:val="1"/>
    </w:lvl>
  </w:abstractNum>
  <w:abstractNum w:abstractNumId="410">
    <w:nsid w:val="62FB8680"/>
    <w:multiLevelType w:val="hybridMultilevel"/>
    <w:lvl w:ilvl="0">
      <w:lvlJc w:val="left"/>
      <w:lvlText w:val="%1"/>
      <w:numFmt w:val="lowerLetter"/>
      <w:start w:val="1"/>
    </w:lvl>
    <w:lvl w:ilvl="1">
      <w:lvlJc w:val="left"/>
      <w:lvlText w:val="(%2)"/>
      <w:numFmt w:val="lowerLetter"/>
      <w:start w:val="3"/>
    </w:lvl>
  </w:abstractNum>
  <w:abstractNum w:abstractNumId="411">
    <w:nsid w:val="3A45530"/>
    <w:multiLevelType w:val="hybridMultilevel"/>
    <w:lvl w:ilvl="0">
      <w:lvlJc w:val="left"/>
      <w:lvlText w:val="(%1)"/>
      <w:numFmt w:val="lowerLetter"/>
      <w:start w:val="35"/>
    </w:lvl>
    <w:lvl w:ilvl="1">
      <w:lvlJc w:val="left"/>
      <w:lvlText w:val="%2"/>
      <w:numFmt w:val="lowerLetter"/>
      <w:start w:val="1"/>
    </w:lvl>
  </w:abstractNum>
  <w:abstractNum w:abstractNumId="412">
    <w:nsid w:val="4B9275D2"/>
    <w:multiLevelType w:val="hybridMultilevel"/>
    <w:lvl w:ilvl="0">
      <w:lvlJc w:val="left"/>
      <w:lvlText w:val="(%1)"/>
      <w:numFmt w:val="lowerLetter"/>
      <w:start w:val="8"/>
    </w:lvl>
    <w:lvl w:ilvl="1">
      <w:lvlJc w:val="left"/>
      <w:lvlText w:val="(%2)"/>
      <w:numFmt w:val="lowerRoman"/>
      <w:start w:val="1"/>
    </w:lvl>
  </w:abstractNum>
  <w:abstractNum w:abstractNumId="413">
    <w:nsid w:val="4F0CEEDB"/>
    <w:multiLevelType w:val="hybridMultilevel"/>
    <w:lvl w:ilvl="0">
      <w:lvlJc w:val="left"/>
      <w:lvlText w:val="(%1)"/>
      <w:numFmt w:val="lowerRoman"/>
      <w:start w:val="4"/>
    </w:lvl>
  </w:abstractNum>
  <w:abstractNum w:abstractNumId="414">
    <w:nsid w:val="61C30361"/>
    <w:multiLevelType w:val="hybridMultilevel"/>
    <w:lvl w:ilvl="0">
      <w:lvlJc w:val="left"/>
      <w:lvlText w:val="(%1)"/>
      <w:numFmt w:val="lowerLetter"/>
      <w:start w:val="9"/>
    </w:lvl>
  </w:abstractNum>
  <w:abstractNum w:abstractNumId="415">
    <w:nsid w:val="632099E0"/>
    <w:multiLevelType w:val="hybridMultilevel"/>
    <w:lvl w:ilvl="0">
      <w:lvlJc w:val="left"/>
      <w:lvlText w:val="(%1)"/>
      <w:numFmt w:val="lowerLetter"/>
      <w:start w:val="14"/>
    </w:lvl>
    <w:lvl w:ilvl="1">
      <w:lvlJc w:val="left"/>
      <w:lvlText w:val="(%2)"/>
      <w:numFmt w:val="lowerRoman"/>
      <w:start w:val="1"/>
    </w:lvl>
  </w:abstractNum>
  <w:abstractNum w:abstractNumId="416">
    <w:nsid w:val="24639756"/>
    <w:multiLevelType w:val="hybridMultilevel"/>
    <w:lvl w:ilvl="0">
      <w:lvlJc w:val="left"/>
      <w:lvlText w:val="(%1)"/>
      <w:numFmt w:val="lowerLetter"/>
      <w:start w:val="16"/>
    </w:lvl>
    <w:lvl w:ilvl="1">
      <w:lvlJc w:val="left"/>
      <w:lvlText w:val="(%2)"/>
      <w:numFmt w:val="lowerRoman"/>
      <w:start w:val="1"/>
    </w:lvl>
  </w:abstractNum>
  <w:abstractNum w:abstractNumId="417">
    <w:nsid w:val="9D30DF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18">
    <w:nsid w:val="70A42016"/>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1"/>
    </w:lvl>
  </w:abstractNum>
  <w:abstractNum w:abstractNumId="419">
    <w:nsid w:val="161BC243"/>
    <w:multiLevelType w:val="hybridMultilevel"/>
    <w:lvl w:ilvl="0">
      <w:lvlJc w:val="left"/>
      <w:lvlText w:val="(%1)"/>
      <w:numFmt w:val="lowerLetter"/>
      <w:start w:val="35"/>
    </w:lvl>
    <w:lvl w:ilvl="1">
      <w:lvlJc w:val="left"/>
      <w:lvlText w:val="(%2)"/>
      <w:numFmt w:val="lowerLetter"/>
      <w:start w:val="27"/>
    </w:lvl>
    <w:lvl w:ilvl="2">
      <w:lvlJc w:val="left"/>
      <w:lvlText w:val="%3"/>
      <w:numFmt w:val="lowerLetter"/>
      <w:start w:val="1"/>
    </w:lvl>
  </w:abstractNum>
  <w:abstractNum w:abstractNumId="420">
    <w:nsid w:val="16E908C8"/>
    <w:multiLevelType w:val="hybridMultilevel"/>
    <w:lvl w:ilvl="0">
      <w:lvlJc w:val="left"/>
      <w:lvlText w:val="%1"/>
      <w:numFmt w:val="decimal"/>
      <w:start w:val="1"/>
    </w:lvl>
    <w:lvl w:ilvl="1">
      <w:lvlJc w:val="left"/>
      <w:lvlText w:val="(%2)"/>
      <w:numFmt w:val="lowerLetter"/>
      <w:start w:val="35"/>
    </w:lvl>
  </w:abstractNum>
  <w:abstractNum w:abstractNumId="421">
    <w:nsid w:val="2E0D7671"/>
    <w:multiLevelType w:val="hybridMultilevel"/>
    <w:lvl w:ilvl="0">
      <w:lvlJc w:val="left"/>
      <w:lvlText w:val="(%1)"/>
      <w:numFmt w:val="decimal"/>
      <w:start w:val="14"/>
    </w:lvl>
    <w:lvl w:ilvl="1">
      <w:lvlJc w:val="left"/>
      <w:lvlText w:val="%2"/>
      <w:numFmt w:val="lowerLetter"/>
      <w:start w:val="1"/>
    </w:lvl>
  </w:abstractNum>
  <w:abstractNum w:abstractNumId="422">
    <w:nsid w:val="38B59EFF"/>
    <w:multiLevelType w:val="hybridMultilevel"/>
    <w:lvl w:ilvl="0">
      <w:lvlJc w:val="left"/>
      <w:lvlText w:val="%1"/>
      <w:numFmt w:val="decimal"/>
      <w:start w:val="1"/>
    </w:lvl>
    <w:lvl w:ilvl="1">
      <w:lvlJc w:val="left"/>
      <w:lvlText w:val="(%2)"/>
      <w:numFmt w:val="lowerLetter"/>
      <w:start w:val="38"/>
    </w:lvl>
  </w:abstractNum>
  <w:abstractNum w:abstractNumId="423">
    <w:nsid w:val="307995CA"/>
    <w:multiLevelType w:val="hybridMultilevel"/>
    <w:lvl w:ilvl="0">
      <w:lvlJc w:val="left"/>
      <w:lvlText w:val="(%1)"/>
      <w:numFmt w:val="decimal"/>
      <w:start w:val="5"/>
    </w:lvl>
    <w:lvl w:ilvl="1">
      <w:lvlJc w:val="left"/>
      <w:lvlText w:val="(%2)"/>
      <w:numFmt w:val="lowerLetter"/>
      <w:start w:val="39"/>
    </w:lvl>
  </w:abstractNum>
  <w:abstractNum w:abstractNumId="424">
    <w:nsid w:val="52E2024D"/>
    <w:multiLevelType w:val="hybridMultilevel"/>
    <w:lvl w:ilvl="0">
      <w:lvlJc w:val="left"/>
      <w:lvlText w:val="(%1)"/>
      <w:numFmt w:val="lowerLetter"/>
      <w:start w:val="41"/>
    </w:lvl>
  </w:abstractNum>
  <w:abstractNum w:abstractNumId="425">
    <w:nsid w:val="CE344B5"/>
    <w:multiLevelType w:val="hybridMultilevel"/>
    <w:lvl w:ilvl="0">
      <w:lvlJc w:val="left"/>
      <w:lvlText w:val="(%1)"/>
      <w:numFmt w:val="lowerLetter"/>
      <w:start w:val="53"/>
    </w:lvl>
  </w:abstractNum>
  <w:abstractNum w:abstractNumId="426">
    <w:nsid w:val="29B0E9A8"/>
    <w:multiLevelType w:val="hybridMultilevel"/>
    <w:lvl w:ilvl="0">
      <w:lvlJc w:val="left"/>
      <w:lvlText w:val="(%1)"/>
      <w:numFmt w:val="lowerLetter"/>
      <w:start w:val="54"/>
    </w:lvl>
  </w:abstractNum>
  <w:abstractNum w:abstractNumId="427">
    <w:nsid w:val="6F49CD8A"/>
    <w:multiLevelType w:val="hybridMultilevel"/>
    <w:lvl w:ilvl="0">
      <w:lvlJc w:val="left"/>
      <w:lvlText w:val="☐"/>
      <w:numFmt w:val="bullet"/>
      <w:start w:val="1"/>
    </w:lvl>
  </w:abstractNum>
  <w:abstractNum w:abstractNumId="428">
    <w:nsid w:val="4DC5D907"/>
    <w:multiLevelType w:val="hybridMultilevel"/>
    <w:lvl w:ilvl="0">
      <w:lvlJc w:val="left"/>
      <w:lvlText w:val="1"/>
      <w:numFmt w:val="bullet"/>
      <w:start w:val="1"/>
    </w:lvl>
  </w:abstractNum>
  <w:abstractNum w:abstractNumId="429">
    <w:nsid w:val="D55945E"/>
    <w:multiLevelType w:val="hybridMultilevel"/>
    <w:lvl w:ilvl="0">
      <w:lvlJc w:val="left"/>
      <w:lvlText w:val="%1."/>
      <w:numFmt w:val="decimal"/>
      <w:start w:val="1"/>
    </w:lvl>
    <w:lvl w:ilvl="1">
      <w:lvlJc w:val="left"/>
      <w:lvlText w:val="(%2)"/>
      <w:numFmt w:val="lowerLetter"/>
      <w:start w:val="1"/>
    </w:lvl>
  </w:abstractNum>
  <w:abstractNum w:abstractNumId="430">
    <w:nsid w:val="672417E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31">
    <w:nsid w:val="5FF6CA09"/>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432">
    <w:nsid w:val="330B1333"/>
    <w:multiLevelType w:val="hybridMultilevel"/>
    <w:lvl w:ilvl="0">
      <w:lvlJc w:val="left"/>
      <w:lvlText w:val="(%1)"/>
      <w:numFmt w:val="lowerLetter"/>
      <w:start w:val="3"/>
    </w:lvl>
  </w:abstractNum>
  <w:abstractNum w:abstractNumId="433">
    <w:nsid w:val="2EF32EA6"/>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434">
    <w:nsid w:val="32766A55"/>
    <w:multiLevelType w:val="hybridMultilevel"/>
    <w:lvl w:ilvl="0">
      <w:lvlJc w:val="left"/>
      <w:lvlText w:val="(%1)"/>
      <w:numFmt w:val="decimal"/>
      <w:start w:val="2"/>
    </w:lvl>
    <w:lvl w:ilvl="1">
      <w:lvlJc w:val="left"/>
      <w:lvlText w:val="%2"/>
      <w:numFmt w:val="decimal"/>
      <w:start w:val="1"/>
    </w:lvl>
    <w:lvl w:ilvl="2">
      <w:lvlJc w:val="left"/>
      <w:lvlText w:val="(%3)"/>
      <w:numFmt w:val="lowerLetter"/>
      <w:start w:val="4"/>
    </w:lvl>
  </w:abstractNum>
  <w:abstractNum w:abstractNumId="435">
    <w:nsid w:val="22D71957"/>
    <w:multiLevelType w:val="hybridMultilevel"/>
    <w:lvl w:ilvl="0">
      <w:lvlJc w:val="left"/>
      <w:lvlText w:val="%1."/>
      <w:numFmt w:val="decimal"/>
      <w:start w:val="10"/>
    </w:lvl>
    <w:lvl w:ilvl="1">
      <w:lvlJc w:val="left"/>
      <w:lvlText w:val="(%2)"/>
      <w:numFmt w:val="lowerLetter"/>
      <w:start w:val="1"/>
    </w:lvl>
  </w:abstractNum>
  <w:abstractNum w:abstractNumId="436">
    <w:nsid w:val="4CC1263B"/>
    <w:multiLevelType w:val="hybridMultilevel"/>
    <w:lvl w:ilvl="0">
      <w:lvlJc w:val="left"/>
      <w:lvlText w:val="2"/>
      <w:numFmt w:val="bullet"/>
      <w:start w:val="1"/>
    </w:lvl>
  </w:abstractNum>
  <w:abstractNum w:abstractNumId="437">
    <w:nsid w:val="8BBEB1D"/>
    <w:multiLevelType w:val="hybridMultilevel"/>
    <w:lvl w:ilvl="0">
      <w:lvlJc w:val="left"/>
      <w:lvlText w:val="%1."/>
      <w:numFmt w:val="decimal"/>
      <w:start w:val="13"/>
    </w:lvl>
    <w:lvl w:ilvl="1">
      <w:lvlJc w:val="left"/>
      <w:lvlText w:val="(%2)"/>
      <w:numFmt w:val="lowerLetter"/>
      <w:start w:val="1"/>
    </w:lvl>
  </w:abstractNum>
  <w:abstractNum w:abstractNumId="438">
    <w:nsid w:val="7365F1EE"/>
    <w:multiLevelType w:val="hybridMultilevel"/>
    <w:lvl w:ilvl="0">
      <w:lvlJc w:val="left"/>
      <w:lvlText w:val="%1."/>
      <w:numFmt w:val="decimal"/>
      <w:start w:val="15"/>
    </w:lvl>
  </w:abstractNum>
  <w:abstractNum w:abstractNumId="439">
    <w:nsid w:val="37524CF0"/>
    <w:multiLevelType w:val="hybridMultilevel"/>
    <w:lvl w:ilvl="0">
      <w:lvlJc w:val="left"/>
      <w:lvlText w:val="%1."/>
      <w:numFmt w:val="decimal"/>
      <w:start w:val="17"/>
    </w:lvl>
    <w:lvl w:ilvl="1">
      <w:lvlJc w:val="left"/>
      <w:lvlText w:val="(%2)"/>
      <w:numFmt w:val="lowerLetter"/>
      <w:start w:val="1"/>
    </w:lvl>
  </w:abstractNum>
  <w:abstractNum w:abstractNumId="440">
    <w:nsid w:val="70CC332F"/>
    <w:multiLevelType w:val="hybridMultilevel"/>
    <w:lvl w:ilvl="0">
      <w:lvlJc w:val="left"/>
      <w:lvlText w:val="(%1)"/>
      <w:numFmt w:val="lowerLetter"/>
      <w:start w:val="5"/>
    </w:lvl>
    <w:lvl w:ilvl="1">
      <w:lvlJc w:val="left"/>
      <w:lvlText w:val="*"/>
      <w:numFmt w:val="bullet"/>
      <w:start w:val="1"/>
    </w:lvl>
  </w:abstractNum>
  <w:abstractNum w:abstractNumId="441">
    <w:nsid w:val="5661786E"/>
    <w:multiLevelType w:val="hybridMultilevel"/>
    <w:lvl w:ilvl="0">
      <w:lvlJc w:val="left"/>
      <w:lvlText w:val="3"/>
      <w:numFmt w:val="bullet"/>
      <w:start w:val="1"/>
    </w:lvl>
  </w:abstractNum>
  <w:abstractNum w:abstractNumId="442">
    <w:nsid w:val="3AF6A220"/>
    <w:multiLevelType w:val="hybridMultilevel"/>
    <w:lvl w:ilvl="0">
      <w:lvlJc w:val="left"/>
      <w:lvlText w:val="4"/>
      <w:numFmt w:val="bullet"/>
      <w:start w:val="1"/>
    </w:lvl>
  </w:abstractNum>
  <w:abstractNum w:abstractNumId="443">
    <w:nsid w:val="3C5EA902"/>
    <w:multiLevelType w:val="hybridMultilevel"/>
    <w:lvl w:ilvl="0">
      <w:lvlJc w:val="left"/>
      <w:lvlText w:val="5"/>
      <w:numFmt w:val="bullet"/>
      <w:start w:val="1"/>
    </w:lvl>
  </w:abstractNum>
  <w:abstractNum w:abstractNumId="444">
    <w:nsid w:val="256E6749"/>
    <w:multiLevelType w:val="hybridMultilevel"/>
    <w:lvl w:ilvl="0">
      <w:lvlJc w:val="left"/>
      <w:lvlText w:val="7"/>
      <w:numFmt w:val="bullet"/>
      <w:start w:val="1"/>
    </w:lvl>
  </w:abstractNum>
  <w:abstractNum w:abstractNumId="445">
    <w:nsid w:val="1CB9A581"/>
    <w:multiLevelType w:val="hybridMultilevel"/>
    <w:lvl w:ilvl="0">
      <w:lvlJc w:val="left"/>
      <w:lvlText w:val="%1."/>
      <w:numFmt w:val="decimal"/>
      <w:start w:val="1"/>
    </w:lvl>
  </w:abstractNum>
  <w:abstractNum w:abstractNumId="446">
    <w:nsid w:val="1F7F42E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47">
    <w:nsid w:val="49D1FEA0"/>
    <w:multiLevelType w:val="hybridMultilevel"/>
    <w:lvl w:ilvl="0">
      <w:lvlJc w:val="left"/>
      <w:lvlText w:val="%1"/>
      <w:numFmt w:val="upperLetter"/>
      <w:start w:val="1"/>
    </w:lvl>
    <w:lvl w:ilvl="1">
      <w:lvlJc w:val="left"/>
      <w:lvlText w:val="(%2)"/>
      <w:numFmt w:val="lowerRoman"/>
      <w:start w:val="2"/>
    </w:lvl>
  </w:abstractNum>
  <w:abstractNum w:abstractNumId="448">
    <w:nsid w:val="268CB37F"/>
    <w:multiLevelType w:val="hybridMultilevel"/>
    <w:lvl w:ilvl="0">
      <w:lvlJc w:val="left"/>
      <w:lvlText w:val="(%1)"/>
      <w:numFmt w:val="upperLetter"/>
      <w:start w:val="1"/>
    </w:lvl>
    <w:lvl w:ilvl="1">
      <w:lvlJc w:val="left"/>
      <w:lvlText w:val="%2"/>
      <w:numFmt w:val="lowerRoman"/>
      <w:start w:val="1"/>
    </w:lvl>
  </w:abstractNum>
  <w:abstractNum w:abstractNumId="449">
    <w:nsid w:val="102362F8"/>
    <w:multiLevelType w:val="hybridMultilevel"/>
    <w:lvl w:ilvl="0">
      <w:lvlJc w:val="left"/>
      <w:lvlText w:val="%1"/>
      <w:numFmt w:val="decimal"/>
      <w:start w:val="1"/>
    </w:lvl>
    <w:lvl w:ilvl="1">
      <w:lvlJc w:val="left"/>
      <w:lvlText w:val="(%2)"/>
      <w:numFmt w:val="lowerLetter"/>
      <w:start w:val="3"/>
    </w:lvl>
  </w:abstractNum>
  <w:abstractNum w:abstractNumId="450">
    <w:nsid w:val="5FEDC0E3"/>
    <w:multiLevelType w:val="hybridMultilevel"/>
    <w:lvl w:ilvl="0">
      <w:lvlJc w:val="left"/>
      <w:lvlText w:val="%1."/>
      <w:numFmt w:val="decimal"/>
      <w:start w:val="7"/>
    </w:lvl>
    <w:lvl w:ilvl="1">
      <w:lvlJc w:val="left"/>
      <w:lvlText w:val="(%2)"/>
      <w:numFmt w:val="lowerLetter"/>
      <w:start w:val="1"/>
    </w:lvl>
  </w:abstractNum>
  <w:abstractNum w:abstractNumId="451">
    <w:nsid w:val="3D75BC4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52">
    <w:nsid w:val="3E30D96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453">
    <w:nsid w:val="18A35FE3"/>
    <w:multiLevelType w:val="hybridMultilevel"/>
    <w:lvl w:ilvl="0">
      <w:lvlJc w:val="left"/>
      <w:lvlText w:val="%1."/>
      <w:numFmt w:val="decimal"/>
      <w:start w:val="10"/>
    </w:lvl>
    <w:lvl w:ilvl="1">
      <w:lvlJc w:val="left"/>
      <w:lvlText w:val="(%2)"/>
      <w:numFmt w:val="lowerLetter"/>
      <w:start w:val="1"/>
    </w:lvl>
  </w:abstractNum>
  <w:abstractNum w:abstractNumId="454">
    <w:nsid w:val="6DEF5211"/>
    <w:multiLevelType w:val="hybridMultilevel"/>
    <w:lvl w:ilvl="0">
      <w:lvlJc w:val="left"/>
      <w:lvlText w:val="%1"/>
      <w:numFmt w:val="decimal"/>
      <w:start w:val="1"/>
    </w:lvl>
    <w:lvl w:ilvl="1">
      <w:lvlJc w:val="left"/>
      <w:lvlText w:val="(%2)"/>
      <w:numFmt w:val="lowerLetter"/>
      <w:start w:val="5"/>
    </w:lvl>
  </w:abstractNum>
  <w:abstractNum w:abstractNumId="455">
    <w:nsid w:val="1112DBB6"/>
    <w:multiLevelType w:val="hybridMultilevel"/>
    <w:lvl w:ilvl="0">
      <w:lvlJc w:val="left"/>
      <w:lvlText w:val="%1."/>
      <w:numFmt w:val="decimal"/>
      <w:start w:val="14"/>
    </w:lvl>
    <w:lvl w:ilvl="1">
      <w:lvlJc w:val="left"/>
      <w:lvlText w:val="%2"/>
      <w:numFmt w:val="lowerLetter"/>
      <w:start w:val="1"/>
    </w:lvl>
  </w:abstractNum>
  <w:abstractNum w:abstractNumId="456">
    <w:nsid w:val="2586A498"/>
    <w:multiLevelType w:val="hybridMultilevel"/>
    <w:lvl w:ilvl="0">
      <w:lvlJc w:val="left"/>
      <w:lvlText w:val="%1"/>
      <w:numFmt w:val="decimal"/>
      <w:start w:val="1"/>
    </w:lvl>
    <w:lvl w:ilvl="1">
      <w:lvlJc w:val="left"/>
      <w:lvlText w:val="%2."/>
      <w:numFmt w:val="decimal"/>
      <w:start w:val="18"/>
    </w:lvl>
    <w:lvl w:ilvl="2">
      <w:lvlJc w:val="left"/>
      <w:lvlText w:val="*"/>
      <w:numFmt w:val="bullet"/>
      <w:start w:val="1"/>
    </w:lvl>
  </w:abstractNum>
  <w:abstractNum w:abstractNumId="457">
    <w:nsid w:val="17A03BB9"/>
    <w:multiLevelType w:val="hybridMultilevel"/>
    <w:lvl w:ilvl="0">
      <w:lvlJc w:val="left"/>
      <w:lvlText w:val="(%1)"/>
      <w:numFmt w:val="decimal"/>
      <w:start w:val="1"/>
    </w:lvl>
    <w:lvl w:ilvl="1">
      <w:lvlJc w:val="left"/>
      <w:lvlText w:val="%2."/>
      <w:numFmt w:val="decimal"/>
      <w:start w:val="19"/>
    </w:lvl>
    <w:lvl w:ilvl="2">
      <w:lvlJc w:val="left"/>
      <w:lvlText w:val="*"/>
      <w:numFmt w:val="bullet"/>
      <w:start w:val="1"/>
    </w:lvl>
  </w:abstractNum>
  <w:abstractNum w:abstractNumId="458">
    <w:nsid w:val="5CA9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9">
    <w:nsid w:val="734C7D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460">
    <w:nsid w:val="24F5D01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1">
    <w:nsid w:val="6780C1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2">
    <w:nsid w:val="534347A8"/>
    <w:multiLevelType w:val="hybridMultilevel"/>
    <w:lvl w:ilvl="0">
      <w:lvlJc w:val="left"/>
      <w:lvlText w:val="%1"/>
      <w:numFmt w:val="decimal"/>
      <w:start w:val="1"/>
    </w:lvl>
    <w:lvl w:ilvl="1">
      <w:lvlJc w:val="left"/>
      <w:lvlText w:val="(%2)"/>
      <w:numFmt w:val="lowerLetter"/>
      <w:start w:val="2"/>
    </w:lvl>
  </w:abstractNum>
  <w:abstractNum w:abstractNumId="463">
    <w:nsid w:val="5800E34B"/>
    <w:multiLevelType w:val="hybridMultilevel"/>
    <w:lvl w:ilvl="0">
      <w:lvlJc w:val="left"/>
      <w:lvlText w:val="%1."/>
      <w:numFmt w:val="decimal"/>
      <w:start w:val="4"/>
    </w:lvl>
    <w:lvl w:ilvl="1">
      <w:lvlJc w:val="left"/>
      <w:lvlText w:val="(%2)"/>
      <w:numFmt w:val="lowerLetter"/>
      <w:start w:val="1"/>
    </w:lvl>
  </w:abstractNum>
  <w:abstractNum w:abstractNumId="464">
    <w:nsid w:val="1673EFC8"/>
    <w:multiLevelType w:val="hybridMultilevel"/>
    <w:lvl w:ilvl="0">
      <w:lvlJc w:val="left"/>
      <w:lvlText w:val="(%1)"/>
      <w:numFmt w:val="lowerLetter"/>
      <w:start w:val="2"/>
    </w:lvl>
    <w:lvl w:ilvl="1">
      <w:lvlJc w:val="left"/>
      <w:lvlText w:val="(%2)"/>
      <w:numFmt w:val="lowerRoman"/>
      <w:start w:val="1"/>
    </w:lvl>
  </w:abstractNum>
  <w:abstractNum w:abstractNumId="465">
    <w:nsid w:val="5B9B1F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66">
    <w:nsid w:val="7AD7FCA2"/>
    <w:multiLevelType w:val="hybridMultilevel"/>
    <w:lvl w:ilvl="0">
      <w:lvlJc w:val="left"/>
      <w:lvlText w:val="%1"/>
      <w:numFmt w:val="decimal"/>
      <w:start w:val="1"/>
    </w:lvl>
    <w:lvl w:ilvl="1">
      <w:lvlJc w:val="left"/>
      <w:lvlText w:val="(%2)"/>
      <w:numFmt w:val="lowerLetter"/>
      <w:start w:val="2"/>
    </w:lvl>
  </w:abstractNum>
  <w:abstractNum w:abstractNumId="467">
    <w:nsid w:val="63351604"/>
    <w:multiLevelType w:val="hybridMultilevel"/>
    <w:lvl w:ilvl="0">
      <w:lvlJc w:val="left"/>
      <w:lvlText w:val="%1."/>
      <w:numFmt w:val="decimal"/>
      <w:start w:val="8"/>
    </w:lvl>
    <w:lvl w:ilvl="1">
      <w:lvlJc w:val="left"/>
      <w:lvlText w:val="(%2)"/>
      <w:numFmt w:val="lowerLetter"/>
      <w:start w:val="1"/>
    </w:lvl>
  </w:abstractNum>
  <w:abstractNum w:abstractNumId="468">
    <w:nsid w:val="E759D1A"/>
    <w:multiLevelType w:val="hybridMultilevel"/>
    <w:lvl w:ilvl="0">
      <w:lvlJc w:val="left"/>
      <w:lvlText w:val="%1"/>
      <w:numFmt w:val="decimal"/>
      <w:start w:val="1"/>
    </w:lvl>
    <w:lvl w:ilvl="1">
      <w:lvlJc w:val="left"/>
      <w:lvlText w:val="(%2)"/>
      <w:numFmt w:val="lowerLetter"/>
      <w:start w:val="3"/>
    </w:lvl>
  </w:abstractNum>
  <w:abstractNum w:abstractNumId="469">
    <w:nsid w:val="6E3DEE90"/>
    <w:multiLevelType w:val="hybridMultilevel"/>
    <w:lvl w:ilvl="0">
      <w:lvlJc w:val="left"/>
      <w:lvlText w:val="%1."/>
      <w:numFmt w:val="decimal"/>
      <w:start w:val="9"/>
    </w:lvl>
    <w:lvl w:ilvl="1">
      <w:lvlJc w:val="left"/>
      <w:lvlText w:val="%2"/>
      <w:numFmt w:val="lowerLetter"/>
      <w:start w:val="1"/>
    </w:lvl>
  </w:abstractNum>
  <w:abstractNum w:abstractNumId="470">
    <w:nsid w:val="1A8762F4"/>
    <w:multiLevelType w:val="hybridMultilevel"/>
    <w:lvl w:ilvl="0">
      <w:lvlJc w:val="left"/>
      <w:lvlText w:val="%1."/>
      <w:numFmt w:val="decimal"/>
      <w:start w:val="10"/>
    </w:lvl>
    <w:lvl w:ilvl="1">
      <w:lvlJc w:val="left"/>
      <w:lvlText w:val="(%2)"/>
      <w:numFmt w:val="lowerLetter"/>
      <w:start w:val="1"/>
    </w:lvl>
  </w:abstractNum>
  <w:abstractNum w:abstractNumId="471">
    <w:nsid w:val="7F41D049"/>
    <w:multiLevelType w:val="hybridMultilevel"/>
    <w:lvl w:ilvl="0">
      <w:lvlJc w:val="left"/>
      <w:lvlText w:val="%1."/>
      <w:numFmt w:val="decimal"/>
      <w:start w:val="11"/>
    </w:lvl>
    <w:lvl w:ilvl="1">
      <w:lvlJc w:val="left"/>
      <w:lvlText w:val="(%2)"/>
      <w:numFmt w:val="lowerLetter"/>
      <w:start w:val="1"/>
    </w:lvl>
  </w:abstractNum>
  <w:abstractNum w:abstractNumId="472">
    <w:nsid w:val="449F66FE"/>
    <w:multiLevelType w:val="hybridMultilevel"/>
    <w:lvl w:ilvl="0">
      <w:lvlJc w:val="left"/>
      <w:lvlText w:val="%1"/>
      <w:numFmt w:val="lowerLetter"/>
      <w:start w:val="1"/>
    </w:lvl>
    <w:lvl w:ilvl="1">
      <w:lvlJc w:val="left"/>
      <w:lvlText w:val="(%2)"/>
      <w:numFmt w:val="lowerLetter"/>
      <w:start w:val="2"/>
    </w:lvl>
  </w:abstractNum>
  <w:abstractNum w:abstractNumId="473">
    <w:nsid w:val="557E0515"/>
    <w:multiLevelType w:val="hybridMultilevel"/>
    <w:lvl w:ilvl="0">
      <w:lvlJc w:val="left"/>
      <w:lvlText w:val="(%1)"/>
      <w:numFmt w:val="lowerLetter"/>
      <w:start w:val="61"/>
    </w:lvl>
    <w:lvl w:ilvl="1">
      <w:lvlJc w:val="left"/>
      <w:lvlText w:val="%2"/>
      <w:numFmt w:val="lowerLetter"/>
      <w:start w:val="1"/>
    </w:lvl>
  </w:abstractNum>
  <w:abstractNum w:abstractNumId="474">
    <w:nsid w:val="3BA0794B"/>
    <w:multiLevelType w:val="hybridMultilevel"/>
    <w:lvl w:ilvl="0">
      <w:lvlJc w:val="left"/>
      <w:lvlText w:val="%1."/>
      <w:numFmt w:val="decimal"/>
      <w:start w:val="13"/>
    </w:lvl>
  </w:abstractNum>
  <w:abstractNum w:abstractNumId="475">
    <w:nsid w:val="6A0DCE48"/>
    <w:multiLevelType w:val="hybridMultilevel"/>
    <w:lvl w:ilvl="0">
      <w:lvlJc w:val="left"/>
      <w:lvlText w:val="%1."/>
      <w:numFmt w:val="decimal"/>
      <w:start w:val="14"/>
    </w:lvl>
    <w:lvl w:ilvl="1">
      <w:lvlJc w:val="left"/>
      <w:lvlText w:val="(%2)"/>
      <w:numFmt w:val="lowerLetter"/>
      <w:start w:val="1"/>
    </w:lvl>
  </w:abstractNum>
  <w:abstractNum w:abstractNumId="476">
    <w:nsid w:val="7237AA96"/>
    <w:multiLevelType w:val="hybridMultilevel"/>
    <w:lvl w:ilvl="0">
      <w:lvlJc w:val="left"/>
      <w:lvlText w:val="(%1)"/>
      <w:numFmt w:val="lowerLetter"/>
      <w:start w:val="1"/>
    </w:lvl>
  </w:abstractNum>
  <w:abstractNum w:abstractNumId="477">
    <w:nsid w:val="5B1FBC2D"/>
    <w:multiLevelType w:val="hybridMultilevel"/>
    <w:lvl w:ilvl="0">
      <w:lvlJc w:val="left"/>
      <w:lvlText w:val="(%1)"/>
      <w:numFmt w:val="lowerLetter"/>
      <w:start w:val="3"/>
    </w:lvl>
    <w:lvl w:ilvl="1">
      <w:lvlJc w:val="left"/>
      <w:lvlText w:val="(%2)"/>
      <w:numFmt w:val="lowerRoman"/>
      <w:start w:val="1"/>
    </w:lvl>
  </w:abstractNum>
  <w:abstractNum w:abstractNumId="478">
    <w:nsid w:val="33DFCCE8"/>
    <w:multiLevelType w:val="hybridMultilevel"/>
    <w:lvl w:ilvl="0">
      <w:lvlJc w:val="left"/>
      <w:lvlText w:val="(%1)"/>
      <w:numFmt w:val="lowerLetter"/>
      <w:start w:val="13"/>
    </w:lvl>
    <w:lvl w:ilvl="1">
      <w:lvlJc w:val="left"/>
      <w:lvlText w:val="(%2)"/>
      <w:numFmt w:val="lowerRoman"/>
      <w:start w:val="1"/>
    </w:lvl>
  </w:abstractNum>
  <w:abstractNum w:abstractNumId="479">
    <w:nsid w:val="18C45E15"/>
    <w:multiLevelType w:val="hybridMultilevel"/>
    <w:lvl w:ilvl="0">
      <w:lvlJc w:val="left"/>
      <w:lvlText w:val="(%1)"/>
      <w:numFmt w:val="lowerLetter"/>
      <w:start w:val="22"/>
    </w:lvl>
  </w:abstractNum>
  <w:abstractNum w:abstractNumId="480">
    <w:nsid w:val="6B431F25"/>
    <w:multiLevelType w:val="hybridMultilevel"/>
    <w:lvl w:ilvl="0">
      <w:lvlJc w:val="left"/>
      <w:lvlText w:val="(%1)"/>
      <w:numFmt w:val="lowerLetter"/>
      <w:start w:val="27"/>
    </w:lvl>
  </w:abstractNum>
  <w:abstractNum w:abstractNumId="481">
    <w:nsid w:val="13CD8DCB"/>
    <w:multiLevelType w:val="hybridMultilevel"/>
    <w:lvl w:ilvl="0">
      <w:lvlJc w:val="left"/>
      <w:lvlText w:val="%1."/>
      <w:numFmt w:val="decimal"/>
      <w:start w:val="1"/>
    </w:lvl>
    <w:lvl w:ilvl="1">
      <w:lvlJc w:val="left"/>
      <w:lvlText w:val="(%2)"/>
      <w:numFmt w:val="lowerLetter"/>
      <w:start w:val="1"/>
    </w:lvl>
  </w:abstractNum>
  <w:abstractNum w:abstractNumId="482">
    <w:nsid w:val="563A1A5C"/>
    <w:multiLevelType w:val="hybridMultilevel"/>
    <w:lvl w:ilvl="0">
      <w:lvlJc w:val="left"/>
      <w:lvlText w:val="%1"/>
      <w:numFmt w:val="lowerLetter"/>
      <w:start w:val="1"/>
    </w:lvl>
    <w:lvl w:ilvl="1">
      <w:lvlJc w:val="left"/>
      <w:lvlText w:val="(%2)"/>
      <w:numFmt w:val="lowerLetter"/>
      <w:start w:val="3"/>
    </w:lvl>
  </w:abstractNum>
  <w:abstractNum w:abstractNumId="483">
    <w:nsid w:val="2973F88F"/>
    <w:multiLevelType w:val="hybridMultilevel"/>
    <w:lvl w:ilvl="0">
      <w:lvlJc w:val="left"/>
      <w:lvlText w:val="(%1)"/>
      <w:numFmt w:val="lowerLetter"/>
      <w:start w:val="35"/>
    </w:lvl>
    <w:lvl w:ilvl="1">
      <w:lvlJc w:val="left"/>
      <w:lvlText w:val="(%2)"/>
      <w:numFmt w:val="lowerLetter"/>
      <w:start w:val="10"/>
    </w:lvl>
  </w:abstractNum>
  <w:abstractNum w:abstractNumId="484">
    <w:nsid w:val="2C70EDAE"/>
    <w:multiLevelType w:val="hybridMultilevel"/>
    <w:lvl w:ilvl="0">
      <w:lvlJc w:val="left"/>
      <w:lvlText w:val="(%1)"/>
      <w:numFmt w:val="lowerLetter"/>
      <w:start w:val="1"/>
    </w:lvl>
    <w:lvl w:ilvl="1">
      <w:lvlJc w:val="left"/>
      <w:lvlText w:val="(%2)"/>
      <w:numFmt w:val="lowerLetter"/>
      <w:start w:val="9"/>
    </w:lvl>
  </w:abstractNum>
  <w:abstractNum w:abstractNumId="485">
    <w:nsid w:val="44296C6D"/>
    <w:multiLevelType w:val="hybridMultilevel"/>
    <w:lvl w:ilvl="0">
      <w:lvlJc w:val="left"/>
      <w:lvlText w:val="(%1)"/>
      <w:numFmt w:val="lowerRoman"/>
      <w:start w:val="2"/>
    </w:lvl>
  </w:abstractNum>
  <w:abstractNum w:abstractNumId="486">
    <w:nsid w:val="3A86D445"/>
    <w:multiLevelType w:val="hybridMultilevel"/>
    <w:lvl w:ilvl="0">
      <w:lvlJc w:val="left"/>
      <w:lvlText w:val="(%1)"/>
      <w:numFmt w:val="lowerLetter"/>
      <w:start w:val="1"/>
    </w:lvl>
  </w:abstractNum>
  <w:abstractNum w:abstractNumId="487">
    <w:nsid w:val="51F79246"/>
    <w:multiLevelType w:val="hybridMultilevel"/>
    <w:lvl w:ilvl="0">
      <w:lvlJc w:val="left"/>
      <w:lvlText w:val="(%1)"/>
      <w:numFmt w:val="lowerLetter"/>
      <w:start w:val="2"/>
    </w:lvl>
  </w:abstractNum>
  <w:abstractNum w:abstractNumId="488">
    <w:nsid w:val="5BC9A827"/>
    <w:multiLevelType w:val="hybridMultilevel"/>
    <w:lvl w:ilvl="0">
      <w:lvlJc w:val="left"/>
      <w:lvlText w:val="(%1)"/>
      <w:numFmt w:val="lowerLetter"/>
      <w:start w:val="1"/>
    </w:lvl>
    <w:lvl w:ilvl="1">
      <w:lvlJc w:val="left"/>
      <w:lvlText w:val="(%2)"/>
      <w:numFmt w:val="lowerRoman"/>
      <w:start w:val="1"/>
    </w:lvl>
  </w:abstractNum>
  <w:abstractNum w:abstractNumId="489">
    <w:nsid w:val="3AE37D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90">
    <w:nsid w:val="45440F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5"/>
    </w:lvl>
  </w:abstractNum>
  <w:abstractNum w:abstractNumId="491">
    <w:nsid w:val="BF783F"/>
    <w:multiLevelType w:val="hybridMultilevel"/>
    <w:lvl w:ilvl="0">
      <w:lvlJc w:val="left"/>
      <w:lvlText w:val="(%1)"/>
      <w:numFmt w:val="lowerLetter"/>
      <w:start w:val="1"/>
    </w:lvl>
  </w:abstractNum>
  <w:abstractNum w:abstractNumId="492">
    <w:nsid w:val="22643EA9"/>
    <w:multiLevelType w:val="hybridMultilevel"/>
    <w:lvl w:ilvl="0">
      <w:lvlJc w:val="left"/>
      <w:lvlText w:val="(%1)"/>
      <w:numFmt w:val="lowerLetter"/>
      <w:start w:val="2"/>
    </w:lvl>
  </w:abstractNum>
  <w:abstractNum w:abstractNumId="493">
    <w:nsid w:val="1887578D"/>
    <w:multiLevelType w:val="hybridMultilevel"/>
    <w:lvl w:ilvl="0">
      <w:lvlJc w:val="left"/>
      <w:lvlText w:val="(%1)"/>
      <w:numFmt w:val="lowerLetter"/>
      <w:start w:val="9"/>
    </w:lvl>
  </w:abstractNum>
  <w:abstractNum w:abstractNumId="494">
    <w:nsid w:val="58C05B8A"/>
    <w:multiLevelType w:val="hybridMultilevel"/>
    <w:lvl w:ilvl="0">
      <w:lvlJc w:val="left"/>
      <w:lvlText w:val="(%1)"/>
      <w:numFmt w:val="lowerRoman"/>
      <w:start w:val="1"/>
    </w:lvl>
  </w:abstractNum>
  <w:abstractNum w:abstractNumId="495">
    <w:nsid w:val="38D82E71"/>
    <w:multiLevelType w:val="hybridMultilevel"/>
    <w:lvl w:ilvl="0">
      <w:lvlJc w:val="left"/>
      <w:lvlText w:val="(%1)"/>
      <w:numFmt w:val="decimal"/>
      <w:start w:val="4"/>
    </w:lvl>
  </w:abstractNum>
  <w:abstractNum w:abstractNumId="496">
    <w:nsid w:val="1E41098A"/>
    <w:multiLevelType w:val="hybridMultilevel"/>
    <w:lvl w:ilvl="0">
      <w:lvlJc w:val="left"/>
      <w:lvlText w:val="%1"/>
      <w:numFmt w:val="lowerLetter"/>
      <w:start w:val="1"/>
    </w:lvl>
    <w:lvl w:ilvl="1">
      <w:lvlJc w:val="left"/>
      <w:lvlText w:val="(%2)"/>
      <w:numFmt w:val="lowerLetter"/>
      <w:start w:val="1"/>
    </w:lvl>
  </w:abstractNum>
  <w:abstractNum w:abstractNumId="497">
    <w:nsid w:val="5398582C"/>
    <w:multiLevelType w:val="hybridMultilevel"/>
    <w:lvl w:ilvl="0">
      <w:lvlJc w:val="left"/>
      <w:lvlText w:val="(%1)"/>
      <w:numFmt w:val="lowerLetter"/>
      <w:start w:val="35"/>
    </w:lvl>
    <w:lvl w:ilvl="1">
      <w:lvlJc w:val="left"/>
      <w:lvlText w:val="%2"/>
      <w:numFmt w:val="lowerLetter"/>
      <w:start w:val="1"/>
    </w:lvl>
  </w:abstractNum>
  <w:abstractNum w:abstractNumId="498">
    <w:nsid w:val="1C0D4475"/>
    <w:multiLevelType w:val="hybridMultilevel"/>
    <w:lvl w:ilvl="0">
      <w:lvlJc w:val="left"/>
      <w:lvlText w:val="(%1)"/>
      <w:numFmt w:val="lowerLetter"/>
      <w:start w:val="2"/>
    </w:lvl>
  </w:abstractNum>
  <w:abstractNum w:abstractNumId="499">
    <w:nsid w:val="2CB6A6A4"/>
    <w:multiLevelType w:val="hybridMultilevel"/>
    <w:lvl w:ilvl="0">
      <w:lvlJc w:val="left"/>
      <w:lvlText w:val="(%1)"/>
      <w:numFmt w:val="lowerLetter"/>
      <w:start w:val="5"/>
    </w:lvl>
  </w:abstractNum>
  <w:abstractNum w:abstractNumId="500">
    <w:nsid w:val="41D646BC"/>
    <w:multiLevelType w:val="hybridMultilevel"/>
    <w:lvl w:ilvl="0">
      <w:lvlJc w:val="left"/>
      <w:lvlText w:val="(%1)"/>
      <w:numFmt w:val="lowerLetter"/>
      <w:start w:val="1"/>
    </w:lvl>
  </w:abstractNum>
  <w:abstractNum w:abstractNumId="501">
    <w:nsid w:val="3694A76A"/>
    <w:multiLevelType w:val="hybridMultilevel"/>
    <w:lvl w:ilvl="0">
      <w:lvlJc w:val="left"/>
      <w:lvlText w:val="(%1)"/>
      <w:numFmt w:val="lowerLetter"/>
      <w:start w:val="3"/>
    </w:lvl>
  </w:abstractNum>
  <w:abstractNum w:abstractNumId="502">
    <w:nsid w:val="2BF876EE"/>
    <w:multiLevelType w:val="hybridMultilevel"/>
    <w:lvl w:ilvl="0">
      <w:lvlJc w:val="left"/>
      <w:lvlText w:val="(%1)"/>
      <w:numFmt w:val="lowerLetter"/>
      <w:start w:val="1"/>
    </w:lvl>
  </w:abstractNum>
  <w:abstractNum w:abstractNumId="503">
    <w:nsid w:val="675ADBA"/>
    <w:multiLevelType w:val="hybridMultilevel"/>
    <w:lvl w:ilvl="0">
      <w:lvlJc w:val="left"/>
      <w:lvlText w:val="(%1)"/>
      <w:numFmt w:val="lowerLetter"/>
      <w:start w:val="2"/>
    </w:lvl>
  </w:abstractNum>
  <w:abstractNum w:abstractNumId="504">
    <w:nsid w:val="C12AC7F"/>
    <w:multiLevelType w:val="hybridMultilevel"/>
    <w:lvl w:ilvl="0">
      <w:lvlJc w:val="left"/>
      <w:lvlText w:val="%1."/>
      <w:numFmt w:val="decimal"/>
      <w:start w:val="2"/>
    </w:lvl>
  </w:abstractNum>
  <w:abstractNum w:abstractNumId="505">
    <w:nsid w:val="6798F039"/>
    <w:multiLevelType w:val="hybridMultilevel"/>
    <w:lvl w:ilvl="0">
      <w:lvlJc w:val="left"/>
      <w:lvlText w:val="%1"/>
      <w:numFmt w:val="lowerLetter"/>
      <w:start w:val="1"/>
    </w:lvl>
    <w:lvl w:ilvl="1">
      <w:lvlJc w:val="left"/>
      <w:lvlText w:val="(%2)"/>
      <w:numFmt w:val="lowerLetter"/>
      <w:start w:val="1"/>
    </w:lvl>
  </w:abstractNum>
  <w:abstractNum w:abstractNumId="506">
    <w:nsid w:val="70837C02"/>
    <w:multiLevelType w:val="hybridMultilevel"/>
    <w:lvl w:ilvl="0">
      <w:lvlJc w:val="left"/>
      <w:lvlText w:val="(%1)"/>
      <w:numFmt w:val="lowerLetter"/>
      <w:start w:val="3"/>
    </w:lvl>
    <w:lvl w:ilvl="1">
      <w:lvlJc w:val="left"/>
      <w:lvlText w:val="(%2)"/>
      <w:numFmt w:val="lowerLetter"/>
      <w:start w:val="4"/>
    </w:lvl>
  </w:abstractNum>
  <w:abstractNum w:abstractNumId="507">
    <w:nsid w:val="7E4A5715"/>
    <w:multiLevelType w:val="hybridMultilevel"/>
    <w:lvl w:ilvl="0">
      <w:lvlJc w:val="left"/>
      <w:lvlText w:val="(%1)"/>
      <w:numFmt w:val="lowerLetter"/>
      <w:start w:val="1"/>
    </w:lvl>
  </w:abstractNum>
  <w:abstractNum w:abstractNumId="508">
    <w:nsid w:val="42B8AC67"/>
    <w:multiLevelType w:val="hybridMultilevel"/>
    <w:lvl w:ilvl="0">
      <w:lvlJc w:val="left"/>
      <w:lvlText w:val="%1"/>
      <w:numFmt w:val="lowerLetter"/>
      <w:start w:val="1"/>
    </w:lvl>
    <w:lvl w:ilvl="1">
      <w:lvlJc w:val="left"/>
      <w:lvlText w:val="(%2)"/>
      <w:numFmt w:val="lowerLetter"/>
      <w:start w:val="4"/>
    </w:lvl>
  </w:abstractNum>
  <w:abstractNum w:abstractNumId="509">
    <w:nsid w:val="246348EA"/>
    <w:multiLevelType w:val="hybridMultilevel"/>
    <w:lvl w:ilvl="0">
      <w:lvlJc w:val="left"/>
      <w:lvlText w:val="(%1)"/>
      <w:numFmt w:val="lowerLetter"/>
      <w:start w:val="5"/>
    </w:lvl>
    <w:lvl w:ilvl="1">
      <w:lvlJc w:val="left"/>
      <w:lvlText w:val="%2"/>
      <w:numFmt w:val="lowerLetter"/>
      <w:start w:val="1"/>
    </w:lvl>
  </w:abstractNum>
  <w:abstractNum w:abstractNumId="510">
    <w:nsid w:val="170EB52B"/>
    <w:multiLevelType w:val="hybridMultilevel"/>
    <w:lvl w:ilvl="0">
      <w:lvlJc w:val="left"/>
      <w:lvlText w:val="(%1)"/>
      <w:numFmt w:val="decimal"/>
      <w:start w:val="36"/>
    </w:lvl>
  </w:abstractNum>
  <w:abstractNum w:abstractNumId="511">
    <w:nsid w:val="2DFBCB8C"/>
    <w:multiLevelType w:val="hybridMultilevel"/>
    <w:lvl w:ilvl="0">
      <w:lvlJc w:val="left"/>
      <w:lvlText w:val="%1."/>
      <w:numFmt w:val="decimal"/>
      <w:start w:val="3"/>
    </w:lvl>
  </w:abstractNum>
  <w:abstractNum w:abstractNumId="512">
    <w:nsid w:val="3830D6B6"/>
    <w:multiLevelType w:val="hybridMultilevel"/>
    <w:lvl w:ilvl="0">
      <w:lvlJc w:val="left"/>
      <w:lvlText w:val="%1."/>
      <w:numFmt w:val="decimal"/>
      <w:start w:val="4"/>
    </w:lvl>
  </w:abstractNum>
  <w:abstractNum w:abstractNumId="513">
    <w:nsid w:val="6D48CF87"/>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311"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jpeg"/><Relationship Id="rId434" Type="http://schemas.openxmlformats.org/officeDocument/2006/relationships/image" Target="media/image398.png"/><Relationship Id="rId435" Type="http://schemas.openxmlformats.org/officeDocument/2006/relationships/image" Target="media/image399.jpeg"/><Relationship Id="rId436" Type="http://schemas.openxmlformats.org/officeDocument/2006/relationships/image" Target="media/image400.png"/><Relationship Id="rId437" Type="http://schemas.openxmlformats.org/officeDocument/2006/relationships/image" Target="media/image401.jpe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484"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7" Type="http://schemas.openxmlformats.org/officeDocument/2006/relationships/image" Target="media/image451.png"/><Relationship Id="rId488" Type="http://schemas.openxmlformats.org/officeDocument/2006/relationships/image" Target="media/image452.png"/><Relationship Id="rId489" Type="http://schemas.openxmlformats.org/officeDocument/2006/relationships/image" Target="media/image453.png"/><Relationship Id="rId490" Type="http://schemas.openxmlformats.org/officeDocument/2006/relationships/image" Target="media/image454.png"/><Relationship Id="rId491" Type="http://schemas.openxmlformats.org/officeDocument/2006/relationships/image" Target="media/image455.png"/><Relationship Id="rId492" Type="http://schemas.openxmlformats.org/officeDocument/2006/relationships/image" Target="media/image456.png"/><Relationship Id="rId493" Type="http://schemas.openxmlformats.org/officeDocument/2006/relationships/image" Target="media/image457.png"/><Relationship Id="rId494" Type="http://schemas.openxmlformats.org/officeDocument/2006/relationships/image" Target="media/image458.png"/><Relationship Id="rId495" Type="http://schemas.openxmlformats.org/officeDocument/2006/relationships/image" Target="media/image459.png"/><Relationship Id="rId496" Type="http://schemas.openxmlformats.org/officeDocument/2006/relationships/image" Target="media/image460.png"/><Relationship Id="rId497" Type="http://schemas.openxmlformats.org/officeDocument/2006/relationships/image" Target="media/image461.png"/><Relationship Id="rId498" Type="http://schemas.openxmlformats.org/officeDocument/2006/relationships/image" Target="media/image462.png"/><Relationship Id="rId499" Type="http://schemas.openxmlformats.org/officeDocument/2006/relationships/image" Target="media/image463.png"/><Relationship Id="rId500" Type="http://schemas.openxmlformats.org/officeDocument/2006/relationships/image" Target="media/image464.png"/><Relationship Id="rId501" Type="http://schemas.openxmlformats.org/officeDocument/2006/relationships/image" Target="media/image465.png"/><Relationship Id="rId502" Type="http://schemas.openxmlformats.org/officeDocument/2006/relationships/image" Target="media/image466.png"/><Relationship Id="rId503" Type="http://schemas.openxmlformats.org/officeDocument/2006/relationships/image" Target="media/image467.png"/><Relationship Id="rId504" Type="http://schemas.openxmlformats.org/officeDocument/2006/relationships/image" Target="media/image468.png"/><Relationship Id="rId505" Type="http://schemas.openxmlformats.org/officeDocument/2006/relationships/image" Target="media/image469.png"/><Relationship Id="rId506" Type="http://schemas.openxmlformats.org/officeDocument/2006/relationships/image" Target="media/image470.png"/><Relationship Id="rId507" Type="http://schemas.openxmlformats.org/officeDocument/2006/relationships/image" Target="media/image471.png"/><Relationship Id="rId508" Type="http://schemas.openxmlformats.org/officeDocument/2006/relationships/image" Target="media/image472.png"/><Relationship Id="rId509" Type="http://schemas.openxmlformats.org/officeDocument/2006/relationships/image" Target="media/image473.png"/><Relationship Id="rId510" Type="http://schemas.openxmlformats.org/officeDocument/2006/relationships/image" Target="media/image474.png"/><Relationship Id="rId511" Type="http://schemas.openxmlformats.org/officeDocument/2006/relationships/image" Target="media/image475.png"/><Relationship Id="rId512" Type="http://schemas.openxmlformats.org/officeDocument/2006/relationships/image" Target="media/image476.png"/><Relationship Id="rId513" Type="http://schemas.openxmlformats.org/officeDocument/2006/relationships/image" Target="media/image477.png"/><Relationship Id="rId514" Type="http://schemas.openxmlformats.org/officeDocument/2006/relationships/image" Target="media/image478.png"/><Relationship Id="rId515" Type="http://schemas.openxmlformats.org/officeDocument/2006/relationships/image" Target="media/image479.png"/><Relationship Id="rId516" Type="http://schemas.openxmlformats.org/officeDocument/2006/relationships/image" Target="media/image480.png"/><Relationship Id="rId517" Type="http://schemas.openxmlformats.org/officeDocument/2006/relationships/image" Target="media/image481.png"/><Relationship Id="rId518" Type="http://schemas.openxmlformats.org/officeDocument/2006/relationships/image" Target="media/image482.png"/><Relationship Id="rId519" Type="http://schemas.openxmlformats.org/officeDocument/2006/relationships/image" Target="media/image483.png"/><Relationship Id="rId520" Type="http://schemas.openxmlformats.org/officeDocument/2006/relationships/image" Target="media/image484.png"/><Relationship Id="rId521" Type="http://schemas.openxmlformats.org/officeDocument/2006/relationships/image" Target="media/image485.png"/><Relationship Id="rId522" Type="http://schemas.openxmlformats.org/officeDocument/2006/relationships/image" Target="media/image486.png"/><Relationship Id="rId523" Type="http://schemas.openxmlformats.org/officeDocument/2006/relationships/image" Target="media/image487.png"/><Relationship Id="rId524" Type="http://schemas.openxmlformats.org/officeDocument/2006/relationships/image" Target="media/image488.png"/><Relationship Id="rId525" Type="http://schemas.openxmlformats.org/officeDocument/2006/relationships/image" Target="media/image489.png"/><Relationship Id="rId526" Type="http://schemas.openxmlformats.org/officeDocument/2006/relationships/image" Target="media/image490.png"/><Relationship Id="rId527" Type="http://schemas.openxmlformats.org/officeDocument/2006/relationships/image" Target="media/image491.png"/><Relationship Id="rId528" Type="http://schemas.openxmlformats.org/officeDocument/2006/relationships/image" Target="media/image492.png"/><Relationship Id="rId529" Type="http://schemas.openxmlformats.org/officeDocument/2006/relationships/image" Target="media/image493.png"/><Relationship Id="rId530" Type="http://schemas.openxmlformats.org/officeDocument/2006/relationships/image" Target="media/image494.png"/><Relationship Id="rId531" Type="http://schemas.openxmlformats.org/officeDocument/2006/relationships/image" Target="media/image495.png"/><Relationship Id="rId532" Type="http://schemas.openxmlformats.org/officeDocument/2006/relationships/image" Target="media/image496.png"/><Relationship Id="rId533" Type="http://schemas.openxmlformats.org/officeDocument/2006/relationships/image" Target="media/image497.png"/><Relationship Id="rId534" Type="http://schemas.openxmlformats.org/officeDocument/2006/relationships/image" Target="media/image498.png"/><Relationship Id="rId535" Type="http://schemas.openxmlformats.org/officeDocument/2006/relationships/image" Target="media/image499.png"/><Relationship Id="rId536" Type="http://schemas.openxmlformats.org/officeDocument/2006/relationships/image" Target="media/image500.png"/><Relationship Id="rId537" Type="http://schemas.openxmlformats.org/officeDocument/2006/relationships/image" Target="media/image501.png"/><Relationship Id="rId538" Type="http://schemas.openxmlformats.org/officeDocument/2006/relationships/image" Target="media/image502.png"/><Relationship Id="rId539" Type="http://schemas.openxmlformats.org/officeDocument/2006/relationships/image" Target="media/image503.png"/><Relationship Id="rId540" Type="http://schemas.openxmlformats.org/officeDocument/2006/relationships/image" Target="media/image504.png"/><Relationship Id="rId541" Type="http://schemas.openxmlformats.org/officeDocument/2006/relationships/image" Target="media/image505.png"/><Relationship Id="rId542" Type="http://schemas.openxmlformats.org/officeDocument/2006/relationships/image" Target="media/image506.png"/><Relationship Id="rId543" Type="http://schemas.openxmlformats.org/officeDocument/2006/relationships/image" Target="media/image507.png"/><Relationship Id="rId544" Type="http://schemas.openxmlformats.org/officeDocument/2006/relationships/image" Target="media/image508.png"/><Relationship Id="rId545" Type="http://schemas.openxmlformats.org/officeDocument/2006/relationships/image" Target="media/image509.png"/><Relationship Id="rId546" Type="http://schemas.openxmlformats.org/officeDocument/2006/relationships/image" Target="media/image510.png"/><Relationship Id="rId547" Type="http://schemas.openxmlformats.org/officeDocument/2006/relationships/image" Target="media/image511.png"/><Relationship Id="rId548" Type="http://schemas.openxmlformats.org/officeDocument/2006/relationships/image" Target="media/image512.png"/><Relationship Id="rId549" Type="http://schemas.openxmlformats.org/officeDocument/2006/relationships/image" Target="media/image513.png"/><Relationship Id="rId550" Type="http://schemas.openxmlformats.org/officeDocument/2006/relationships/image" Target="media/image514.png"/><Relationship Id="rId551" Type="http://schemas.openxmlformats.org/officeDocument/2006/relationships/image" Target="media/image515.png"/><Relationship Id="rId552" Type="http://schemas.openxmlformats.org/officeDocument/2006/relationships/image" Target="media/image516.png"/><Relationship Id="rId553" Type="http://schemas.openxmlformats.org/officeDocument/2006/relationships/image" Target="media/image517.png"/><Relationship Id="rId554" Type="http://schemas.openxmlformats.org/officeDocument/2006/relationships/image" Target="media/image518.png"/><Relationship Id="rId555" Type="http://schemas.openxmlformats.org/officeDocument/2006/relationships/image" Target="media/image519.png"/><Relationship Id="rId556" Type="http://schemas.openxmlformats.org/officeDocument/2006/relationships/image" Target="media/image520.png"/><Relationship Id="rId557" Type="http://schemas.openxmlformats.org/officeDocument/2006/relationships/image" Target="media/image521.png"/><Relationship Id="rId558" Type="http://schemas.openxmlformats.org/officeDocument/2006/relationships/image" Target="media/image522.png"/><Relationship Id="rId559" Type="http://schemas.openxmlformats.org/officeDocument/2006/relationships/image" Target="media/image523.png"/><Relationship Id="rId560" Type="http://schemas.openxmlformats.org/officeDocument/2006/relationships/image" Target="media/image524.png"/><Relationship Id="rId561" Type="http://schemas.openxmlformats.org/officeDocument/2006/relationships/image" Target="media/image525.png"/><Relationship Id="rId562" Type="http://schemas.openxmlformats.org/officeDocument/2006/relationships/image" Target="media/image526.png"/><Relationship Id="rId563" Type="http://schemas.openxmlformats.org/officeDocument/2006/relationships/image" Target="media/image527.png"/><Relationship Id="rId564" Type="http://schemas.openxmlformats.org/officeDocument/2006/relationships/image" Target="media/image528.png"/><Relationship Id="rId565" Type="http://schemas.openxmlformats.org/officeDocument/2006/relationships/image" Target="media/image529.png"/><Relationship Id="rId566" Type="http://schemas.openxmlformats.org/officeDocument/2006/relationships/image" Target="media/image530.png"/><Relationship Id="rId567" Type="http://schemas.openxmlformats.org/officeDocument/2006/relationships/image" Target="media/image531.png"/><Relationship Id="rId568" Type="http://schemas.openxmlformats.org/officeDocument/2006/relationships/image" Target="media/image532.png"/><Relationship Id="rId569" Type="http://schemas.openxmlformats.org/officeDocument/2006/relationships/image" Target="media/image533.png"/><Relationship Id="rId570" Type="http://schemas.openxmlformats.org/officeDocument/2006/relationships/image" Target="media/image534.png"/><Relationship Id="rId571" Type="http://schemas.openxmlformats.org/officeDocument/2006/relationships/image" Target="media/image535.png"/><Relationship Id="rId572" Type="http://schemas.openxmlformats.org/officeDocument/2006/relationships/image" Target="media/image536.png"/><Relationship Id="rId573" Type="http://schemas.openxmlformats.org/officeDocument/2006/relationships/image" Target="media/image537.png"/><Relationship Id="rId574" Type="http://schemas.openxmlformats.org/officeDocument/2006/relationships/image" Target="media/image538.png"/><Relationship Id="rId575" Type="http://schemas.openxmlformats.org/officeDocument/2006/relationships/image" Target="media/image539.png"/><Relationship Id="rId576" Type="http://schemas.openxmlformats.org/officeDocument/2006/relationships/image" Target="media/image540.png"/><Relationship Id="rId577" Type="http://schemas.openxmlformats.org/officeDocument/2006/relationships/image" Target="media/image541.png"/><Relationship Id="rId578" Type="http://schemas.openxmlformats.org/officeDocument/2006/relationships/image" Target="media/image542.png"/><Relationship Id="rId579" Type="http://schemas.openxmlformats.org/officeDocument/2006/relationships/image" Target="media/image543.png"/><Relationship Id="rId580" Type="http://schemas.openxmlformats.org/officeDocument/2006/relationships/image" Target="media/image544.png"/><Relationship Id="rId581" Type="http://schemas.openxmlformats.org/officeDocument/2006/relationships/image" Target="media/image545.png"/><Relationship Id="rId582" Type="http://schemas.openxmlformats.org/officeDocument/2006/relationships/image" Target="media/image546.png"/><Relationship Id="rId583" Type="http://schemas.openxmlformats.org/officeDocument/2006/relationships/image" Target="media/image547.png"/><Relationship Id="rId584" Type="http://schemas.openxmlformats.org/officeDocument/2006/relationships/image" Target="media/image548.png"/><Relationship Id="rId585" Type="http://schemas.openxmlformats.org/officeDocument/2006/relationships/image" Target="media/image549.png"/><Relationship Id="rId586" Type="http://schemas.openxmlformats.org/officeDocument/2006/relationships/image" Target="media/image550.png"/><Relationship Id="rId587" Type="http://schemas.openxmlformats.org/officeDocument/2006/relationships/image" Target="media/image551.png"/><Relationship Id="rId588" Type="http://schemas.openxmlformats.org/officeDocument/2006/relationships/image" Target="media/image552.png"/><Relationship Id="rId589" Type="http://schemas.openxmlformats.org/officeDocument/2006/relationships/image" Target="media/image553.png"/><Relationship Id="rId590" Type="http://schemas.openxmlformats.org/officeDocument/2006/relationships/image" Target="media/image554.png"/><Relationship Id="rId591" Type="http://schemas.openxmlformats.org/officeDocument/2006/relationships/image" Target="media/image555.png"/><Relationship Id="rId592" Type="http://schemas.openxmlformats.org/officeDocument/2006/relationships/image" Target="media/image556.png"/><Relationship Id="rId593" Type="http://schemas.openxmlformats.org/officeDocument/2006/relationships/image" Target="media/image557.png"/><Relationship Id="rId594" Type="http://schemas.openxmlformats.org/officeDocument/2006/relationships/image" Target="media/image558.png"/><Relationship Id="rId595" Type="http://schemas.openxmlformats.org/officeDocument/2006/relationships/image" Target="media/image559.png"/><Relationship Id="rId596" Type="http://schemas.openxmlformats.org/officeDocument/2006/relationships/image" Target="media/image560.png"/><Relationship Id="rId597" Type="http://schemas.openxmlformats.org/officeDocument/2006/relationships/image" Target="media/image561.png"/><Relationship Id="rId598" Type="http://schemas.openxmlformats.org/officeDocument/2006/relationships/image" Target="media/image562.png"/><Relationship Id="rId599" Type="http://schemas.openxmlformats.org/officeDocument/2006/relationships/image" Target="media/image563.png"/><Relationship Id="rId600" Type="http://schemas.openxmlformats.org/officeDocument/2006/relationships/image" Target="media/image564.png"/><Relationship Id="rId601" Type="http://schemas.openxmlformats.org/officeDocument/2006/relationships/image" Target="media/image565.png"/><Relationship Id="rId602" Type="http://schemas.openxmlformats.org/officeDocument/2006/relationships/image" Target="media/image566.png"/><Relationship Id="rId603" Type="http://schemas.openxmlformats.org/officeDocument/2006/relationships/image" Target="media/image567.png"/><Relationship Id="rId604" Type="http://schemas.openxmlformats.org/officeDocument/2006/relationships/image" Target="media/image568.png"/><Relationship Id="rId605" Type="http://schemas.openxmlformats.org/officeDocument/2006/relationships/image" Target="media/image569.png"/><Relationship Id="rId606" Type="http://schemas.openxmlformats.org/officeDocument/2006/relationships/image" Target="media/image570.png"/><Relationship Id="rId607" Type="http://schemas.openxmlformats.org/officeDocument/2006/relationships/image" Target="media/image571.png"/><Relationship Id="rId608" Type="http://schemas.openxmlformats.org/officeDocument/2006/relationships/image" Target="media/image572.png"/><Relationship Id="rId609" Type="http://schemas.openxmlformats.org/officeDocument/2006/relationships/image" Target="media/image573.png"/><Relationship Id="rId610" Type="http://schemas.openxmlformats.org/officeDocument/2006/relationships/image" Target="media/image574.png"/><Relationship Id="rId611" Type="http://schemas.openxmlformats.org/officeDocument/2006/relationships/image" Target="media/image575.png"/><Relationship Id="rId612" Type="http://schemas.openxmlformats.org/officeDocument/2006/relationships/image" Target="media/image576.png"/><Relationship Id="rId613" Type="http://schemas.openxmlformats.org/officeDocument/2006/relationships/image" Target="media/image577.png"/><Relationship Id="rId614" Type="http://schemas.openxmlformats.org/officeDocument/2006/relationships/image" Target="media/image578.png"/><Relationship Id="rId615" Type="http://schemas.openxmlformats.org/officeDocument/2006/relationships/image" Target="media/image579.png"/><Relationship Id="rId616" Type="http://schemas.openxmlformats.org/officeDocument/2006/relationships/image" Target="media/image580.png"/><Relationship Id="rId617" Type="http://schemas.openxmlformats.org/officeDocument/2006/relationships/image" Target="media/image581.png"/><Relationship Id="rId618" Type="http://schemas.openxmlformats.org/officeDocument/2006/relationships/image" Target="media/image582.png"/><Relationship Id="rId619" Type="http://schemas.openxmlformats.org/officeDocument/2006/relationships/image" Target="media/image583.png"/><Relationship Id="rId620" Type="http://schemas.openxmlformats.org/officeDocument/2006/relationships/image" Target="media/image584.png"/><Relationship Id="rId621" Type="http://schemas.openxmlformats.org/officeDocument/2006/relationships/image" Target="media/image585.png"/><Relationship Id="rId622" Type="http://schemas.openxmlformats.org/officeDocument/2006/relationships/image" Target="media/image586.png"/><Relationship Id="rId623" Type="http://schemas.openxmlformats.org/officeDocument/2006/relationships/image" Target="media/image587.png"/><Relationship Id="rId624" Type="http://schemas.openxmlformats.org/officeDocument/2006/relationships/image" Target="media/image588.png"/><Relationship Id="rId625" Type="http://schemas.openxmlformats.org/officeDocument/2006/relationships/image" Target="media/image589.png"/><Relationship Id="rId626" Type="http://schemas.openxmlformats.org/officeDocument/2006/relationships/image" Target="media/image590.png"/><Relationship Id="rId627" Type="http://schemas.openxmlformats.org/officeDocument/2006/relationships/image" Target="media/image591.png"/><Relationship Id="rId628" Type="http://schemas.openxmlformats.org/officeDocument/2006/relationships/image" Target="media/image592.png"/><Relationship Id="rId629" Type="http://schemas.openxmlformats.org/officeDocument/2006/relationships/image" Target="media/image593.png"/><Relationship Id="rId630" Type="http://schemas.openxmlformats.org/officeDocument/2006/relationships/image" Target="media/image594.png"/><Relationship Id="rId631" Type="http://schemas.openxmlformats.org/officeDocument/2006/relationships/image" Target="media/image595.png"/><Relationship Id="rId632" Type="http://schemas.openxmlformats.org/officeDocument/2006/relationships/image" Target="media/image596.png"/><Relationship Id="rId633" Type="http://schemas.openxmlformats.org/officeDocument/2006/relationships/image" Target="media/image597.png"/><Relationship Id="rId634" Type="http://schemas.openxmlformats.org/officeDocument/2006/relationships/image" Target="media/image598.png"/><Relationship Id="rId635" Type="http://schemas.openxmlformats.org/officeDocument/2006/relationships/image" Target="media/image599.png"/><Relationship Id="rId636" Type="http://schemas.openxmlformats.org/officeDocument/2006/relationships/image" Target="media/image600.png"/><Relationship Id="rId637" Type="http://schemas.openxmlformats.org/officeDocument/2006/relationships/image" Target="media/image601.png"/><Relationship Id="rId638" Type="http://schemas.openxmlformats.org/officeDocument/2006/relationships/image" Target="media/image602.png"/><Relationship Id="rId639" Type="http://schemas.openxmlformats.org/officeDocument/2006/relationships/image" Target="media/image603.png"/><Relationship Id="rId640" Type="http://schemas.openxmlformats.org/officeDocument/2006/relationships/image" Target="media/image604.png"/><Relationship Id="rId641" Type="http://schemas.openxmlformats.org/officeDocument/2006/relationships/image" Target="media/image605.png"/><Relationship Id="rId642" Type="http://schemas.openxmlformats.org/officeDocument/2006/relationships/image" Target="media/image606.png"/><Relationship Id="rId643" Type="http://schemas.openxmlformats.org/officeDocument/2006/relationships/image" Target="media/image607.png"/><Relationship Id="rId644" Type="http://schemas.openxmlformats.org/officeDocument/2006/relationships/image" Target="media/image608.png"/><Relationship Id="rId645" Type="http://schemas.openxmlformats.org/officeDocument/2006/relationships/image" Target="media/image609.png"/><Relationship Id="rId646" Type="http://schemas.openxmlformats.org/officeDocument/2006/relationships/image" Target="media/image610.png"/><Relationship Id="rId647" Type="http://schemas.openxmlformats.org/officeDocument/2006/relationships/image" Target="media/image611.png"/><Relationship Id="rId648" Type="http://schemas.openxmlformats.org/officeDocument/2006/relationships/image" Target="media/image612.png"/><Relationship Id="rId649" Type="http://schemas.openxmlformats.org/officeDocument/2006/relationships/image" Target="media/image613.png"/><Relationship Id="rId650" Type="http://schemas.openxmlformats.org/officeDocument/2006/relationships/image" Target="media/image614.png"/><Relationship Id="rId651" Type="http://schemas.openxmlformats.org/officeDocument/2006/relationships/image" Target="media/image615.png"/><Relationship Id="rId652" Type="http://schemas.openxmlformats.org/officeDocument/2006/relationships/image" Target="media/image616.png"/><Relationship Id="rId653" Type="http://schemas.openxmlformats.org/officeDocument/2006/relationships/image" Target="media/image617.png"/><Relationship Id="rId654" Type="http://schemas.openxmlformats.org/officeDocument/2006/relationships/image" Target="media/image618.png"/><Relationship Id="rId655" Type="http://schemas.openxmlformats.org/officeDocument/2006/relationships/image" Target="media/image619.png"/><Relationship Id="rId656" Type="http://schemas.openxmlformats.org/officeDocument/2006/relationships/image" Target="media/image620.png"/><Relationship Id="rId657" Type="http://schemas.openxmlformats.org/officeDocument/2006/relationships/image" Target="media/image621.png"/><Relationship Id="rId658" Type="http://schemas.openxmlformats.org/officeDocument/2006/relationships/image" Target="media/image622.png"/><Relationship Id="rId659" Type="http://schemas.openxmlformats.org/officeDocument/2006/relationships/image" Target="media/image623.png"/><Relationship Id="rId660" Type="http://schemas.openxmlformats.org/officeDocument/2006/relationships/image" Target="media/image624.png"/><Relationship Id="rId661" Type="http://schemas.openxmlformats.org/officeDocument/2006/relationships/image" Target="media/image625.png"/><Relationship Id="rId662" Type="http://schemas.openxmlformats.org/officeDocument/2006/relationships/image" Target="media/image626.png"/><Relationship Id="rId663" Type="http://schemas.openxmlformats.org/officeDocument/2006/relationships/image" Target="media/image627.png"/><Relationship Id="rId664" Type="http://schemas.openxmlformats.org/officeDocument/2006/relationships/image" Target="media/image628.png"/><Relationship Id="rId665" Type="http://schemas.openxmlformats.org/officeDocument/2006/relationships/image" Target="media/image629.png"/><Relationship Id="rId666" Type="http://schemas.openxmlformats.org/officeDocument/2006/relationships/image" Target="media/image630.png"/><Relationship Id="rId667" Type="http://schemas.openxmlformats.org/officeDocument/2006/relationships/image" Target="media/image631.png"/><Relationship Id="rId668" Type="http://schemas.openxmlformats.org/officeDocument/2006/relationships/image" Target="media/image632.png"/><Relationship Id="rId669" Type="http://schemas.openxmlformats.org/officeDocument/2006/relationships/image" Target="media/image633.png"/><Relationship Id="rId670" Type="http://schemas.openxmlformats.org/officeDocument/2006/relationships/image" Target="media/image634.png"/><Relationship Id="rId671" Type="http://schemas.openxmlformats.org/officeDocument/2006/relationships/image" Target="media/image635.png"/><Relationship Id="rId672" Type="http://schemas.openxmlformats.org/officeDocument/2006/relationships/image" Target="media/image636.png"/><Relationship Id="rId673" Type="http://schemas.openxmlformats.org/officeDocument/2006/relationships/image" Target="media/image637.png"/><Relationship Id="rId674" Type="http://schemas.openxmlformats.org/officeDocument/2006/relationships/image" Target="media/image638.png"/><Relationship Id="rId675" Type="http://schemas.openxmlformats.org/officeDocument/2006/relationships/image" Target="media/image639.png"/><Relationship Id="rId676" Type="http://schemas.openxmlformats.org/officeDocument/2006/relationships/image" Target="media/image640.png"/><Relationship Id="rId677" Type="http://schemas.openxmlformats.org/officeDocument/2006/relationships/image" Target="media/image641.png"/><Relationship Id="rId678" Type="http://schemas.openxmlformats.org/officeDocument/2006/relationships/image" Target="media/image642.png"/><Relationship Id="rId679" Type="http://schemas.openxmlformats.org/officeDocument/2006/relationships/image" Target="media/image643.png"/><Relationship Id="rId680" Type="http://schemas.openxmlformats.org/officeDocument/2006/relationships/image" Target="media/image644.png"/><Relationship Id="rId681" Type="http://schemas.openxmlformats.org/officeDocument/2006/relationships/image" Target="media/image645.png"/><Relationship Id="rId682" Type="http://schemas.openxmlformats.org/officeDocument/2006/relationships/image" Target="media/image646.png"/><Relationship Id="rId683" Type="http://schemas.openxmlformats.org/officeDocument/2006/relationships/image" Target="media/image647.png"/><Relationship Id="rId684" Type="http://schemas.openxmlformats.org/officeDocument/2006/relationships/image" Target="media/image648.png"/><Relationship Id="rId685" Type="http://schemas.openxmlformats.org/officeDocument/2006/relationships/image" Target="media/image649.png"/><Relationship Id="rId686" Type="http://schemas.openxmlformats.org/officeDocument/2006/relationships/image" Target="media/image650.png"/><Relationship Id="rId687" Type="http://schemas.openxmlformats.org/officeDocument/2006/relationships/image" Target="media/image651.png"/><Relationship Id="rId688" Type="http://schemas.openxmlformats.org/officeDocument/2006/relationships/image" Target="media/image652.png"/><Relationship Id="rId689" Type="http://schemas.openxmlformats.org/officeDocument/2006/relationships/image" Target="media/image653.png"/><Relationship Id="rId690" Type="http://schemas.openxmlformats.org/officeDocument/2006/relationships/image" Target="media/image654.png"/><Relationship Id="rId691" Type="http://schemas.openxmlformats.org/officeDocument/2006/relationships/image" Target="media/image655.png"/><Relationship Id="rId295" Type="http://schemas.openxmlformats.org/officeDocument/2006/relationships/hyperlink" Target="http://www.sec.gov/Archives/edgar/data/0001459839/000119312518278797/d452987dex33.htm" TargetMode="External"/><Relationship Id="rId296" Type="http://schemas.openxmlformats.org/officeDocument/2006/relationships/hyperlink" Target="http://www.sec.gov/Archives/edgar/data/0001459839/000119312518278797/d452987dex101.htm" TargetMode="External"/><Relationship Id="rId297" Type="http://schemas.openxmlformats.org/officeDocument/2006/relationships/hyperlink" Target="http://www.sec.gov/Archives/edgar/data/0001459839/000119312518278797/d452987dex105.htm" TargetMode="External"/><Relationship Id="rId298" Type="http://schemas.openxmlformats.org/officeDocument/2006/relationships/hyperlink" Target="http://www.sec.gov/Archives/edgar/data/0001459839/000119312518278797/d452987dex106.htm" TargetMode="External"/><Relationship Id="rId299" Type="http://schemas.openxmlformats.org/officeDocument/2006/relationships/hyperlink" Target="http://www.sec.gov/Archives/edgar/data/0001459839/000119312518278797/d452987dex107.htm" TargetMode="External"/><Relationship Id="rId300" Type="http://schemas.openxmlformats.org/officeDocument/2006/relationships/hyperlink" Target="http://www.sec.gov/Archives/edgar/data/0001459839/000119312518278797/d452987dex108.htm" TargetMode="External"/><Relationship Id="rId301" Type="http://schemas.openxmlformats.org/officeDocument/2006/relationships/hyperlink" Target="http://www.sec.gov/Archives/edgar/data/0001459839/000119312518278797/d452987dex109.htm" TargetMode="External"/><Relationship Id="rId302" Type="http://schemas.openxmlformats.org/officeDocument/2006/relationships/hyperlink" Target="http://www.sec.gov/Archives/edgar/data/0001459839/000119312518278797/d452987dex1010.htm" TargetMode="External"/><Relationship Id="rId303" Type="http://schemas.openxmlformats.org/officeDocument/2006/relationships/hyperlink" Target="http://www.sec.gov/Archives/edgar/data/0001459839/000119312518278797/d452987dex1011.htm" TargetMode="External"/><Relationship Id="rId304" Type="http://schemas.openxmlformats.org/officeDocument/2006/relationships/hyperlink" Target="http://www.sec.gov/Archives/edgar/data/0001459839/000119312518278797/d452987dex1012.htm" TargetMode="External"/><Relationship Id="rId305" Type="http://schemas.openxmlformats.org/officeDocument/2006/relationships/hyperlink" Target="http://www.sec.gov/Archives/edgar/data/0001459839/000119312518278797/d452987dex1013.htm" TargetMode="External"/><Relationship Id="rId306" Type="http://schemas.openxmlformats.org/officeDocument/2006/relationships/hyperlink" Target="http://www.sec.gov/Archives/edgar/data/0001459839/000119312518278797/d452987dex1014.htm" TargetMode="External"/><Relationship Id="rId307" Type="http://schemas.openxmlformats.org/officeDocument/2006/relationships/hyperlink" Target="http://www.sec.gov/Archives/edgar/data/0001459839/000119312518278797/d452987dex1015.htm" TargetMode="External"/><Relationship Id="rId308" Type="http://schemas.openxmlformats.org/officeDocument/2006/relationships/hyperlink" Target="http://www.sec.gov/Archives/edgar/data/0001459839/000119312518278797/d452987dex1016.htm" TargetMode="External"/><Relationship Id="rId309" Type="http://schemas.openxmlformats.org/officeDocument/2006/relationships/hyperlink" Target="http://www.sec.gov/Archives/edgar/data/0001459839/000119312518278797/d452987dex1017.htm" TargetMode="External"/><Relationship Id="rId310" Type="http://schemas.openxmlformats.org/officeDocument/2006/relationships/hyperlink" Target="http://www.sec.gov/Archives/edgar/data/0001459839/000119312518278797/d452987dex1018.htm" TargetMode="External"/><Relationship Id="rId312" Type="http://schemas.openxmlformats.org/officeDocument/2006/relationships/hyperlink" Target="http://www.sec.gov/Archives/edgar/data/0001459839/000119312518278797/d452987dex1020.htm" TargetMode="External"/><Relationship Id="rId313" Type="http://schemas.openxmlformats.org/officeDocument/2006/relationships/hyperlink" Target="http://www.sec.gov/Archives/edgar/data/0001459839/000119312518278797/d452987dex1021.htm" TargetMode="External"/><Relationship Id="rId314" Type="http://schemas.openxmlformats.org/officeDocument/2006/relationships/hyperlink" Target="http://www.sec.gov/Archives/edgar/data/0001459839/000119312518278797/d452987dex1022.htm" TargetMode="External"/><Relationship Id="rId315" Type="http://schemas.openxmlformats.org/officeDocument/2006/relationships/hyperlink" Target="http://www.sec.gov/Archives/edgar/data/0001459839/000119312518278797/d452987dex1023.htm" TargetMode="External"/><Relationship Id="rId316" Type="http://schemas.openxmlformats.org/officeDocument/2006/relationships/hyperlink" Target="http://www.sec.gov/Archives/edgar/data/0001459839/000119312518278797/d452987dex1024.htm" TargetMode="External"/><Relationship Id="rId317" Type="http://schemas.openxmlformats.org/officeDocument/2006/relationships/hyperlink" Target="http://www.sec.gov/Archives/edgar/data/0001459839/000119312518278797/d452987dex1025.htm" TargetMode="External"/><Relationship Id="rId318" Type="http://schemas.openxmlformats.org/officeDocument/2006/relationships/hyperlink" Target="http://www.sec.gov/Archives/edgar/data/0001459839/000119312518278797/d452987dex1026.htm" TargetMode="External"/><Relationship Id="rId319" Type="http://schemas.openxmlformats.org/officeDocument/2006/relationships/hyperlink" Target="http://www.sec.gov/Archives/edgar/data/0001459839/000119312518278797/d452987dex1027.htm" TargetMode="External"/><Relationship Id="rId320" Type="http://schemas.openxmlformats.org/officeDocument/2006/relationships/hyperlink" Target="http://www.sec.gov/Archives/edgar/data/0001459839/000119312518278797/d452987dex1028.htm" TargetMode="External"/><Relationship Id="rId321" Type="http://schemas.openxmlformats.org/officeDocument/2006/relationships/hyperlink" Target="http://www.sec.gov/Archives/edgar/data/0001459839/000119312518278797/d452987dex1029.htm" TargetMode="External"/><Relationship Id="rId322" Type="http://schemas.openxmlformats.org/officeDocument/2006/relationships/hyperlink" Target="http://www.sec.gov/Archives/edgar/data/0001459839/000119312518278797/d452987dex1030.htm" TargetMode="External"/><Relationship Id="rId323" Type="http://schemas.openxmlformats.org/officeDocument/2006/relationships/hyperlink" Target="http://www.sec.gov/Archives/edgar/data/0001459839/000119312518278797/d452987dex211.htm" TargetMode="External"/><Relationship Id="rId324" Type="http://schemas.openxmlformats.org/officeDocument/2006/relationships/hyperlink" Target="http://www.sec.gov/Archives/edgar/data/1459839/000119312518278797/d452987ds1.htm#ii452987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2019-12-07T15:48:45Z</dcterms:created>
  <dcterms:modified xsi:type="dcterms:W3CDTF">2019-12-07T15:48:45Z</dcterms:modified>
</cp:coreProperties>
</file>