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86"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2576195</wp:posOffset>
            </wp:positionH>
            <wp:positionV relativeFrom="paragraph">
              <wp:posOffset>40005</wp:posOffset>
            </wp:positionV>
            <wp:extent cx="199009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0090" cy="16510"/>
                    </a:xfrm>
                    <a:prstGeom prst="rect">
                      <a:avLst/>
                    </a:prstGeom>
                    <a:noFill/>
                  </pic:spPr>
                </pic:pic>
              </a:graphicData>
            </a:graphic>
          </wp:anchor>
        </w:drawing>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2576195</wp:posOffset>
            </wp:positionH>
            <wp:positionV relativeFrom="paragraph">
              <wp:posOffset>133350</wp:posOffset>
            </wp:positionV>
            <wp:extent cx="199009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0090" cy="1651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(Mark one)</w:t>
      </w:r>
    </w:p>
    <w:p>
      <w:pPr>
        <w:spacing w:after="0" w:line="29" w:lineRule="exact"/>
        <w:rPr>
          <w:sz w:val="24"/>
          <w:szCs w:val="24"/>
          <w:color w:val="auto"/>
        </w:rPr>
      </w:pPr>
    </w:p>
    <w:p>
      <w:pPr>
        <w:ind w:left="1800" w:hanging="341"/>
        <w:spacing w:after="0"/>
        <w:tabs>
          <w:tab w:leader="none" w:pos="1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quarterly period ended September 30, 2024</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62" w:lineRule="exact"/>
        <w:rPr>
          <w:sz w:val="24"/>
          <w:szCs w:val="24"/>
          <w:color w:val="auto"/>
        </w:rPr>
      </w:pPr>
    </w:p>
    <w:p>
      <w:pPr>
        <w:ind w:left="1780" w:hanging="327"/>
        <w:spacing w:after="0"/>
        <w:tabs>
          <w:tab w:leader="none" w:pos="17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001-38701</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SI-BONE, INC.</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2576195</wp:posOffset>
            </wp:positionH>
            <wp:positionV relativeFrom="paragraph">
              <wp:posOffset>83820</wp:posOffset>
            </wp:positionV>
            <wp:extent cx="199009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0090" cy="1651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800" w:type="dxa"/>
            <w:vAlign w:val="bottom"/>
            <w:gridSpan w:val="4"/>
          </w:tcPr>
          <w:p>
            <w:pPr>
              <w:jc w:val="center"/>
              <w:ind w:left="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00" w:type="dxa"/>
            <w:vAlign w:val="bottom"/>
            <w:gridSpan w:val="2"/>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w w:val="98"/>
              </w:rPr>
              <w:t>26-2216351</w:t>
            </w:r>
          </w:p>
        </w:tc>
      </w:tr>
      <w:tr>
        <w:trPr>
          <w:trHeight w:val="143"/>
        </w:trPr>
        <w:tc>
          <w:tcPr>
            <w:tcW w:w="4800" w:type="dxa"/>
            <w:vAlign w:val="bottom"/>
            <w:gridSpan w:val="4"/>
          </w:tcPr>
          <w:p>
            <w:pPr>
              <w:jc w:val="center"/>
              <w:ind w:left="88"/>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jc w:val="center"/>
              <w:ind w:left="61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48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jc w:val="center"/>
              <w:ind w:left="61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15"/>
        </w:trPr>
        <w:tc>
          <w:tcPr>
            <w:tcW w:w="4800" w:type="dxa"/>
            <w:vAlign w:val="bottom"/>
            <w:gridSpan w:val="4"/>
          </w:tcPr>
          <w:p>
            <w:pPr>
              <w:jc w:val="center"/>
              <w:ind w:left="108"/>
              <w:spacing w:after="0"/>
              <w:rPr>
                <w:sz w:val="20"/>
                <w:szCs w:val="20"/>
                <w:color w:val="auto"/>
              </w:rPr>
            </w:pPr>
            <w:r>
              <w:rPr>
                <w:rFonts w:ascii="Times New Roman" w:cs="Times New Roman" w:eastAsia="Times New Roman" w:hAnsi="Times New Roman"/>
                <w:sz w:val="16"/>
                <w:szCs w:val="16"/>
                <w:b w:val="1"/>
                <w:bCs w:val="1"/>
                <w:color w:val="auto"/>
                <w:w w:val="98"/>
              </w:rPr>
              <w:t>471 El Camino Real, Suite 101, Santa Clara, California</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gridSpan w:val="2"/>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95050</w:t>
            </w:r>
          </w:p>
        </w:tc>
      </w:tr>
      <w:tr>
        <w:trPr>
          <w:trHeight w:val="185"/>
        </w:trPr>
        <w:tc>
          <w:tcPr>
            <w:tcW w:w="48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5"/>
        </w:trPr>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5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(408) 207-0700</w:t>
            </w:r>
          </w:p>
        </w:tc>
      </w:tr>
      <w:tr>
        <w:trPr>
          <w:trHeight w:val="122"/>
        </w:trPr>
        <w:tc>
          <w:tcPr>
            <w:tcW w:w="2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344"/>
        </w:trPr>
        <w:tc>
          <w:tcPr>
            <w:tcW w:w="48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86"/>
        </w:trPr>
        <w:tc>
          <w:tcPr>
            <w:tcW w:w="2320" w:type="dxa"/>
            <w:vAlign w:val="bottom"/>
          </w:tcPr>
          <w:p>
            <w:pPr>
              <w:spacing w:after="0"/>
              <w:rPr>
                <w:sz w:val="24"/>
                <w:szCs w:val="24"/>
                <w:color w:val="auto"/>
              </w:rPr>
            </w:pPr>
          </w:p>
        </w:tc>
        <w:tc>
          <w:tcPr>
            <w:tcW w:w="248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0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06"/>
        </w:trPr>
        <w:tc>
          <w:tcPr>
            <w:tcW w:w="4800" w:type="dxa"/>
            <w:vAlign w:val="bottom"/>
            <w:gridSpan w:val="4"/>
          </w:tcPr>
          <w:p>
            <w:pPr>
              <w:jc w:val="center"/>
              <w:ind w:left="808"/>
              <w:spacing w:after="0"/>
              <w:rPr>
                <w:sz w:val="20"/>
                <w:szCs w:val="20"/>
                <w:color w:val="auto"/>
              </w:rPr>
            </w:pPr>
            <w:r>
              <w:rPr>
                <w:rFonts w:ascii="Times New Roman" w:cs="Times New Roman" w:eastAsia="Times New Roman" w:hAnsi="Times New Roman"/>
                <w:sz w:val="14"/>
                <w:szCs w:val="14"/>
                <w:color w:val="auto"/>
                <w:w w:val="99"/>
              </w:rPr>
              <w:t>Common Stock, par value $0.0001 per share</w:t>
            </w:r>
          </w:p>
        </w:tc>
        <w:tc>
          <w:tcPr>
            <w:tcW w:w="460" w:type="dxa"/>
            <w:vAlign w:val="bottom"/>
          </w:tcPr>
          <w:p>
            <w:pPr>
              <w:spacing w:after="0"/>
              <w:rPr>
                <w:sz w:val="17"/>
                <w:szCs w:val="17"/>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SIBN</w:t>
            </w:r>
          </w:p>
        </w:tc>
        <w:tc>
          <w:tcPr>
            <w:tcW w:w="10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Global Market</w:t>
            </w:r>
          </w:p>
        </w:tc>
      </w:tr>
    </w:tbl>
    <w:p>
      <w:pPr>
        <w:spacing w:after="0" w:line="200" w:lineRule="exact"/>
        <w:rPr>
          <w:sz w:val="24"/>
          <w:szCs w:val="24"/>
          <w:color w:val="auto"/>
        </w:rPr>
      </w:pPr>
    </w:p>
    <w:p>
      <w:pPr>
        <w:spacing w:after="0" w:line="234" w:lineRule="exact"/>
        <w:rPr>
          <w:sz w:val="24"/>
          <w:szCs w:val="24"/>
          <w:color w:val="auto"/>
        </w:rPr>
      </w:pPr>
    </w:p>
    <w:p>
      <w:pPr>
        <w:jc w:val="center"/>
        <w:spacing w:after="0" w:line="30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7" w:lineRule="exact"/>
        <w:rPr>
          <w:sz w:val="24"/>
          <w:szCs w:val="24"/>
          <w:color w:val="auto"/>
        </w:rPr>
      </w:pPr>
    </w:p>
    <w:p>
      <w:pPr>
        <w:jc w:val="center"/>
        <w:ind w:left="340"/>
        <w:spacing w:after="0" w:line="30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0" w:lineRule="exact"/>
        <w:rPr>
          <w:sz w:val="24"/>
          <w:szCs w:val="24"/>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720" w:type="dxa"/>
        <w:tblCellMar>
          <w:top w:w="0" w:type="dxa"/>
          <w:left w:w="0" w:type="dxa"/>
          <w:bottom w:w="0" w:type="dxa"/>
          <w:right w:w="0" w:type="dxa"/>
        </w:tblCellMar>
      </w:tblPr>
      <w:tr>
        <w:trPr>
          <w:trHeight w:val="197"/>
        </w:trPr>
        <w:tc>
          <w:tcPr>
            <w:tcW w:w="174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rPr>
              <w:t>Large accelerated filer</w:t>
            </w:r>
          </w:p>
        </w:tc>
        <w:tc>
          <w:tcPr>
            <w:tcW w:w="7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Non-accelerated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6"/>
        </w:trPr>
        <w:tc>
          <w:tcPr>
            <w:tcW w:w="174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198" w:lineRule="exact"/>
        <w:rPr>
          <w:sz w:val="24"/>
          <w:szCs w:val="24"/>
          <w:color w:val="auto"/>
        </w:rPr>
      </w:pPr>
    </w:p>
    <w:p>
      <w:pPr>
        <w:jc w:val="cente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4"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was 41,938,179 as of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473710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60" w:type="dxa"/>
            <w:vAlign w:val="bottom"/>
            <w:gridSpan w:val="16"/>
            <w:vMerge w:val="restart"/>
          </w:tcPr>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60" w:type="dxa"/>
            <w:vAlign w:val="bottom"/>
            <w:gridSpan w:val="16"/>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w w:val="99"/>
              </w:rPr>
              <w:t>Item 1.</w:t>
            </w:r>
          </w:p>
        </w:tc>
        <w:tc>
          <w:tcPr>
            <w:tcW w:w="5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946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FF"/>
              </w:rPr>
              <w:t>Financial Statements</w:t>
            </w:r>
          </w:p>
        </w:tc>
        <w:tc>
          <w:tcPr>
            <w:tcW w:w="5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5400" w:type="dxa"/>
            <w:vAlign w:val="bottom"/>
            <w:gridSpan w:val="13"/>
          </w:tcPr>
          <w:p>
            <w:pPr>
              <w:spacing w:after="0"/>
              <w:rPr>
                <w:sz w:val="17"/>
                <w:szCs w:val="17"/>
                <w:color w:val="auto"/>
              </w:rPr>
            </w:pP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 (Unaudited)</w:t>
            </w: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Stockholders' Equity (Unaudited)</w:t>
            </w: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40" w:type="dxa"/>
            <w:vAlign w:val="bottom"/>
          </w:tcPr>
          <w:p>
            <w:pPr>
              <w:spacing w:after="0"/>
              <w:rPr>
                <w:sz w:val="17"/>
                <w:szCs w:val="17"/>
                <w:color w:val="auto"/>
              </w:rPr>
            </w:pPr>
          </w:p>
        </w:tc>
        <w:tc>
          <w:tcPr>
            <w:tcW w:w="840" w:type="dxa"/>
            <w:vAlign w:val="bottom"/>
            <w:gridSpan w:val="3"/>
          </w:tcPr>
          <w:p>
            <w:pPr>
              <w:spacing w:after="0"/>
              <w:rPr>
                <w:sz w:val="17"/>
                <w:szCs w:val="17"/>
                <w:color w:val="auto"/>
              </w:rPr>
            </w:pPr>
          </w:p>
        </w:tc>
        <w:tc>
          <w:tcPr>
            <w:tcW w:w="3200" w:type="dxa"/>
            <w:vAlign w:val="bottom"/>
            <w:gridSpan w:val="3"/>
          </w:tcPr>
          <w:p>
            <w:pPr>
              <w:spacing w:after="0"/>
              <w:rPr>
                <w:sz w:val="17"/>
                <w:szCs w:val="17"/>
                <w:color w:val="auto"/>
              </w:rPr>
            </w:pP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5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28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180" w:type="dxa"/>
            <w:vAlign w:val="bottom"/>
            <w:gridSpan w:val="2"/>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5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40" w:type="dxa"/>
            <w:vAlign w:val="bottom"/>
            <w:gridSpan w:val="8"/>
          </w:tcPr>
          <w:p>
            <w:pPr>
              <w:spacing w:after="0"/>
              <w:rPr>
                <w:sz w:val="17"/>
                <w:szCs w:val="17"/>
                <w:color w:val="auto"/>
              </w:rPr>
            </w:pPr>
          </w:p>
        </w:tc>
        <w:tc>
          <w:tcPr>
            <w:tcW w:w="3180" w:type="dxa"/>
            <w:vAlign w:val="bottom"/>
            <w:gridSpan w:val="2"/>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5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5220" w:type="dxa"/>
            <w:vAlign w:val="bottom"/>
            <w:gridSpan w:val="10"/>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60" w:type="dxa"/>
            <w:vAlign w:val="bottom"/>
            <w:gridSpan w:val="16"/>
          </w:tcPr>
          <w:p>
            <w:pPr>
              <w:jc w:val="center"/>
              <w:ind w:right="3240"/>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w w:val="99"/>
              </w:rPr>
              <w:t>Item 1.</w:t>
            </w:r>
          </w:p>
        </w:tc>
        <w:tc>
          <w:tcPr>
            <w:tcW w:w="5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0000FF"/>
                <w:w w:val="98"/>
              </w:rPr>
              <w:t>Legal Proceedings</w:t>
            </w:r>
          </w:p>
        </w:tc>
        <w:tc>
          <w:tcPr>
            <w:tcW w:w="8180" w:type="dxa"/>
            <w:vAlign w:val="bottom"/>
            <w:gridSpan w:val="21"/>
          </w:tcPr>
          <w:p>
            <w:pPr>
              <w:spacing w:after="0"/>
              <w:rPr>
                <w:sz w:val="16"/>
                <w:szCs w:val="16"/>
                <w:color w:val="auto"/>
              </w:rPr>
            </w:pPr>
          </w:p>
        </w:tc>
        <w:tc>
          <w:tcPr>
            <w:tcW w:w="4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0000FF"/>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1A.</w:t>
            </w:r>
          </w:p>
        </w:tc>
        <w:tc>
          <w:tcPr>
            <w:tcW w:w="9640" w:type="dxa"/>
            <w:vAlign w:val="bottom"/>
            <w:gridSpan w:val="26"/>
          </w:tcPr>
          <w:p>
            <w:pPr>
              <w:ind w:left="180"/>
              <w:spacing w:after="0"/>
              <w:rPr>
                <w:sz w:val="20"/>
                <w:szCs w:val="20"/>
                <w:color w:val="auto"/>
              </w:rPr>
            </w:pPr>
            <w:r>
              <w:rPr>
                <w:rFonts w:ascii="Times New Roman" w:cs="Times New Roman" w:eastAsia="Times New Roman" w:hAnsi="Times New Roman"/>
                <w:sz w:val="17"/>
                <w:szCs w:val="17"/>
                <w:color w:val="0000FF"/>
              </w:rPr>
              <w:t>Risk Factors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2.</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18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960" w:type="dxa"/>
            <w:vAlign w:val="bottom"/>
            <w:tcBorders>
              <w:top w:val="single" w:sz="8" w:color="0000FF"/>
            </w:tcBorders>
            <w:gridSpan w:val="7"/>
          </w:tcPr>
          <w:p>
            <w:pPr>
              <w:spacing w:after="0"/>
              <w:rPr>
                <w:sz w:val="17"/>
                <w:szCs w:val="17"/>
                <w:color w:val="auto"/>
              </w:rPr>
            </w:pPr>
          </w:p>
        </w:tc>
        <w:tc>
          <w:tcPr>
            <w:tcW w:w="5240" w:type="dxa"/>
            <w:vAlign w:val="bottom"/>
            <w:gridSpan w:val="11"/>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5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7740" w:type="dxa"/>
            <w:vAlign w:val="bottom"/>
            <w:gridSpan w:val="19"/>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74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5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40" w:type="dxa"/>
            <w:vAlign w:val="bottom"/>
            <w:gridSpan w:val="2"/>
          </w:tcPr>
          <w:p>
            <w:pPr>
              <w:spacing w:after="0"/>
              <w:rPr>
                <w:sz w:val="17"/>
                <w:szCs w:val="17"/>
                <w:color w:val="auto"/>
              </w:rPr>
            </w:pPr>
          </w:p>
        </w:tc>
        <w:tc>
          <w:tcPr>
            <w:tcW w:w="7740" w:type="dxa"/>
            <w:vAlign w:val="bottom"/>
            <w:gridSpan w:val="19"/>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80" w:type="dxa"/>
            <w:vAlign w:val="bottom"/>
            <w:gridSpan w:val="2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5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8180" w:type="dxa"/>
            <w:vAlign w:val="bottom"/>
            <w:gridSpan w:val="21"/>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physician adoption, reimbursement determinations, clinical trial results, and U.S. Food and Drug Administration ("FDA") approvals, are forward-looking statements.</w:t>
      </w:r>
    </w:p>
    <w:p>
      <w:pPr>
        <w:spacing w:after="0" w:line="196" w:lineRule="exact"/>
        <w:rPr>
          <w:sz w:val="20"/>
          <w:szCs w:val="20"/>
          <w:color w:val="auto"/>
        </w:rPr>
      </w:pPr>
    </w:p>
    <w:p>
      <w:pPr>
        <w:jc w:val="both"/>
        <w:ind w:firstLine="472"/>
        <w:spacing w:after="0" w:line="297" w:lineRule="auto"/>
        <w:rPr>
          <w:sz w:val="20"/>
          <w:szCs w:val="20"/>
          <w:color w:val="auto"/>
        </w:rPr>
      </w:pPr>
      <w:r>
        <w:rPr>
          <w:rFonts w:ascii="Times New Roman" w:cs="Times New Roman" w:eastAsia="Times New Roman" w:hAnsi="Times New Roman"/>
          <w:sz w:val="17"/>
          <w:szCs w:val="17"/>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spacing w:after="0" w:line="121" w:lineRule="exact"/>
        <w:rPr>
          <w:sz w:val="20"/>
          <w:szCs w:val="20"/>
          <w:color w:val="auto"/>
        </w:rPr>
      </w:pPr>
    </w:p>
    <w:p>
      <w:pPr>
        <w:ind w:left="640" w:hanging="320"/>
        <w:spacing w:after="0" w:line="29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 that a significant portion of our revenues will be derived from sales of a series of patented titanium implants and the instruments used to implant them, as well as implantable bone products;</w:t>
      </w:r>
    </w:p>
    <w:p>
      <w:pPr>
        <w:spacing w:after="0" w:line="9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commercialize additional revenue opportunities, including new indications for use and new products;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selectively grow our sales team based on the demand for our products;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train, and retain physicians to perform procedures using our products;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favorable coverage and reimbursement determinations from third-party payors;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our market opportunity;</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scope of protection from intellectual property rights covering our products;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and results from our clinical trials;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clearances and authorization from the FDA and regulators in other jurisdictions and CE Certificates of Conformity from Notified Bodies;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regulatory filings and feedback;</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coding and reimbursement of procedures using our products and related procedures and products;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markets we serve;</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of the reliability and performance of our products;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of the benefits of our products to patients, providers, and payors;</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9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a limited number of suppliers, including sole source suppliers, which may impact the availability of instruments and materials;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sustain or increase demand for our products;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our costs and risks associated with our international operations and expansion;</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ability to retain and recruit key personnel;</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employees, including those with specialized skills and experience;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3" w:name="page4"/>
    <w:bookmarkEnd w:id="3"/>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acquisitions and strategic operations;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capital markets;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fund our working capital requirements;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and the cost of, federal, state, and foreign regulatory requirements;</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factors that may impact our financial results; and</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and challenges in our business and the markets in which we operate.</w:t>
      </w:r>
    </w:p>
    <w:p>
      <w:pPr>
        <w:spacing w:after="0" w:line="200" w:lineRule="exact"/>
        <w:rPr>
          <w:sz w:val="20"/>
          <w:szCs w:val="20"/>
          <w:color w:val="auto"/>
        </w:rPr>
      </w:pPr>
    </w:p>
    <w:p>
      <w:pPr>
        <w:spacing w:after="0" w:line="208"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35"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Factors that may cause actual results to differ materially from current expectations include, among other things, those listed under “Risk Factors” in our Annual Report on Form 10-K for the year ended December 31, 2023, together with any updates in the section titled “Risk Factors” in this Quarterly Report on Form 10-Q.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8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33,271</w:t>
            </w: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Short-term investments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132,748</w:t>
            </w: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$1,331 and $1,118, respectively</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21,953</w:t>
            </w: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Inventory</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20,249</w:t>
            </w: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w:t>
            </w:r>
          </w:p>
        </w:tc>
      </w:tr>
      <w:tr>
        <w:trPr>
          <w:trHeight w:val="216"/>
        </w:trPr>
        <w:tc>
          <w:tcPr>
            <w:tcW w:w="83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211,394</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16"/>
        </w:trPr>
        <w:tc>
          <w:tcPr>
            <w:tcW w:w="83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ASSETS</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230,425</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5"/>
        </w:trPr>
        <w:tc>
          <w:tcPr>
            <w:tcW w:w="8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8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7,318</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4,588</w:t>
            </w: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17,452</w:t>
            </w:r>
          </w:p>
        </w:tc>
      </w:tr>
      <w:tr>
        <w:trPr>
          <w:trHeight w:val="223"/>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1,416</w:t>
            </w:r>
          </w:p>
        </w:tc>
      </w:tr>
      <w:tr>
        <w:trPr>
          <w:trHeight w:val="216"/>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23,456</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borrowings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36,065</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6"/>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LIABILITIES</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61,050</w:t>
            </w:r>
          </w:p>
        </w:tc>
      </w:tr>
      <w:tr>
        <w:trPr>
          <w:trHeight w:val="229"/>
        </w:trPr>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8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$0.0001 par value; 5,000,000 shares authorized; no shares issued and outstanding</w:t>
            </w:r>
          </w:p>
        </w:tc>
        <w:tc>
          <w:tcPr>
            <w:tcW w:w="3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83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Common stock, $0.0001 par value; 100,000,000 shares authorized; 41,790,410 and 40,693,299 shares issued and</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outstanding, respectively</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3"/>
        </w:trPr>
        <w:tc>
          <w:tcPr>
            <w:tcW w:w="8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569,477</w:t>
            </w:r>
          </w:p>
        </w:tc>
      </w:tr>
      <w:tr>
        <w:trPr>
          <w:trHeight w:val="223"/>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23"/>
        </w:trPr>
        <w:tc>
          <w:tcPr>
            <w:tcW w:w="8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Accumulated deficit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(426,859)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(400,441)</w:t>
            </w:r>
          </w:p>
        </w:tc>
      </w:tr>
      <w:tr>
        <w:trPr>
          <w:trHeight w:val="216"/>
        </w:trPr>
        <w:tc>
          <w:tcPr>
            <w:tcW w:w="8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169,375</w:t>
            </w:r>
          </w:p>
        </w:tc>
      </w:tr>
      <w:tr>
        <w:trPr>
          <w:trHeight w:val="216"/>
        </w:trPr>
        <w:tc>
          <w:tcPr>
            <w:tcW w:w="83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230,425</w:t>
            </w:r>
          </w:p>
        </w:tc>
      </w:tr>
      <w:tr>
        <w:trPr>
          <w:trHeight w:val="20"/>
        </w:trPr>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49"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100,027</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19,283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80,744</w:t>
            </w:r>
          </w:p>
        </w:tc>
        <w:tc>
          <w:tcPr>
            <w:tcW w:w="0" w:type="dxa"/>
            <w:vAlign w:val="bottom"/>
          </w:tcPr>
          <w:p>
            <w:pPr>
              <w:spacing w:after="0"/>
              <w:rPr>
                <w:sz w:val="1"/>
                <w:szCs w:val="1"/>
                <w:color w:val="auto"/>
              </w:rPr>
            </w:pPr>
          </w:p>
        </w:tc>
      </w:tr>
      <w:tr>
        <w:trPr>
          <w:trHeight w:val="203"/>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Sales and marketing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81,317</w:t>
            </w:r>
          </w:p>
        </w:tc>
        <w:tc>
          <w:tcPr>
            <w:tcW w:w="0" w:type="dxa"/>
            <w:vAlign w:val="bottom"/>
          </w:tcPr>
          <w:p>
            <w:pPr>
              <w:spacing w:after="0"/>
              <w:rPr>
                <w:sz w:val="1"/>
                <w:szCs w:val="1"/>
                <w:color w:val="auto"/>
              </w:rPr>
            </w:pPr>
          </w:p>
        </w:tc>
      </w:tr>
      <w:tr>
        <w:trPr>
          <w:trHeight w:val="223"/>
        </w:trPr>
        <w:tc>
          <w:tcPr>
            <w:tcW w:w="57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10,866</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22,986</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39,536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115,169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(34,425)</w:t>
            </w:r>
          </w:p>
        </w:tc>
        <w:tc>
          <w:tcPr>
            <w:tcW w:w="0" w:type="dxa"/>
            <w:vAlign w:val="bottom"/>
          </w:tcPr>
          <w:p>
            <w:pPr>
              <w:spacing w:after="0"/>
              <w:rPr>
                <w:sz w:val="1"/>
                <w:szCs w:val="1"/>
                <w:color w:val="auto"/>
              </w:rPr>
            </w:pPr>
          </w:p>
        </w:tc>
      </w:tr>
      <w:tr>
        <w:trPr>
          <w:trHeight w:val="223"/>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0" w:type="dxa"/>
            <w:vAlign w:val="bottom"/>
          </w:tcPr>
          <w:p>
            <w:pPr>
              <w:spacing w:after="0"/>
              <w:rPr>
                <w:sz w:val="1"/>
                <w:szCs w:val="1"/>
                <w:color w:val="auto"/>
              </w:rPr>
            </w:pPr>
          </w:p>
        </w:tc>
      </w:tr>
      <w:tr>
        <w:trPr>
          <w:trHeight w:val="223"/>
        </w:trPr>
        <w:tc>
          <w:tcPr>
            <w:tcW w:w="57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6"/>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100" w:type="dxa"/>
            <w:vAlign w:val="bottom"/>
          </w:tcPr>
          <w:p>
            <w:pPr>
              <w:spacing w:after="0"/>
              <w:rPr>
                <w:sz w:val="18"/>
                <w:szCs w:val="18"/>
                <w:color w:val="auto"/>
              </w:rPr>
            </w:pP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(26,418)</w:t>
            </w:r>
          </w:p>
        </w:tc>
        <w:tc>
          <w:tcPr>
            <w:tcW w:w="10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(32,353)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foreign currency translation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Unrealized gain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6"/>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Comprehensive loss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(32,229)</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700" w:type="dxa"/>
            <w:vAlign w:val="bottom"/>
          </w:tcPr>
          <w:p>
            <w:pPr>
              <w:ind w:left="60"/>
              <w:spacing w:after="0" w:line="171" w:lineRule="exact"/>
              <w:rPr>
                <w:sz w:val="20"/>
                <w:szCs w:val="20"/>
                <w:color w:val="auto"/>
              </w:rPr>
            </w:pPr>
            <w:r>
              <w:rPr>
                <w:rFonts w:ascii="Times New Roman" w:cs="Times New Roman" w:eastAsia="Times New Roman" w:hAnsi="Times New Roman"/>
                <w:sz w:val="17"/>
                <w:szCs w:val="17"/>
                <w:color w:val="auto"/>
              </w:rPr>
              <w:t>Weighted-average number of common shares used to compute basic and diluted</w:t>
            </w: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41,717,505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40,265,520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41,324,614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37,702,207</w:t>
            </w:r>
          </w:p>
        </w:tc>
        <w:tc>
          <w:tcPr>
            <w:tcW w:w="0" w:type="dxa"/>
            <w:vAlign w:val="bottom"/>
          </w:tcPr>
          <w:p>
            <w:pPr>
              <w:spacing w:after="0"/>
              <w:rPr>
                <w:sz w:val="1"/>
                <w:szCs w:val="1"/>
                <w:color w:val="auto"/>
              </w:rPr>
            </w:pPr>
          </w:p>
        </w:tc>
      </w:tr>
      <w:tr>
        <w:trPr>
          <w:trHeight w:val="210"/>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per share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6" w:name="page7"/>
    <w:bookmarkEnd w:id="6"/>
    <w:p>
      <w:pPr>
        <w:ind w:left="4960"/>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10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1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auto"/>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33"/>
              <w:spacing w:after="0" w:line="177"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0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60" w:type="dxa"/>
            <w:vAlign w:val="bottom"/>
          </w:tcPr>
          <w:p>
            <w:pPr>
              <w:spacing w:after="0"/>
              <w:rPr>
                <w:sz w:val="17"/>
                <w:szCs w:val="17"/>
                <w:color w:val="auto"/>
              </w:rPr>
            </w:pPr>
          </w:p>
        </w:tc>
        <w:tc>
          <w:tcPr>
            <w:tcW w:w="9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9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40,693,299</w:t>
            </w:r>
          </w:p>
        </w:tc>
        <w:tc>
          <w:tcPr>
            <w:tcW w:w="8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569,477</w:t>
            </w:r>
          </w:p>
        </w:tc>
        <w:tc>
          <w:tcPr>
            <w:tcW w:w="8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26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(400,441)</w:t>
            </w:r>
          </w:p>
        </w:tc>
        <w:tc>
          <w:tcPr>
            <w:tcW w:w="80" w:type="dxa"/>
            <w:vAlign w:val="bottom"/>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169,375</w:t>
            </w:r>
          </w:p>
        </w:tc>
        <w:tc>
          <w:tcPr>
            <w:tcW w:w="0" w:type="dxa"/>
            <w:vAlign w:val="bottom"/>
          </w:tcPr>
          <w:p>
            <w:pPr>
              <w:spacing w:after="0"/>
              <w:rPr>
                <w:sz w:val="1"/>
                <w:szCs w:val="1"/>
                <w:color w:val="auto"/>
              </w:rPr>
            </w:pPr>
          </w:p>
        </w:tc>
      </w:tr>
      <w:tr>
        <w:trPr>
          <w:trHeight w:val="170"/>
        </w:trPr>
        <w:tc>
          <w:tcPr>
            <w:tcW w:w="478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 stock options, net of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29,892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upon vesting of restricted stock units</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7,030</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6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Net unrealized loss on marketable securities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(10,904)</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41,078,762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576,612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(411,345)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165,537</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 stock options, net of</w:t>
            </w:r>
          </w:p>
        </w:tc>
        <w:tc>
          <w:tcPr>
            <w:tcW w:w="80" w:type="dxa"/>
            <w:vAlign w:val="bottom"/>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withheld</w:t>
            </w:r>
          </w:p>
        </w:tc>
        <w:tc>
          <w:tcPr>
            <w:tcW w:w="80" w:type="dxa"/>
            <w:vAlign w:val="bottom"/>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related to employee stock purchase plan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upon vesting of restricted stock units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6,398</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Net unrealized loss on marketable securities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41,510,811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584,786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(420,284)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164,733</w:t>
            </w:r>
          </w:p>
        </w:tc>
        <w:tc>
          <w:tcPr>
            <w:tcW w:w="0" w:type="dxa"/>
            <w:vAlign w:val="bottom"/>
          </w:tcPr>
          <w:p>
            <w:pPr>
              <w:spacing w:after="0"/>
              <w:rPr>
                <w:sz w:val="1"/>
                <w:szCs w:val="1"/>
                <w:color w:val="auto"/>
              </w:rPr>
            </w:pPr>
          </w:p>
        </w:tc>
      </w:tr>
      <w:tr>
        <w:trPr>
          <w:trHeight w:val="170"/>
        </w:trPr>
        <w:tc>
          <w:tcPr>
            <w:tcW w:w="47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 stock options, net of</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withheld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upon vesting of restricted stock units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237,059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6,306</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unrealized loss on marketable securities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September 30, 2024</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41,790,410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591,247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582</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(426,859)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164,974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801"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47"/>
        </w:trPr>
        <w:tc>
          <w:tcPr>
            <w:tcW w:w="494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80" w:type="dxa"/>
            <w:vAlign w:val="bottom"/>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34,731,577</w:t>
            </w:r>
          </w:p>
        </w:tc>
        <w:tc>
          <w:tcPr>
            <w:tcW w:w="8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shd w:val="clear" w:color="auto" w:fill="CCEEFF"/>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455,172</w:t>
            </w:r>
          </w:p>
        </w:tc>
        <w:tc>
          <w:tcPr>
            <w:tcW w:w="80" w:type="dxa"/>
            <w:vAlign w:val="bottom"/>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(357,105)</w:t>
            </w:r>
          </w:p>
        </w:tc>
        <w:tc>
          <w:tcPr>
            <w:tcW w:w="80" w:type="dxa"/>
            <w:vAlign w:val="bottom"/>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98,302</w:t>
            </w:r>
          </w:p>
        </w:tc>
        <w:tc>
          <w:tcPr>
            <w:tcW w:w="0" w:type="dxa"/>
            <w:vAlign w:val="bottom"/>
          </w:tcPr>
          <w:p>
            <w:pPr>
              <w:spacing w:after="0"/>
              <w:rPr>
                <w:sz w:val="1"/>
                <w:szCs w:val="1"/>
                <w:color w:val="auto"/>
              </w:rPr>
            </w:pPr>
          </w:p>
        </w:tc>
      </w:tr>
      <w:tr>
        <w:trPr>
          <w:trHeight w:val="170"/>
        </w:trPr>
        <w:tc>
          <w:tcPr>
            <w:tcW w:w="49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 stock options, net of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120,266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upon vesting of restricted stock units</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254,320</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6,194</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Net unrealized gain on marketable securities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(11,125)</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35,106,163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461,886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(368,230)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93,959</w:t>
            </w:r>
          </w:p>
        </w:tc>
        <w:tc>
          <w:tcPr>
            <w:tcW w:w="0" w:type="dxa"/>
            <w:vAlign w:val="bottom"/>
          </w:tcPr>
          <w:p>
            <w:pPr>
              <w:spacing w:after="0"/>
              <w:rPr>
                <w:sz w:val="1"/>
                <w:szCs w:val="1"/>
                <w:color w:val="auto"/>
              </w:rPr>
            </w:pPr>
          </w:p>
        </w:tc>
      </w:tr>
      <w:tr>
        <w:trPr>
          <w:trHeight w:val="170"/>
        </w:trPr>
        <w:tc>
          <w:tcPr>
            <w:tcW w:w="4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from public offerings, net of underwriting</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discounts, commissions and offering costs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4,068,497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83,671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83,672</w:t>
            </w:r>
          </w:p>
        </w:tc>
        <w:tc>
          <w:tcPr>
            <w:tcW w:w="0" w:type="dxa"/>
            <w:vAlign w:val="bottom"/>
          </w:tcPr>
          <w:p>
            <w:pPr>
              <w:spacing w:after="0"/>
              <w:rPr>
                <w:sz w:val="1"/>
                <w:szCs w:val="1"/>
                <w:color w:val="auto"/>
              </w:rPr>
            </w:pPr>
          </w:p>
        </w:tc>
      </w:tr>
      <w:tr>
        <w:trPr>
          <w:trHeight w:val="170"/>
        </w:trPr>
        <w:tc>
          <w:tcPr>
            <w:tcW w:w="49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 stock options, net of</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shares withheld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497,926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3,515</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related to employee stock purchase plan</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upon vesting of restricted stock units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261,709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4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 warrant, net of shares</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withheld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5,998</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Net unrealized loss on marketable securities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40,087,765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556,541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(379,436)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177,407</w:t>
            </w:r>
          </w:p>
        </w:tc>
        <w:tc>
          <w:tcPr>
            <w:tcW w:w="0" w:type="dxa"/>
            <w:vAlign w:val="bottom"/>
          </w:tcPr>
          <w:p>
            <w:pPr>
              <w:spacing w:after="0"/>
              <w:rPr>
                <w:sz w:val="1"/>
                <w:szCs w:val="1"/>
                <w:color w:val="auto"/>
              </w:rPr>
            </w:pPr>
          </w:p>
        </w:tc>
      </w:tr>
      <w:tr>
        <w:trPr>
          <w:trHeight w:val="170"/>
        </w:trPr>
        <w:tc>
          <w:tcPr>
            <w:tcW w:w="4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 stock options, net of</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withheld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upon vesting of restricted stock units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237,624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unrealized loss on marketable securities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0" w:type="dxa"/>
            <w:vAlign w:val="bottom"/>
          </w:tcPr>
          <w:p>
            <w:pPr>
              <w:spacing w:after="0"/>
              <w:rPr>
                <w:sz w:val="1"/>
                <w:szCs w:val="1"/>
                <w:color w:val="auto"/>
              </w:rPr>
            </w:pPr>
          </w:p>
        </w:tc>
      </w:tr>
      <w:tr>
        <w:trPr>
          <w:trHeight w:val="241"/>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September 30, 2023</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40,377,691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562,698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(389,458)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173,600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1159" w:right="3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2"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0"/>
        </w:trPr>
        <w:tc>
          <w:tcPr>
            <w:tcW w:w="8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(32,353)</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0" w:type="dxa"/>
            <w:vAlign w:val="bottom"/>
          </w:tcPr>
          <w:p>
            <w:pPr>
              <w:spacing w:after="0"/>
              <w:rPr>
                <w:sz w:val="1"/>
                <w:szCs w:val="1"/>
                <w:color w:val="auto"/>
              </w:rPr>
            </w:pPr>
          </w:p>
        </w:tc>
      </w:tr>
      <w:tr>
        <w:trPr>
          <w:trHeight w:val="208"/>
        </w:trPr>
        <w:tc>
          <w:tcPr>
            <w:tcW w:w="8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credit losses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discount and premium on marketable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08"/>
        </w:trPr>
        <w:tc>
          <w:tcPr>
            <w:tcW w:w="8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Inventory reserve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8"/>
        </w:trPr>
        <w:tc>
          <w:tcPr>
            <w:tcW w:w="8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0" w:type="dxa"/>
            <w:vAlign w:val="bottom"/>
          </w:tcPr>
          <w:p>
            <w:pPr>
              <w:spacing w:after="0"/>
              <w:rPr>
                <w:sz w:val="1"/>
                <w:szCs w:val="1"/>
                <w:color w:val="auto"/>
              </w:rPr>
            </w:pPr>
          </w:p>
        </w:tc>
      </w:tr>
      <w:tr>
        <w:trPr>
          <w:trHeight w:val="208"/>
        </w:trPr>
        <w:tc>
          <w:tcPr>
            <w:tcW w:w="8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08"/>
        </w:trPr>
        <w:tc>
          <w:tcPr>
            <w:tcW w:w="8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(16,416)</w:t>
            </w:r>
          </w:p>
        </w:tc>
        <w:tc>
          <w:tcPr>
            <w:tcW w:w="0" w:type="dxa"/>
            <w:vAlign w:val="bottom"/>
          </w:tcPr>
          <w:p>
            <w:pPr>
              <w:spacing w:after="0"/>
              <w:rPr>
                <w:sz w:val="1"/>
                <w:szCs w:val="1"/>
                <w:color w:val="auto"/>
              </w:rPr>
            </w:pPr>
          </w:p>
        </w:tc>
      </w:tr>
      <w:tr>
        <w:trPr>
          <w:trHeight w:val="189"/>
        </w:trPr>
        <w:tc>
          <w:tcPr>
            <w:tcW w:w="8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93,500</w:t>
            </w:r>
          </w:p>
        </w:tc>
        <w:tc>
          <w:tcPr>
            <w:tcW w:w="0" w:type="dxa"/>
            <w:vAlign w:val="bottom"/>
          </w:tcPr>
          <w:p>
            <w:pPr>
              <w:spacing w:after="0"/>
              <w:rPr>
                <w:sz w:val="1"/>
                <w:szCs w:val="1"/>
                <w:color w:val="auto"/>
              </w:rPr>
            </w:pPr>
          </w:p>
        </w:tc>
      </w:tr>
      <w:tr>
        <w:trPr>
          <w:trHeight w:val="208"/>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(127,680)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(6,706)</w:t>
            </w:r>
          </w:p>
        </w:tc>
        <w:tc>
          <w:tcPr>
            <w:tcW w:w="0" w:type="dxa"/>
            <w:vAlign w:val="bottom"/>
          </w:tcPr>
          <w:p>
            <w:pPr>
              <w:spacing w:after="0"/>
              <w:rPr>
                <w:sz w:val="1"/>
                <w:szCs w:val="1"/>
                <w:color w:val="auto"/>
              </w:rPr>
            </w:pPr>
          </w:p>
        </w:tc>
      </w:tr>
      <w:tr>
        <w:trPr>
          <w:trHeight w:val="201"/>
        </w:trPr>
        <w:tc>
          <w:tcPr>
            <w:tcW w:w="80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(40,886)</w:t>
            </w:r>
          </w:p>
        </w:tc>
        <w:tc>
          <w:tcPr>
            <w:tcW w:w="0" w:type="dxa"/>
            <w:vAlign w:val="bottom"/>
          </w:tcPr>
          <w:p>
            <w:pPr>
              <w:spacing w:after="0"/>
              <w:rPr>
                <w:sz w:val="1"/>
                <w:szCs w:val="1"/>
                <w:color w:val="auto"/>
              </w:rPr>
            </w:pPr>
          </w:p>
        </w:tc>
      </w:tr>
      <w:tr>
        <w:trPr>
          <w:trHeight w:val="192"/>
        </w:trPr>
        <w:tc>
          <w:tcPr>
            <w:tcW w:w="8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public offering, net of discounts, commissions and offering costs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83,671</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debt financing</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0" w:type="dxa"/>
            <w:vAlign w:val="bottom"/>
          </w:tcPr>
          <w:p>
            <w:pPr>
              <w:spacing w:after="0"/>
              <w:rPr>
                <w:sz w:val="1"/>
                <w:szCs w:val="1"/>
                <w:color w:val="auto"/>
              </w:rPr>
            </w:pPr>
          </w:p>
        </w:tc>
      </w:tr>
      <w:tr>
        <w:trPr>
          <w:trHeight w:val="208"/>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debt financing</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8"/>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0" w:type="dxa"/>
            <w:vAlign w:val="bottom"/>
          </w:tcPr>
          <w:p>
            <w:pPr>
              <w:spacing w:after="0"/>
              <w:rPr>
                <w:sz w:val="1"/>
                <w:szCs w:val="1"/>
                <w:color w:val="auto"/>
              </w:rPr>
            </w:pPr>
          </w:p>
        </w:tc>
      </w:tr>
      <w:tr>
        <w:trPr>
          <w:trHeight w:val="201"/>
        </w:trPr>
        <w:tc>
          <w:tcPr>
            <w:tcW w:w="80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90,091</w:t>
            </w: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1"/>
        </w:trPr>
        <w:tc>
          <w:tcPr>
            <w:tcW w:w="8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20,717</w:t>
            </w:r>
          </w:p>
        </w:tc>
        <w:tc>
          <w:tcPr>
            <w:tcW w:w="0" w:type="dxa"/>
            <w:vAlign w:val="bottom"/>
          </w:tcPr>
          <w:p>
            <w:pPr>
              <w:spacing w:after="0"/>
              <w:rPr>
                <w:sz w:val="1"/>
                <w:szCs w:val="1"/>
                <w:color w:val="auto"/>
              </w:rPr>
            </w:pPr>
          </w:p>
        </w:tc>
      </w:tr>
      <w:tr>
        <w:trPr>
          <w:trHeight w:val="204"/>
        </w:trPr>
        <w:tc>
          <w:tcPr>
            <w:tcW w:w="8040" w:type="dxa"/>
            <w:vAlign w:val="bottom"/>
            <w:tcBorders>
              <w:bottom w:val="single" w:sz="8" w:color="CCEEFF"/>
            </w:tcBorders>
            <w:shd w:val="clear" w:color="auto" w:fill="CCEEFF"/>
          </w:tcPr>
          <w:p>
            <w:pPr>
              <w:ind w:left="40"/>
              <w:spacing w:after="0" w:line="178" w:lineRule="exact"/>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30,225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53,492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224790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827" w:right="5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Nature of Business</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SI-BONE, Inc. (the “Company”) was incorporated in the state of Delaware on March 18, 2008 and is headquartered in Santa Clara, California. The Company is a medical device company dedicated to solving musculoskeletal disorders of the sacropelvic anatomy. Leveraging its knowledge of pelvic anatomy and biomechanics, the Company has pioneered proprietary minimally invasive surgical implant systems to address sacroiliac joint dysfunction as well as address unmet clinical needs in pelvic fixation and management of pelvic fractures. The Company’s products include a series of patented titanium implants and the instruments used to implant them, as well as implantable bone products. Since launching its first generation iFuse in 2009, the Company has launched multiple titanium implant product lines, including iFuse-3D in 2017, iFuse-TORQ in 2021, iFuse Bedrock Granite in 2022 and iFuse INTRA, an implantable bone product, in January 2024. In the United States, iFuse, iFuse 3D, iFuse TORQ and iFuse Bedrock Granite have clearances for applications in sacroiliac joint dysfunction, adult spinal deformity and pelvic trauma. iFuse TORQ TNT has clearances for applications in pelvic trauma and sacroiliac joint dysfunction.</w:t>
      </w:r>
    </w:p>
    <w:p>
      <w:pPr>
        <w:spacing w:after="0" w:line="57"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In May 2023, the Company received a total of $83.7 million of net proceeds after deducting the underwriting discounts and commissions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did not result in any proceeds to the Company.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2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2023 has been derived from the audited consolidated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nine months ended September 30, 2024 are not necessarily indicative of the results to be expected for the year ending December 31, 2024 or for any other interim period or for any other future year.</w:t>
      </w:r>
    </w:p>
    <w:p>
      <w:pPr>
        <w:spacing w:after="0" w:line="378"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should be read in conjunction with the audited financial statements and related notes thereto for the year ended December 31, 2023 contained in the Company’s Annual Report on Form 10-K filed with the SEC on February 27, 2024 (the “2023 Annual Report”).</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8"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Change in accounting estimate</w:t>
      </w:r>
    </w:p>
    <w:p>
      <w:pPr>
        <w:spacing w:after="0" w:line="215" w:lineRule="exact"/>
        <w:rPr>
          <w:sz w:val="20"/>
          <w:szCs w:val="20"/>
          <w:color w:val="auto"/>
        </w:rPr>
      </w:pPr>
    </w:p>
    <w:p>
      <w:pPr>
        <w:jc w:val="both"/>
        <w:ind w:firstLine="629"/>
        <w:spacing w:after="0" w:line="235" w:lineRule="auto"/>
        <w:rPr>
          <w:sz w:val="20"/>
          <w:szCs w:val="20"/>
          <w:color w:val="auto"/>
        </w:rPr>
      </w:pPr>
      <w:r>
        <w:rPr>
          <w:rFonts w:ascii="Times New Roman" w:cs="Times New Roman" w:eastAsia="Times New Roman" w:hAnsi="Times New Roman"/>
          <w:sz w:val="17"/>
          <w:szCs w:val="17"/>
          <w:color w:val="auto"/>
        </w:rPr>
        <w:t>During the first quarter of 2024, the Company reassessed the useful life of its instrument trays based on a comprehensive evaluation of usage trends and its estimate on the average life of instruments before loss or damage that requires disposal. As a result of this review, the Company determined that extending the useful life of its instrument trays would more accurately reflect its anticipated future economic benefits. Effective January 1, 2024, the Company changed its estimates of the useful lives of instrument trays from three to five years. The effect of this change in estimate reduced depreciation expense by $0.5 million, resulting in a decrease in net loss of $0.5 million and basic and diluted earnings per share by $0.01 for the three months ended September 30, 2024. The effect of this change in estimate reduced depreciation expense by $1.5 million, resulting in a decrease in loss from operations and net loss of $1.5 million and basic and diluted earnings per share by $0.04 for the nine months ended September 30,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215"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Company’s significant accounting policies are disclosed in the 2023 Annual Report. There have been no material changes to these accounting policies.</w:t>
      </w: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Segments</w:t>
      </w:r>
    </w:p>
    <w:p>
      <w:pPr>
        <w:spacing w:after="0" w:line="228"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w:t>
      </w:r>
    </w:p>
    <w:p>
      <w:pPr>
        <w:spacing w:after="0"/>
        <w:rPr>
          <w:sz w:val="20"/>
          <w:szCs w:val="20"/>
          <w:color w:val="auto"/>
        </w:rPr>
      </w:pPr>
      <w:r>
        <w:rPr>
          <w:rFonts w:ascii="Times New Roman" w:cs="Times New Roman" w:eastAsia="Times New Roman" w:hAnsi="Times New Roman"/>
          <w:sz w:val="17"/>
          <w:szCs w:val="17"/>
          <w:color w:val="auto"/>
        </w:rPr>
        <w:t>segment structure</w:t>
      </w:r>
      <w:r>
        <w:rPr>
          <w:rFonts w:ascii="Times New Roman" w:cs="Times New Roman" w:eastAsia="Times New Roman" w:hAnsi="Times New Roman"/>
          <w:sz w:val="20"/>
          <w:szCs w:val="20"/>
          <w:color w:val="008080"/>
        </w:rPr>
        <w:t>.</w:t>
      </w:r>
    </w:p>
    <w:p>
      <w:pPr>
        <w:spacing w:after="0" w:line="21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The following table summarizes the Company's revenue by geography:</w:t>
      </w:r>
    </w:p>
    <w:p>
      <w:pPr>
        <w:spacing w:after="0" w:line="128"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1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w:t>
            </w:r>
          </w:p>
        </w:tc>
      </w:tr>
      <w:tr>
        <w:trPr>
          <w:trHeight w:val="209"/>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20" w:type="dxa"/>
            <w:vAlign w:val="bottom"/>
            <w:tcBorders>
              <w:bottom w:val="single" w:sz="8" w:color="auto"/>
            </w:tcBorders>
          </w:tcPr>
          <w:p>
            <w:pPr>
              <w:spacing w:after="0"/>
              <w:rPr>
                <w:sz w:val="18"/>
                <w:szCs w:val="18"/>
                <w:color w:val="auto"/>
              </w:rPr>
            </w:pPr>
          </w:p>
        </w:tc>
      </w:tr>
      <w:tr>
        <w:trPr>
          <w:trHeight w:val="203"/>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4"/>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38,263</w:t>
            </w:r>
          </w:p>
        </w:tc>
        <w:tc>
          <w:tcPr>
            <w:tcW w:w="80" w:type="dxa"/>
            <w:vAlign w:val="bottom"/>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32,300</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111,502</w:t>
            </w:r>
          </w:p>
        </w:tc>
        <w:tc>
          <w:tcPr>
            <w:tcW w:w="38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93,967</w:t>
            </w: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6,060</w:t>
            </w:r>
          </w:p>
        </w:tc>
      </w:tr>
      <w:tr>
        <w:trPr>
          <w:trHeight w:val="241"/>
        </w:trPr>
        <w:tc>
          <w:tcPr>
            <w:tcW w:w="4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40,340</w:t>
            </w:r>
          </w:p>
        </w:tc>
        <w:tc>
          <w:tcPr>
            <w:tcW w:w="8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34,014</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118,176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100,027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28"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ASU 2023-07 requires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Early adoption is permitted. The Company is currently evaluating the guidance to determine the impact on its disclosures.</w:t>
      </w:r>
    </w:p>
    <w:p>
      <w:pPr>
        <w:spacing w:after="0" w:line="169"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and for interim periods for fiscal years beginning after December 15, 2025. The Company is currently evaluating the impacts of ASU 2023-09 on its disclosures.</w:t>
      </w:r>
    </w:p>
    <w:p>
      <w:pPr>
        <w:spacing w:after="0" w:line="385"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Marketable Securities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table below summarizes the marketable securities:</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774"/>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5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w w:val="97"/>
              </w:rPr>
              <w:t>Unrealized Gains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7"/>
              </w:rPr>
              <w:t>Unrealized Losses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right"/>
              <w:ind w:right="114"/>
              <w:spacing w:after="0" w:line="153"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6"/>
          </w:tcPr>
          <w:p>
            <w:pPr>
              <w:jc w:val="right"/>
              <w:ind w:right="95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118,595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U.S. agency bonds</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7"/>
                <w:szCs w:val="17"/>
                <w:color w:val="auto"/>
              </w:rPr>
              <w:t>Total marketable securities</w:t>
            </w:r>
          </w:p>
        </w:tc>
        <w:tc>
          <w:tcPr>
            <w:tcW w:w="280" w:type="dxa"/>
            <w:vAlign w:val="bottom"/>
            <w:tcBorders>
              <w:bottom w:val="single" w:sz="8" w:color="auto"/>
            </w:tcBorders>
          </w:tcPr>
          <w:p>
            <w:pPr>
              <w:jc w:val="right"/>
              <w:ind w:right="95"/>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146,581</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2"/>
          </w:tcPr>
          <w:p>
            <w:pPr>
              <w:jc w:val="right"/>
              <w:spacing w:after="0" w:line="190" w:lineRule="exact"/>
              <w:rPr>
                <w:sz w:val="20"/>
                <w:szCs w:val="20"/>
                <w:color w:val="auto"/>
              </w:rPr>
            </w:pPr>
            <w:r>
              <w:rPr>
                <w:rFonts w:ascii="Times New Roman" w:cs="Times New Roman" w:eastAsia="Times New Roman" w:hAnsi="Times New Roman"/>
                <w:sz w:val="17"/>
                <w:szCs w:val="17"/>
                <w:color w:val="auto"/>
              </w:rPr>
              <w:t>177</w:t>
            </w:r>
          </w:p>
        </w:tc>
        <w:tc>
          <w:tcPr>
            <w:tcW w:w="180" w:type="dxa"/>
            <w:vAlign w:val="bottom"/>
          </w:tcPr>
          <w:p>
            <w:pPr>
              <w:spacing w:after="0"/>
              <w:rPr>
                <w:sz w:val="16"/>
                <w:szCs w:val="16"/>
                <w:color w:val="auto"/>
              </w:rPr>
            </w:pPr>
          </w:p>
        </w:tc>
        <w:tc>
          <w:tcPr>
            <w:tcW w:w="100" w:type="dxa"/>
            <w:vAlign w:val="bottom"/>
            <w:tcBorders>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gridSpan w:val="3"/>
          </w:tcPr>
          <w:p>
            <w:pPr>
              <w:ind w:left="1100"/>
              <w:spacing w:after="0" w:line="190" w:lineRule="exact"/>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146,757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6"/>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w:t>
            </w:r>
          </w:p>
        </w:tc>
        <w:tc>
          <w:tcPr>
            <w:tcW w:w="1300" w:type="dxa"/>
            <w:vAlign w:val="bottom"/>
            <w:gridSpan w:val="2"/>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3"/>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23,331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equivalents</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23,331</w:t>
            </w:r>
          </w:p>
        </w:tc>
        <w:tc>
          <w:tcPr>
            <w:tcW w:w="1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23,331</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129,695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129,762</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bonds</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w:t>
            </w:r>
          </w:p>
        </w:tc>
        <w:tc>
          <w:tcPr>
            <w:tcW w:w="16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2,986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132,683</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132,748</w:t>
            </w: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156,014</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156,079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three and nine months ended September 30, 2024 and 2023,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September 30, 2024 and December 31, 2023.</w:t>
      </w:r>
    </w:p>
    <w:p>
      <w:pPr>
        <w:spacing w:after="0" w:line="17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The Company elected to present accrued interest receivable separately from short-term and long-term investments on its condensed consolidated balance sheets. Accrued interest receivable was $0.3 million as of September 30, 2024,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September 30, 2024 or December 31, 2023.</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Measurement</w:t>
      </w:r>
    </w:p>
    <w:p>
      <w:pPr>
        <w:spacing w:after="0" w:line="226"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w:t>
      </w:r>
    </w:p>
    <w:p>
      <w:pPr>
        <w:spacing w:after="0" w:line="169"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table below summarizes the fair value of the Company’s marketable securities measured at fair value on a recurring basis based on the three-tier fair value hierarchy:</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September 30, 2024</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4"/>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4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Marketable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22,168</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22,168</w:t>
            </w:r>
          </w:p>
        </w:tc>
      </w:tr>
      <w:tr>
        <w:trPr>
          <w:trHeight w:val="223"/>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122,591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122,591</w:t>
            </w: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U.S. agency bonds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w:t>
            </w:r>
          </w:p>
        </w:tc>
      </w:tr>
      <w:tr>
        <w:trPr>
          <w:trHeight w:val="241"/>
        </w:trPr>
        <w:tc>
          <w:tcPr>
            <w:tcW w:w="4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146,757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55"/>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04"/>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4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Marketable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23,331</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23,331</w:t>
            </w:r>
          </w:p>
        </w:tc>
      </w:tr>
      <w:tr>
        <w:trPr>
          <w:trHeight w:val="223"/>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129,762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129,762</w:t>
            </w: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U.S. agency bonds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2,986</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2,986</w:t>
            </w:r>
          </w:p>
        </w:tc>
      </w:tr>
      <w:tr>
        <w:trPr>
          <w:trHeight w:val="236"/>
        </w:trPr>
        <w:tc>
          <w:tcPr>
            <w:tcW w:w="4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153,093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w:t>
            </w:r>
          </w:p>
        </w:tc>
        <w:tc>
          <w:tcPr>
            <w:tcW w:w="100" w:type="dxa"/>
            <w:vAlign w:val="bottom"/>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156,079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0" w:right="9040" w:hanging="435"/>
        <w:spacing w:after="0" w:line="387" w:lineRule="auto"/>
        <w:tabs>
          <w:tab w:leader="none" w:pos="182"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Inventory</w:t>
      </w:r>
    </w:p>
    <w:p>
      <w:pPr>
        <w:spacing w:after="0" w:line="1"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As of September 30, 2024, inventory consisted of finished goods of $23.5 million and work-in-progress and components of $2.0 million. As of December 31, 2023, inventory consisted of finished goods of $18.8 million and work-in-progress and components of $1.4 million.</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70"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r>
      <w:tr>
        <w:trPr>
          <w:trHeight w:val="204"/>
        </w:trPr>
        <w:tc>
          <w:tcPr>
            <w:tcW w:w="6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0" w:type="dxa"/>
            <w:vAlign w:val="bottom"/>
            <w:gridSpan w:val="4"/>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5"/>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Instrument trays</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21,294</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18,205</w:t>
            </w:r>
          </w:p>
        </w:tc>
      </w:tr>
      <w:tr>
        <w:trPr>
          <w:trHeight w:val="223"/>
        </w:trPr>
        <w:tc>
          <w:tcPr>
            <w:tcW w:w="6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Machinery and equipment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w:t>
            </w:r>
          </w:p>
        </w:tc>
      </w:tr>
      <w:tr>
        <w:trPr>
          <w:trHeight w:val="223"/>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Construction in progress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7,756</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w:t>
            </w:r>
          </w:p>
        </w:tc>
      </w:tr>
      <w:tr>
        <w:trPr>
          <w:trHeight w:val="223"/>
        </w:trPr>
        <w:tc>
          <w:tcPr>
            <w:tcW w:w="6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Computer and office equipment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w:t>
            </w:r>
          </w:p>
        </w:tc>
      </w:tr>
      <w:tr>
        <w:trPr>
          <w:trHeight w:val="223"/>
        </w:trPr>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Leasehold improvements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w:t>
            </w:r>
          </w:p>
        </w:tc>
      </w:tr>
      <w:tr>
        <w:trPr>
          <w:trHeight w:val="223"/>
        </w:trPr>
        <w:tc>
          <w:tcPr>
            <w:tcW w:w="6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Furniture and fixtures</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16"/>
        </w:trPr>
        <w:tc>
          <w:tcPr>
            <w:tcW w:w="6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39,178</w:t>
            </w:r>
          </w:p>
        </w:tc>
        <w:tc>
          <w:tcPr>
            <w:tcW w:w="1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31,246</w:t>
            </w:r>
          </w:p>
        </w:tc>
      </w:tr>
      <w:tr>
        <w:trPr>
          <w:trHeight w:val="223"/>
        </w:trPr>
        <w:tc>
          <w:tcPr>
            <w:tcW w:w="6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(15,246)</w:t>
            </w:r>
          </w:p>
        </w:tc>
      </w:tr>
      <w:tr>
        <w:trPr>
          <w:trHeight w:val="241"/>
        </w:trPr>
        <w:tc>
          <w:tcPr>
            <w:tcW w:w="6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20,748</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As of September 30, 2024, construction in progress pertains to the cost of individual components of an instrument tray used for surgical placement of the Company's products that have not yet been placed into service of $7.2 million and software costs of $0.6 million. As of December 31, 2023, construction in progress pertains to cost of individual components of an instrument tray used for surgical placement of the Company's products that have not yet been placed into service of $3.5 million and software costs of $0.4 million. Depreciation expense was $1.1 million and $1.5 million for the three months ended September 30, 2024 and 2023, respectively. Depreciation expense was $3.2 million and $3.9 million for the nine months ended September 30, 2024 and 2023, respectively.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Accrued Liabilities and Other</w:t>
      </w:r>
      <w:r>
        <w:rPr>
          <w:rFonts w:ascii="Times New Roman" w:cs="Times New Roman" w:eastAsia="Times New Roman" w:hAnsi="Times New Roman"/>
          <w:sz w:val="17"/>
          <w:szCs w:val="17"/>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compensation and related expenses</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13,464</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royalty</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rebates</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Others</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17,452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and Allowance for Credit Losses:</w:t>
            </w: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68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8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movement in the allowance for credit losses was as follows: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Write-offs</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40" w:right="8580" w:hanging="435"/>
        <w:spacing w:after="0" w:line="452" w:lineRule="auto"/>
        <w:tabs>
          <w:tab w:leader="none" w:pos="18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Leases</w:t>
      </w: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has a non-cancelable operating lease for an office building space, located in Santa Clara, California which expires in July 2026 and a building used for research and development and warehouse space in Santa Clara, California which expires in October 2026. The Company also has a non-cancelable operating lease for its office building spaces in Gallarate, Italy which expires in August 2027.</w:t>
      </w:r>
    </w:p>
    <w:p>
      <w:pPr>
        <w:spacing w:after="0" w:line="110"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Company also leases vehicles under operating lease arrangements for certain of its personnel in Europe which expire at various times throughout 2024 to 2026.</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Supplemental information related to lease expense and valuation of the lease assets and lease liabilities are as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4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24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lease expense</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1,510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Cash paid for amounts included in the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measurement of operating lease liabilities $</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44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1,237</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auto"/>
              </w:rPr>
              <w:t>Leased assets obtained in exchange for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operating lease liabilities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00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407</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2"/>
                <w:szCs w:val="22"/>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4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420"/>
        </w:trPr>
        <w:tc>
          <w:tcPr>
            <w:tcW w:w="300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years)</w:t>
            </w:r>
          </w:p>
        </w:tc>
        <w:tc>
          <w:tcPr>
            <w:tcW w:w="240" w:type="dxa"/>
            <w:vAlign w:val="bottom"/>
          </w:tcPr>
          <w:p>
            <w:pPr>
              <w:spacing w:after="0"/>
              <w:rPr>
                <w:sz w:val="22"/>
                <w:szCs w:val="22"/>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Future minimum lease payments under non-cancelable operating leases as of September 30, 2024 was as follows:</w:t>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3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lease payments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r>
      <w:tr>
        <w:trPr>
          <w:trHeight w:val="22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4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September 30, 2024, the Company had no operating lease liabilities that had not commenced.</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 and Obligations</w:t>
      </w:r>
    </w:p>
    <w:p>
      <w:pPr>
        <w:spacing w:after="0" w:line="228"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$0.5 million and $0.4 million as of September 30, 2024 and December 31, 2023, respectively.</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76"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316"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Company has not incurred costs to defend lawsuits or settle claims related to these indemnification agreements. No liability associated with such indemnifications has been recorded to date.</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Contingencies</w:t>
      </w:r>
    </w:p>
    <w:p>
      <w:pPr>
        <w:spacing w:after="0" w:line="254"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spacing w:after="0" w:line="200" w:lineRule="exact"/>
        <w:rPr>
          <w:sz w:val="20"/>
          <w:szCs w:val="20"/>
          <w:color w:val="auto"/>
        </w:rPr>
      </w:pPr>
    </w:p>
    <w:p>
      <w:pPr>
        <w:spacing w:after="0" w:line="212"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arising in the ordinary course of its business. Except with regards to the Investigation, the Company is not presently a party to any material legal proceedings that, if determined adversely to the Company, would have a material adverse effect on the Company.</w:t>
      </w:r>
    </w:p>
    <w:p>
      <w:pPr>
        <w:spacing w:after="0" w:line="160" w:lineRule="exact"/>
        <w:rPr>
          <w:sz w:val="20"/>
          <w:szCs w:val="20"/>
          <w:color w:val="auto"/>
        </w:rPr>
      </w:pPr>
    </w:p>
    <w:p>
      <w:pPr>
        <w:ind w:left="400" w:right="10040" w:hanging="395"/>
        <w:spacing w:after="0" w:line="452" w:lineRule="auto"/>
        <w:tabs>
          <w:tab w:leader="none" w:pos="18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Borrowings </w:t>
      </w:r>
      <w:r>
        <w:rPr>
          <w:rFonts w:ascii="Times New Roman" w:cs="Times New Roman" w:eastAsia="Times New Roman" w:hAnsi="Times New Roman"/>
          <w:sz w:val="17"/>
          <w:szCs w:val="17"/>
          <w:b w:val="1"/>
          <w:bCs w:val="1"/>
          <w:i w:val="1"/>
          <w:iCs w:val="1"/>
          <w:color w:val="auto"/>
        </w:rPr>
        <w:t>Term Loan</w:t>
      </w: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summarizes the outstanding borrowings from the term loan as of periods presented:</w:t>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1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204"/>
        </w:trPr>
        <w:tc>
          <w:tcPr>
            <w:tcW w:w="6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60" w:type="dxa"/>
            <w:vAlign w:val="bottom"/>
            <w:gridSpan w:val="4"/>
          </w:tcPr>
          <w:p>
            <w:pPr>
              <w:jc w:val="right"/>
              <w:ind w:right="954"/>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outstanding and final fee</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Unaccreted value of final fee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debt, net of debt issuance costs and unaccreted value of final fee</w:t>
            </w: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36,192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36,065</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9"/>
        </w:trPr>
        <w:tc>
          <w:tcPr>
            <w:tcW w:w="6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Classified as:</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23"/>
        </w:trPr>
        <w:tc>
          <w:tcPr>
            <w:tcW w:w="6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Long-term borrowings</w:t>
            </w: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36,192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36,065</w:t>
            </w:r>
          </w:p>
        </w:tc>
      </w:tr>
      <w:tr>
        <w:trPr>
          <w:trHeight w:val="20"/>
        </w:trPr>
        <w:tc>
          <w:tcPr>
            <w:tcW w:w="6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outstanding debt is related to a term loan pursuant to the Loan and Security Agreement dated August 12, 2021 entered into by the Company with Silicon Valley Bank (“SVB” or the “Lender”) (the “Original Loan Agreement”). Pursuant to the Original Loan Agreement, SVB provided a term loan in an aggregate principal amount of $35.0 million to the Company (the “Original Term Loan”).</w:t>
      </w:r>
    </w:p>
    <w:p>
      <w:pPr>
        <w:spacing w:after="0" w:line="110"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On January 6, 2023, the Company entered into a First Amendment to Loan and Security Agreement (the “First Amendment”) with SVB, which amended the Company's Original Term Loan pursuant to which the Company received a new term loan facility in an aggregate principal amount of $36.0 million (the “Original Loan Agreement” with the Amendment, collectively the “Amended Loan Agreement”). Upon entry into the Amended Loan Agreement, the Company borrowed $36.0 million pursuant to a term loan (the "Term Loan"), which was substantially used to repay in full the $35.0 million term loan outstanding under the Original Loan Agreement and secured a revolving credit facility in an aggregate principal amount of up to $15.0 million (the “Revolving Line”). The Amended Loan Agreement also includes an uncommitted accordion term loan in an aggregate principal amount of up to $15.0 million, which accordion may be approved by the Lender solely in its discretion, upon the Company’s request. The Term Loan matures on December 1, 2027 (the “Term Loan Maturity Date”). Interest on the Term Loan will be payable monthly at a floating annual rate set at the greater of (i) the prime rate as published in the Wall Street Journal plus 0.5% or (ii) 6.75%. Commencing on July 1, 2025, the Company will be required to make monthly principal Term Loan amortization payments. A final fee payment of 2% of the original principal amount of the Term Loan is due upon the earlier of the Term Loan Maturity Date, termination of the Amended Loan Agreement, acceleration by the Lender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the Lender. Pursuant to the terms of the Amended Loan Agreement, revolving loans may be borrowed, repaid and reborrowed until the maturity date, which will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the Company does not maintain an adjusted quick ratio of at least 1.5 to 1.0, then falling below such threshold will allow the Lender to apply accounts receivable collections to outstanding Revolving Line borrowings. The Company will pay a total commitment fee of $187,500 on account of the Revolving Line payable in installments, but fully earned at close. The Company will also be required to pay a fee of $150,000 if it terminates the Amended Loan Agreement or Revolving Line prior to Revolving Line Maturity Date, or if the Lender terminates the Loan Agreement or the Revolving Line following an event of default. No termination fee would be due if the Revolving Line is replaced with a new facility with the Lender.</w:t>
      </w:r>
    </w:p>
    <w:p>
      <w:pPr>
        <w:spacing w:after="0" w:line="33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w:t>
      </w:r>
    </w:p>
    <w:p>
      <w:pPr>
        <w:spacing w:after="0" w:line="110"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On January 25, 2024, the Company entered into a Second Amendment to Loan and Security Agreement with SVB which amends the Company's Amended Loan Agreement (the “Second Amendment” and together with the Amended Loan Agreement, the “Second Amended Loan Agreement”). The Second Amendment revised certain provisions related to financial covenants and the periods in which the covenants apply. No amounts were outstanding under the Revolver as of September 30, 2024.</w:t>
      </w:r>
    </w:p>
    <w:p>
      <w:pPr>
        <w:spacing w:after="0" w:line="11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accounted for the Second Amended Loan Agreement as a debt modification. Accordingly, the remaining unamortized debt issuance costs related to the Original Loan Agreement together with any lender fees incurred in connection with the entry of the Second Amended Loan Agreement are amortized to interest expense using the straight-line method over the new term of the loan through December 2027.</w:t>
      </w:r>
    </w:p>
    <w:p>
      <w:pPr>
        <w:spacing w:after="0" w:line="110"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The effective interest rate related to the First-Citizens Term Loan for the three and nine months ended September 30, 2024 was 9.2% and 9.3%, respectively. The effective interest rate related to the First-Citizens Term Loan for the three and nine months ended September 30, 2023 was 9.3% and 8.9%,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future principal and final fee payments under the First-Citizens Term Loan as of September 30, 2024:</w:t>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Pr>
          <w:p>
            <w:pPr>
              <w:spacing w:after="0"/>
              <w:rPr>
                <w:sz w:val="18"/>
                <w:szCs w:val="18"/>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8,400</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14,400</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13,920</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principal and final fee payments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36,720</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17"/>
          <w:szCs w:val="17"/>
          <w:color w:val="auto"/>
        </w:rPr>
        <w:t>The Second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September 30, 2024, the Company was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472"/>
        <w:spacing w:after="0" w:line="243" w:lineRule="auto"/>
        <w:rPr>
          <w:sz w:val="20"/>
          <w:szCs w:val="20"/>
          <w:color w:val="auto"/>
        </w:rPr>
      </w:pPr>
      <w:r>
        <w:rPr>
          <w:rFonts w:ascii="Times New Roman" w:cs="Times New Roman" w:eastAsia="Times New Roman" w:hAnsi="Times New Roman"/>
          <w:sz w:val="17"/>
          <w:szCs w:val="17"/>
          <w:color w:val="auto"/>
        </w:rPr>
        <w:t>On November 8, 2024, the Company entered into a Third Amendment to the Loan and Security Agreement with First-Citizens (the “Third Amendment” and together with the Second Amended Loan Agreement, collectively, the “Third Amended Loan Agreement”), pursuant to which a new term loan in the original aggregate principal amount of $36.0 million was extended by First-Citizens to the Company (the “Third Amendment Term Loan”), which was substantially used to refinance and repay in full the then-outstanding $36.0 million existing Term Loan. The Company also paid a certain final payment due relative to such prior Term Loan. The Third Amendment sets the maturity date for the Third Amendment Term Loan to September 1, 2029 (the “Third Amendment Term Loan Maturity Date”), and defers the first principal repayment due date relative to the Third Amendment Term Loan to October 1, 2027; provided that upon the achievement of the Performance Milestone (as defined in the Third Amendment), the first principal payment shall become due on October 1, 2028. Interest on the Third Amendment Term Loan will be payable monthly at a floating rate per annum equal to the greater of 4.25% and the Prime Rate minus 0.5%. The Company may elect to prepay the Third Amendment Term Loan in whole prior to the Third Amendment Term Loan Term Loan Maturity Date, subject to a prepayment fee equal to 1.5% of the original principal amount of the Third Amendment Term Loan if it is prepaid within 18 months following the closing of the Third Amendment. The Third Amendment further revised certain provisions related to financial covenants and the periods in which the covenants apply, and First-Citizens and the Company also terminated the Revolving Line and an uncommitted accordion term loan provision. Accordingly, the Company's outstanding amount under the Second Amended Loan Agreement was classified as non-current as of September 30,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right="7840" w:hanging="435"/>
        <w:spacing w:after="0" w:line="532" w:lineRule="auto"/>
        <w:tabs>
          <w:tab w:leader="none" w:pos="182"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Incentive Compensation Plans </w:t>
      </w:r>
      <w:r>
        <w:rPr>
          <w:rFonts w:ascii="Times New Roman" w:cs="Times New Roman" w:eastAsia="Times New Roman" w:hAnsi="Times New Roman"/>
          <w:sz w:val="17"/>
          <w:szCs w:val="17"/>
          <w:b w:val="1"/>
          <w:bCs w:val="1"/>
          <w:i w:val="1"/>
          <w:iCs w:val="1"/>
          <w:color w:val="auto"/>
        </w:rPr>
        <w:t>Stock Options</w:t>
      </w:r>
    </w:p>
    <w:p>
      <w:pPr>
        <w:ind w:left="4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table below summarizes the stock option activity for the nine months ended September 30, 2024:</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rPr>
                <w:sz w:val="14"/>
                <w:szCs w:val="14"/>
                <w:color w:val="auto"/>
              </w:rPr>
            </w:pPr>
          </w:p>
        </w:tc>
        <w:tc>
          <w:tcPr>
            <w:tcW w:w="102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36"/>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16"/>
              <w:spacing w:after="0" w:line="158"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80" w:type="dxa"/>
            <w:vAlign w:val="bottom"/>
          </w:tcPr>
          <w:p>
            <w:pPr>
              <w:spacing w:after="0"/>
              <w:rPr>
                <w:sz w:val="13"/>
                <w:szCs w:val="13"/>
                <w:color w:val="auto"/>
              </w:rPr>
            </w:pPr>
          </w:p>
        </w:tc>
        <w:tc>
          <w:tcPr>
            <w:tcW w:w="10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Intrinsic Value</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2023</w:t>
            </w:r>
          </w:p>
        </w:tc>
        <w:tc>
          <w:tcPr>
            <w:tcW w:w="100" w:type="dxa"/>
            <w:vAlign w:val="bottom"/>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1,188,708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6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8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13,197</w:t>
            </w:r>
          </w:p>
        </w:tc>
        <w:tc>
          <w:tcPr>
            <w:tcW w:w="0" w:type="dxa"/>
            <w:vAlign w:val="bottom"/>
          </w:tcPr>
          <w:p>
            <w:pPr>
              <w:spacing w:after="0"/>
              <w:rPr>
                <w:sz w:val="1"/>
                <w:szCs w:val="1"/>
                <w:color w:val="auto"/>
              </w:rPr>
            </w:pPr>
          </w:p>
        </w:tc>
      </w:tr>
      <w:tr>
        <w:trPr>
          <w:trHeight w:val="249"/>
        </w:trPr>
        <w:tc>
          <w:tcPr>
            <w:tcW w:w="4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Exercised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(141,860)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Canceled and forfeited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(3,892)</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6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September 30, 2024</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1,042,956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vested and exercisable, September 30, 2024</w:t>
            </w:r>
          </w:p>
        </w:tc>
        <w:tc>
          <w:tcPr>
            <w:tcW w:w="100" w:type="dxa"/>
            <w:vAlign w:val="bottom"/>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1,042,956</w:t>
            </w:r>
          </w:p>
        </w:tc>
        <w:tc>
          <w:tcPr>
            <w:tcW w:w="10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60" w:type="dxa"/>
            <w:vAlign w:val="bottom"/>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8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Options vested and expected to vest, September 30,</w:t>
            </w:r>
          </w:p>
        </w:tc>
        <w:tc>
          <w:tcPr>
            <w:tcW w:w="10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00" w:type="dxa"/>
            <w:vAlign w:val="bottom"/>
            <w:vMerge w:val="continue"/>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1,042,956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gridSpan w:val="2"/>
            <w:vMerge w:val="continue"/>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September 30, 2024, there is no unrecognized compensation cost related to stock options.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were no stock options granted during the three and nine months ended September 30, 2024 and 2023.</w:t>
      </w:r>
    </w:p>
    <w:p>
      <w:pPr>
        <w:spacing w:after="0" w:line="3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 (“RSUs”)</w:t>
      </w:r>
    </w:p>
    <w:p>
      <w:pPr>
        <w:spacing w:after="0" w:line="228"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RSUs are share awards that entitle the holder to receive freely tradable shares of the Company’s common stock upon vesting. RSUs generally vest over one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As of September 30, 2024, the unrecognized compensation cost related to the RSUs was $33.0 million, which is expected to be recognized over a period of approximately 2.4 years.</w:t>
      </w:r>
    </w:p>
    <w:p>
      <w:pPr>
        <w:spacing w:after="0" w:line="172"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213"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Expected volatility of common stock</w:t>
            </w: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47.0%</w:t>
            </w:r>
          </w:p>
        </w:tc>
        <w:tc>
          <w:tcPr>
            <w:tcW w:w="76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to</w:t>
            </w:r>
          </w:p>
        </w:tc>
        <w:tc>
          <w:tcPr>
            <w:tcW w:w="126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Pr>
          <w:p>
            <w:pPr>
              <w:spacing w:after="0"/>
              <w:rPr>
                <w:sz w:val="18"/>
                <w:szCs w:val="18"/>
                <w:color w:val="auto"/>
              </w:rPr>
            </w:pPr>
          </w:p>
        </w:tc>
        <w:tc>
          <w:tcPr>
            <w:tcW w:w="124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58.0%</w:t>
            </w: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to</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73.0%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Expected volatility of peer companies</w:t>
            </w:r>
          </w:p>
        </w:tc>
        <w:tc>
          <w:tcPr>
            <w:tcW w:w="100" w:type="dxa"/>
            <w:vAlign w:val="bottom"/>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29.0%</w:t>
            </w:r>
          </w:p>
        </w:tc>
        <w:tc>
          <w:tcPr>
            <w:tcW w:w="7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to</w:t>
            </w:r>
          </w:p>
        </w:tc>
        <w:tc>
          <w:tcPr>
            <w:tcW w:w="12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97.0%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color w:val="auto"/>
              </w:rPr>
              <w:t>33.0%</w:t>
            </w:r>
          </w:p>
        </w:tc>
        <w:tc>
          <w:tcPr>
            <w:tcW w:w="74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rPr>
              <w:t>to</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141.0%</w:t>
            </w:r>
          </w:p>
        </w:tc>
        <w:tc>
          <w:tcPr>
            <w:tcW w:w="0" w:type="dxa"/>
            <w:vAlign w:val="bottom"/>
          </w:tcPr>
          <w:p>
            <w:pPr>
              <w:spacing w:after="0"/>
              <w:rPr>
                <w:sz w:val="1"/>
                <w:szCs w:val="1"/>
                <w:color w:val="auto"/>
              </w:rPr>
            </w:pPr>
          </w:p>
        </w:tc>
      </w:tr>
      <w:tr>
        <w:trPr>
          <w:trHeight w:val="223"/>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Correlation coefficient of peer companies</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w:t>
            </w:r>
          </w:p>
        </w:tc>
        <w:tc>
          <w:tcPr>
            <w:tcW w:w="76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to</w:t>
            </w:r>
          </w:p>
        </w:tc>
        <w:tc>
          <w:tcPr>
            <w:tcW w:w="126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24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(0.15)</w:t>
            </w: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to</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7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to</w:t>
            </w:r>
          </w:p>
        </w:tc>
        <w:tc>
          <w:tcPr>
            <w:tcW w:w="12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color w:val="auto"/>
              </w:rPr>
              <w:t>3.9%</w:t>
            </w:r>
          </w:p>
        </w:tc>
        <w:tc>
          <w:tcPr>
            <w:tcW w:w="74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rPr>
              <w:t>to</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8"/>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w:t>
            </w:r>
          </w:p>
        </w:tc>
        <w:tc>
          <w:tcPr>
            <w:tcW w:w="76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to</w:t>
            </w:r>
          </w:p>
        </w:tc>
        <w:tc>
          <w:tcPr>
            <w:tcW w:w="126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to</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September 30, 2024, the unrecognized compensation cost related to the PSUs was $4.8 million, which is expected to be recognized over a period of approximately 2.0 years.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table below summarizes RSU and PSU activity for the nine months ended September 30, 2024:</w:t>
      </w:r>
    </w:p>
    <w:p>
      <w:pPr>
        <w:spacing w:after="0" w:line="266"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06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PSUs</w:t>
            </w: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1060" w:type="dxa"/>
            <w:vAlign w:val="bottom"/>
            <w:tcBorders>
              <w:top w:val="single" w:sz="8" w:color="auto"/>
            </w:tcBorders>
            <w:vMerge w:val="restart"/>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4"/>
              </w:rPr>
              <w:t>Weighted</w:t>
            </w:r>
          </w:p>
        </w:tc>
        <w:tc>
          <w:tcPr>
            <w:tcW w:w="80" w:type="dxa"/>
            <w:vAlign w:val="bottom"/>
          </w:tcPr>
          <w:p>
            <w:pPr>
              <w:spacing w:after="0"/>
              <w:rPr>
                <w:sz w:val="13"/>
                <w:szCs w:val="13"/>
                <w:color w:val="auto"/>
              </w:rPr>
            </w:pPr>
          </w:p>
        </w:tc>
        <w:tc>
          <w:tcPr>
            <w:tcW w:w="1060" w:type="dxa"/>
            <w:vAlign w:val="bottom"/>
            <w:tcBorders>
              <w:top w:val="single" w:sz="8" w:color="auto"/>
            </w:tcBorders>
            <w:vMerge w:val="restart"/>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34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5"/>
              </w:rPr>
              <w:t>Average Grant</w:t>
            </w:r>
          </w:p>
        </w:tc>
        <w:tc>
          <w:tcPr>
            <w:tcW w:w="10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Average Grant</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10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Date Fair Value</w:t>
            </w:r>
          </w:p>
        </w:tc>
        <w:tc>
          <w:tcPr>
            <w:tcW w:w="10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Date Fair Value</w:t>
            </w:r>
          </w:p>
        </w:tc>
        <w:tc>
          <w:tcPr>
            <w:tcW w:w="0" w:type="dxa"/>
            <w:vAlign w:val="bottom"/>
          </w:tcPr>
          <w:p>
            <w:pPr>
              <w:spacing w:after="0"/>
              <w:rPr>
                <w:sz w:val="1"/>
                <w:szCs w:val="1"/>
                <w:color w:val="auto"/>
              </w:rPr>
            </w:pPr>
          </w:p>
        </w:tc>
      </w:tr>
      <w:tr>
        <w:trPr>
          <w:trHeight w:val="217"/>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December 31, 2023</w:t>
            </w:r>
          </w:p>
        </w:tc>
        <w:tc>
          <w:tcPr>
            <w:tcW w:w="1060" w:type="dxa"/>
            <w:vAlign w:val="bottom"/>
            <w:tcBorders>
              <w:top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rPr>
              <w:t>1,899,790</w:t>
            </w: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$19.93</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rPr>
              <w:t>385,122</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$14.74</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6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1,107,102</w:t>
            </w:r>
          </w:p>
        </w:tc>
        <w:tc>
          <w:tcPr>
            <w:tcW w:w="1540" w:type="dxa"/>
            <w:vAlign w:val="bottom"/>
            <w:gridSpan w:val="3"/>
          </w:tcPr>
          <w:p>
            <w:pPr>
              <w:jc w:val="center"/>
              <w:ind w:left="195"/>
              <w:spacing w:after="0"/>
              <w:rPr>
                <w:sz w:val="20"/>
                <w:szCs w:val="20"/>
                <w:color w:val="auto"/>
              </w:rPr>
            </w:pPr>
            <w:r>
              <w:rPr>
                <w:rFonts w:ascii="Times New Roman" w:cs="Times New Roman" w:eastAsia="Times New Roman" w:hAnsi="Times New Roman"/>
                <w:sz w:val="17"/>
                <w:szCs w:val="17"/>
                <w:color w:val="auto"/>
                <w:w w:val="99"/>
              </w:rPr>
              <w:t>18.14</w:t>
            </w:r>
          </w:p>
        </w:tc>
        <w:tc>
          <w:tcPr>
            <w:tcW w:w="80" w:type="dxa"/>
            <w:vAlign w:val="bottom"/>
          </w:tcPr>
          <w:p>
            <w:pPr>
              <w:spacing w:after="0"/>
              <w:rPr>
                <w:sz w:val="19"/>
                <w:szCs w:val="19"/>
                <w:color w:val="auto"/>
              </w:rPr>
            </w:pPr>
          </w:p>
        </w:tc>
        <w:tc>
          <w:tcPr>
            <w:tcW w:w="106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319,858</w:t>
            </w:r>
          </w:p>
        </w:tc>
        <w:tc>
          <w:tcPr>
            <w:tcW w:w="1560" w:type="dxa"/>
            <w:vAlign w:val="bottom"/>
            <w:gridSpan w:val="3"/>
          </w:tcPr>
          <w:p>
            <w:pPr>
              <w:jc w:val="center"/>
              <w:ind w:left="235"/>
              <w:spacing w:after="0"/>
              <w:rPr>
                <w:sz w:val="20"/>
                <w:szCs w:val="20"/>
                <w:color w:val="auto"/>
              </w:rPr>
            </w:pPr>
            <w:r>
              <w:rPr>
                <w:rFonts w:ascii="Times New Roman" w:cs="Times New Roman" w:eastAsia="Times New Roman" w:hAnsi="Times New Roman"/>
                <w:sz w:val="17"/>
                <w:szCs w:val="17"/>
                <w:color w:val="auto"/>
              </w:rPr>
              <w:t>18.48</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06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7"/>
                <w:szCs w:val="17"/>
                <w:color w:val="auto"/>
              </w:rPr>
              <w:t>(746,176)</w:t>
            </w:r>
          </w:p>
        </w:tc>
        <w:tc>
          <w:tcPr>
            <w:tcW w:w="1540" w:type="dxa"/>
            <w:vAlign w:val="bottom"/>
            <w:gridSpan w:val="3"/>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9"/>
              </w:rPr>
              <w:t>21.06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rPr>
              <w:t>(94,439)</w:t>
            </w:r>
          </w:p>
        </w:tc>
        <w:tc>
          <w:tcPr>
            <w:tcW w:w="1560" w:type="dxa"/>
            <w:vAlign w:val="bottom"/>
            <w:gridSpan w:val="3"/>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rPr>
              <w:t>16.27</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Canceled and forfeited</w:t>
            </w:r>
          </w:p>
        </w:tc>
        <w:tc>
          <w:tcPr>
            <w:tcW w:w="106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7"/>
                <w:szCs w:val="17"/>
                <w:color w:val="auto"/>
                <w:w w:val="99"/>
              </w:rPr>
              <w:t>(61,911)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19.68</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as of September 30, 2024</w:t>
            </w:r>
          </w:p>
        </w:tc>
        <w:tc>
          <w:tcPr>
            <w:tcW w:w="106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rPr>
              <w:t>2,198,805</w:t>
            </w:r>
          </w:p>
        </w:tc>
        <w:tc>
          <w:tcPr>
            <w:tcW w:w="1540" w:type="dxa"/>
            <w:vAlign w:val="bottom"/>
            <w:gridSpan w:val="3"/>
            <w:shd w:val="clear" w:color="auto" w:fill="CCEEFF"/>
          </w:tcPr>
          <w:p>
            <w:pPr>
              <w:jc w:val="center"/>
              <w:ind w:left="195"/>
              <w:spacing w:after="0"/>
              <w:rPr>
                <w:sz w:val="20"/>
                <w:szCs w:val="20"/>
                <w:color w:val="auto"/>
              </w:rPr>
            </w:pPr>
            <w:r>
              <w:rPr>
                <w:rFonts w:ascii="Times New Roman" w:cs="Times New Roman" w:eastAsia="Times New Roman" w:hAnsi="Times New Roman"/>
                <w:sz w:val="17"/>
                <w:szCs w:val="17"/>
                <w:color w:val="auto"/>
                <w:w w:val="99"/>
              </w:rPr>
              <w:t>18.65</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7"/>
                <w:szCs w:val="17"/>
                <w:color w:val="auto"/>
              </w:rPr>
              <w:t>610,541</w:t>
            </w:r>
          </w:p>
        </w:tc>
        <w:tc>
          <w:tcPr>
            <w:tcW w:w="1560" w:type="dxa"/>
            <w:vAlign w:val="bottom"/>
            <w:gridSpan w:val="3"/>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rPr>
              <w:t>16.47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2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color w:val="auto"/>
        </w:rPr>
        <w:t>The fair value of the ESPP shares is estimated using the Black-Scholes option pricing model, which is being amortized over the requisite service period. The Company issued 114,636 and 130,867 shares under the ESPP, representing $1.5 million in employee contributions for each of the nine months ended September 30, 2024 and 2023. As of September 30, 2024 and December 31, 2023, total accumulated ESPP related employee payroll deductions amounted to $0.6 million and $0.4 million, respectively, which were included within accrued compensation and related expenses in the condensed consolidated balance sheets.</w:t>
      </w: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table below presents the detail of stock-based compensation expense amounts included in the condensed consolidated statements of operations:</w:t>
      </w:r>
    </w:p>
    <w:p>
      <w:pPr>
        <w:spacing w:after="0" w:line="242"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300" w:type="dxa"/>
            <w:vAlign w:val="bottom"/>
            <w:gridSpan w:val="4"/>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4"/>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9"/>
        </w:trPr>
        <w:tc>
          <w:tcPr>
            <w:tcW w:w="43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03"/>
        </w:trPr>
        <w:tc>
          <w:tcPr>
            <w:tcW w:w="43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3"/>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4"/>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Cost of goods sold</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23"/>
        </w:trPr>
        <w:tc>
          <w:tcPr>
            <w:tcW w:w="4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Sales and marketing</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8,267</w:t>
            </w:r>
          </w:p>
        </w:tc>
      </w:tr>
      <w:tr>
        <w:trPr>
          <w:trHeight w:val="223"/>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23"/>
        </w:trPr>
        <w:tc>
          <w:tcPr>
            <w:tcW w:w="4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7,184</w:t>
            </w:r>
          </w:p>
        </w:tc>
      </w:tr>
      <w:tr>
        <w:trPr>
          <w:trHeight w:val="241"/>
        </w:trPr>
        <w:tc>
          <w:tcPr>
            <w:tcW w:w="4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table below summarizes common stock warrants activity for the nine months ended September 30,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Balance at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6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Balance at</w:t>
            </w:r>
          </w:p>
        </w:tc>
        <w:tc>
          <w:tcPr>
            <w:tcW w:w="0" w:type="dxa"/>
            <w:vAlign w:val="bottom"/>
          </w:tcPr>
          <w:p>
            <w:pPr>
              <w:spacing w:after="0"/>
              <w:rPr>
                <w:sz w:val="1"/>
                <w:szCs w:val="1"/>
                <w:color w:val="auto"/>
              </w:rPr>
            </w:pPr>
          </w:p>
        </w:tc>
      </w:tr>
      <w:tr>
        <w:trPr>
          <w:trHeight w:val="103"/>
        </w:trPr>
        <w:tc>
          <w:tcPr>
            <w:tcW w:w="10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vMerge w:val="restart"/>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Warrants</w:t>
            </w:r>
          </w:p>
        </w:tc>
        <w:tc>
          <w:tcPr>
            <w:tcW w:w="80" w:type="dxa"/>
            <w:vAlign w:val="bottom"/>
          </w:tcPr>
          <w:p>
            <w:pPr>
              <w:spacing w:after="0"/>
              <w:rPr>
                <w:sz w:val="8"/>
                <w:szCs w:val="8"/>
                <w:color w:val="auto"/>
              </w:rPr>
            </w:pPr>
          </w:p>
        </w:tc>
        <w:tc>
          <w:tcPr>
            <w:tcW w:w="1160" w:type="dxa"/>
            <w:vAlign w:val="bottom"/>
            <w:vMerge w:val="restart"/>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Warrant</w:t>
            </w:r>
          </w:p>
        </w:tc>
        <w:tc>
          <w:tcPr>
            <w:tcW w:w="80" w:type="dxa"/>
            <w:vAlign w:val="bottom"/>
          </w:tcPr>
          <w:p>
            <w:pPr>
              <w:spacing w:after="0"/>
              <w:rPr>
                <w:sz w:val="8"/>
                <w:szCs w:val="8"/>
                <w:color w:val="auto"/>
              </w:rPr>
            </w:pPr>
          </w:p>
        </w:tc>
        <w:tc>
          <w:tcPr>
            <w:tcW w:w="1140" w:type="dxa"/>
            <w:vAlign w:val="bottom"/>
            <w:vMerge w:val="restart"/>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Warrant</w:t>
            </w:r>
          </w:p>
        </w:tc>
        <w:tc>
          <w:tcPr>
            <w:tcW w:w="100" w:type="dxa"/>
            <w:vAlign w:val="bottom"/>
          </w:tcPr>
          <w:p>
            <w:pPr>
              <w:spacing w:after="0"/>
              <w:rPr>
                <w:sz w:val="8"/>
                <w:szCs w:val="8"/>
                <w:color w:val="auto"/>
              </w:rPr>
            </w:pPr>
          </w:p>
        </w:tc>
        <w:tc>
          <w:tcPr>
            <w:tcW w:w="1820" w:type="dxa"/>
            <w:vAlign w:val="bottom"/>
            <w:gridSpan w:val="2"/>
            <w:vMerge w:val="restart"/>
          </w:tcPr>
          <w:p>
            <w:pPr>
              <w:jc w:val="center"/>
              <w:ind w:right="6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0" w:type="dxa"/>
            <w:vAlign w:val="bottom"/>
          </w:tcPr>
          <w:p>
            <w:pPr>
              <w:spacing w:after="0"/>
              <w:rPr>
                <w:sz w:val="1"/>
                <w:szCs w:val="1"/>
                <w:color w:val="auto"/>
              </w:rPr>
            </w:pPr>
          </w:p>
        </w:tc>
      </w:tr>
      <w:tr>
        <w:trPr>
          <w:trHeight w:val="35"/>
        </w:trPr>
        <w:tc>
          <w:tcPr>
            <w:tcW w:w="1020" w:type="dxa"/>
            <w:vAlign w:val="bottom"/>
          </w:tcPr>
          <w:p>
            <w:pPr>
              <w:spacing w:after="0"/>
              <w:rPr>
                <w:sz w:val="3"/>
                <w:szCs w:val="3"/>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0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160" w:type="dxa"/>
            <w:vAlign w:val="bottom"/>
            <w:gridSpan w:val="2"/>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8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126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3/1/2017</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3/1/2027</w:t>
            </w:r>
          </w:p>
        </w:tc>
        <w:tc>
          <w:tcPr>
            <w:tcW w:w="10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11/26/2014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11/26/2024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6,680</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4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10/20/2015</w:t>
            </w:r>
          </w:p>
        </w:tc>
        <w:tc>
          <w:tcPr>
            <w:tcW w:w="126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7"/>
                <w:szCs w:val="17"/>
                <w:color w:val="auto"/>
              </w:rPr>
              <w:t>10/20/2025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41,650</w:t>
            </w:r>
          </w:p>
        </w:tc>
        <w:tc>
          <w:tcPr>
            <w:tcW w:w="4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41,650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11/9/2015</w:t>
            </w:r>
          </w:p>
        </w:tc>
        <w:tc>
          <w:tcPr>
            <w:tcW w:w="126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rPr>
              <w:t>11/9/2025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25,709</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25,709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4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12/22/2016</w:t>
            </w:r>
          </w:p>
        </w:tc>
        <w:tc>
          <w:tcPr>
            <w:tcW w:w="126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7"/>
                <w:szCs w:val="17"/>
                <w:color w:val="auto"/>
              </w:rPr>
              <w:t>12/22/2026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9,712</w:t>
            </w:r>
          </w:p>
        </w:tc>
        <w:tc>
          <w:tcPr>
            <w:tcW w:w="4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Net Loss Per Share of Common Stock</w:t>
      </w:r>
    </w:p>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table below summarizes the computation of basic and diluted net loss per share:</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7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60" w:type="dxa"/>
            <w:vAlign w:val="bottom"/>
            <w:gridSpan w:val="9"/>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w w:val="97"/>
              </w:rPr>
              <w:t>(in thousands, except share and per share data)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(32,353)</w:t>
            </w:r>
          </w:p>
        </w:tc>
        <w:tc>
          <w:tcPr>
            <w:tcW w:w="0" w:type="dxa"/>
            <w:vAlign w:val="bottom"/>
          </w:tcPr>
          <w:p>
            <w:pPr>
              <w:spacing w:after="0"/>
              <w:rPr>
                <w:sz w:val="1"/>
                <w:szCs w:val="1"/>
                <w:color w:val="auto"/>
              </w:rPr>
            </w:pPr>
          </w:p>
        </w:tc>
      </w:tr>
      <w:tr>
        <w:trPr>
          <w:trHeight w:val="400"/>
        </w:trPr>
        <w:tc>
          <w:tcPr>
            <w:tcW w:w="4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Weighted-average shares used to compute basic and diluted net</w:t>
            </w: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7"/>
                <w:szCs w:val="17"/>
                <w:color w:val="auto"/>
              </w:rPr>
              <w:t>41,717,505</w:t>
            </w: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40,265,520</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7"/>
                <w:szCs w:val="17"/>
                <w:color w:val="auto"/>
              </w:rPr>
              <w:t>41,324,614</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37,702,207</w:t>
            </w:r>
          </w:p>
        </w:tc>
        <w:tc>
          <w:tcPr>
            <w:tcW w:w="0" w:type="dxa"/>
            <w:vAlign w:val="bottom"/>
          </w:tcPr>
          <w:p>
            <w:pPr>
              <w:spacing w:after="0"/>
              <w:rPr>
                <w:sz w:val="1"/>
                <w:szCs w:val="1"/>
                <w:color w:val="auto"/>
              </w:rPr>
            </w:pPr>
          </w:p>
        </w:tc>
      </w:tr>
      <w:tr>
        <w:trPr>
          <w:trHeight w:val="210"/>
        </w:trPr>
        <w:tc>
          <w:tcPr>
            <w:tcW w:w="4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per share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51"/>
        <w:spacing w:after="0" w:line="277" w:lineRule="auto"/>
        <w:rPr>
          <w:sz w:val="20"/>
          <w:szCs w:val="20"/>
          <w:color w:val="auto"/>
        </w:rPr>
      </w:pPr>
      <w:r>
        <w:rPr>
          <w:rFonts w:ascii="Times New Roman" w:cs="Times New Roman" w:eastAsia="Times New Roman" w:hAnsi="Times New Roman"/>
          <w:sz w:val="17"/>
          <w:szCs w:val="17"/>
          <w:color w:val="auto"/>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10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20" w:type="dxa"/>
            <w:vAlign w:val="bottom"/>
            <w:gridSpan w:val="3"/>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4"/>
        </w:trPr>
        <w:tc>
          <w:tcPr>
            <w:tcW w:w="452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 options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1,042,956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1,216,841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1,042,956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1,216,841</w:t>
            </w:r>
          </w:p>
        </w:tc>
      </w:tr>
      <w:tr>
        <w:trPr>
          <w:trHeight w:val="22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Restricted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2,809,346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2,501,207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2,809,346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2,501,207</w:t>
            </w:r>
          </w:p>
        </w:tc>
      </w:tr>
      <w:tr>
        <w:trPr>
          <w:trHeight w:val="223"/>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ESPP purchase rights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38,727</w:t>
            </w:r>
          </w:p>
        </w:tc>
      </w:tr>
      <w:tr>
        <w:trPr>
          <w:trHeight w:val="223"/>
        </w:trPr>
        <w:tc>
          <w:tcPr>
            <w:tcW w:w="4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Common stock warrants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85,139</w:t>
            </w:r>
          </w:p>
        </w:tc>
      </w:tr>
      <w:tr>
        <w:trPr>
          <w:trHeight w:val="241"/>
        </w:trPr>
        <w:tc>
          <w:tcPr>
            <w:tcW w:w="4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4,001,428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3,841,914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4,001,428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3,841,914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w:t>
      </w:r>
    </w:p>
    <w:p>
      <w:pPr>
        <w:spacing w:after="0" w:line="226"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On February 24, 2020, the Company entered into a joint development agreement (the “Development Agreement”) with SeaSpine Orthopedics Corporation (“SeaSpine”), which merged with Orthofix Medical, Inc. ("Orthofix"), to develop a next generation device for sacropelvic fixation. On April 27, 2021, the Company and SeaSpine entered into that certain Addendum No.1 to the Development Agreement to extend certain obligations as described under the Development Agreement to a consultant of the Company. Mr. Keith C. Valentine, formerly a member of the Company’s Board of Directors from August 2015 through June 2024, served as the President, Chief Executive Officer and a member of the board of directors of SeaSpine until its merger with Orthofix in January 2023, and subsequently as the President, Chief Executive Officer and a member of the board of directors of Orthofix until his resignation in October 2023. Subsequent to October 4, 2023, SeaSpine is no longer a related party of the Company.</w:t>
      </w:r>
    </w:p>
    <w:p>
      <w:pPr>
        <w:spacing w:after="0" w:line="17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and nine months ended September 30, 2023, the Company did not incur any reimbursement charges from Seaspine.</w:t>
      </w:r>
    </w:p>
    <w:p>
      <w:pPr>
        <w:spacing w:after="0" w:line="169"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The Company recorded $0.1 million and $0.2 million royalty for the three and nine months ended September 30, 2023, respectively.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nine months ended September 30, 2024 and 2023. The Company continues to maintain a full valuation allowance against its net deferred tax assets due to the uncertainty surrounding realization of such assets.</w:t>
      </w:r>
    </w:p>
    <w:p>
      <w:pPr>
        <w:spacing w:after="0" w:line="172" w:lineRule="exact"/>
        <w:rPr>
          <w:sz w:val="20"/>
          <w:szCs w:val="20"/>
          <w:color w:val="auto"/>
        </w:rPr>
      </w:pPr>
    </w:p>
    <w:p>
      <w:pPr>
        <w:jc w:val="both"/>
        <w:ind w:firstLine="472"/>
        <w:spacing w:after="0" w:line="277" w:lineRule="auto"/>
        <w:rPr>
          <w:sz w:val="20"/>
          <w:szCs w:val="20"/>
          <w:color w:val="auto"/>
        </w:rPr>
      </w:pPr>
      <w:r>
        <w:rPr>
          <w:rFonts w:ascii="Times New Roman" w:cs="Times New Roman" w:eastAsia="Times New Roman" w:hAnsi="Times New Roman"/>
          <w:sz w:val="17"/>
          <w:szCs w:val="17"/>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September 30, 2024 compared to December 31, 2023.</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24" w:lineRule="exact"/>
        <w:rPr>
          <w:sz w:val="20"/>
          <w:szCs w:val="20"/>
          <w:color w:val="auto"/>
        </w:rPr>
      </w:pPr>
    </w:p>
    <w:p>
      <w:pPr>
        <w:jc w:val="both"/>
        <w:ind w:firstLine="223"/>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February 27,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of our Annual Report on Form 10-K filed on February 27, 2024, our actual results could differ materially from the results described in, or implied, by these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3"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multiple titanium implant product lines, including iFuse-3D in 2017, iFuse-TORQ in 2021, iFuse Bedrock Granite in 2022, and iFuse INTRA and iFuse TORQ TNT in 2024. In the United States, iFuse, iFuse-3D, iFuse-TORQ and iFuse Bedrock Granite have clearances for applications in sacroiliac joint dysfunction, adult spinal deformity and pelvic trauma. iFuse TORQ TNT has clearances for applications in pelvic trauma and sacroiliac joint dysfunction.</w:t>
      </w:r>
    </w:p>
    <w:p>
      <w:pPr>
        <w:spacing w:after="0" w:line="18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market our products primarily with a direct sales force as well as a number of third-party sales agents in the United States, and with a combination of a direct sales force, and sales agents and resellers in other countries. As of September 30, 2024, over 110,000 procedures have been performed using our products by over 4,100 physicians in the United States and 38 other countries since we introduced iFuse in 2009.</w:t>
      </w:r>
    </w:p>
    <w:p>
      <w:pPr>
        <w:spacing w:after="0" w:line="162"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 May 2023, we received a total of $83.7 million of net proceeds from the offering of 3,775,000 shares of our common stock, and the exercise of the underwriter's option to purchase an additional 566,250 shares of our common stock, at a public offering price of $22.00 per share. Of these shares, 272,753 shares were offered by a selling stockholder and did not result in any proceeds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Results of Operations and Key Performance Indicators</w:t>
      </w:r>
    </w:p>
    <w:p>
      <w:pPr>
        <w:spacing w:after="0" w:line="22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Expand Access to Solutions</w:t>
      </w:r>
    </w:p>
    <w:p>
      <w:pPr>
        <w:spacing w:after="0" w:line="22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spacing w:after="0" w:line="162"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5" w:name="page26"/>
    <w:bookmarkEnd w:id="25"/>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As of September 30, 2024, our U.S. sales force consisted of 82 territory sales managers and 76 clinical support specialists directly employed by us and 227 third-party sales agents, compared to 83 territory sales managers and 68 clinical support specialists directly employed by us and 160 third-party sales agents as of September 30, 2023. As of September 30, 2024, our international sales force consisted of 11 sales representatives directly employed by us and a total of 29 third-party sales agents and resellers, compared to 13 sales representatives directly employed by us and a total of 30 third-party sales agents and resellers as of September 30, 2023.</w:t>
      </w:r>
    </w:p>
    <w:p>
      <w:pPr>
        <w:spacing w:after="0" w:line="17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of September 30, 2024, over 20 percent of our procedures for sacroiliac joint dysfunction were performed at ambulatory surgery centers, or ASCs.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Physician Engagement</w:t>
      </w:r>
    </w:p>
    <w:p>
      <w:pPr>
        <w:spacing w:after="0" w:line="228"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w:t>
      </w:r>
    </w:p>
    <w:p>
      <w:pPr>
        <w:spacing w:after="0" w:line="169"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utilize a combination of hands-on cadaveric and dry-lab training, as well as the SI-BONE SImulator - a portable, radiation-free, haptics and computer-based simulator - for training purposes, and optimize our programs to improve adoption rate, time to first case and ultimately physician productivity.</w:t>
      </w:r>
    </w:p>
    <w:p>
      <w:pPr>
        <w:spacing w:after="0" w:line="133"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We are currently targeting over 12,000 U.S. physicians, including over 8,000 orthopedic and neurological surgeons and approximately 4,500 interventional spine physicians, to perform our procedures. As of September 30, 2024 and 2023, in the United States more than 3,000 and 2,400 physicians, respectively, have been trained on our products and have treated at least one patient. Outside the United States, as of September 30, 2024 and 2023, more than 1,100 and 940 physicians, respectively, have been trained on our product and have treated at least one patient. Since launching our academic training program in August 2018, we have trained approximately 1,800 surgical residents and fellows in over 250 academic programs in the United States.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Expand Addressable Markets</w:t>
      </w:r>
    </w:p>
    <w:p>
      <w:pPr>
        <w:spacing w:after="0" w:line="215"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Expanding our platform of sacropelvic solutions to address sacroiliac joint dysfunction, pelvic fixation and pelvic trauma has been a key tenet of our strategy, and we have made substantial progress on this mission. With iFuse-3D, iFuse-TORQ, iFuse Bedrock Granite and iFuse TORQ TNT, we believe that the value of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to obtaining stabilization and /or fusion.</w:t>
      </w:r>
    </w:p>
    <w:p>
      <w:pPr>
        <w:spacing w:after="0" w:line="172"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2025. We are working with a select group of physicians on STACI, a prospective study on the use of iFuse-TORQ in patients with sacroiliac joint dysfunction. The purpose of STACI is to provide post-market information on the safety and effectiveness of minimally invasive sacroiliac joint fusion procedures performed with iFuse-TORQ. We are no longer actively recruiting patients in our SAFFRON study and anticipate publishing follow-up results in 2025.</w:t>
      </w:r>
    </w:p>
    <w:p>
      <w:pPr>
        <w:spacing w:after="0" w:line="172"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the nine months ended September 30, 2024, we spent $12.7 million on research and development, equating to 11% of our revenue. During the nine months ended September 30, 2023, we spent $10.9 million on research and development, equating to 11%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Enhance Employee Experience and Engagement</w:t>
      </w:r>
    </w:p>
    <w:p>
      <w:pPr>
        <w:spacing w:after="0" w:line="215"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w:t>
      </w:r>
    </w:p>
    <w:p>
      <w:pPr>
        <w:spacing w:after="0" w:line="162"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w:t>
      </w:r>
    </w:p>
    <w:p>
      <w:pPr>
        <w:spacing w:after="0" w:line="169"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w:t>
      </w:r>
    </w:p>
    <w:p>
      <w:pPr>
        <w:spacing w:after="0" w:line="16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maintain a commitment to employee retention by leveraging insights from exit interviews and engagement surveys to continuously enhance the workplace experience.</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Gain operational efficiency</w:t>
      </w:r>
    </w:p>
    <w:p>
      <w:pPr>
        <w:spacing w:after="0" w:line="22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To support our growing portfolio of solutions, we continue to evolve our business processes to identify, measure and improve operational efficiency. The information developed will allow us to optimize processes, increase sales force productivity and improve asset utilization.</w:t>
      </w:r>
    </w:p>
    <w:p>
      <w:pPr>
        <w:spacing w:after="0" w:line="14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 sites of service. As of September 30, 2024, our trailing twelve month average revenue per territory sales manager was approximately $1.8 million.</w:t>
      </w:r>
    </w:p>
    <w:p>
      <w:pPr>
        <w:spacing w:after="0" w:line="16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we scale, and reduce waste and rework. Lastly, we are integrating our demand planning and manufacturing systems, to ensure we leverage actual usage trends as we build surgical capacity to support our growth.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8"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Our revenue from sales of implants fluctuates based on volume of cases (procedures performed), discounts, mix of international and U.S. sales, different implant pricing and the number of implants used for a particular patient. Similar to other orthopedic companies, our case volume can vary from quarter to</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quarter due to a variety of factors including reimbursement, sales force changes, physician activities, product launches, and seasonality. In addition, our revenue is impacted by changes in average selling price as we respond to the competitive landscape and price differences at different medical facilities, such as hospitals, ASCs and office-based labs or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spacing w:after="0" w:line="195"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7" w:name="page28"/>
    <w:bookmarkEnd w:id="27"/>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Gross Profit, and Gross Margin</w:t>
      </w:r>
    </w:p>
    <w:p>
      <w:pPr>
        <w:spacing w:after="0" w:line="22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19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52"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General and administrative expenses primarily consist of salaries, stock-based compensation expense, and other costs for finance, accounting, legal, insurance, compliance, and administrative matters.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income is primarily related to our investments of excess cash in money market funds and marketable securities.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expense is primarily related to borrowings, amortization of debt issuance costs, and accretion of final fees on the First-Citizens Term Loan.</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income (expense), net consists primarily of net foreign exchange gains and losses on foreign transactions.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6" w:lineRule="exact"/>
        <w:rPr>
          <w:sz w:val="20"/>
          <w:szCs w:val="20"/>
          <w:color w:val="auto"/>
        </w:rPr>
      </w:pPr>
    </w:p>
    <w:p>
      <w:pPr>
        <w:ind w:firstLine="472"/>
        <w:spacing w:after="0" w:line="297" w:lineRule="auto"/>
        <w:rPr>
          <w:sz w:val="20"/>
          <w:szCs w:val="20"/>
          <w:color w:val="auto"/>
        </w:rPr>
      </w:pPr>
      <w:r>
        <w:rPr>
          <w:rFonts w:ascii="Times New Roman" w:cs="Times New Roman" w:eastAsia="Times New Roman" w:hAnsi="Times New Roman"/>
          <w:sz w:val="17"/>
          <w:szCs w:val="17"/>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3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Data:</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5"/>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40,340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34,014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118,176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100,027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8,437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7,041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24,832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19,283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31,903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26,973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93,344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80,744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27,448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26,512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85,805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81,317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tcPr>
          <w:p>
            <w:pPr>
              <w:spacing w:after="0"/>
              <w:rPr>
                <w:sz w:val="19"/>
                <w:szCs w:val="19"/>
                <w:color w:val="auto"/>
              </w:rPr>
            </w:pPr>
          </w:p>
        </w:tc>
        <w:tc>
          <w:tcPr>
            <w:tcW w:w="11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3,993</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3,919</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12,690</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10,866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8,095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7,711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24,603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22,986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39,536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38,142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123,098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115,169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(7,633)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(11,169)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(29,754)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(34,425)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1,936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2,174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6,064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4,689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spacing w:after="0"/>
              <w:rPr>
                <w:sz w:val="19"/>
                <w:szCs w:val="19"/>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(884)</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(884)</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(2,647)</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(2,573)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(143)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(81)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(44)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(6,575)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(10,022)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(26,418)</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(32,353)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72"/>
        <w:spacing w:after="0" w:line="297" w:lineRule="auto"/>
        <w:rPr>
          <w:sz w:val="20"/>
          <w:szCs w:val="20"/>
          <w:color w:val="auto"/>
        </w:rPr>
      </w:pPr>
      <w:r>
        <w:rPr>
          <w:rFonts w:ascii="Times New Roman" w:cs="Times New Roman" w:eastAsia="Times New Roman" w:hAnsi="Times New Roman"/>
          <w:sz w:val="17"/>
          <w:szCs w:val="17"/>
          <w:color w:val="auto"/>
        </w:rPr>
        <w:t>We derive the majority of our revenue from sales to customers in the U.S. Revenue by geography is based on billing address of the customer. The table below summarizes our revenue by geography:</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00" w:type="dxa"/>
            <w:vAlign w:val="bottom"/>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20" w:type="dxa"/>
            <w:vAlign w:val="bottom"/>
            <w:gridSpan w:val="5"/>
          </w:tcPr>
          <w:p>
            <w:pPr>
              <w:jc w:val="right"/>
              <w:ind w:right="836"/>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r>
      <w:tr>
        <w:trPr>
          <w:trHeight w:val="204"/>
        </w:trPr>
        <w:tc>
          <w:tcPr>
            <w:tcW w:w="2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03"/>
        </w:trPr>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38,263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93,967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223"/>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2,077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41"/>
        </w:trPr>
        <w:tc>
          <w:tcPr>
            <w:tcW w:w="2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40,340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118,176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100,027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2024 and 2023</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 Cost of Goods Sold, Gross Profit, and Gross Margin</w:t>
      </w:r>
      <w:r>
        <w:rPr>
          <w:rFonts w:ascii="Times New Roman" w:cs="Times New Roman" w:eastAsia="Times New Roman" w:hAnsi="Times New Roman"/>
          <w:sz w:val="17"/>
          <w:szCs w:val="17"/>
          <w:color w:val="auto"/>
        </w:rPr>
        <w:t>:</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2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4"/>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w w:val="99"/>
              </w:rPr>
              <w:t>(in thousands, except for percentages)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40,340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34,014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8,437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7,041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31,903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26,973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The increase in revenue for the three months ended September 30, 2024 as compared to the three months ended September 30, 2023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driven by a $6.0 million increase in our U.S. revenue from increased case volumes due to our expanded product portfolio and $0.3 million increase in international revenue due to the increase in case volumes.</w:t>
      </w:r>
    </w:p>
    <w:p>
      <w:pPr>
        <w:spacing w:after="0" w:line="173" w:lineRule="exact"/>
        <w:rPr>
          <w:sz w:val="20"/>
          <w:szCs w:val="20"/>
          <w:color w:val="auto"/>
        </w:rPr>
      </w:pPr>
    </w:p>
    <w:p>
      <w:pPr>
        <w:jc w:val="both"/>
        <w:ind w:right="300" w:firstLine="47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$4.9 million for the three months ended September 30, 2024 as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mainly driven by higher revenue. The gross margin was 79% for the three months ended September 30, 2024 consistent with the gross margin of 79% for the three months ended September 30, 2023.</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r>
        <w:rPr>
          <w:rFonts w:ascii="Times New Roman" w:cs="Times New Roman" w:eastAsia="Times New Roman" w:hAnsi="Times New Roman"/>
          <w:sz w:val="17"/>
          <w:szCs w:val="17"/>
          <w:color w:val="auto"/>
        </w:rPr>
        <w:t>:</w:t>
      </w:r>
    </w:p>
    <w:p>
      <w:pPr>
        <w:spacing w:after="0" w:line="6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240" w:type="dxa"/>
            <w:vAlign w:val="bottom"/>
          </w:tcPr>
          <w:p>
            <w:pPr>
              <w:spacing w:after="0"/>
              <w:rPr>
                <w:sz w:val="18"/>
                <w:szCs w:val="18"/>
                <w:color w:val="auto"/>
              </w:rPr>
            </w:pPr>
          </w:p>
        </w:tc>
        <w:tc>
          <w:tcPr>
            <w:tcW w:w="304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7"/>
        </w:trPr>
        <w:tc>
          <w:tcPr>
            <w:tcW w:w="4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4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 except for percentages)</w:t>
            </w:r>
          </w:p>
        </w:tc>
        <w:tc>
          <w:tcPr>
            <w:tcW w:w="1680" w:type="dxa"/>
            <w:vAlign w:val="bottom"/>
          </w:tcPr>
          <w:p>
            <w:pPr>
              <w:spacing w:after="0"/>
              <w:rPr>
                <w:sz w:val="17"/>
                <w:szCs w:val="17"/>
                <w:color w:val="auto"/>
              </w:rPr>
            </w:pPr>
          </w:p>
        </w:tc>
      </w:tr>
      <w:tr>
        <w:trPr>
          <w:trHeight w:val="224"/>
        </w:trPr>
        <w:tc>
          <w:tcPr>
            <w:tcW w:w="4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Sales and marketing</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27,448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3"/>
        </w:trPr>
        <w:tc>
          <w:tcPr>
            <w:tcW w:w="4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3"/>
        </w:trPr>
        <w:tc>
          <w:tcPr>
            <w:tcW w:w="4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16"/>
        </w:trPr>
        <w:tc>
          <w:tcPr>
            <w:tcW w:w="4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39,536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433"/>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Sales and Marketing Expenses. </w:t>
      </w:r>
      <w:r>
        <w:rPr>
          <w:rFonts w:ascii="Times New Roman" w:cs="Times New Roman" w:eastAsia="Times New Roman" w:hAnsi="Times New Roman"/>
          <w:sz w:val="17"/>
          <w:szCs w:val="17"/>
          <w:color w:val="auto"/>
        </w:rPr>
        <w:t>The increase in sales and marketing expenses for the three months ended September 30, 2024 as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September 30, 2023 was primarily due to a $0.5 million increase in commissions driven by higher revenues and $0.4 million increase in training to support the expansion of our sales and marketing activities.</w:t>
      </w:r>
    </w:p>
    <w:p>
      <w:pPr>
        <w:spacing w:after="0" w:line="160" w:lineRule="exact"/>
        <w:rPr>
          <w:sz w:val="20"/>
          <w:szCs w:val="20"/>
          <w:color w:val="auto"/>
        </w:rPr>
      </w:pPr>
    </w:p>
    <w:p>
      <w:pPr>
        <w:jc w:val="both"/>
        <w:ind w:firstLine="433"/>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The slight increase in research and development expenses for the three months ended September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September 30, 2023 was primarily due an increase in employee-related costs and stock-based compensation due to an increase in headcount within research and development departments.</w:t>
      </w:r>
    </w:p>
    <w:p>
      <w:pPr>
        <w:spacing w:after="0" w:line="160" w:lineRule="exact"/>
        <w:rPr>
          <w:sz w:val="20"/>
          <w:szCs w:val="20"/>
          <w:color w:val="auto"/>
        </w:rPr>
      </w:pPr>
    </w:p>
    <w:p>
      <w:pPr>
        <w:jc w:val="both"/>
        <w:ind w:firstLine="433"/>
        <w:spacing w:after="0" w:line="278"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The increase in general and administrative expenses for the three months ended September 30,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September 30, 2023 was primarily due to a $0.4 million increase in employee-related costs and stock-based compensation due to an increase in headcount within general and administrative departments.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w:t>
      </w:r>
      <w:r>
        <w:rPr>
          <w:rFonts w:ascii="Times New Roman" w:cs="Times New Roman" w:eastAsia="Times New Roman" w:hAnsi="Times New Roman"/>
          <w:sz w:val="17"/>
          <w:szCs w:val="17"/>
          <w:color w:val="auto"/>
        </w:rPr>
        <w:t>:</w:t>
      </w:r>
    </w:p>
    <w:p>
      <w:pPr>
        <w:spacing w:after="0" w:line="6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310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7"/>
        </w:trPr>
        <w:tc>
          <w:tcPr>
            <w:tcW w:w="45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4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4"/>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80" w:type="dxa"/>
            <w:vAlign w:val="bottom"/>
          </w:tcPr>
          <w:p>
            <w:pPr>
              <w:spacing w:after="0"/>
              <w:rPr>
                <w:sz w:val="17"/>
                <w:szCs w:val="17"/>
                <w:color w:val="auto"/>
              </w:rPr>
            </w:pPr>
          </w:p>
        </w:tc>
      </w:tr>
      <w:tr>
        <w:trPr>
          <w:trHeight w:val="224"/>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Interest income</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23"/>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r>
      <w:tr>
        <w:trPr>
          <w:trHeight w:val="216"/>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0"/>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8" w:lineRule="exact"/>
        <w:rPr>
          <w:sz w:val="20"/>
          <w:szCs w:val="20"/>
          <w:color w:val="auto"/>
        </w:rPr>
      </w:pPr>
    </w:p>
    <w:p>
      <w:pPr>
        <w:ind w:firstLine="433"/>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Interest Income. </w:t>
      </w:r>
      <w:r>
        <w:rPr>
          <w:rFonts w:ascii="Times New Roman" w:cs="Times New Roman" w:eastAsia="Times New Roman" w:hAnsi="Times New Roman"/>
          <w:sz w:val="17"/>
          <w:szCs w:val="17"/>
          <w:color w:val="auto"/>
        </w:rPr>
        <w:t>The decrease in interest income for the three months ended September 30, 2024 as compared to the three months ended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was primarily due to lower investment balances.</w:t>
      </w:r>
    </w:p>
    <w:p>
      <w:pPr>
        <w:spacing w:after="0" w:line="155" w:lineRule="exact"/>
        <w:rPr>
          <w:sz w:val="20"/>
          <w:szCs w:val="20"/>
          <w:color w:val="auto"/>
        </w:rPr>
      </w:pPr>
    </w:p>
    <w:p>
      <w:pPr>
        <w:ind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The interest expense for the three months ended September 30, 2024 remained consistent as compared to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2023, due to relatively stable interest rates associated with the First-Citizens Term Loan year over year.</w:t>
      </w:r>
    </w:p>
    <w:p>
      <w:pPr>
        <w:spacing w:after="0" w:line="142" w:lineRule="exact"/>
        <w:rPr>
          <w:sz w:val="20"/>
          <w:szCs w:val="20"/>
          <w:color w:val="auto"/>
        </w:rPr>
      </w:pPr>
    </w:p>
    <w:p>
      <w:pPr>
        <w:ind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The change in other income (expense), net for the three months ended September 30, 2024 as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was primarily due to foreign currency fluctuations.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Comparison of the Nine Months Ended September 30, 2024 and 2023</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 Cost of Goods Sold, Gross Profit, and Gross Margin</w:t>
      </w:r>
      <w:r>
        <w:rPr>
          <w:rFonts w:ascii="Times New Roman" w:cs="Times New Roman" w:eastAsia="Times New Roman" w:hAnsi="Times New Roman"/>
          <w:sz w:val="17"/>
          <w:szCs w:val="17"/>
          <w:color w:val="auto"/>
        </w:rPr>
        <w:t>:</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118,176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100,027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24,832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19,283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93,344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80,744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right="340" w:firstLine="47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The increase in revenue for the nine months ended September 30, 2024 as compared to the nine months ended September 30, 2023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driven by a $17.5 million increase in our U.S. revenue due to the increase in case volumes due to our expanded product portfolio and $0.6 million increase in international revenue due to the increase in case volumes.</w:t>
      </w:r>
    </w:p>
    <w:p>
      <w:pPr>
        <w:spacing w:after="0" w:line="186"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$12.6 million for the nine months ended September 30, 2024 as compared to the nine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mainly driven by higher revenue. The gross margin was 79% for the nine months ended September 30, 2024 as compared to 81% for the nine months ended September 30, 2023. Gross margin decreased in the nine months ended September 30, 2024 as compared to the nine months ended September 30, 2023, primarily due to changes in procedure and product mix.</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r>
        <w:rPr>
          <w:rFonts w:ascii="Times New Roman" w:cs="Times New Roman" w:eastAsia="Times New Roman" w:hAnsi="Times New Roman"/>
          <w:sz w:val="17"/>
          <w:szCs w:val="17"/>
          <w:color w:val="auto"/>
        </w:rPr>
        <w:t>:</w:t>
      </w:r>
    </w:p>
    <w:p>
      <w:pPr>
        <w:spacing w:after="0" w:line="6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4"/>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4"/>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80" w:type="dxa"/>
            <w:vAlign w:val="bottom"/>
          </w:tcPr>
          <w:p>
            <w:pPr>
              <w:spacing w:after="0"/>
              <w:rPr>
                <w:sz w:val="17"/>
                <w:szCs w:val="17"/>
                <w:color w:val="auto"/>
              </w:rPr>
            </w:pPr>
          </w:p>
        </w:tc>
      </w:tr>
      <w:tr>
        <w:trPr>
          <w:trHeight w:val="224"/>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3"/>
        </w:trPr>
        <w:tc>
          <w:tcPr>
            <w:tcW w:w="4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23"/>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8" w:lineRule="exact"/>
        <w:rPr>
          <w:sz w:val="20"/>
          <w:szCs w:val="20"/>
          <w:color w:val="auto"/>
        </w:rPr>
      </w:pPr>
    </w:p>
    <w:p>
      <w:pPr>
        <w:jc w:val="both"/>
        <w:ind w:firstLine="433"/>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Sales and Marketing Expenses. </w:t>
      </w:r>
      <w:r>
        <w:rPr>
          <w:rFonts w:ascii="Times New Roman" w:cs="Times New Roman" w:eastAsia="Times New Roman" w:hAnsi="Times New Roman"/>
          <w:sz w:val="17"/>
          <w:szCs w:val="17"/>
          <w:color w:val="auto"/>
        </w:rPr>
        <w:t>The increase in sales and marketing expenses for the nine months ended September 30, 2024 as compared to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September 30, 2023 was primarily due to a $2.0 million increase in commissions driven by higher revenues, $1.7 million increase in training and travel costs to support the expansion of our sales and marketing activities, and a $0.8</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million increase in employee-related costs and stock-based compensation driven by an increase in headcount within sales and marketing departments.</w:t>
      </w:r>
    </w:p>
    <w:p>
      <w:pPr>
        <w:spacing w:after="0" w:line="222" w:lineRule="exact"/>
        <w:rPr>
          <w:sz w:val="20"/>
          <w:szCs w:val="20"/>
          <w:color w:val="auto"/>
        </w:rPr>
      </w:pPr>
    </w:p>
    <w:p>
      <w:pPr>
        <w:jc w:val="both"/>
        <w:ind w:firstLine="433"/>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The increase in research and development expenses for the nine months ended September 30, 2024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nine months ended September 30, 2023 was primarily due to a $1.0 million increase in research, regulatory, and consulting fees to support our product development activities and a $0.8 million increase in employee-related costs and stock-based compensation due to an increase in headcount within research and development departments.</w:t>
      </w:r>
    </w:p>
    <w:p>
      <w:pPr>
        <w:spacing w:after="0" w:line="166" w:lineRule="exact"/>
        <w:rPr>
          <w:sz w:val="20"/>
          <w:szCs w:val="20"/>
          <w:color w:val="auto"/>
        </w:rPr>
      </w:pPr>
    </w:p>
    <w:p>
      <w:pPr>
        <w:jc w:val="both"/>
        <w:ind w:firstLine="433"/>
        <w:spacing w:after="0" w:line="271"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The increase in general and administrative expenses for the nine months ended September 30, 2024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nine months ended September 30, 2023 was primarily due to a $1.4 million increase in employee-related costs and stock-based compensation due to an increase in headcount within general and administrative departments, a $0.2 million increase in audit fees related to the audit of our financial statements and the audit of our internal control over financial reporting.</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w:t>
      </w:r>
      <w:r>
        <w:rPr>
          <w:rFonts w:ascii="Times New Roman" w:cs="Times New Roman" w:eastAsia="Times New Roman" w:hAnsi="Times New Roman"/>
          <w:sz w:val="17"/>
          <w:szCs w:val="17"/>
          <w:color w:val="auto"/>
        </w:rPr>
        <w:t>:</w:t>
      </w:r>
    </w:p>
    <w:p>
      <w:pPr>
        <w:spacing w:after="0" w:line="6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310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5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4"/>
        </w:trPr>
        <w:tc>
          <w:tcPr>
            <w:tcW w:w="4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4"/>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80" w:type="dxa"/>
            <w:vAlign w:val="bottom"/>
          </w:tcPr>
          <w:p>
            <w:pPr>
              <w:spacing w:after="0"/>
              <w:rPr>
                <w:sz w:val="17"/>
                <w:szCs w:val="17"/>
                <w:color w:val="auto"/>
              </w:rPr>
            </w:pPr>
          </w:p>
        </w:tc>
      </w:tr>
      <w:tr>
        <w:trPr>
          <w:trHeight w:val="224"/>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Interest income</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2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6"/>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4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8" w:lineRule="exact"/>
        <w:rPr>
          <w:sz w:val="20"/>
          <w:szCs w:val="20"/>
          <w:color w:val="auto"/>
        </w:rPr>
      </w:pPr>
    </w:p>
    <w:p>
      <w:pPr>
        <w:ind w:firstLine="433"/>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Interest Income. </w:t>
      </w:r>
      <w:r>
        <w:rPr>
          <w:rFonts w:ascii="Times New Roman" w:cs="Times New Roman" w:eastAsia="Times New Roman" w:hAnsi="Times New Roman"/>
          <w:sz w:val="17"/>
          <w:szCs w:val="17"/>
          <w:color w:val="auto"/>
        </w:rPr>
        <w:t>The increase in interest income for the nine months ended September 30, 2024 as compared to the nine months ended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was primarily due to higher interest earned on our investments in marketable securities, primarily as a result of higher interest rates earned.</w:t>
      </w:r>
    </w:p>
    <w:p>
      <w:pPr>
        <w:spacing w:after="0" w:line="155" w:lineRule="exact"/>
        <w:rPr>
          <w:sz w:val="20"/>
          <w:szCs w:val="20"/>
          <w:color w:val="auto"/>
        </w:rPr>
      </w:pPr>
    </w:p>
    <w:p>
      <w:pPr>
        <w:ind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The increase in interest expense for the nine months ended September 30, 2024 as compared to the nine months ended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was primarily due to higher interest rates associated with the First-Citizens Term Loan.</w:t>
      </w:r>
    </w:p>
    <w:p>
      <w:pPr>
        <w:spacing w:after="0" w:line="142" w:lineRule="exact"/>
        <w:rPr>
          <w:sz w:val="20"/>
          <w:szCs w:val="20"/>
          <w:color w:val="auto"/>
        </w:rPr>
      </w:pPr>
    </w:p>
    <w:p>
      <w:pPr>
        <w:jc w:val="both"/>
        <w:ind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The change in other income (expense), net for the nine months ended September 30, 2024 as compared to the nine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2023 was primarily due to foreign currency fluctuations.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September 30, 2024, we had cash and marketable securities of $150.8 million as compared to $166.0 million as of December 31, 2023. We have financed our operations primarily through the sale of our common stock in our public offerings and debt financing arrangements. As of September 30, 2024, we had $36.2 million in outstanding debt as compared to $36.1 million as of December 31, 2023.</w:t>
      </w:r>
    </w:p>
    <w:p>
      <w:pPr>
        <w:spacing w:after="0" w:line="162"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As of September 30, 2024, we had an accumulated deficit of $426.9 million as compared to $400.4 million as of December 31, 2023. During the nine months ended September 30, 2024, we incurred a net loss of $26.4 million. During the years ended December 31, 2023 and 2022, we incurred a net loss of $43.3 million and $61.3 million, respectively, and expect to incur additional losses in the future. We have not achieved positive cash flow from operations to date.</w:t>
      </w:r>
    </w:p>
    <w:p>
      <w:pPr>
        <w:spacing w:after="0" w:line="366"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May 2023, we received a total of $83.7 million of net proceeds after deducting the underwriting discounts and commissions from the public offering of our common stock.</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2" w:name="page33"/>
    <w:bookmarkEnd w:id="32"/>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Based upon our current operating plan, we believe that our existing cash and marketable securities will enable us to fund our operating expenses and capital expenditure requirements over the next 12 months from the filing of this Form 10-Q. However, the economic impact of a potential future disruptions in the healthcare operating environment and uncertainties affecting the economic and capital markets environment and the financial services industry pose risks and uncertainties to our future available capital resources. Further, we may face challenges and uncertainties and, as a result, may need to raise additional capital as our available capital resources may be consumed more rapidly than currently expected due to, but not limited to the following: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w:t>
      </w:r>
    </w:p>
    <w:p>
      <w:pPr>
        <w:spacing w:after="0" w:line="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research and development spending plans; and (f) other items affecting our forecasted level of expenditures and use of cash resources. In addition, as we seek to deploy new product offerings, the need for additional capital to fund the purchase of inventories of implants and instrument trays may become more</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acute and may limit the number of revenue opportunities that we pursue. Each new product line introduced typically requires the purchase of consumable implant inventory as well as investment in a fleet of instrument trays required to support procedures nationwide.</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22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outstanding debt is related to a term loan pursuant to the Loan and Security Agreement dated August 12, 2021 (the “Original Loan Agreement”), entered into by us and Silicon Valley Bank (“SVB” or “Lender”). Pursuant to the Original Loan Agreement, SVB provided a term loan in the aggregate principal amount of $35.0 million to us (the “Original Term Loan”).</w:t>
      </w:r>
    </w:p>
    <w:p>
      <w:pPr>
        <w:spacing w:after="0" w:line="162" w:lineRule="exact"/>
        <w:rPr>
          <w:sz w:val="20"/>
          <w:szCs w:val="20"/>
          <w:color w:val="auto"/>
        </w:rPr>
      </w:pPr>
    </w:p>
    <w:p>
      <w:pPr>
        <w:jc w:val="both"/>
        <w:ind w:firstLine="433"/>
        <w:spacing w:after="0" w:line="249" w:lineRule="auto"/>
        <w:rPr>
          <w:sz w:val="20"/>
          <w:szCs w:val="20"/>
          <w:color w:val="auto"/>
        </w:rPr>
      </w:pPr>
      <w:r>
        <w:rPr>
          <w:rFonts w:ascii="Times New Roman" w:cs="Times New Roman" w:eastAsia="Times New Roman" w:hAnsi="Times New Roman"/>
          <w:sz w:val="17"/>
          <w:szCs w:val="17"/>
          <w:color w:val="auto"/>
        </w:rPr>
        <w:t>On January 6, 2023, we entered into a First Amendment to Loan and Security Agreement (the “Amendment” and together with the Original Loan Agreement, the “Amended Loan Agreement”) with SVB, which increased our Original Term Loan facility of $35.0 million to $36.0 million. Upon entry into the Amendment, we borrowed $36.0 million pursuant to a new term loan (the “Term Loan”), which was substantially used to repay in full the Original Term Loan, and we also secured a revolving credit facility in an aggregate principal amount of up to $15.0 million (the “Revolving Line”) and an uncommitted accordion term loan in an aggregate principal amount of up to $15.0 million, which accordion may be approved by the Lender, solely in its discretion, upon our request. The Term Loan matures on December 1, 2027 (the “Term Loan Maturity Date”). Interest on the Term Loan will be payable monthly at a floating annual rate set at the greater of (i) the prime rate as published in the Wall Street Journal plus 0.5% or (ii) 6.75%. Commencing on July 1, 2025, we will be required to make monthly principal Term Loan amortization payments. A final fee payment of 2% of the original principal amount of the Term Loan is due upon the earlier of the Term Loan Maturity Date, termination of the Amended Loan Agreement, acceleration by the Lender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the Lender.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we do not maintain an adjusted quick ratio of at least 1.5 to 1.0, then falling below such threshold will allow the Lender to apply accounts receivable collections to outstanding Revolving Line borrowings. We will pay a total commitment fee of $187,500 on account of the Revolving Line payable in installments, but fully earned at close. We will also be required to pay a fee of $150,000 if we terminate the Amended Loan Agreement or the Revolving Line prior to Revolving Line Maturity Date, or if the Lender terminates the Loan Agreement or the Revolving Line following an event of default. No termination fee would be due if the Revolving Line is replaced with a new facility with the Lender.</w:t>
      </w:r>
    </w:p>
    <w:p>
      <w:pPr>
        <w:spacing w:after="0" w:line="179" w:lineRule="exact"/>
        <w:rPr>
          <w:sz w:val="20"/>
          <w:szCs w:val="20"/>
          <w:color w:val="auto"/>
        </w:rPr>
      </w:pPr>
    </w:p>
    <w:p>
      <w:pPr>
        <w:jc w:val="both"/>
        <w:ind w:firstLine="433"/>
        <w:spacing w:after="0" w:line="276" w:lineRule="auto"/>
        <w:rPr>
          <w:sz w:val="20"/>
          <w:szCs w:val="20"/>
          <w:color w:val="auto"/>
        </w:rPr>
      </w:pPr>
      <w:r>
        <w:rPr>
          <w:rFonts w:ascii="Times New Roman" w:cs="Times New Roman" w:eastAsia="Times New Roman" w:hAnsi="Times New Roman"/>
          <w:sz w:val="17"/>
          <w:szCs w:val="17"/>
          <w:color w:val="auto"/>
        </w:rPr>
        <w:t>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Citizens Bank &amp; Trust Company (“First-Citizens”). On January 25, 2024, the Company entered into a Second Amendment to Loan and Security Agreement with First-Citizens which amends the Company's Amended Loan Agreement (the “Second Amendment” and together with the Amended Loan Agreement, the “Second Amended Loan Agreement”). The Second Amendment revised certain provisions related to financial covenants and the periods in which the covenants apply. No amounts were outstanding under the Revolving Line as of September 30, 2024.</w:t>
      </w:r>
    </w:p>
    <w:p>
      <w:pPr>
        <w:spacing w:after="0" w:line="151" w:lineRule="exact"/>
        <w:rPr>
          <w:sz w:val="20"/>
          <w:szCs w:val="20"/>
          <w:color w:val="auto"/>
        </w:rPr>
      </w:pPr>
    </w:p>
    <w:p>
      <w:pPr>
        <w:jc w:val="both"/>
        <w:ind w:firstLine="433"/>
        <w:spacing w:after="0" w:line="251" w:lineRule="auto"/>
        <w:rPr>
          <w:sz w:val="20"/>
          <w:szCs w:val="20"/>
          <w:color w:val="auto"/>
        </w:rPr>
      </w:pPr>
      <w:r>
        <w:rPr>
          <w:rFonts w:ascii="Times New Roman" w:cs="Times New Roman" w:eastAsia="Times New Roman" w:hAnsi="Times New Roman"/>
          <w:sz w:val="17"/>
          <w:szCs w:val="17"/>
          <w:color w:val="auto"/>
        </w:rPr>
        <w:t>On March 10, 2023, we violated certain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Second Amended Loan Agreement that would permit First-Citizens to restrict our ability to further access the Revolving Line of Credit for loans and require the immediate repayment of any outstanding loans under the agreement. As of September 30, 2024, we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3" w:name="page34"/>
    <w:bookmarkEnd w:id="33"/>
    <w:p>
      <w:pPr>
        <w:jc w:val="both"/>
        <w:ind w:firstLine="629"/>
        <w:spacing w:after="0" w:line="244" w:lineRule="auto"/>
        <w:rPr>
          <w:sz w:val="20"/>
          <w:szCs w:val="20"/>
          <w:color w:val="auto"/>
        </w:rPr>
      </w:pPr>
      <w:r>
        <w:rPr>
          <w:rFonts w:ascii="Times New Roman" w:cs="Times New Roman" w:eastAsia="Times New Roman" w:hAnsi="Times New Roman"/>
          <w:sz w:val="17"/>
          <w:szCs w:val="17"/>
          <w:color w:val="auto"/>
        </w:rPr>
        <w:t>The Second Amended Loan Agreement contains customary events of default, including bankruptcy, the failure to make payments when due, the occurrence of a material impairment on First-Citizens'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Second Amended Loan Agreement contains a financial covenant which requires us to maintain, at all times during which we are subject to financial covenants under the Second Amended Loan Agreement is in effect, certain net revenue levels as agreed upon by us and First-Citizens. If we do not comply with the various covenants under the Second Amended Loan Agreement and an event of default occurs under the Second Amended Loan Agreement, the interest rate on outstanding amounts can increase by 3% and First-Citizens may, subject to various customary cure rights, decline to provide additional advances under the Revolving Line, require the immediate payment of all loans and other amounts outstanding under the Second Amended Loan Agreement, and foreclose on all collateral.</w:t>
      </w:r>
    </w:p>
    <w:p>
      <w:pPr>
        <w:spacing w:after="0" w:line="205" w:lineRule="exact"/>
        <w:rPr>
          <w:sz w:val="20"/>
          <w:szCs w:val="20"/>
          <w:color w:val="auto"/>
        </w:rPr>
      </w:pPr>
    </w:p>
    <w:p>
      <w:pPr>
        <w:jc w:val="both"/>
        <w:ind w:firstLine="472"/>
        <w:spacing w:after="0" w:line="249" w:lineRule="auto"/>
        <w:rPr>
          <w:sz w:val="20"/>
          <w:szCs w:val="20"/>
          <w:color w:val="auto"/>
        </w:rPr>
      </w:pPr>
      <w:r>
        <w:rPr>
          <w:rFonts w:ascii="Times New Roman" w:cs="Times New Roman" w:eastAsia="Times New Roman" w:hAnsi="Times New Roman"/>
          <w:sz w:val="17"/>
          <w:szCs w:val="17"/>
          <w:color w:val="auto"/>
        </w:rPr>
        <w:t>On November 8, 2024, we entered into a Third Amendment to Loan and Security Agreement with First-Citizens (the “Third Amendment” and together with the Second Amended Loan Agreement, collectively, the “Third Amended Loan Agreement”), relative to a new term loan in the original aggregate principal amount of $36.0 million extended by First-Citizens to the Company (the “Third Amendment Term Loan”), which was substantially used to refinance and repay in full the then-outstanding $36.0 million existing Term Loan. The Company also paid a certain final payment due relative to such prior Term Loan. The Third Amendment sets the maturity date for the Third Amendment Term Loan to September 1, 2029 (the "Third Amendment Term Loan Maturity Date"), and defers the first principal repayment due date relative to the Third Amendment Term Loan to October 1, 2027; provided that upon the achievement of the Performance</w:t>
      </w:r>
    </w:p>
    <w:p>
      <w:pPr>
        <w:spacing w:after="0" w:line="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Milestone (as defined in the Third Amendment), the first principal payment shall become due on October 1, 2028. Interest on the Third Amendment Term Loan will be payable monthly at a floating rate per annum equal to the greater of 4.25% and the prime rate minus 0.5%. The Company may elect to prepay the Third Amendment Term Loan in whole prior to the Third Amendment Term Loan Maturity Date, subject to a prepayment fee equal to 1.5% of the original principal amount of the Third Amendment Term Loan if it is prepaid within 18 months following the closing of the Third Amendment. The Third Amendment further revised certain provisions related to financial covenants and the periods in which the covenants apply, and First-Citizens and the Company also terminated the Revolving Line and an uncommitted accordion term loan provision.</w:t>
      </w:r>
    </w:p>
    <w:p>
      <w:pPr>
        <w:spacing w:after="0" w:line="188"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February 27,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As of September 30, 2024, expected timing of those payments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1-3 years</w:t>
            </w:r>
          </w:p>
        </w:tc>
        <w:tc>
          <w:tcPr>
            <w:tcW w:w="18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140" w:type="dxa"/>
            <w:vAlign w:val="bottom"/>
          </w:tcPr>
          <w:p>
            <w:pPr>
              <w:spacing w:after="0"/>
              <w:rPr>
                <w:sz w:val="13"/>
                <w:szCs w:val="13"/>
                <w:color w:val="auto"/>
              </w:rPr>
            </w:pPr>
          </w:p>
        </w:tc>
        <w:tc>
          <w:tcPr>
            <w:tcW w:w="1040" w:type="dxa"/>
            <w:vAlign w:val="bottom"/>
          </w:tcPr>
          <w:p>
            <w:pPr>
              <w:ind w:left="40"/>
              <w:spacing w:after="0" w:line="153"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Principal obligations and final fee on debt </w:t>
            </w:r>
            <w:r>
              <w:rPr>
                <w:rFonts w:ascii="Times New Roman" w:cs="Times New Roman" w:eastAsia="Times New Roman" w:hAnsi="Times New Roman"/>
                <w:sz w:val="13"/>
                <w:szCs w:val="13"/>
                <w:color w:val="auto"/>
              </w:rPr>
              <w:t>(1)</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Interest obligations </w:t>
            </w:r>
            <w:r>
              <w:rPr>
                <w:rFonts w:ascii="Times New Roman" w:cs="Times New Roman" w:eastAsia="Times New Roman" w:hAnsi="Times New Roman"/>
                <w:sz w:val="13"/>
                <w:szCs w:val="13"/>
                <w:color w:val="auto"/>
              </w:rPr>
              <w:t>(2)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 obligations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4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29,627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298"/>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obligations and the final fee at maturities of our First-Citizens Term Loan.</w:t>
      </w:r>
    </w:p>
    <w:p>
      <w:pPr>
        <w:spacing w:after="0" w:line="12" w:lineRule="exact"/>
        <w:rPr>
          <w:rFonts w:ascii="Times New Roman" w:cs="Times New Roman" w:eastAsia="Times New Roman" w:hAnsi="Times New Roman"/>
          <w:sz w:val="14"/>
          <w:szCs w:val="14"/>
          <w:color w:val="auto"/>
        </w:rPr>
      </w:pPr>
    </w:p>
    <w:p>
      <w:pPr>
        <w:ind w:left="460" w:hanging="298"/>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future interest obligations on our First-Citizens Term Loan estimated using an interest rate of 8.50% as of September 30, 2024.</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This compares to $49.2 million of contractual obligations as of December 31,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primary sources and uses of cash for each of the periods presented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Net cash provided by (used in):</w:t>
            </w: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4"/>
        </w:trPr>
        <w:tc>
          <w:tcPr>
            <w:tcW w:w="5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activities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0" w:type="dxa"/>
            <w:vAlign w:val="bottom"/>
          </w:tcPr>
          <w:p>
            <w:pPr>
              <w:spacing w:after="0"/>
              <w:rPr>
                <w:sz w:val="1"/>
                <w:szCs w:val="1"/>
                <w:color w:val="auto"/>
              </w:rPr>
            </w:pPr>
          </w:p>
        </w:tc>
      </w:tr>
      <w:tr>
        <w:trPr>
          <w:trHeight w:val="223"/>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Investing activities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49,172</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Financing activities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(88,055)</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Effects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41"/>
        </w:trPr>
        <w:tc>
          <w:tcPr>
            <w:tcW w:w="5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Cash Used in Operating Activities</w:t>
      </w:r>
    </w:p>
    <w:p>
      <w:pPr>
        <w:spacing w:after="0" w:line="226"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September 30, 2024 of $13.6 million resulted from cash outflows due to a net loss of $26.4 million, adjusted for $21.0 million of non-cash items, and cash outflows from net changes in operating assets and liabilities of $8.2 million. Net cash used in operating activities for the nine months ended September 30, 2023 of $16.4 million resulted from cash outflows due to a net loss of $32.4 million, adjusted for $21.2 million of non-cash items, and cash outflows from changes in operating assets and liabilities of $5.3 million. The decrease in net loss, net of non-cash items for the nine months ended September 30, 2024 as compared to the nine months ended September 30, 2023 was mainly due to increased revenues. Net cash outflows from changes in operating assets and liabilities for the nine months ended September 30, 2024 was primarily due to higher accounts receivable due to timing of collections, higher inventory due to new product introductions, higher account payables and lower accrued liabilities attributable to the normal timing of expenses. Net cash outflows from changes in operating assets and liabilities for the nine months ended September 30, 2023 was primarily due to higher inventory due to the inventory build-up related to our implants, and lower account payables attributable to the normal course timing of expenses.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74"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Net cash provided by investing activities in the nine months ended September 30, 2024 was $8.3 million as compared to cash used in investing activities of $40.9 million in the nine months ended September 30, 2023. Net cash provided by investing activities for the nine months ended September 30, 2024 consisted of maturities of our marketable securities net of purchases of $16.5 million, and purchases of property and equipment of $8.2 million primarily related to individual components in instrument sets to support revenue growth. Net cash used in investing activities for the nine months ended September 30, 2023 consisted of</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purchases of our marketable securities net of maturities of $34.2 million, and purchases of property and equipment of $6.7 million primarily related to individual components in instrument sets to support revenue growth, as well as leasehold improvements made to the building used for research and development and warehouse space in Santa Clara.</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Cash Provided by Financing Activities</w:t>
      </w:r>
    </w:p>
    <w:p>
      <w:pPr>
        <w:spacing w:after="0" w:line="252"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Cash provided by financing activities in the nine months ended September 30, 2024 was $2.0 million resulting from the issuance of common stock under our stock-based incentive compensation plans. This compares to $90.1 million resulting from proceeds of $83.7 million from the issuance of common stock under our follow-on public offering, proceeds of $5.7 million from the issuance of common stock under our stock-based incentive compensation plans, and net proceeds of $0.7 million from the refinancing of our Term Loan with First-Citizens.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Significant Judgments, and Use of Estimates</w:t>
      </w:r>
    </w:p>
    <w:p>
      <w:pPr>
        <w:spacing w:after="0" w:line="226"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This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critical accounting policies and estimates are described in “Management's Discussion and Analysis of Financial Condition and Results of Operations</w:t>
      </w:r>
    </w:p>
    <w:p>
      <w:pPr>
        <w:spacing w:after="0" w:line="21" w:lineRule="exact"/>
        <w:rPr>
          <w:sz w:val="20"/>
          <w:szCs w:val="20"/>
          <w:color w:val="auto"/>
        </w:rPr>
      </w:pPr>
    </w:p>
    <w:p>
      <w:pPr>
        <w:ind w:firstLine="5"/>
        <w:spacing w:after="0" w:line="256" w:lineRule="auto"/>
        <w:tabs>
          <w:tab w:leader="none" w:pos="10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Significant Judgments, and Use of Estimates” in our 2023 Annual Report. There had been no material changes to the descriptions of these accounting policies, judgments and estimates.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26"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are exposed to market risks, including changes to foreign currency exchange rates and interest rates.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22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w:t>
      </w:r>
    </w:p>
    <w:p>
      <w:pPr>
        <w:spacing w:after="0" w:line="162"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and nine months ended September 30, 2024 and 2023 were not material. A hypothetical 100 basis point change in foreign exchange rates during any of the periods presented would not have had a material impact on our condensed consolidated financial statements.</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8"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w:t>
      </w:r>
    </w:p>
    <w:p>
      <w:pPr>
        <w:spacing w:after="0" w:line="156" w:lineRule="exact"/>
        <w:rPr>
          <w:sz w:val="20"/>
          <w:szCs w:val="20"/>
          <w:color w:val="auto"/>
        </w:rPr>
      </w:pPr>
    </w:p>
    <w:p>
      <w:pPr>
        <w:jc w:val="both"/>
        <w:ind w:firstLine="433"/>
        <w:spacing w:after="0" w:line="247" w:lineRule="auto"/>
        <w:rPr>
          <w:sz w:val="20"/>
          <w:szCs w:val="20"/>
          <w:color w:val="auto"/>
        </w:rPr>
      </w:pPr>
      <w:r>
        <w:rPr>
          <w:rFonts w:ascii="Times New Roman" w:cs="Times New Roman" w:eastAsia="Times New Roman" w:hAnsi="Times New Roman"/>
          <w:sz w:val="17"/>
          <w:szCs w:val="17"/>
          <w:color w:val="auto"/>
        </w:rPr>
        <w:t>With the execution of the Third Amendment with First-Citizens relative to the Third Amendment Term Loan, interest will be payable monthly at a floating annual rate set at the greater of the prime rate as published in the Wall Street Journal minus 0.5% or 4.25%. Rising interest rates will increase the amount of interest paid on this debt. We believe that our exposure to interest rate risk is not significant due to the low risk profile of our investments and amount of our Term Loan, therefore a hypothetical 100 basis point in market interest rates during any of the periods presented would not have had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41" w:lineRule="exact"/>
        <w:rPr>
          <w:sz w:val="20"/>
          <w:szCs w:val="20"/>
          <w:color w:val="auto"/>
        </w:rPr>
      </w:pPr>
    </w:p>
    <w:p>
      <w:pPr>
        <w:jc w:val="both"/>
        <w:ind w:firstLine="393"/>
        <w:spacing w:after="0" w:line="292"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63" w:lineRule="exact"/>
        <w:rPr>
          <w:sz w:val="20"/>
          <w:szCs w:val="20"/>
          <w:color w:val="auto"/>
        </w:rPr>
      </w:pPr>
    </w:p>
    <w:p>
      <w:pPr>
        <w:jc w:val="both"/>
        <w:ind w:firstLine="393"/>
        <w:spacing w:after="0" w:line="291" w:lineRule="auto"/>
        <w:rPr>
          <w:sz w:val="20"/>
          <w:szCs w:val="20"/>
          <w:color w:val="auto"/>
        </w:rPr>
      </w:pPr>
      <w:r>
        <w:rPr>
          <w:rFonts w:ascii="Times New Roman" w:cs="Times New Roman" w:eastAsia="Times New Roman" w:hAnsi="Times New Roman"/>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2" w:lineRule="exact"/>
        <w:rPr>
          <w:sz w:val="20"/>
          <w:szCs w:val="20"/>
          <w:color w:val="auto"/>
        </w:rPr>
      </w:pPr>
    </w:p>
    <w:p>
      <w:pPr>
        <w:jc w:val="both"/>
        <w:ind w:firstLine="472"/>
        <w:spacing w:after="0" w:line="224" w:lineRule="exact"/>
        <w:rPr>
          <w:sz w:val="20"/>
          <w:szCs w:val="20"/>
          <w:color w:val="auto"/>
        </w:rPr>
      </w:pPr>
      <w:r>
        <w:rPr>
          <w:rFonts w:ascii="Times New Roman" w:cs="Times New Roman" w:eastAsia="Times New Roman" w:hAnsi="Times New Roman"/>
          <w:sz w:val="17"/>
          <w:szCs w:val="17"/>
          <w:color w:val="auto"/>
        </w:rPr>
        <w:t>As of September 30, 2024,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under the Securities Exchange Act of 1934). Based on that evaluation, our CEO and our CFO have concluded that, as of September 30, 2024, our disclosure controls and procedures were effective at the reasonable assurance level.</w:t>
      </w:r>
    </w:p>
    <w:p>
      <w:pPr>
        <w:spacing w:after="0" w:line="3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28" w:lineRule="exact"/>
        <w:rPr>
          <w:sz w:val="20"/>
          <w:szCs w:val="20"/>
          <w:color w:val="auto"/>
        </w:rPr>
      </w:pPr>
    </w:p>
    <w:p>
      <w:pPr>
        <w:jc w:val="both"/>
        <w:ind w:firstLine="472"/>
        <w:spacing w:after="0" w:line="297" w:lineRule="auto"/>
        <w:rPr>
          <w:sz w:val="20"/>
          <w:szCs w:val="20"/>
          <w:color w:val="auto"/>
        </w:rPr>
      </w:pPr>
      <w:r>
        <w:rPr>
          <w:rFonts w:ascii="Times New Roman" w:cs="Times New Roman" w:eastAsia="Times New Roman" w:hAnsi="Times New Roman"/>
          <w:sz w:val="17"/>
          <w:szCs w:val="17"/>
          <w:color w:val="auto"/>
        </w:rPr>
        <w:t>During the quarter ended September 30, 2024, there were no changes in our internal controls over financial reporting that have materially affected, or are reasonably likely to materially affect, our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3" w:lineRule="exact"/>
        <w:rPr>
          <w:sz w:val="20"/>
          <w:szCs w:val="20"/>
          <w:color w:val="auto"/>
        </w:rPr>
      </w:pPr>
    </w:p>
    <w:p>
      <w:pPr>
        <w:jc w:val="both"/>
        <w:ind w:firstLine="433"/>
        <w:spacing w:after="0" w:line="259" w:lineRule="auto"/>
        <w:rPr>
          <w:sz w:val="20"/>
          <w:szCs w:val="20"/>
          <w:color w:val="auto"/>
        </w:rPr>
      </w:pPr>
      <w:r>
        <w:rPr>
          <w:rFonts w:ascii="Times New Roman" w:cs="Times New Roman" w:eastAsia="Times New Roman" w:hAnsi="Times New Roman"/>
          <w:sz w:val="17"/>
          <w:szCs w:val="17"/>
          <w:color w:val="auto"/>
        </w:rPr>
        <w:t>Except as set forth below, there have been no material changes from the risk factors disclosed in Part I, Item 1A. “Risk Factors” of our 2023 Annual Report. The risk factors described in our 2023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2023 Annual Report. Additional risks and uncertainties not presently known to us or that we currently believe to be immaterial may also adversely affect our business and the trading price of our securities.</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55" w:lineRule="exact"/>
        <w:rPr>
          <w:sz w:val="20"/>
          <w:szCs w:val="20"/>
          <w:color w:val="auto"/>
        </w:rPr>
      </w:pPr>
    </w:p>
    <w:p>
      <w:pPr>
        <w:jc w:val="both"/>
        <w:ind w:firstLine="433"/>
        <w:spacing w:after="0" w:line="250" w:lineRule="auto"/>
        <w:rPr>
          <w:sz w:val="20"/>
          <w:szCs w:val="20"/>
          <w:color w:val="auto"/>
        </w:rPr>
      </w:pPr>
      <w:r>
        <w:rPr>
          <w:rFonts w:ascii="Times New Roman" w:cs="Times New Roman" w:eastAsia="Times New Roman" w:hAnsi="Times New Roman"/>
          <w:sz w:val="17"/>
          <w:szCs w:val="17"/>
          <w:color w:val="auto"/>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186" w:lineRule="exact"/>
        <w:rPr>
          <w:sz w:val="20"/>
          <w:szCs w:val="20"/>
          <w:color w:val="auto"/>
        </w:rPr>
      </w:pPr>
    </w:p>
    <w:p>
      <w:pPr>
        <w:jc w:val="both"/>
        <w:ind w:firstLine="433"/>
        <w:spacing w:after="0" w:line="255" w:lineRule="auto"/>
        <w:rPr>
          <w:sz w:val="20"/>
          <w:szCs w:val="20"/>
          <w:color w:val="auto"/>
        </w:rPr>
      </w:pPr>
      <w:r>
        <w:rPr>
          <w:rFonts w:ascii="Times New Roman" w:cs="Times New Roman" w:eastAsia="Times New Roman" w:hAnsi="Times New Roman"/>
          <w:sz w:val="17"/>
          <w:szCs w:val="17"/>
          <w:color w:val="auto"/>
        </w:rPr>
        <w:t>There are numerous U.S. federal and state laws pertaining to healthcare fraud and abuse, including anti-kickback and false claims laws. Our relationships and our third-party sales agents and resellers’ relationships with physicians, other healthcare professionals, and hospitals are subject to scrutiny under these laws. For example, we are subject to the federal health-care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w:t>
      </w:r>
    </w:p>
    <w:p>
      <w:pPr>
        <w:spacing w:after="0" w:line="168"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w:t>
      </w:r>
    </w:p>
    <w:p>
      <w:pPr>
        <w:spacing w:after="0" w:line="176"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163" w:lineRule="exact"/>
        <w:rPr>
          <w:sz w:val="20"/>
          <w:szCs w:val="20"/>
          <w:color w:val="auto"/>
        </w:rPr>
      </w:pPr>
    </w:p>
    <w:p>
      <w:pPr>
        <w:jc w:val="both"/>
        <w:ind w:firstLine="433"/>
        <w:spacing w:after="0" w:line="250" w:lineRule="auto"/>
        <w:rPr>
          <w:sz w:val="20"/>
          <w:szCs w:val="20"/>
          <w:color w:val="auto"/>
        </w:rPr>
      </w:pPr>
      <w:r>
        <w:rPr>
          <w:rFonts w:ascii="Times New Roman" w:cs="Times New Roman" w:eastAsia="Times New Roman" w:hAnsi="Times New Roman"/>
          <w:sz w:val="17"/>
          <w:szCs w:val="17"/>
          <w:color w:val="auto"/>
        </w:rPr>
        <w:t>We have entered into consulting agreements and royalty agreements with physicians and healthcare executives, including some who are customers. We also engage in co-marketing arrangements with certain physicians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physicians who order our products to be in violation of applicable laws and we were unable to comply with such laws, which could subject us to, among other things, monetary penalties for non-compliance, the cost of which could be substantial.</w:t>
      </w:r>
    </w:p>
    <w:p>
      <w:pPr>
        <w:spacing w:after="0" w:line="187"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Various state and federal regulatory and enforcement agencies, and foreign equivalents, continue actively to investigate violations of health-care laws and regulations, and the U.S. Congress continues to strengthen the arsenal of enforcement tools.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 w:name="page39"/>
    <w:bookmarkEnd w:id="38"/>
    <w:p>
      <w:pPr>
        <w:jc w:val="both"/>
        <w:spacing w:after="0" w:line="249" w:lineRule="auto"/>
        <w:rPr>
          <w:sz w:val="20"/>
          <w:szCs w:val="20"/>
          <w:color w:val="auto"/>
        </w:rPr>
      </w:pPr>
      <w:r>
        <w:rPr>
          <w:rFonts w:ascii="Times New Roman" w:cs="Times New Roman" w:eastAsia="Times New Roman" w:hAnsi="Times New Roman"/>
          <w:sz w:val="17"/>
          <w:szCs w:val="17"/>
          <w:color w:val="auto"/>
        </w:rPr>
        <w:t>enforce compliance with the federal laws, the U.S. Department of Justice has continued its scrutiny of interactions between healthcare companies and healthcare providers, which has led to a number of investigations, prosecutions, convictions and settlements in the healthcare industry. For example, in October 2024, we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health-care professionals. Dealing with this Investigation and other investigations may be time- and resource-consuming and can divert management’s attention from the business. In addition, most of these laws apply to not only the actions taken by us, but also actions taken by our distributors and other third party agents, and healthcare providers with whom we interact. We have limited control over the business practices of our distributors and agents, and we may face regulatory action against us as a result of their actions which could have a material adverse effect on our reputation, business, results of operations, and financial condition.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Our current Investigation and any new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393"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59" w:lineRule="exact"/>
        <w:rPr>
          <w:sz w:val="20"/>
          <w:szCs w:val="20"/>
          <w:color w:val="auto"/>
        </w:rPr>
      </w:pPr>
    </w:p>
    <w:p>
      <w:pPr>
        <w:jc w:val="both"/>
        <w:ind w:firstLine="433"/>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ability to access credit on favorable terms, if necessary, for the funding of our operations and capital projects may be limited due to changes in credit markets.</w:t>
      </w:r>
    </w:p>
    <w:p>
      <w:pPr>
        <w:spacing w:after="0" w:line="181" w:lineRule="exact"/>
        <w:rPr>
          <w:sz w:val="20"/>
          <w:szCs w:val="20"/>
          <w:color w:val="auto"/>
        </w:rPr>
      </w:pPr>
    </w:p>
    <w:p>
      <w:pPr>
        <w:jc w:val="both"/>
        <w:ind w:firstLine="433"/>
        <w:spacing w:after="0" w:line="248" w:lineRule="auto"/>
        <w:rPr>
          <w:sz w:val="20"/>
          <w:szCs w:val="20"/>
          <w:color w:val="auto"/>
        </w:rPr>
      </w:pPr>
      <w:r>
        <w:rPr>
          <w:rFonts w:ascii="Times New Roman" w:cs="Times New Roman" w:eastAsia="Times New Roman" w:hAnsi="Times New Roman"/>
          <w:sz w:val="17"/>
          <w:szCs w:val="17"/>
          <w:color w:val="auto"/>
        </w:rPr>
        <w:t>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On November 8, 2024, we entered into a Third Amendment to Loan and Security Agreement (the “Third Amendment”) with Silicon Valley Bank, a division of First-Citizens Bank &amp; Trust Company (“SVB”), which amends the Company’s Loan and Security Agreement, dated as of August 12, 2021 (the “Original Loan Agreement”), as amended by that certain First Amendment to Loan and Security Agreement, dated as of January 6, 2023 (the “First Amendment”) and that certain Second Amendment to Loan and Security Agreement, dated as of January 25, 2024 (the “Second Amendment” and the Original Loan Agreement, as amended by the First Amendment, Second Amendment and Third Amendment, the “Third Amended Loan Agreement”). The Third Amendment Term Loan extended by First-Citizens to us pursuant to the current Third Amended Loan Agreement terminates and matures on September 1, 2029, and if we cannot renew or refinance this Third Amendment Term Loan, if needed at such time, or obtain funding when needed, in each case on acceptable terms, such conditions may have an adverse effect on our ability to operate our business. See “Note 7. Borrowings” to the “Notes to Consolidated Financial Statements” included in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Amendment to Loan and Security Agreement</w:t>
      </w:r>
    </w:p>
    <w:p>
      <w:pPr>
        <w:spacing w:after="0" w:line="252"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On November 8, 2024, the Company entered into a Third Amendment to Loan and Security Agreement (the “Third Amendment” and together with the Loan and Security Agreement dated as of August 12, 2021, as amended by that certain First Amendment to Loan and Security Agreement dated as of January 6, 2023 and that certain Second Amendment to Loan and Security Agreement dated January 25, 2024, the “Third Amended Loan Agreement”) with First-Citizens Bank &amp; Trust Company (“First-Citizens”), pursuant to which a new term loan in the original aggregate principal amount of $36.0 million was extended by First-Citizens to the Company (the “Third Amendment Term Loan”), which was substantially used to refinance and repay in full the then-outstanding $36.0 million existing term loan. The Company also paid a certain final payment due relative to such prior term loan. The Third Amendment sets the maturity date for the Third Amendment Term Loan to September 1, 2029 (the “Third Amendment Term Loan Maturity Date”), and defers the first principal repayment due date relative to the Third Amendment Term Loan to October 1, 2027; provided that upon the achievement of the Performance Milestone (as defined in the Third Amendment), the first principal payment shall become due on October 1, 2028. Interest on the Third Amendment Term Loan will be payable monthly at a floating rate per annum equal to the greater of 4.25% and the prime rate minus 0.5%. The Company may elect to prepay the Third Amendment Term Loan in whole prior to the Third Amendment Term Loan Maturity Date, subject to a prepayment fee equal to 1.5% of the original principal amount of the Third Amendment Term Loan if it is prepaid within 18 months following the closing of the Third Amendment. The Third Amendment further revised certain provisions related to financial covenants and the periods in which the covenants apply, and First-Citizens and the Company also terminated the revolving credit facility in an aggregate principal amount of up to $15.0 million and an uncommitted accordion term loan provision.</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are including this disclosure in this Form 10-Q rather than filing a Form 8-K under Items 1.01 and 2.03.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Plans</w:t>
      </w:r>
    </w:p>
    <w:p>
      <w:pPr>
        <w:spacing w:after="0" w:line="226" w:lineRule="exact"/>
        <w:rPr>
          <w:sz w:val="20"/>
          <w:szCs w:val="20"/>
          <w:color w:val="auto"/>
        </w:rPr>
      </w:pPr>
    </w:p>
    <w:p>
      <w:pPr>
        <w:ind w:right="220" w:firstLine="629"/>
        <w:spacing w:after="0" w:line="297" w:lineRule="auto"/>
        <w:rPr>
          <w:sz w:val="20"/>
          <w:szCs w:val="20"/>
          <w:color w:val="auto"/>
        </w:rPr>
      </w:pPr>
      <w:r>
        <w:rPr>
          <w:rFonts w:ascii="Times New Roman" w:cs="Times New Roman" w:eastAsia="Times New Roman" w:hAnsi="Times New Roman"/>
          <w:sz w:val="17"/>
          <w:szCs w:val="17"/>
          <w:color w:val="auto"/>
        </w:rPr>
        <w:t>During the fiscal quarter ended September 30, 2024, no director or Section 16 officer adopted or terminated any Rule 10b5-1 trading arrangement or non-Rule 10b5-1 trading arrangement (in each case, as defined in Item 408(a) of Regulation S-K).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2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gridSpan w:val="21"/>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tcBorders>
              <w:top w:val="single" w:sz="8" w:color="auto"/>
            </w:tcBorders>
            <w:vMerge w:val="restart"/>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900" w:type="dxa"/>
            <w:vAlign w:val="bottom"/>
            <w:tcBorders>
              <w:top w:val="single" w:sz="8" w:color="auto"/>
            </w:tcBorders>
          </w:tcPr>
          <w:p>
            <w:pPr>
              <w:jc w:val="center"/>
              <w:ind w:right="98"/>
              <w:spacing w:after="0" w:line="126"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10"/>
                <w:szCs w:val="10"/>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0" w:type="dxa"/>
            <w:vAlign w:val="bottom"/>
            <w:gridSpan w:val="21"/>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6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780" w:type="dxa"/>
            <w:vAlign w:val="bottom"/>
            <w:tcBorders>
              <w:top w:val="single" w:sz="8" w:color="auto"/>
            </w:tcBorders>
            <w:gridSpan w:val="22"/>
          </w:tcPr>
          <w:p>
            <w:pPr>
              <w:spacing w:after="0" w:line="182"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Amended and Restated Certificate of Incorporation.</w:t>
              </w:r>
            </w:hyperlink>
          </w:p>
        </w:tc>
        <w:tc>
          <w:tcPr>
            <w:tcW w:w="200" w:type="dxa"/>
            <w:vAlign w:val="bottom"/>
          </w:tcPr>
          <w:p>
            <w:pPr>
              <w:spacing w:after="0"/>
              <w:rPr>
                <w:sz w:val="15"/>
                <w:szCs w:val="15"/>
                <w:color w:val="auto"/>
              </w:rPr>
            </w:pPr>
          </w:p>
        </w:tc>
        <w:tc>
          <w:tcPr>
            <w:tcW w:w="820" w:type="dxa"/>
            <w:vAlign w:val="bottom"/>
            <w:tcBorders>
              <w:top w:val="single" w:sz="8" w:color="auto"/>
            </w:tcBorders>
          </w:tcPr>
          <w:p>
            <w:pPr>
              <w:jc w:val="center"/>
              <w:ind w:left="56"/>
              <w:spacing w:after="0" w:line="182" w:lineRule="exact"/>
              <w:rPr>
                <w:sz w:val="20"/>
                <w:szCs w:val="20"/>
                <w:color w:val="auto"/>
              </w:rPr>
            </w:pPr>
            <w:r>
              <w:rPr>
                <w:rFonts w:ascii="Times New Roman" w:cs="Times New Roman" w:eastAsia="Times New Roman" w:hAnsi="Times New Roman"/>
                <w:sz w:val="17"/>
                <w:szCs w:val="17"/>
                <w:color w:val="auto"/>
              </w:rPr>
              <w:t>8-K</w:t>
            </w:r>
          </w:p>
        </w:tc>
        <w:tc>
          <w:tcPr>
            <w:tcW w:w="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001-38701</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18"/>
              <w:spacing w:after="0" w:line="182" w:lineRule="exact"/>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5"/>
                <w:szCs w:val="15"/>
                <w:color w:val="auto"/>
              </w:rPr>
            </w:pPr>
          </w:p>
        </w:tc>
        <w:tc>
          <w:tcPr>
            <w:tcW w:w="12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10/19/2018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0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Amendment to Amended and Restated Certificate of Incorporation</w:t>
              </w:r>
            </w:hyperlink>
          </w:p>
        </w:tc>
        <w:tc>
          <w:tcPr>
            <w:tcW w:w="280" w:type="dxa"/>
            <w:vAlign w:val="bottom"/>
            <w:gridSpan w:val="3"/>
          </w:tcPr>
          <w:p>
            <w:pPr>
              <w:spacing w:after="0"/>
              <w:rPr>
                <w:sz w:val="22"/>
                <w:szCs w:val="22"/>
                <w:color w:val="auto"/>
              </w:rPr>
            </w:pPr>
          </w:p>
        </w:tc>
        <w:tc>
          <w:tcPr>
            <w:tcW w:w="820" w:type="dxa"/>
            <w:vAlign w:val="bottom"/>
          </w:tcPr>
          <w:p>
            <w:pPr>
              <w:jc w:val="center"/>
              <w:ind w:left="56"/>
              <w:spacing w:after="0"/>
              <w:rPr>
                <w:sz w:val="20"/>
                <w:szCs w:val="20"/>
                <w:color w:val="auto"/>
              </w:rPr>
            </w:pPr>
            <w:r>
              <w:rPr>
                <w:rFonts w:ascii="Times New Roman" w:cs="Times New Roman" w:eastAsia="Times New Roman" w:hAnsi="Times New Roman"/>
                <w:sz w:val="17"/>
                <w:szCs w:val="17"/>
                <w:color w:val="auto"/>
              </w:rPr>
              <w:t>8-K</w:t>
            </w:r>
          </w:p>
        </w:tc>
        <w:tc>
          <w:tcPr>
            <w:tcW w:w="1480" w:type="dxa"/>
            <w:vAlign w:val="bottom"/>
            <w:gridSpan w:val="3"/>
          </w:tcPr>
          <w:p>
            <w:pPr>
              <w:jc w:val="center"/>
              <w:ind w:left="236"/>
              <w:spacing w:after="0"/>
              <w:rPr>
                <w:sz w:val="20"/>
                <w:szCs w:val="20"/>
                <w:color w:val="auto"/>
              </w:rPr>
            </w:pPr>
            <w:r>
              <w:rPr>
                <w:rFonts w:ascii="Times New Roman" w:cs="Times New Roman" w:eastAsia="Times New Roman" w:hAnsi="Times New Roman"/>
                <w:sz w:val="17"/>
                <w:szCs w:val="17"/>
                <w:color w:val="auto"/>
              </w:rPr>
              <w:t>001-38701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118"/>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6/26/2024</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3"/>
          </w:tcPr>
          <w:p>
            <w:pPr>
              <w:spacing w:after="0"/>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Second Amended and Restated Bylaws.</w:t>
              </w:r>
            </w:hyperlink>
          </w:p>
        </w:tc>
        <w:tc>
          <w:tcPr>
            <w:tcW w:w="820" w:type="dxa"/>
            <w:vAlign w:val="bottom"/>
          </w:tcPr>
          <w:p>
            <w:pPr>
              <w:jc w:val="center"/>
              <w:ind w:left="56"/>
              <w:spacing w:after="0"/>
              <w:rPr>
                <w:sz w:val="20"/>
                <w:szCs w:val="20"/>
                <w:color w:val="auto"/>
              </w:rPr>
            </w:pPr>
            <w:r>
              <w:rPr>
                <w:rFonts w:ascii="Times New Roman" w:cs="Times New Roman" w:eastAsia="Times New Roman" w:hAnsi="Times New Roman"/>
                <w:sz w:val="17"/>
                <w:szCs w:val="17"/>
                <w:color w:val="auto"/>
              </w:rPr>
              <w:t>8-K</w:t>
            </w:r>
          </w:p>
        </w:tc>
        <w:tc>
          <w:tcPr>
            <w:tcW w:w="1480" w:type="dxa"/>
            <w:vAlign w:val="bottom"/>
            <w:gridSpan w:val="3"/>
          </w:tcPr>
          <w:p>
            <w:pPr>
              <w:jc w:val="center"/>
              <w:ind w:left="236"/>
              <w:spacing w:after="0"/>
              <w:rPr>
                <w:sz w:val="20"/>
                <w:szCs w:val="20"/>
                <w:color w:val="auto"/>
              </w:rPr>
            </w:pPr>
            <w:r>
              <w:rPr>
                <w:rFonts w:ascii="Times New Roman" w:cs="Times New Roman" w:eastAsia="Times New Roman" w:hAnsi="Times New Roman"/>
                <w:sz w:val="17"/>
                <w:szCs w:val="17"/>
                <w:color w:val="auto"/>
              </w:rPr>
              <w:t>001-38701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118"/>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9/20/2023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23"/>
          </w:tcPr>
          <w:p>
            <w:pPr>
              <w:spacing w:after="0"/>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Form of Common Stock Certificate of the Company.</w:t>
              </w:r>
            </w:hyperlink>
          </w:p>
        </w:tc>
        <w:tc>
          <w:tcPr>
            <w:tcW w:w="8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rPr>
              <w:t>S-1/A</w:t>
            </w:r>
          </w:p>
        </w:tc>
        <w:tc>
          <w:tcPr>
            <w:tcW w:w="1480" w:type="dxa"/>
            <w:vAlign w:val="bottom"/>
            <w:gridSpan w:val="3"/>
          </w:tcPr>
          <w:p>
            <w:pPr>
              <w:jc w:val="center"/>
              <w:ind w:left="236"/>
              <w:spacing w:after="0"/>
              <w:rPr>
                <w:sz w:val="20"/>
                <w:szCs w:val="20"/>
                <w:color w:val="auto"/>
              </w:rPr>
            </w:pPr>
            <w:r>
              <w:rPr>
                <w:rFonts w:ascii="Times New Roman" w:cs="Times New Roman" w:eastAsia="Times New Roman" w:hAnsi="Times New Roman"/>
                <w:sz w:val="17"/>
                <w:szCs w:val="17"/>
                <w:color w:val="auto"/>
              </w:rPr>
              <w:t>333-227445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118"/>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10/5/2018</w:t>
            </w:r>
          </w:p>
        </w:tc>
        <w:tc>
          <w:tcPr>
            <w:tcW w:w="0" w:type="dxa"/>
            <w:vAlign w:val="bottom"/>
          </w:tcPr>
          <w:p>
            <w:pPr>
              <w:spacing w:after="0"/>
              <w:rPr>
                <w:sz w:val="1"/>
                <w:szCs w:val="1"/>
                <w:color w:val="auto"/>
              </w:rPr>
            </w:pPr>
          </w:p>
        </w:tc>
      </w:tr>
      <w:tr>
        <w:trPr>
          <w:trHeight w:val="25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80" w:type="dxa"/>
            <w:vAlign w:val="bottom"/>
            <w:tcBorders>
              <w:top w:val="single" w:sz="8" w:color="0000FF"/>
            </w:tcBorders>
            <w:gridSpan w:val="11"/>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Reference is made to Exhibits </w:t>
            </w:r>
            <w:hyperlink r:id="rId52">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 xml:space="preserve">and </w:t>
            </w:r>
            <w:hyperlink r:id="rId54">
              <w:r>
                <w:rPr>
                  <w:rFonts w:ascii="Times New Roman" w:cs="Times New Roman" w:eastAsia="Times New Roman" w:hAnsi="Times New Roman"/>
                  <w:sz w:val="17"/>
                  <w:szCs w:val="17"/>
                  <w:color w:val="0000FF"/>
                </w:rPr>
                <w:t>3.2</w:t>
              </w:r>
            </w:hyperlink>
            <w:r>
              <w:rPr>
                <w:rFonts w:ascii="Times New Roman" w:cs="Times New Roman" w:eastAsia="Times New Roman" w:hAnsi="Times New Roman"/>
                <w:sz w:val="17"/>
                <w:szCs w:val="17"/>
                <w:color w:val="auto"/>
              </w:rPr>
              <w:t>.</w:t>
            </w:r>
          </w:p>
        </w:tc>
        <w:tc>
          <w:tcPr>
            <w:tcW w:w="1300" w:type="dxa"/>
            <w:vAlign w:val="bottom"/>
            <w:gridSpan w:val="12"/>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80" w:type="dxa"/>
            <w:vAlign w:val="bottom"/>
            <w:gridSpan w:val="23"/>
          </w:tcPr>
          <w:p>
            <w:pPr>
              <w:spacing w:after="0"/>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Second Amendment to Lease Agreement, dated July 17, 2024,</w:t>
              </w:r>
            </w:hyperlink>
          </w:p>
        </w:tc>
        <w:tc>
          <w:tcPr>
            <w:tcW w:w="820" w:type="dxa"/>
            <w:vAlign w:val="bottom"/>
            <w:vMerge w:val="restart"/>
          </w:tcPr>
          <w:p>
            <w:pPr>
              <w:jc w:val="center"/>
              <w:ind w:left="56"/>
              <w:spacing w:after="0"/>
              <w:rPr>
                <w:sz w:val="20"/>
                <w:szCs w:val="20"/>
                <w:color w:val="auto"/>
              </w:rPr>
            </w:pPr>
            <w:r>
              <w:rPr>
                <w:rFonts w:ascii="Times New Roman" w:cs="Times New Roman" w:eastAsia="Times New Roman" w:hAnsi="Times New Roman"/>
                <w:sz w:val="17"/>
                <w:szCs w:val="17"/>
                <w:color w:val="auto"/>
              </w:rPr>
              <w:t>8-K</w:t>
            </w:r>
          </w:p>
        </w:tc>
        <w:tc>
          <w:tcPr>
            <w:tcW w:w="1480" w:type="dxa"/>
            <w:vAlign w:val="bottom"/>
            <w:gridSpan w:val="3"/>
            <w:vMerge w:val="restart"/>
          </w:tcPr>
          <w:p>
            <w:pPr>
              <w:jc w:val="center"/>
              <w:ind w:left="236"/>
              <w:spacing w:after="0"/>
              <w:rPr>
                <w:sz w:val="20"/>
                <w:szCs w:val="20"/>
                <w:color w:val="auto"/>
              </w:rPr>
            </w:pPr>
            <w:r>
              <w:rPr>
                <w:rFonts w:ascii="Times New Roman" w:cs="Times New Roman" w:eastAsia="Times New Roman" w:hAnsi="Times New Roman"/>
                <w:sz w:val="17"/>
                <w:szCs w:val="17"/>
                <w:color w:val="auto"/>
              </w:rPr>
              <w:t>001-38701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7"/>
                <w:szCs w:val="17"/>
                <w:color w:val="auto"/>
              </w:rPr>
              <w:t>10.1</w:t>
            </w:r>
          </w:p>
        </w:tc>
        <w:tc>
          <w:tcPr>
            <w:tcW w:w="180" w:type="dxa"/>
            <w:vAlign w:val="bottom"/>
          </w:tcPr>
          <w:p>
            <w:pPr>
              <w:spacing w:after="0"/>
              <w:rPr>
                <w:sz w:val="23"/>
                <w:szCs w:val="2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7/19/2024</w:t>
            </w:r>
          </w:p>
        </w:tc>
        <w:tc>
          <w:tcPr>
            <w:tcW w:w="0" w:type="dxa"/>
            <w:vAlign w:val="bottom"/>
          </w:tcPr>
          <w:p>
            <w:pPr>
              <w:spacing w:after="0"/>
              <w:rPr>
                <w:sz w:val="1"/>
                <w:szCs w:val="1"/>
                <w:color w:val="auto"/>
              </w:rPr>
            </w:pPr>
          </w:p>
        </w:tc>
      </w:tr>
      <w:tr>
        <w:trPr>
          <w:trHeight w:val="130"/>
        </w:trPr>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tcBorders>
              <w:top w:val="single" w:sz="8" w:color="0000FF"/>
            </w:tcBorders>
            <w:gridSpan w:val="9"/>
          </w:tcPr>
          <w:p>
            <w:pPr>
              <w:spacing w:after="0" w:line="131"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between SI-BONE, Inc. and Bixby SPE Finance</w:t>
              </w:r>
            </w:hyperlink>
          </w:p>
        </w:tc>
        <w:tc>
          <w:tcPr>
            <w:tcW w:w="980" w:type="dxa"/>
            <w:vAlign w:val="bottom"/>
            <w:tcBorders>
              <w:top w:val="single" w:sz="8" w:color="0000FF"/>
            </w:tcBorders>
            <w:gridSpan w:val="5"/>
          </w:tcPr>
          <w:p>
            <w:pPr>
              <w:ind w:left="40"/>
              <w:spacing w:after="0" w:line="118" w:lineRule="exact"/>
              <w:rPr>
                <w:rFonts w:ascii="Times New Roman" w:cs="Times New Roman" w:eastAsia="Times New Roman" w:hAnsi="Times New Roman"/>
                <w:sz w:val="13"/>
                <w:szCs w:val="13"/>
                <w:color w:val="0000FF"/>
              </w:rPr>
            </w:pPr>
            <w:hyperlink r:id="rId56">
              <w:r>
                <w:rPr>
                  <w:rFonts w:ascii="Times New Roman" w:cs="Times New Roman" w:eastAsia="Times New Roman" w:hAnsi="Times New Roman"/>
                  <w:sz w:val="13"/>
                  <w:szCs w:val="13"/>
                  <w:color w:val="0000FF"/>
                </w:rPr>
                <w:t>11, LLC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820" w:type="dxa"/>
            <w:vAlign w:val="bottom"/>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Third Amendment to Loan and Security Agreement, dated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23"/>
          </w:tcPr>
          <w:p>
            <w:pPr>
              <w:spacing w:after="0" w:line="150" w:lineRule="exact"/>
              <w:rPr>
                <w:sz w:val="20"/>
                <w:szCs w:val="20"/>
                <w:color w:val="auto"/>
              </w:rPr>
            </w:pPr>
            <w:r>
              <w:rPr>
                <w:rFonts w:ascii="Times New Roman" w:cs="Times New Roman" w:eastAsia="Times New Roman" w:hAnsi="Times New Roman"/>
                <w:sz w:val="17"/>
                <w:szCs w:val="17"/>
                <w:color w:val="0000FF"/>
              </w:rPr>
              <w:t>November 8, 2024, between SI-BONE, Inc. and Silicon Valley</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tcBorders>
            <w:gridSpan w:val="15"/>
          </w:tcPr>
          <w:p>
            <w:pPr>
              <w:spacing w:after="0" w:line="163" w:lineRule="exact"/>
              <w:rPr>
                <w:sz w:val="20"/>
                <w:szCs w:val="20"/>
                <w:color w:val="auto"/>
              </w:rPr>
            </w:pPr>
            <w:r>
              <w:rPr>
                <w:rFonts w:ascii="Times New Roman" w:cs="Times New Roman" w:eastAsia="Times New Roman" w:hAnsi="Times New Roman"/>
                <w:sz w:val="17"/>
                <w:szCs w:val="17"/>
                <w:color w:val="0000FF"/>
              </w:rPr>
              <w:t>Bank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8"/>
          </w:tcPr>
          <w:p>
            <w:pPr>
              <w:spacing w:after="0" w:line="150"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gridSpan w:val="19"/>
          </w:tcPr>
          <w:p>
            <w:pPr>
              <w:spacing w:after="0" w:line="163"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w w:val="93"/>
              </w:rPr>
              <w:t>2002.</w:t>
            </w:r>
          </w:p>
        </w:tc>
        <w:tc>
          <w:tcPr>
            <w:tcW w:w="17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w:t>
            </w:r>
          </w:p>
        </w:tc>
        <w:tc>
          <w:tcPr>
            <w:tcW w:w="360" w:type="dxa"/>
            <w:vAlign w:val="bottom"/>
            <w:gridSpan w:val="6"/>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23"/>
          </w:tcPr>
          <w:p>
            <w:pPr>
              <w:spacing w:after="0" w:line="150"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tcBorders>
            <w:gridSpan w:val="19"/>
          </w:tcPr>
          <w:p>
            <w:pPr>
              <w:spacing w:after="0" w:line="163"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w w:val="93"/>
              </w:rPr>
              <w:t>2002.</w:t>
            </w:r>
          </w:p>
        </w:tc>
        <w:tc>
          <w:tcPr>
            <w:tcW w:w="17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and Principal Financial</w:t>
            </w:r>
          </w:p>
        </w:tc>
        <w:tc>
          <w:tcPr>
            <w:tcW w:w="280" w:type="dxa"/>
            <w:vAlign w:val="bottom"/>
            <w:gridSpan w:val="3"/>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23"/>
          </w:tcPr>
          <w:p>
            <w:pPr>
              <w:spacing w:after="0" w:line="150" w:lineRule="exact"/>
              <w:rPr>
                <w:sz w:val="20"/>
                <w:szCs w:val="20"/>
                <w:color w:val="auto"/>
              </w:rPr>
            </w:pPr>
            <w:r>
              <w:rPr>
                <w:rFonts w:ascii="Times New Roman" w:cs="Times New Roman" w:eastAsia="Times New Roman" w:hAnsi="Times New Roman"/>
                <w:sz w:val="17"/>
                <w:szCs w:val="17"/>
                <w:color w:val="0000FF"/>
              </w:rPr>
              <w:t>Officer Pursuant to 18 U.S.C. Section 1350, as Adopted Pursuant to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8"/>
          </w:tcPr>
          <w:p>
            <w:pPr>
              <w:spacing w:after="0" w:line="163"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1380" w:type="dxa"/>
            <w:vAlign w:val="bottom"/>
            <w:tcBorders>
              <w:top w:val="single" w:sz="8" w:color="0000FF"/>
            </w:tcBorders>
            <w:gridSpan w:val="13"/>
          </w:tcPr>
          <w:p>
            <w:pPr>
              <w:spacing w:after="0"/>
              <w:rPr>
                <w:sz w:val="14"/>
                <w:szCs w:val="14"/>
                <w:color w:val="auto"/>
              </w:rPr>
            </w:pPr>
          </w:p>
        </w:tc>
        <w:tc>
          <w:tcPr>
            <w:tcW w:w="24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23"/>
          </w:tcPr>
          <w:p>
            <w:pPr>
              <w:spacing w:after="0" w:line="178" w:lineRule="exact"/>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3"/>
                <w:szCs w:val="23"/>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Document.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3"/>
                <w:szCs w:val="23"/>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19"/>
                <w:szCs w:val="19"/>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Document.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300" w:right="5400" w:hanging="1251"/>
        <w:spacing w:after="0" w:line="248" w:lineRule="auto"/>
        <w:tabs>
          <w:tab w:leader="none" w:pos="13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31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32" w:lineRule="exact"/>
        <w:rPr>
          <w:rFonts w:ascii="Times New Roman" w:cs="Times New Roman" w:eastAsia="Times New Roman" w:hAnsi="Times New Roman"/>
          <w:sz w:val="17"/>
          <w:szCs w:val="17"/>
          <w:color w:val="auto"/>
        </w:rPr>
      </w:pPr>
    </w:p>
    <w:p>
      <w:pPr>
        <w:ind w:left="320" w:right="340" w:hanging="315"/>
        <w:spacing w:after="0" w:line="257" w:lineRule="auto"/>
        <w:tabs>
          <w:tab w:leader="none" w:pos="31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specifically stated in such filing.</w:t>
      </w:r>
    </w:p>
    <w:p>
      <w:pPr>
        <w:spacing w:after="0" w:line="3" w:lineRule="exact"/>
        <w:rPr>
          <w:sz w:val="20"/>
          <w:szCs w:val="20"/>
          <w:color w:val="auto"/>
        </w:rPr>
      </w:pPr>
    </w:p>
    <w:p>
      <w:pPr>
        <w:ind w:left="320" w:right="360" w:hanging="315"/>
        <w:spacing w:after="0" w:line="256" w:lineRule="auto"/>
        <w:tabs>
          <w:tab w:leader="none" w:pos="26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omitted portions of the referenced exhibit pursuant to Item 601(b) of Regulation S-K because it (a) is not material and (b) the type of information that the Registrant both customarily and actually treats as private or confidential.</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9" w:right="3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 in Santa Clara, California, on November 12, 2024.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SI-BONE, Inc.</w:t>
      </w:r>
    </w:p>
    <w:p>
      <w:pPr>
        <w:spacing w:after="0" w:line="277" w:lineRule="exact"/>
        <w:rPr>
          <w:sz w:val="20"/>
          <w:szCs w:val="20"/>
          <w:color w:val="auto"/>
        </w:rPr>
      </w:pPr>
    </w:p>
    <w:p>
      <w:pPr>
        <w:ind w:left="920"/>
        <w:spacing w:after="0"/>
        <w:tabs>
          <w:tab w:leader="none" w:pos="1520" w:val="left"/>
          <w:tab w:leader="none" w:pos="5460" w:val="left"/>
          <w:tab w:leader="none" w:pos="6160" w:val="left"/>
        </w:tabs>
        <w:rPr>
          <w:sz w:val="20"/>
          <w:szCs w:val="20"/>
          <w:color w:val="auto"/>
        </w:rPr>
      </w:pPr>
      <w:r>
        <w:rPr>
          <w:rFonts w:ascii="Times New Roman" w:cs="Times New Roman" w:eastAsia="Times New Roman" w:hAnsi="Times New Roman"/>
          <w:sz w:val="17"/>
          <w:szCs w:val="17"/>
          <w:color w:val="auto"/>
        </w:rPr>
        <w:t>Date:</w:t>
        <w:tab/>
        <w:t>November 12,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20955</wp:posOffset>
            </wp:positionV>
            <wp:extent cx="2656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Laura A. Francis</w:t>
      </w:r>
    </w:p>
    <w:p>
      <w:pPr>
        <w:spacing w:after="0" w:line="5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(Duly Authorized Officer and Principal Executive Officer</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SI-BONE, Inc.</w:t>
      </w:r>
    </w:p>
    <w:p>
      <w:pPr>
        <w:spacing w:after="0" w:line="277" w:lineRule="exact"/>
        <w:rPr>
          <w:sz w:val="20"/>
          <w:szCs w:val="20"/>
          <w:color w:val="auto"/>
        </w:rPr>
      </w:pPr>
    </w:p>
    <w:p>
      <w:pPr>
        <w:ind w:left="920"/>
        <w:spacing w:after="0"/>
        <w:tabs>
          <w:tab w:leader="none" w:pos="1520" w:val="left"/>
          <w:tab w:leader="none" w:pos="5460" w:val="left"/>
          <w:tab w:leader="none" w:pos="6160" w:val="left"/>
        </w:tabs>
        <w:rPr>
          <w:sz w:val="20"/>
          <w:szCs w:val="20"/>
          <w:color w:val="auto"/>
        </w:rPr>
      </w:pPr>
      <w:r>
        <w:rPr>
          <w:rFonts w:ascii="Times New Roman" w:cs="Times New Roman" w:eastAsia="Times New Roman" w:hAnsi="Times New Roman"/>
          <w:sz w:val="17"/>
          <w:szCs w:val="17"/>
          <w:color w:val="auto"/>
        </w:rPr>
        <w:t>Date:</w:t>
        <w:tab/>
        <w:t>November 12,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20955</wp:posOffset>
            </wp:positionV>
            <wp:extent cx="2656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Anshul Maheshwari</w:t>
      </w:r>
    </w:p>
    <w:p>
      <w:pPr>
        <w:spacing w:after="0" w:line="6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(Duly Authorized Officer and Principal Financial and</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Accounting Officer)</w:t>
      </w:r>
    </w:p>
    <w:p>
      <w:pPr>
        <w:sectPr>
          <w:pgSz w:w="11900" w:h="16838" w:orient="portrait"/>
          <w:cols w:equalWidth="0" w:num="1">
            <w:col w:w="11240"/>
          </w:cols>
          <w:pgMar w:left="320" w:top="749" w:right="339" w:bottom="1440" w:gutter="0" w:footer="0" w:header="0"/>
        </w:sectPr>
      </w:pPr>
    </w:p>
    <w:bookmarkStart w:id="42" w:name="page43"/>
    <w:bookmarkEnd w:id="42"/>
    <w:p>
      <w:pPr>
        <w:ind w:left="102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9" w:lineRule="exact"/>
        <w:rPr>
          <w:sz w:val="20"/>
          <w:szCs w:val="20"/>
          <w:color w:val="auto"/>
        </w:rPr>
      </w:pPr>
    </w:p>
    <w:p>
      <w:pPr>
        <w:jc w:val="center"/>
        <w:ind w:left="340" w:right="60"/>
        <w:spacing w:after="0" w:line="283" w:lineRule="auto"/>
        <w:rPr>
          <w:sz w:val="20"/>
          <w:szCs w:val="20"/>
          <w:color w:val="auto"/>
        </w:rPr>
      </w:pPr>
      <w:r>
        <w:rPr>
          <w:rFonts w:ascii="Times New Roman" w:cs="Times New Roman" w:eastAsia="Times New Roman" w:hAnsi="Times New Roman"/>
          <w:sz w:val="19"/>
          <w:szCs w:val="19"/>
          <w:b w:val="1"/>
          <w:bCs w:val="1"/>
          <w:color w:val="auto"/>
        </w:rPr>
        <w:t>CERTAIN INFORMATION IDENTIFIED BY “[***]” HAS BEEN EXCLUDED FROM THE EXHIBIT BECAUSE IT IS BOTH NOT MATERIAL AND IS THE TYPE OF INFORMATION THAT THE REGISTRANT TREATS AS PRIVATE OR CONFIDENTIAL.</w:t>
      </w:r>
    </w:p>
    <w:p>
      <w:pPr>
        <w:spacing w:after="0" w:line="178" w:lineRule="exact"/>
        <w:rPr>
          <w:sz w:val="20"/>
          <w:szCs w:val="20"/>
          <w:color w:val="auto"/>
        </w:rPr>
      </w:pPr>
    </w:p>
    <w:p>
      <w:pPr>
        <w:jc w:val="center"/>
        <w:spacing w:after="0" w:line="335" w:lineRule="auto"/>
        <w:rPr>
          <w:sz w:val="20"/>
          <w:szCs w:val="20"/>
          <w:color w:val="auto"/>
        </w:rPr>
      </w:pPr>
      <w:r>
        <w:rPr>
          <w:sz w:val="1"/>
          <w:szCs w:val="1"/>
          <w:color w:val="auto"/>
        </w:rPr>
        <w:drawing>
          <wp:inline distT="0" distB="0" distL="0" distR="0">
            <wp:extent cx="5196205" cy="23304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196205" cy="233045"/>
                    </a:xfrm>
                    <a:prstGeom prst="rect">
                      <a:avLst/>
                    </a:prstGeom>
                    <a:noFill/>
                    <a:ln>
                      <a:noFill/>
                    </a:ln>
                  </pic:spPr>
                </pic:pic>
              </a:graphicData>
            </a:graphic>
          </wp:inline>
        </w:drawing>
      </w:r>
      <w:r>
        <w:rPr>
          <w:rFonts w:ascii="Times New Roman" w:cs="Times New Roman" w:eastAsia="Times New Roman" w:hAnsi="Times New Roman"/>
          <w:sz w:val="19"/>
          <w:szCs w:val="19"/>
          <w:b w:val="1"/>
          <w:bCs w:val="1"/>
          <w:color w:val="auto"/>
        </w:rPr>
        <w:t>THIRD AMENDMENT TO LOAN AND SECURITY AGREEMENT</w:t>
      </w:r>
    </w:p>
    <w:p>
      <w:pPr>
        <w:spacing w:after="0" w:line="54" w:lineRule="exact"/>
        <w:rPr>
          <w:sz w:val="20"/>
          <w:szCs w:val="20"/>
          <w:color w:val="auto"/>
        </w:rPr>
      </w:pPr>
    </w:p>
    <w:p>
      <w:pPr>
        <w:jc w:val="both"/>
        <w:ind w:right="240" w:firstLine="629"/>
        <w:spacing w:after="0" w:line="256" w:lineRule="auto"/>
        <w:rPr>
          <w:sz w:val="20"/>
          <w:szCs w:val="20"/>
          <w:color w:val="auto"/>
        </w:rPr>
      </w:pPr>
      <w:r>
        <w:rPr>
          <w:rFonts w:ascii="Times New Roman" w:cs="Times New Roman" w:eastAsia="Times New Roman" w:hAnsi="Times New Roman"/>
          <w:sz w:val="19"/>
          <w:szCs w:val="19"/>
          <w:color w:val="auto"/>
        </w:rPr>
        <w:t>This Third Amendment to Loan and Security Agreement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xml:space="preserve">”) is entered into as of August 8, 2024, by and between (i) </w:t>
      </w:r>
      <w:r>
        <w:rPr>
          <w:rFonts w:ascii="Times New Roman" w:cs="Times New Roman" w:eastAsia="Times New Roman" w:hAnsi="Times New Roman"/>
          <w:sz w:val="19"/>
          <w:szCs w:val="19"/>
          <w:b w:val="1"/>
          <w:bCs w:val="1"/>
          <w:color w:val="auto"/>
        </w:rPr>
        <w:t>SILICON VALLEY BANK</w:t>
      </w:r>
      <w:r>
        <w:rPr>
          <w:rFonts w:ascii="Times New Roman" w:cs="Times New Roman" w:eastAsia="Times New Roman" w:hAnsi="Times New Roman"/>
          <w:sz w:val="19"/>
          <w:szCs w:val="19"/>
          <w:color w:val="auto"/>
        </w:rPr>
        <w:t>, a division of First-Citizens Bank &amp; Trust Company (“</w:t>
      </w:r>
      <w:r>
        <w:rPr>
          <w:rFonts w:ascii="Times New Roman" w:cs="Times New Roman" w:eastAsia="Times New Roman" w:hAnsi="Times New Roman"/>
          <w:sz w:val="19"/>
          <w:szCs w:val="19"/>
          <w:b w:val="1"/>
          <w:bCs w:val="1"/>
          <w:color w:val="auto"/>
        </w:rPr>
        <w:t>Bank</w:t>
      </w:r>
      <w:r>
        <w:rPr>
          <w:rFonts w:ascii="Times New Roman" w:cs="Times New Roman" w:eastAsia="Times New Roman" w:hAnsi="Times New Roman"/>
          <w:sz w:val="19"/>
          <w:szCs w:val="19"/>
          <w:color w:val="auto"/>
        </w:rPr>
        <w:t>”), and (ii)</w:t>
      </w:r>
      <w:r>
        <w:rPr>
          <w:rFonts w:ascii="Times New Roman" w:cs="Times New Roman" w:eastAsia="Times New Roman" w:hAnsi="Times New Roman"/>
          <w:sz w:val="19"/>
          <w:szCs w:val="19"/>
          <w:b w:val="1"/>
          <w:bCs w:val="1"/>
          <w:color w:val="auto"/>
        </w:rPr>
        <w:t xml:space="preserve"> SI-BONE, INC</w:t>
      </w:r>
      <w:r>
        <w:rPr>
          <w:rFonts w:ascii="Times New Roman" w:cs="Times New Roman" w:eastAsia="Times New Roman" w:hAnsi="Times New Roman"/>
          <w:sz w:val="19"/>
          <w:szCs w:val="19"/>
          <w:color w:val="auto"/>
        </w:rPr>
        <w:t>., a Delaware corporation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27" w:lineRule="exact"/>
        <w:rPr>
          <w:sz w:val="20"/>
          <w:szCs w:val="20"/>
          <w:color w:val="auto"/>
        </w:rPr>
      </w:pPr>
    </w:p>
    <w:p>
      <w:pPr>
        <w:jc w:val="both"/>
        <w:ind w:left="80" w:firstLine="554"/>
        <w:spacing w:after="0" w:line="267" w:lineRule="auto"/>
        <w:tabs>
          <w:tab w:leader="none" w:pos="125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 and Borrower have entered into that certain Loan and Security Agreement dated as of August 12, 2021 (the “</w:t>
      </w:r>
      <w:r>
        <w:rPr>
          <w:rFonts w:ascii="Times New Roman" w:cs="Times New Roman" w:eastAsia="Times New Roman" w:hAnsi="Times New Roman"/>
          <w:sz w:val="19"/>
          <w:szCs w:val="19"/>
          <w:b w:val="1"/>
          <w:bCs w:val="1"/>
          <w:color w:val="auto"/>
        </w:rPr>
        <w:t>Existing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Loan Agreement</w:t>
      </w:r>
      <w:r>
        <w:rPr>
          <w:rFonts w:ascii="Times New Roman" w:cs="Times New Roman" w:eastAsia="Times New Roman" w:hAnsi="Times New Roman"/>
          <w:sz w:val="19"/>
          <w:szCs w:val="19"/>
          <w:color w:val="auto"/>
        </w:rPr>
        <w:t>”; the Existing Loan Agreement, as amended, restated, amended and restated, modified, or supplemented from time to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by that certain First Amendment to Loan and Security Agreement dated as of January 6, 2023, that certain Letter Agreement dated as of March 24, 2023 and that certain Second Amendment to Loan and Security Agreement dated as of January 25, 2024, the “</w:t>
      </w:r>
      <w:r>
        <w:rPr>
          <w:rFonts w:ascii="Times New Roman" w:cs="Times New Roman" w:eastAsia="Times New Roman" w:hAnsi="Times New Roman"/>
          <w:sz w:val="19"/>
          <w:szCs w:val="19"/>
          <w:b w:val="1"/>
          <w:bCs w:val="1"/>
          <w:color w:val="auto"/>
        </w:rPr>
        <w:t>Loan Agreement</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ind w:left="1260" w:hanging="626"/>
        <w:spacing w:after="0"/>
        <w:tabs>
          <w:tab w:leader="none" w:pos="12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 has extended credit to Borrower for the purposes permitted in the Loan Agreement.</w:t>
      </w:r>
    </w:p>
    <w:p>
      <w:pPr>
        <w:spacing w:after="0" w:line="227" w:lineRule="exact"/>
        <w:rPr>
          <w:rFonts w:ascii="Times New Roman" w:cs="Times New Roman" w:eastAsia="Times New Roman" w:hAnsi="Times New Roman"/>
          <w:sz w:val="19"/>
          <w:szCs w:val="19"/>
          <w:color w:val="auto"/>
        </w:rPr>
      </w:pPr>
    </w:p>
    <w:p>
      <w:pPr>
        <w:ind w:left="1260" w:hanging="626"/>
        <w:spacing w:after="0"/>
        <w:tabs>
          <w:tab w:leader="none" w:pos="12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has requested that Bank amend the Loan Agreement to make certain revisions to the Loan Agreement as more fully set</w:t>
      </w:r>
    </w:p>
    <w:p>
      <w:pPr>
        <w:spacing w:after="0" w:line="26" w:lineRule="exact"/>
        <w:rPr>
          <w:rFonts w:ascii="Times New Roman" w:cs="Times New Roman" w:eastAsia="Times New Roman" w:hAnsi="Times New Roman"/>
          <w:sz w:val="19"/>
          <w:szCs w:val="19"/>
          <w:color w:val="auto"/>
        </w:rPr>
      </w:pPr>
    </w:p>
    <w:p>
      <w:pPr>
        <w:ind w:left="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forth herein.</w:t>
      </w:r>
    </w:p>
    <w:p>
      <w:pPr>
        <w:spacing w:after="0" w:line="205" w:lineRule="exact"/>
        <w:rPr>
          <w:rFonts w:ascii="Times New Roman" w:cs="Times New Roman" w:eastAsia="Times New Roman" w:hAnsi="Times New Roman"/>
          <w:sz w:val="19"/>
          <w:szCs w:val="19"/>
          <w:color w:val="auto"/>
        </w:rPr>
      </w:pPr>
    </w:p>
    <w:p>
      <w:pPr>
        <w:ind w:left="80" w:firstLine="554"/>
        <w:spacing w:after="0" w:line="295" w:lineRule="auto"/>
        <w:tabs>
          <w:tab w:leader="none" w:pos="125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227" w:lineRule="exact"/>
        <w:rPr>
          <w:sz w:val="20"/>
          <w:szCs w:val="20"/>
          <w:color w:val="auto"/>
        </w:rPr>
      </w:pPr>
    </w:p>
    <w:p>
      <w:pPr>
        <w:ind w:right="80" w:firstLine="629"/>
        <w:spacing w:after="0" w:line="283"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recitals and other good and valuable consideration, the receipt and adequacy of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 hereby acknowledged, and intending to be legally bound, the parties hereto agree as follows:</w:t>
      </w:r>
    </w:p>
    <w:p>
      <w:pPr>
        <w:spacing w:after="0" w:line="167" w:lineRule="exact"/>
        <w:rPr>
          <w:sz w:val="20"/>
          <w:szCs w:val="20"/>
          <w:color w:val="auto"/>
        </w:rPr>
      </w:pPr>
    </w:p>
    <w:p>
      <w:pPr>
        <w:ind w:left="1260" w:hanging="626"/>
        <w:spacing w:after="0"/>
        <w:tabs>
          <w:tab w:leader="none" w:pos="1260" w:val="left"/>
        </w:tabs>
        <w:numPr>
          <w:ilvl w:val="0"/>
          <w:numId w:val="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Definitions. </w:t>
      </w:r>
      <w:r>
        <w:rPr>
          <w:rFonts w:ascii="Times New Roman" w:cs="Times New Roman" w:eastAsia="Times New Roman" w:hAnsi="Times New Roman"/>
          <w:sz w:val="19"/>
          <w:szCs w:val="19"/>
          <w:color w:val="auto"/>
        </w:rPr>
        <w:t>Capitalized terms used but not defined in this Amendment shall have the meanings given to them in the Loan</w:t>
      </w:r>
    </w:p>
    <w:p>
      <w:pPr>
        <w:spacing w:after="0" w:line="28"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Agreement.</w:t>
      </w:r>
    </w:p>
    <w:p>
      <w:pPr>
        <w:spacing w:after="0" w:line="203" w:lineRule="exact"/>
        <w:rPr>
          <w:rFonts w:ascii="Times New Roman" w:cs="Times New Roman" w:eastAsia="Times New Roman" w:hAnsi="Times New Roman"/>
          <w:sz w:val="19"/>
          <w:szCs w:val="19"/>
          <w:b w:val="1"/>
          <w:bCs w:val="1"/>
          <w:color w:val="auto"/>
        </w:rPr>
      </w:pPr>
    </w:p>
    <w:p>
      <w:pPr>
        <w:ind w:left="1260" w:hanging="626"/>
        <w:spacing w:after="0"/>
        <w:tabs>
          <w:tab w:leader="none" w:pos="1260" w:val="left"/>
        </w:tabs>
        <w:numPr>
          <w:ilvl w:val="0"/>
          <w:numId w:val="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 to Loan Agreement</w:t>
      </w:r>
      <w:r>
        <w:rPr>
          <w:rFonts w:ascii="Times New Roman" w:cs="Times New Roman" w:eastAsia="Times New Roman" w:hAnsi="Times New Roman"/>
          <w:sz w:val="19"/>
          <w:szCs w:val="19"/>
          <w:color w:val="auto"/>
        </w:rPr>
        <w:t>.</w:t>
      </w:r>
    </w:p>
    <w:p>
      <w:pPr>
        <w:spacing w:after="0" w:line="214" w:lineRule="exact"/>
        <w:rPr>
          <w:rFonts w:ascii="Times New Roman" w:cs="Times New Roman" w:eastAsia="Times New Roman" w:hAnsi="Times New Roman"/>
          <w:sz w:val="19"/>
          <w:szCs w:val="19"/>
          <w:b w:val="1"/>
          <w:bCs w:val="1"/>
          <w:color w:val="auto"/>
        </w:rPr>
      </w:pPr>
    </w:p>
    <w:p>
      <w:pPr>
        <w:ind w:left="12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2.1</w:t>
      </w:r>
      <w:r>
        <w:rPr>
          <w:rFonts w:ascii="Times New Roman" w:cs="Times New Roman" w:eastAsia="Times New Roman" w:hAnsi="Times New Roman"/>
          <w:sz w:val="19"/>
          <w:szCs w:val="19"/>
          <w:u w:val="single" w:color="auto"/>
          <w:color w:val="auto"/>
        </w:rPr>
        <w:t xml:space="preserve">Exhibit A </w:t>
      </w:r>
      <w:r>
        <w:rPr>
          <w:rFonts w:ascii="Times New Roman" w:cs="Times New Roman" w:eastAsia="Times New Roman" w:hAnsi="Times New Roman"/>
          <w:sz w:val="19"/>
          <w:szCs w:val="19"/>
          <w:color w:val="auto"/>
        </w:rPr>
        <w:t>attached hereto, sets forth a clean copy of the Loan Agreement as amended hereby.</w:t>
      </w:r>
    </w:p>
    <w:p>
      <w:pPr>
        <w:spacing w:after="0" w:line="227" w:lineRule="exact"/>
        <w:rPr>
          <w:sz w:val="20"/>
          <w:szCs w:val="20"/>
          <w:color w:val="auto"/>
        </w:rPr>
      </w:pPr>
    </w:p>
    <w:p>
      <w:pPr>
        <w:ind w:firstLine="1259"/>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2.2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attached hereto, shows deletions of the text in the Existing Loan Agreement pursuant to this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(including, to the extent included in such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1613366762.4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1613366762.4</w:t>
      </w:r>
    </w:p>
    <w:p>
      <w:pPr>
        <w:sectPr>
          <w:pgSz w:w="11900" w:h="16838" w:orient="portrait"/>
          <w:cols w:equalWidth="0" w:num="1">
            <w:col w:w="11240"/>
          </w:cols>
          <w:pgMar w:left="320" w:top="1374" w:right="339" w:bottom="1440" w:gutter="0" w:footer="0" w:header="0"/>
        </w:sectPr>
      </w:pPr>
    </w:p>
    <w:bookmarkStart w:id="43" w:name="page44"/>
    <w:bookmarkEnd w:id="43"/>
    <w:p>
      <w:pPr>
        <w:spacing w:after="0" w:line="295" w:lineRule="auto"/>
        <w:rPr>
          <w:sz w:val="20"/>
          <w:szCs w:val="20"/>
          <w:color w:val="auto"/>
        </w:rPr>
      </w:pPr>
      <w:r>
        <w:rPr>
          <w:rFonts w:ascii="Times New Roman" w:cs="Times New Roman" w:eastAsia="Times New Roman" w:hAnsi="Times New Roman"/>
          <w:sz w:val="19"/>
          <w:szCs w:val="19"/>
          <w:color w:val="auto"/>
        </w:rPr>
        <w:t xml:space="preserve">Schedule or Exhibit to the Existing Loan Agreement), which are indicated by </w:t>
      </w:r>
      <w:r>
        <w:rPr>
          <w:rFonts w:ascii="Times New Roman" w:cs="Times New Roman" w:eastAsia="Times New Roman" w:hAnsi="Times New Roman"/>
          <w:sz w:val="19"/>
          <w:szCs w:val="19"/>
          <w:color w:val="FF0000"/>
          <w:strike w:val="1"/>
        </w:rPr>
        <w:t>struck-through text</w:t>
      </w:r>
      <w:r>
        <w:rPr>
          <w:rFonts w:ascii="Times New Roman" w:cs="Times New Roman" w:eastAsia="Times New Roman" w:hAnsi="Times New Roman"/>
          <w:sz w:val="19"/>
          <w:szCs w:val="19"/>
          <w:color w:val="auto"/>
        </w:rPr>
        <w:t xml:space="preserve">, and insertions of text, which are indicated by </w:t>
      </w:r>
      <w:r>
        <w:rPr>
          <w:rFonts w:ascii="Times New Roman" w:cs="Times New Roman" w:eastAsia="Times New Roman" w:hAnsi="Times New Roman"/>
          <w:sz w:val="19"/>
          <w:szCs w:val="19"/>
          <w:b w:val="1"/>
          <w:bCs w:val="1"/>
          <w:u w:val="single" w:color="auto"/>
          <w:color w:val="0000FF"/>
        </w:rPr>
        <w:t>bold, double-underlined text</w:t>
      </w:r>
      <w:r>
        <w:rPr>
          <w:rFonts w:ascii="Times New Roman" w:cs="Times New Roman" w:eastAsia="Times New Roman" w:hAnsi="Times New Roman"/>
          <w:sz w:val="19"/>
          <w:szCs w:val="19"/>
          <w:color w:val="000000"/>
        </w:rPr>
        <w:t>.</w:t>
      </w:r>
    </w:p>
    <w:p>
      <w:pPr>
        <w:spacing w:after="0" w:line="130" w:lineRule="exact"/>
        <w:rPr>
          <w:sz w:val="20"/>
          <w:szCs w:val="20"/>
          <w:color w:val="auto"/>
        </w:rPr>
      </w:pPr>
    </w:p>
    <w:p>
      <w:pPr>
        <w:ind w:firstLine="634"/>
        <w:spacing w:after="0" w:line="297" w:lineRule="auto"/>
        <w:tabs>
          <w:tab w:leader="none" w:pos="1259" w:val="left"/>
        </w:tabs>
        <w:numPr>
          <w:ilvl w:val="0"/>
          <w:numId w:val="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Representations and Warranties. </w:t>
      </w:r>
      <w:r>
        <w:rPr>
          <w:rFonts w:ascii="Times New Roman" w:cs="Times New Roman" w:eastAsia="Times New Roman" w:hAnsi="Times New Roman"/>
          <w:sz w:val="19"/>
          <w:szCs w:val="19"/>
          <w:color w:val="auto"/>
        </w:rPr>
        <w:t>To induce Bank to enter into this Amendment, Borrower hereby represents and warrants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Bank as follows:</w:t>
      </w:r>
    </w:p>
    <w:p>
      <w:pPr>
        <w:spacing w:after="0" w:line="128" w:lineRule="exact"/>
        <w:rPr>
          <w:sz w:val="20"/>
          <w:szCs w:val="20"/>
          <w:color w:val="auto"/>
        </w:rPr>
      </w:pPr>
    </w:p>
    <w:p>
      <w:pPr>
        <w:jc w:val="both"/>
        <w:ind w:firstLine="1259"/>
        <w:spacing w:after="0" w:line="278" w:lineRule="auto"/>
        <w:rPr>
          <w:sz w:val="20"/>
          <w:szCs w:val="20"/>
          <w:color w:val="auto"/>
        </w:rPr>
      </w:pPr>
      <w:r>
        <w:rPr>
          <w:rFonts w:ascii="Times New Roman" w:cs="Times New Roman" w:eastAsia="Times New Roman" w:hAnsi="Times New Roman"/>
          <w:sz w:val="19"/>
          <w:szCs w:val="19"/>
          <w:b w:val="1"/>
          <w:bCs w:val="1"/>
          <w:color w:val="auto"/>
        </w:rPr>
        <w:t xml:space="preserve">3.1 </w:t>
      </w:r>
      <w:r>
        <w:rPr>
          <w:rFonts w:ascii="Times New Roman" w:cs="Times New Roman" w:eastAsia="Times New Roman" w:hAnsi="Times New Roman"/>
          <w:sz w:val="19"/>
          <w:szCs w:val="19"/>
          <w:color w:val="auto"/>
        </w:rPr>
        <w:t>Immediately after giving effect to this Amendment (a) the representations and warranties contained in the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46" w:lineRule="exact"/>
        <w:rPr>
          <w:sz w:val="20"/>
          <w:szCs w:val="20"/>
          <w:color w:val="auto"/>
        </w:rPr>
      </w:pPr>
    </w:p>
    <w:p>
      <w:pPr>
        <w:jc w:val="both"/>
        <w:ind w:firstLine="1259"/>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3.2 </w:t>
      </w:r>
      <w:r>
        <w:rPr>
          <w:rFonts w:ascii="Times New Roman" w:cs="Times New Roman" w:eastAsia="Times New Roman" w:hAnsi="Times New Roman"/>
          <w:sz w:val="19"/>
          <w:szCs w:val="19"/>
          <w:color w:val="auto"/>
        </w:rPr>
        <w:t>Borrower has the power and authority to execute and deliver this Amendment and to perform its obligations under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Loan Agreement, as affected by this Amendment;</w:t>
      </w:r>
    </w:p>
    <w:p>
      <w:pPr>
        <w:spacing w:after="0" w:line="128" w:lineRule="exact"/>
        <w:rPr>
          <w:sz w:val="20"/>
          <w:szCs w:val="20"/>
          <w:color w:val="auto"/>
        </w:rPr>
      </w:pPr>
    </w:p>
    <w:p>
      <w:pPr>
        <w:jc w:val="both"/>
        <w:ind w:firstLine="1259"/>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3.3 </w:t>
      </w:r>
      <w:r>
        <w:rPr>
          <w:rFonts w:ascii="Times New Roman" w:cs="Times New Roman" w:eastAsia="Times New Roman" w:hAnsi="Times New Roman"/>
          <w:sz w:val="19"/>
          <w:szCs w:val="19"/>
          <w:color w:val="auto"/>
        </w:rPr>
        <w:t>The organizational documents of Borrower delivered to Bank on the First Amendment Effective Date remain true,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accurate and complete and have not been amended, supplemented or restated and are and continue to be in full force and effect;</w:t>
      </w:r>
    </w:p>
    <w:p>
      <w:pPr>
        <w:spacing w:after="0" w:line="141" w:lineRule="exact"/>
        <w:rPr>
          <w:sz w:val="20"/>
          <w:szCs w:val="20"/>
          <w:color w:val="auto"/>
        </w:rPr>
      </w:pPr>
    </w:p>
    <w:p>
      <w:pPr>
        <w:jc w:val="both"/>
        <w:ind w:firstLine="1259"/>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3.4 </w:t>
      </w:r>
      <w:r>
        <w:rPr>
          <w:rFonts w:ascii="Times New Roman" w:cs="Times New Roman" w:eastAsia="Times New Roman" w:hAnsi="Times New Roman"/>
          <w:sz w:val="19"/>
          <w:szCs w:val="19"/>
          <w:color w:val="auto"/>
        </w:rPr>
        <w:t>The execution and delivery by Borrower of this Amendment and the performance by Borrower of its obligations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Loan Agreement, as affected by this Amendment, have been duly authorized;</w:t>
      </w:r>
    </w:p>
    <w:p>
      <w:pPr>
        <w:spacing w:after="0" w:line="154" w:lineRule="exact"/>
        <w:rPr>
          <w:sz w:val="20"/>
          <w:szCs w:val="20"/>
          <w:color w:val="auto"/>
        </w:rPr>
      </w:pPr>
    </w:p>
    <w:p>
      <w:pPr>
        <w:jc w:val="both"/>
        <w:ind w:firstLine="125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3.5 </w:t>
      </w:r>
      <w:r>
        <w:rPr>
          <w:rFonts w:ascii="Times New Roman" w:cs="Times New Roman" w:eastAsia="Times New Roman" w:hAnsi="Times New Roman"/>
          <w:sz w:val="19"/>
          <w:szCs w:val="19"/>
          <w:color w:val="auto"/>
        </w:rPr>
        <w:t>The execution and delivery by Borrower of this Amendment and the performance by Borrower of its obligations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Loan Agreement, as affected by this Amendment, do not and will not contravene (a) any law or regulation binding on or affecting Borrower,</w:t>
      </w:r>
    </w:p>
    <w:p>
      <w:pPr>
        <w:spacing w:after="0" w:line="1" w:lineRule="exact"/>
        <w:rPr>
          <w:sz w:val="20"/>
          <w:szCs w:val="20"/>
          <w:color w:val="auto"/>
        </w:rPr>
      </w:pPr>
    </w:p>
    <w:p>
      <w:pPr>
        <w:jc w:val="both"/>
        <w:ind w:firstLine="5"/>
        <w:spacing w:after="0" w:line="261" w:lineRule="auto"/>
        <w:tabs>
          <w:tab w:leader="none" w:pos="27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contractual restriction with a Person binding on Borrower, (c) any order, judgment or decree of any court or other governmental or public body or authority, or subdivision thereof, binding on Borrower, or (d) the organizational documents of Borrower, or applicable consents or waivers have been obtained;</w:t>
      </w:r>
    </w:p>
    <w:p>
      <w:pPr>
        <w:spacing w:after="0" w:line="175" w:lineRule="exact"/>
        <w:rPr>
          <w:sz w:val="20"/>
          <w:szCs w:val="20"/>
          <w:color w:val="auto"/>
        </w:rPr>
      </w:pPr>
    </w:p>
    <w:p>
      <w:pPr>
        <w:jc w:val="both"/>
        <w:ind w:firstLine="1259"/>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3.6 </w:t>
      </w:r>
      <w:r>
        <w:rPr>
          <w:rFonts w:ascii="Times New Roman" w:cs="Times New Roman" w:eastAsia="Times New Roman" w:hAnsi="Times New Roman"/>
          <w:sz w:val="19"/>
          <w:szCs w:val="19"/>
          <w:color w:val="auto"/>
        </w:rPr>
        <w:t>The execution and delivery by Borrower of this Amendment and the performance by Borrower of its obligations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Loan Agreement, as affected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74" w:lineRule="exact"/>
        <w:rPr>
          <w:sz w:val="20"/>
          <w:szCs w:val="20"/>
          <w:color w:val="auto"/>
        </w:rPr>
      </w:pPr>
    </w:p>
    <w:p>
      <w:pPr>
        <w:jc w:val="both"/>
        <w:ind w:firstLine="1259"/>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3.7 </w:t>
      </w:r>
      <w:r>
        <w:rPr>
          <w:rFonts w:ascii="Times New Roman" w:cs="Times New Roman" w:eastAsia="Times New Roman" w:hAnsi="Times New Roman"/>
          <w:sz w:val="19"/>
          <w:szCs w:val="19"/>
          <w:color w:val="auto"/>
        </w:rPr>
        <w:t>This Amendment has been duly executed and delivered by Borrower and is the binding obligation of 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390" w:lineRule="exact"/>
        <w:rPr>
          <w:sz w:val="20"/>
          <w:szCs w:val="20"/>
          <w:color w:val="auto"/>
        </w:rPr>
      </w:pPr>
    </w:p>
    <w:p>
      <w:pPr>
        <w:jc w:val="both"/>
        <w:ind w:firstLine="634"/>
        <w:spacing w:after="0" w:line="265" w:lineRule="auto"/>
        <w:tabs>
          <w:tab w:leader="none" w:pos="1259"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Updated Perfection Certificate</w:t>
      </w:r>
      <w:r>
        <w:rPr>
          <w:rFonts w:ascii="Times New Roman" w:cs="Times New Roman" w:eastAsia="Times New Roman" w:hAnsi="Times New Roman"/>
          <w:sz w:val="19"/>
          <w:szCs w:val="19"/>
          <w:color w:val="auto"/>
        </w:rPr>
        <w:t>. Borrower has delivered an updated Perfection Certificate dated as of the date hereof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connection with this Amendment (the “</w:t>
      </w:r>
      <w:r>
        <w:rPr>
          <w:rFonts w:ascii="Times New Roman" w:cs="Times New Roman" w:eastAsia="Times New Roman" w:hAnsi="Times New Roman"/>
          <w:sz w:val="19"/>
          <w:szCs w:val="19"/>
          <w:b w:val="1"/>
          <w:bCs w:val="1"/>
          <w:color w:val="auto"/>
        </w:rPr>
        <w:t>Updated Perfection Certificate</w:t>
      </w:r>
      <w:r>
        <w:rPr>
          <w:rFonts w:ascii="Times New Roman" w:cs="Times New Roman" w:eastAsia="Times New Roman" w:hAnsi="Times New Roman"/>
          <w:sz w:val="19"/>
          <w:szCs w:val="19"/>
          <w:color w:val="auto"/>
        </w:rPr>
        <w:t>”), which Updated Perfection Certificate shall supersede in all respects that certain Perfection Certificate delivered to Bank on the First Amendment Effective Date. Borrower and Bank acknowledge and agree that all references in the Loan Agreement to the “Perfection Certificate” shall hereinafter be deemed to be a reference to the Updated Perfection Certificate.</w:t>
      </w:r>
    </w:p>
    <w:p>
      <w:pPr>
        <w:spacing w:after="0" w:line="157" w:lineRule="exact"/>
        <w:rPr>
          <w:rFonts w:ascii="Times New Roman" w:cs="Times New Roman" w:eastAsia="Times New Roman" w:hAnsi="Times New Roman"/>
          <w:sz w:val="19"/>
          <w:szCs w:val="19"/>
          <w:b w:val="1"/>
          <w:bCs w:val="1"/>
          <w:color w:val="auto"/>
        </w:rPr>
      </w:pPr>
    </w:p>
    <w:p>
      <w:pPr>
        <w:ind w:firstLine="634"/>
        <w:spacing w:after="0" w:line="297" w:lineRule="auto"/>
        <w:tabs>
          <w:tab w:leader="none" w:pos="1259"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Integration</w:t>
      </w:r>
      <w:r>
        <w:rPr>
          <w:rFonts w:ascii="Times New Roman" w:cs="Times New Roman" w:eastAsia="Times New Roman" w:hAnsi="Times New Roman"/>
          <w:sz w:val="19"/>
          <w:szCs w:val="19"/>
          <w:color w:val="auto"/>
        </w:rPr>
        <w:t>. This Amendment and the Loan Documents represent the entire agreement about this subject matter and supersede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negotiations or agreements. All prior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1613366762.4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1613366762.4</w:t>
      </w:r>
    </w:p>
    <w:p>
      <w:pPr>
        <w:sectPr>
          <w:pgSz w:w="11900" w:h="16838" w:orient="portrait"/>
          <w:cols w:equalWidth="0" w:num="1">
            <w:col w:w="11240"/>
          </w:cols>
          <w:pgMar w:left="320" w:top="1376" w:right="339" w:bottom="1440" w:gutter="0" w:footer="0" w:header="0"/>
        </w:sectPr>
      </w:pPr>
    </w:p>
    <w:bookmarkStart w:id="44" w:name="page45"/>
    <w:bookmarkEnd w:id="44"/>
    <w:p>
      <w:pPr>
        <w:spacing w:after="0" w:line="295" w:lineRule="auto"/>
        <w:rPr>
          <w:sz w:val="20"/>
          <w:szCs w:val="20"/>
          <w:color w:val="auto"/>
        </w:rPr>
      </w:pPr>
      <w:r>
        <w:rPr>
          <w:rFonts w:ascii="Times New Roman" w:cs="Times New Roman" w:eastAsia="Times New Roman" w:hAnsi="Times New Roman"/>
          <w:sz w:val="19"/>
          <w:szCs w:val="19"/>
          <w:color w:val="auto"/>
        </w:rPr>
        <w:t>understandings, representations, warranties, and negotiations between the parties about the subject matter of this Amendment and the Loan Documents merge into this Amendment and the Loan Documents.</w:t>
      </w:r>
    </w:p>
    <w:p>
      <w:pPr>
        <w:spacing w:after="0" w:line="130" w:lineRule="exact"/>
        <w:rPr>
          <w:sz w:val="20"/>
          <w:szCs w:val="20"/>
          <w:color w:val="auto"/>
        </w:rPr>
      </w:pPr>
    </w:p>
    <w:p>
      <w:pPr>
        <w:ind w:firstLine="634"/>
        <w:spacing w:after="0" w:line="297" w:lineRule="auto"/>
        <w:tabs>
          <w:tab w:leader="none" w:pos="1259" w:val="left"/>
        </w:tabs>
        <w:numPr>
          <w:ilvl w:val="0"/>
          <w:numId w:val="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Counterparts. </w:t>
      </w:r>
      <w:r>
        <w:rPr>
          <w:rFonts w:ascii="Times New Roman" w:cs="Times New Roman" w:eastAsia="Times New Roman" w:hAnsi="Times New Roman"/>
          <w:sz w:val="19"/>
          <w:szCs w:val="19"/>
          <w:color w:val="auto"/>
        </w:rPr>
        <w:t>This Amendment may be executed in any number of counterparts and all of such counterparts taken together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deemed to constitute one and the same instrument.</w:t>
      </w:r>
    </w:p>
    <w:p>
      <w:pPr>
        <w:spacing w:after="0" w:line="128" w:lineRule="exact"/>
        <w:rPr>
          <w:rFonts w:ascii="Times New Roman" w:cs="Times New Roman" w:eastAsia="Times New Roman" w:hAnsi="Times New Roman"/>
          <w:sz w:val="19"/>
          <w:szCs w:val="19"/>
          <w:b w:val="1"/>
          <w:bCs w:val="1"/>
          <w:color w:val="auto"/>
        </w:rPr>
      </w:pPr>
    </w:p>
    <w:p>
      <w:pPr>
        <w:jc w:val="both"/>
        <w:ind w:firstLine="634"/>
        <w:spacing w:after="0" w:line="291" w:lineRule="auto"/>
        <w:tabs>
          <w:tab w:leader="none" w:pos="1259" w:val="left"/>
        </w:tabs>
        <w:numPr>
          <w:ilvl w:val="0"/>
          <w:numId w:val="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Effectiveness</w:t>
      </w:r>
      <w:r>
        <w:rPr>
          <w:rFonts w:ascii="Times New Roman" w:cs="Times New Roman" w:eastAsia="Times New Roman" w:hAnsi="Times New Roman"/>
          <w:sz w:val="19"/>
          <w:szCs w:val="19"/>
          <w:color w:val="auto"/>
        </w:rPr>
        <w:t>. As a condition precedent to the effectiveness of this Amendment and Bank’s obligation to make further Credit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Extensions, Bank shall have received the following prior to or concurrently with this Amendment, each in form and substance satisfactory to Bank:</w:t>
      </w:r>
    </w:p>
    <w:p>
      <w:pPr>
        <w:spacing w:after="0" w:line="375"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9"/>
          <w:szCs w:val="19"/>
          <w:b w:val="1"/>
          <w:bCs w:val="1"/>
          <w:color w:val="auto"/>
        </w:rPr>
        <w:t>7.1</w:t>
      </w:r>
      <w:r>
        <w:rPr>
          <w:sz w:val="20"/>
          <w:szCs w:val="20"/>
          <w:color w:val="auto"/>
        </w:rPr>
        <w:tab/>
      </w:r>
      <w:r>
        <w:rPr>
          <w:rFonts w:ascii="Times New Roman" w:cs="Times New Roman" w:eastAsia="Times New Roman" w:hAnsi="Times New Roman"/>
          <w:sz w:val="19"/>
          <w:szCs w:val="19"/>
          <w:color w:val="auto"/>
        </w:rPr>
        <w:t>The due execution and delivery to Bank of this Amendment by each party thereto;</w:t>
      </w:r>
    </w:p>
    <w:p>
      <w:pPr>
        <w:spacing w:after="0" w:line="227" w:lineRule="exact"/>
        <w:rPr>
          <w:sz w:val="20"/>
          <w:szCs w:val="20"/>
          <w:color w:val="auto"/>
        </w:rPr>
      </w:pPr>
    </w:p>
    <w:p>
      <w:pPr>
        <w:jc w:val="both"/>
        <w:ind w:firstLine="125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7.2 </w:t>
      </w:r>
      <w:r>
        <w:rPr>
          <w:rFonts w:ascii="Times New Roman" w:cs="Times New Roman" w:eastAsia="Times New Roman" w:hAnsi="Times New Roman"/>
          <w:sz w:val="19"/>
          <w:szCs w:val="19"/>
          <w:color w:val="auto"/>
        </w:rPr>
        <w:t>copies, certified in a certificate executed by a duly authorized officer of Borrower, to be true and complete as of the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such certificate, of each of (i) the governing documents of Borrower, as in effect on the date of such certificate, (ii) the resolutions of Borrower authorizing the execution and delivery of this Amendment, all documents executed by it in connection herewith, and Borrower’s performance of all of the transactions contemplated hereby, and (iii) an incumbency certificate giving the name and bearing a specimen signature of each individual who shall be so authorized;</w:t>
      </w:r>
    </w:p>
    <w:p>
      <w:pPr>
        <w:spacing w:after="0" w:line="176" w:lineRule="exact"/>
        <w:rPr>
          <w:sz w:val="20"/>
          <w:szCs w:val="20"/>
          <w:color w:val="auto"/>
        </w:rPr>
      </w:pPr>
    </w:p>
    <w:p>
      <w:pPr>
        <w:jc w:val="both"/>
        <w:ind w:firstLine="1259"/>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7.3 </w:t>
      </w:r>
      <w:r>
        <w:rPr>
          <w:rFonts w:ascii="Times New Roman" w:cs="Times New Roman" w:eastAsia="Times New Roman" w:hAnsi="Times New Roman"/>
          <w:sz w:val="19"/>
          <w:szCs w:val="19"/>
          <w:color w:val="auto"/>
        </w:rPr>
        <w:t>a good standing certificate of Borrower, certified by the Secretary of State of the state of formation of Borrower,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jurisdiction in which Borrower is qualified to do business required by Bank, dated as of a date no earlier than thirty (30) days prior to the date hereof;</w:t>
      </w:r>
    </w:p>
    <w:p>
      <w:pPr>
        <w:spacing w:after="0" w:line="165" w:lineRule="exact"/>
        <w:rPr>
          <w:sz w:val="20"/>
          <w:szCs w:val="20"/>
          <w:color w:val="auto"/>
        </w:rPr>
      </w:pPr>
    </w:p>
    <w:p>
      <w:pPr>
        <w:jc w:val="both"/>
        <w:ind w:firstLine="1259"/>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7.4 </w:t>
      </w:r>
      <w:r>
        <w:rPr>
          <w:rFonts w:ascii="Times New Roman" w:cs="Times New Roman" w:eastAsia="Times New Roman" w:hAnsi="Times New Roman"/>
          <w:sz w:val="19"/>
          <w:szCs w:val="19"/>
          <w:color w:val="auto"/>
        </w:rPr>
        <w:t>repayment of (i) all Obligations constituting Term Loan Advances (as defined in the Loan Agreement prior to the Third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Effective Date) outstanding immediately prior to the Third Amendment Effective Date, and (ii) the Final Payment (as defined in the Loan Agreement prior to the Third Amendment Effective Date);</w:t>
      </w:r>
    </w:p>
    <w:p>
      <w:pPr>
        <w:spacing w:after="0" w:line="152" w:lineRule="exact"/>
        <w:rPr>
          <w:sz w:val="20"/>
          <w:szCs w:val="20"/>
          <w:color w:val="auto"/>
        </w:rPr>
      </w:pPr>
    </w:p>
    <w:p>
      <w:pPr>
        <w:jc w:val="both"/>
        <w:ind w:firstLine="1259"/>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7.5 </w:t>
      </w:r>
      <w:r>
        <w:rPr>
          <w:rFonts w:ascii="Times New Roman" w:cs="Times New Roman" w:eastAsia="Times New Roman" w:hAnsi="Times New Roman"/>
          <w:sz w:val="19"/>
          <w:szCs w:val="19"/>
          <w:color w:val="auto"/>
        </w:rPr>
        <w:t>certified copies, dated as of a recent date, of UCC and other lien searches of Borrower, as Bank may request and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obtained by Bank, accompanied by written evidence (including any UCC termination statements) that the Liens revealed in any such searched either (i) will be terminated prior to or in connection with this Amendment, or (ii) will constitute Permitted Liens;</w:t>
      </w:r>
    </w:p>
    <w:p>
      <w:pPr>
        <w:spacing w:after="0" w:line="165" w:lineRule="exact"/>
        <w:rPr>
          <w:sz w:val="20"/>
          <w:szCs w:val="20"/>
          <w:color w:val="auto"/>
        </w:rPr>
      </w:pPr>
    </w:p>
    <w:p>
      <w:pPr>
        <w:ind w:left="1260"/>
        <w:spacing w:after="0"/>
        <w:tabs>
          <w:tab w:leader="none" w:pos="1920" w:val="left"/>
        </w:tabs>
        <w:rPr>
          <w:sz w:val="20"/>
          <w:szCs w:val="20"/>
          <w:color w:val="auto"/>
        </w:rPr>
      </w:pPr>
      <w:r>
        <w:rPr>
          <w:rFonts w:ascii="Times New Roman" w:cs="Times New Roman" w:eastAsia="Times New Roman" w:hAnsi="Times New Roman"/>
          <w:sz w:val="19"/>
          <w:szCs w:val="19"/>
          <w:b w:val="1"/>
          <w:bCs w:val="1"/>
          <w:color w:val="auto"/>
        </w:rPr>
        <w:t>7.6</w:t>
      </w:r>
      <w:r>
        <w:rPr>
          <w:sz w:val="20"/>
          <w:szCs w:val="20"/>
          <w:color w:val="auto"/>
        </w:rPr>
        <w:tab/>
      </w:r>
      <w:r>
        <w:rPr>
          <w:rFonts w:ascii="Times New Roman" w:cs="Times New Roman" w:eastAsia="Times New Roman" w:hAnsi="Times New Roman"/>
          <w:sz w:val="19"/>
          <w:szCs w:val="19"/>
          <w:color w:val="auto"/>
        </w:rPr>
        <w:t>the Updated Perfection Certificate of Borrower;</w:t>
      </w:r>
    </w:p>
    <w:p>
      <w:pPr>
        <w:spacing w:after="0" w:line="227" w:lineRule="exact"/>
        <w:rPr>
          <w:sz w:val="20"/>
          <w:szCs w:val="20"/>
          <w:color w:val="auto"/>
        </w:rPr>
      </w:pPr>
    </w:p>
    <w:p>
      <w:pPr>
        <w:jc w:val="both"/>
        <w:ind w:firstLine="1259"/>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7.7 </w:t>
      </w:r>
      <w:r>
        <w:rPr>
          <w:rFonts w:ascii="Times New Roman" w:cs="Times New Roman" w:eastAsia="Times New Roman" w:hAnsi="Times New Roman"/>
          <w:sz w:val="19"/>
          <w:szCs w:val="19"/>
          <w:color w:val="auto"/>
        </w:rPr>
        <w:t>Borrower’s payment of the Revolving Line Commitment Fee (as defined in the Loan Agreement prior to the Third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Effective Date) in an aggregate amount of Thirty Seven Thousand Five Hundred Dollars ($37,500);</w:t>
      </w:r>
    </w:p>
    <w:p>
      <w:pPr>
        <w:spacing w:after="0" w:line="15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9"/>
          <w:szCs w:val="19"/>
          <w:b w:val="1"/>
          <w:bCs w:val="1"/>
          <w:color w:val="auto"/>
        </w:rPr>
        <w:t>7.8</w:t>
      </w:r>
      <w:r>
        <w:rPr>
          <w:sz w:val="20"/>
          <w:szCs w:val="20"/>
          <w:color w:val="auto"/>
        </w:rPr>
        <w:tab/>
      </w:r>
      <w:r>
        <w:rPr>
          <w:rFonts w:ascii="Times New Roman" w:cs="Times New Roman" w:eastAsia="Times New Roman" w:hAnsi="Times New Roman"/>
          <w:sz w:val="19"/>
          <w:szCs w:val="19"/>
          <w:color w:val="auto"/>
        </w:rPr>
        <w:t>Borrower’s payment of Bank’s legal fees and expenses incurred in connection with this Amendment; and</w:t>
      </w:r>
    </w:p>
    <w:p>
      <w:pPr>
        <w:spacing w:after="0" w:line="21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9"/>
          <w:szCs w:val="19"/>
          <w:b w:val="1"/>
          <w:bCs w:val="1"/>
          <w:color w:val="auto"/>
        </w:rPr>
        <w:t>7.9</w:t>
      </w:r>
      <w:r>
        <w:rPr>
          <w:sz w:val="20"/>
          <w:szCs w:val="20"/>
          <w:color w:val="auto"/>
        </w:rPr>
        <w:tab/>
      </w:r>
      <w:r>
        <w:rPr>
          <w:rFonts w:ascii="Times New Roman" w:cs="Times New Roman" w:eastAsia="Times New Roman" w:hAnsi="Times New Roman"/>
          <w:sz w:val="19"/>
          <w:szCs w:val="19"/>
          <w:color w:val="auto"/>
        </w:rPr>
        <w:t>such other documents as Bank may reasonably request to effectuate the terms of this Amendment.</w:t>
      </w:r>
    </w:p>
    <w:p>
      <w:pPr>
        <w:spacing w:after="0" w:line="227" w:lineRule="exact"/>
        <w:rPr>
          <w:sz w:val="20"/>
          <w:szCs w:val="20"/>
          <w:color w:val="auto"/>
        </w:rPr>
      </w:pPr>
    </w:p>
    <w:p>
      <w:pPr>
        <w:jc w:val="both"/>
        <w:ind w:firstLine="634"/>
        <w:spacing w:after="0" w:line="271" w:lineRule="auto"/>
        <w:tabs>
          <w:tab w:leader="none" w:pos="1259"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This Amendment and any claim, controversy, dispute or cause of action (whether in contract or tort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based upon, arising out of or relating to this Amendment and the transactions contemplated hereby and thereby shall be governed by, and construed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1613366762.4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1613366762.4</w:t>
      </w:r>
    </w:p>
    <w:p>
      <w:pPr>
        <w:sectPr>
          <w:pgSz w:w="11900" w:h="16838" w:orient="portrait"/>
          <w:cols w:equalWidth="0" w:num="1">
            <w:col w:w="11240"/>
          </w:cols>
          <w:pgMar w:left="320" w:top="1376" w:right="339" w:bottom="1440" w:gutter="0" w:footer="0" w:header="0"/>
        </w:sectPr>
      </w:pPr>
    </w:p>
    <w:bookmarkStart w:id="45" w:name="page46"/>
    <w:bookmarkEnd w:id="45"/>
    <w:p>
      <w:pPr>
        <w:spacing w:after="0" w:line="295" w:lineRule="auto"/>
        <w:rPr>
          <w:sz w:val="20"/>
          <w:szCs w:val="20"/>
          <w:color w:val="auto"/>
        </w:rPr>
      </w:pPr>
      <w:r>
        <w:rPr>
          <w:rFonts w:ascii="Times New Roman" w:cs="Times New Roman" w:eastAsia="Times New Roman" w:hAnsi="Times New Roman"/>
          <w:sz w:val="19"/>
          <w:szCs w:val="19"/>
          <w:color w:val="auto"/>
        </w:rPr>
        <w:t>laws of the State of California, without giving effect to any choice or conflict of law provision or rule (whether of the State of California or any other jurisdiction).</w:t>
      </w:r>
    </w:p>
    <w:p>
      <w:pPr>
        <w:spacing w:after="0" w:line="1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1613366762.4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1613366762.4</w:t>
      </w:r>
    </w:p>
    <w:p>
      <w:pPr>
        <w:sectPr>
          <w:pgSz w:w="11900" w:h="16838" w:orient="portrait"/>
          <w:cols w:equalWidth="0" w:num="1">
            <w:col w:w="11240"/>
          </w:cols>
          <w:pgMar w:left="320" w:top="1376" w:right="33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the parties hereto have caused this Amendment to be duly executed and delivered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4438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44385" cy="16510"/>
                    </a:xfrm>
                    <a:prstGeom prst="rect">
                      <a:avLst/>
                    </a:prstGeom>
                    <a:noFill/>
                  </pic:spPr>
                </pic:pic>
              </a:graphicData>
            </a:graphic>
          </wp:anchor>
        </w:drawing>
      </w:r>
    </w:p>
    <w:p>
      <w:pPr>
        <w:sectPr>
          <w:pgSz w:w="11900" w:h="16838" w:orient="portrait"/>
          <w:cols w:equalWidth="0" w:num="1">
            <w:col w:w="10900"/>
          </w:cols>
          <w:pgMar w:left="320" w:top="1374" w:right="679" w:bottom="1440" w:gutter="0" w:footer="0" w:header="0"/>
        </w:sectPr>
      </w:pPr>
    </w:p>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-72390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-55880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-39370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26670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43815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60325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76835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-122555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-105410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-88900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-72390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-55880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-39370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-22225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-5715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10160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26670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43815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60325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76835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93345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110490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127000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143510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-122555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-105410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-88900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-72390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-55880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-39370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-22225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-5715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10160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26670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43815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60325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76835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93345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110490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127000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143510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-122555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-105410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-88900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-72390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-55880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-39370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-22225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-5715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10160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26670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43815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60325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76835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93345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110490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127000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143510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4780"/>
          </w:cols>
          <w:pgMar w:left="320" w:top="1374" w:right="679" w:bottom="1440" w:gutter="0" w:footer="0" w:header="0"/>
          <w:type w:val="continuous"/>
        </w:sectPr>
      </w:pP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FIRST-CITIZENS BANK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-115570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-65405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117475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133985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217170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250190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283845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SI-BONE,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-132080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-115570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-98425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-81915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-65405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-48895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-31750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-15240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635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17145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33655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50800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67310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83820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100330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117475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133985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150495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167005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184150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200660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217170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233680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250190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267335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283845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300355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-132080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-115570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-98425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-81915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-65405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-48895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-31750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-15240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635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17145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33655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50800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67310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83820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100330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117475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133985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150495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167005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184150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200660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217170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233680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250190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267335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283845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300355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-132080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-115570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-98425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-81915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-65405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-48895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-31750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-15240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635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17145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33655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50800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67310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83820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100330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117475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133985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150495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167005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184150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200660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217170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233680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250190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267335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283845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300355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4780"/>
          </w:cols>
          <w:pgMar w:left="320" w:top="1374" w:right="679" w:bottom="1440" w:gutter="0" w:footer="0" w:header="0"/>
          <w:type w:val="continuous"/>
        </w:sectPr>
      </w:pP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By: /s/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-115570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-65405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-74930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2465070" cy="1746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2465070" cy="174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-132080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-115570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-98425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-81915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-65405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-48895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-31750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-15240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635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17145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-132080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-115570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-98425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-81915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-65405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-48895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-31750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-15240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635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17145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-132080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-115570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-98425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-81915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-65405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-48895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-31750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-15240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635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17145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-125095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-108585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-91440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-74930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-58420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-41910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-24765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-8255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-125095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-108585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-91440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-74930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-58420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-41910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-24765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-8255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-125095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-108585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-91440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-74930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-58420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-41910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-24765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-8255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28575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28575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28575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28575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28575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28575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28575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28575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28575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28575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28575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28575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28575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28575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28575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28575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28575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28575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28575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28575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28575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28575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28575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28575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28575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28575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28575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28575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455295</wp:posOffset>
            </wp:positionH>
            <wp:positionV relativeFrom="paragraph">
              <wp:posOffset>28575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28575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28575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28575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28575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538480</wp:posOffset>
            </wp:positionH>
            <wp:positionV relativeFrom="paragraph">
              <wp:posOffset>28575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28575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28575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28575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28575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28575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28575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28575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28575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28575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28575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28575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28575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28575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28575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28575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28575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28575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28575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28575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28575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28575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28575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28575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28575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28575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28575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28575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28575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28575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28575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28575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28575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1088390</wp:posOffset>
            </wp:positionH>
            <wp:positionV relativeFrom="paragraph">
              <wp:posOffset>28575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28575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28575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28575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28575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28575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28575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28575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28575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28575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28575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28575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28575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28575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28575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28575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1354455</wp:posOffset>
            </wp:positionH>
            <wp:positionV relativeFrom="paragraph">
              <wp:posOffset>28575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28575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1388110</wp:posOffset>
            </wp:positionH>
            <wp:positionV relativeFrom="paragraph">
              <wp:posOffset>28575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28575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1421130</wp:posOffset>
            </wp:positionH>
            <wp:positionV relativeFrom="paragraph">
              <wp:posOffset>28575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28575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28575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28575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28575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1504315</wp:posOffset>
            </wp:positionH>
            <wp:positionV relativeFrom="paragraph">
              <wp:posOffset>28575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1521460</wp:posOffset>
            </wp:positionH>
            <wp:positionV relativeFrom="paragraph">
              <wp:posOffset>28575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28575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28575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28575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28575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28575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28575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28575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28575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1671320</wp:posOffset>
            </wp:positionH>
            <wp:positionV relativeFrom="paragraph">
              <wp:posOffset>28575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28575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28575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28575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28575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28575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28575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28575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28575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28575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28575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1854200</wp:posOffset>
            </wp:positionH>
            <wp:positionV relativeFrom="paragraph">
              <wp:posOffset>28575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28575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28575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28575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28575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28575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28575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1971040</wp:posOffset>
            </wp:positionH>
            <wp:positionV relativeFrom="paragraph">
              <wp:posOffset>28575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28575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28575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28575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28575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28575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28575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28575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28575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28575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28575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28575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28575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28575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28575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28575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28575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28575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28575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28575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28575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28575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28575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28575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28575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28575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28575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28575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28575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28575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28575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28575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28575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28575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28575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28575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28575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28575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28575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28575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28575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28575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28575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28575</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28575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28575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28575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28575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28575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2787015</wp:posOffset>
            </wp:positionH>
            <wp:positionV relativeFrom="paragraph">
              <wp:posOffset>28575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28575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28575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2836545</wp:posOffset>
            </wp:positionH>
            <wp:positionV relativeFrom="paragraph">
              <wp:posOffset>28575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28575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2870200</wp:posOffset>
            </wp:positionH>
            <wp:positionV relativeFrom="paragraph">
              <wp:posOffset>28575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28575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2903220</wp:posOffset>
            </wp:positionH>
            <wp:positionV relativeFrom="paragraph">
              <wp:posOffset>28575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28575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28575</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28575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28575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28575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3003550</wp:posOffset>
            </wp:positionH>
            <wp:positionV relativeFrom="paragraph">
              <wp:posOffset>28575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28575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28575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28575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28575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3086735</wp:posOffset>
            </wp:positionH>
            <wp:positionV relativeFrom="paragraph">
              <wp:posOffset>28575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28575</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3119755</wp:posOffset>
            </wp:positionH>
            <wp:positionV relativeFrom="paragraph">
              <wp:posOffset>28575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3136900</wp:posOffset>
            </wp:positionH>
            <wp:positionV relativeFrom="paragraph">
              <wp:posOffset>28575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28575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28575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28575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28575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28575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28575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-137795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-120650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-104140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-87630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-71120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-54610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-37465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-20955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-4445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11430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28575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28575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28575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28575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28575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28575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28575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28575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28575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28575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28575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28575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28575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28575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28575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28575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28575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28575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28575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28575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28575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28575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28575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28575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28575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28575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28575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28575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28575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28575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28575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28575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28575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-137795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-120650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-104140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-87630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-71120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-54610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-37465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-20955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-4445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11430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28575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28575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28575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28575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28575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28575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28575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28575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-1292860</wp:posOffset>
            </wp:positionH>
            <wp:positionV relativeFrom="paragraph">
              <wp:posOffset>28575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28575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-1259205</wp:posOffset>
            </wp:positionH>
            <wp:positionV relativeFrom="paragraph">
              <wp:posOffset>28575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28575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28575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-1209675</wp:posOffset>
            </wp:positionH>
            <wp:positionV relativeFrom="paragraph">
              <wp:posOffset>28575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-1192530</wp:posOffset>
            </wp:positionH>
            <wp:positionV relativeFrom="paragraph">
              <wp:posOffset>28575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28575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28575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28575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28575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28575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28575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28575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28575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28575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28575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28575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28575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-976630</wp:posOffset>
            </wp:positionH>
            <wp:positionV relativeFrom="paragraph">
              <wp:posOffset>28575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28575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28575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28575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28575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28575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-876300</wp:posOffset>
            </wp:positionH>
            <wp:positionV relativeFrom="paragraph">
              <wp:posOffset>28575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28575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28575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28575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28575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28575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28575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28575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28575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28575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28575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28575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28575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28575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28575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28575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28575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-137795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-120650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-104140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-87630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-71120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-54610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-37465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-20955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-4445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11430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28575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4780"/>
          </w:cols>
          <w:pgMar w:left="320" w:top="137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Active\1613270762.5</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1613270762.5</w:t>
      </w:r>
    </w:p>
    <w:p>
      <w:pPr>
        <w:sectPr>
          <w:pgSz w:w="11900" w:h="16838" w:orient="portrait"/>
          <w:cols w:equalWidth="0" w:num="1">
            <w:col w:w="10900"/>
          </w:cols>
          <w:pgMar w:left="320" w:top="1374" w:right="67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LOAN AND SECURITY AGREEMENT</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LOAN AND SECURITY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is dated as of the Effective Date between </w:t>
      </w:r>
      <w:r>
        <w:rPr>
          <w:rFonts w:ascii="Times New Roman" w:cs="Times New Roman" w:eastAsia="Times New Roman" w:hAnsi="Times New Roman"/>
          <w:sz w:val="17"/>
          <w:szCs w:val="17"/>
          <w:b w:val="1"/>
          <w:bCs w:val="1"/>
          <w:color w:val="auto"/>
        </w:rPr>
        <w:t>SILICON VALLEY BANK</w:t>
      </w:r>
      <w:r>
        <w:rPr>
          <w:rFonts w:ascii="Times New Roman" w:cs="Times New Roman" w:eastAsia="Times New Roman" w:hAnsi="Times New Roman"/>
          <w:sz w:val="17"/>
          <w:szCs w:val="17"/>
          <w:color w:val="auto"/>
        </w:rPr>
        <w:t>, 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corporation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 the borrower listed on Schedule I hereto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The parties agree as follows:</w:t>
      </w:r>
    </w:p>
    <w:p>
      <w:pPr>
        <w:spacing w:after="0" w:line="204" w:lineRule="exact"/>
        <w:rPr>
          <w:sz w:val="20"/>
          <w:szCs w:val="20"/>
          <w:color w:val="auto"/>
        </w:rPr>
      </w:pPr>
    </w:p>
    <w:p>
      <w:pPr>
        <w:ind w:left="1260" w:hanging="626"/>
        <w:spacing w:after="0"/>
        <w:tabs>
          <w:tab w:leader="none" w:pos="126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LOAN AND TERMS OF PAYMENT</w:t>
      </w:r>
    </w:p>
    <w:p>
      <w:pPr>
        <w:spacing w:after="0" w:line="224" w:lineRule="exact"/>
        <w:rPr>
          <w:rFonts w:ascii="Times New Roman" w:cs="Times New Roman" w:eastAsia="Times New Roman" w:hAnsi="Times New Roman"/>
          <w:sz w:val="17"/>
          <w:szCs w:val="17"/>
          <w:b w:val="1"/>
          <w:bCs w:val="1"/>
          <w:color w:val="auto"/>
        </w:rPr>
      </w:pP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1.1Term Loan Advance.</w:t>
      </w:r>
    </w:p>
    <w:p>
      <w:pPr>
        <w:spacing w:after="0" w:line="226" w:lineRule="exact"/>
        <w:rPr>
          <w:rFonts w:ascii="Times New Roman" w:cs="Times New Roman" w:eastAsia="Times New Roman" w:hAnsi="Times New Roman"/>
          <w:sz w:val="17"/>
          <w:szCs w:val="17"/>
          <w:b w:val="1"/>
          <w:bCs w:val="1"/>
          <w:color w:val="auto"/>
        </w:rPr>
      </w:pPr>
    </w:p>
    <w:p>
      <w:pPr>
        <w:jc w:val="both"/>
        <w:ind w:firstLine="1264"/>
        <w:spacing w:after="0" w:line="263" w:lineRule="auto"/>
        <w:tabs>
          <w:tab w:leader="none" w:pos="188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Availability</w:t>
      </w:r>
      <w:r>
        <w:rPr>
          <w:rFonts w:ascii="Times New Roman" w:cs="Times New Roman" w:eastAsia="Times New Roman" w:hAnsi="Times New Roman"/>
          <w:sz w:val="17"/>
          <w:szCs w:val="17"/>
          <w:color w:val="auto"/>
        </w:rPr>
        <w:t>. Subject to the terms and conditions of this Agreement, on or about the Third Amendment Effective Date, Bank shall make one (1) term loan advance to Borrower in an original principal amount equal to the Term Loan Availability Amount (the “</w:t>
      </w:r>
      <w:r>
        <w:rPr>
          <w:rFonts w:ascii="Times New Roman" w:cs="Times New Roman" w:eastAsia="Times New Roman" w:hAnsi="Times New Roman"/>
          <w:sz w:val="17"/>
          <w:szCs w:val="17"/>
          <w:b w:val="1"/>
          <w:bCs w:val="1"/>
          <w:color w:val="auto"/>
        </w:rPr>
        <w:t>Term Loan Advance</w:t>
      </w:r>
      <w:r>
        <w:rPr>
          <w:rFonts w:ascii="Times New Roman" w:cs="Times New Roman" w:eastAsia="Times New Roman" w:hAnsi="Times New Roman"/>
          <w:sz w:val="17"/>
          <w:szCs w:val="17"/>
          <w:color w:val="auto"/>
        </w:rPr>
        <w:t>”) which shall be used to (i) refinance the Term Loan Advance (as defined in the Agreement prior to the Third Amendment Effective Date) outstanding as of the Third Amendment Effective Date, (ii) satisfy the Final Payment (as defined in the Agreement prior to the Third Amendment Effective Date), which is with respect to the Term Loan Advance (as defined in the Agreement prior to the Third Amendment Effective Date), and (iii) thereafter, used for working capital purposes. Bank and Borrower acknowledge and agree that prior to the Third Amendment Effective Date, the amount Borrower accrued and owed to Bank in connection with the Final Payment (as defined in the Agreement prior to the Third Amendment Effective Date) was Seven Hundred Twenty Thousand Dollars ($720,000). After repayment (in whole or in part), the Term Loan Advance may not be reborrowed.</w:t>
      </w:r>
    </w:p>
    <w:p>
      <w:pPr>
        <w:spacing w:after="0" w:line="174"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w:t>
      </w:r>
      <w:r>
        <w:rPr>
          <w:rFonts w:ascii="Times New Roman" w:cs="Times New Roman" w:eastAsia="Times New Roman" w:hAnsi="Times New Roman"/>
          <w:sz w:val="17"/>
          <w:szCs w:val="17"/>
          <w:color w:val="auto"/>
        </w:rPr>
        <w:t>. Borrower shall repay the Term Loan Advance as set forth in Schedule I hereto. All outstanding principal and accrued and unpaid interest under the Term Loan Advance, and all other outstanding Obligations with respect to such Term Loan Advance, are due and payable in full on the Term Loan Maturity Date.</w:t>
      </w:r>
    </w:p>
    <w:p>
      <w:pPr>
        <w:spacing w:after="0" w:line="162"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Permitted Prepayment</w:t>
      </w:r>
      <w:r>
        <w:rPr>
          <w:rFonts w:ascii="Times New Roman" w:cs="Times New Roman" w:eastAsia="Times New Roman" w:hAnsi="Times New Roman"/>
          <w:sz w:val="17"/>
          <w:szCs w:val="17"/>
          <w:color w:val="auto"/>
        </w:rPr>
        <w:t>. Borrower shall have the option to prepay all, but not less than all, of the Term Loan Advance, provided Borrower (i) delivers written notice to Bank of its election to prepay the Term Loan Advance at least five (5) Business Days prior to such prepayment, and (ii) pays, on the date of such prepayment (A) the outstanding principal plus accrued and unpaid interest with respect to the Term Loan Advance, (B) the applicable Prepayment Fee, if any, and (C) all other sums, if any, that shall have become due and payable with respect to the Term Loan Advance, including interest at the Default Rate with respect to any past due amounts.</w:t>
      </w:r>
    </w:p>
    <w:p>
      <w:pPr>
        <w:spacing w:after="0" w:line="171"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Prepayment Upon an Acceleration</w:t>
      </w:r>
      <w:r>
        <w:rPr>
          <w:rFonts w:ascii="Times New Roman" w:cs="Times New Roman" w:eastAsia="Times New Roman" w:hAnsi="Times New Roman"/>
          <w:sz w:val="17"/>
          <w:szCs w:val="17"/>
          <w:color w:val="auto"/>
        </w:rPr>
        <w:t>. If the Term Loan Advance is accelerated by Bank following the occurrence and during the continuance of an Event of Default, Borrower shall immediately pay to Bank an amount equal to the sum of (i) all outstanding principal plus accrued and unpaid interest with respect to the Term Loan Advance, (ii) the applicable Prepayment Fee, if any, and (iii) all other sums, if any, that shall have become due and payable with respect to the Term Loan Advance, including interest at the Default Rate with respect to any past due amounts.</w:t>
      </w:r>
    </w:p>
    <w:p>
      <w:pPr>
        <w:spacing w:after="0" w:line="16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Payment of Interest on the Credit Extensions.</w:t>
      </w:r>
    </w:p>
    <w:p>
      <w:pPr>
        <w:spacing w:after="0" w:line="226" w:lineRule="exact"/>
        <w:rPr>
          <w:sz w:val="20"/>
          <w:szCs w:val="20"/>
          <w:color w:val="auto"/>
        </w:rPr>
      </w:pPr>
    </w:p>
    <w:p>
      <w:pPr>
        <w:ind w:left="1900" w:hanging="636"/>
        <w:spacing w:after="0"/>
        <w:tabs>
          <w:tab w:leader="none" w:pos="1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Payments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 Loan Advances</w:t>
      </w:r>
      <w:r>
        <w:rPr>
          <w:rFonts w:ascii="Times New Roman" w:cs="Times New Roman" w:eastAsia="Times New Roman" w:hAnsi="Times New Roman"/>
          <w:sz w:val="17"/>
          <w:szCs w:val="17"/>
          <w:color w:val="auto"/>
        </w:rPr>
        <w:t>. Interest on the outstanding principal amount of each Term Loan Advance is payable as set</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on Schedule I hereto.</w:t>
      </w:r>
    </w:p>
    <w:p>
      <w:pPr>
        <w:spacing w:after="0" w:line="206"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Rate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firstLine="2523"/>
        <w:spacing w:after="0" w:line="297" w:lineRule="auto"/>
        <w:tabs>
          <w:tab w:leader="none" w:pos="3142"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Loan Advance</w:t>
      </w:r>
      <w:r>
        <w:rPr>
          <w:rFonts w:ascii="Times New Roman" w:cs="Times New Roman" w:eastAsia="Times New Roman" w:hAnsi="Times New Roman"/>
          <w:sz w:val="17"/>
          <w:szCs w:val="17"/>
          <w:color w:val="auto"/>
        </w:rPr>
        <w:t>. Subject to Section 1.2(c), the outstanding principal amount of the Term Loan Advance shall accrue interest as set forth on Schedule I hereto.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74" w:right="339" w:bottom="1440" w:gutter="0" w:footer="0" w:header="0"/>
        </w:sectPr>
      </w:pPr>
    </w:p>
    <w:bookmarkStart w:id="48" w:name="page49"/>
    <w:bookmarkEnd w:id="48"/>
    <w:p>
      <w:pPr>
        <w:ind w:firstLine="2523"/>
        <w:spacing w:after="0" w:line="297" w:lineRule="auto"/>
        <w:tabs>
          <w:tab w:leader="none" w:pos="313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All-In Rate</w:t>
      </w:r>
      <w:r>
        <w:rPr>
          <w:rFonts w:ascii="Times New Roman" w:cs="Times New Roman" w:eastAsia="Times New Roman" w:hAnsi="Times New Roman"/>
          <w:sz w:val="17"/>
          <w:szCs w:val="17"/>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pacing w:after="0" w:line="145" w:lineRule="exact"/>
        <w:rPr>
          <w:rFonts w:ascii="Times New Roman" w:cs="Times New Roman" w:eastAsia="Times New Roman" w:hAnsi="Times New Roman"/>
          <w:sz w:val="17"/>
          <w:szCs w:val="17"/>
          <w:color w:val="auto"/>
        </w:rPr>
      </w:pPr>
    </w:p>
    <w:p>
      <w:pPr>
        <w:jc w:val="both"/>
        <w:ind w:firstLine="1264"/>
        <w:spacing w:after="0" w:line="265" w:lineRule="auto"/>
        <w:tabs>
          <w:tab w:leader="none" w:pos="188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Immediately upon the occurrence and during the continuance of an Event of Default, the outstanding Obligations shall bear interest at a rate per annum which is three percent (3.0%) above the rate that is otherwise applicable thereto (the “</w:t>
      </w:r>
      <w:r>
        <w:rPr>
          <w:rFonts w:ascii="Times New Roman" w:cs="Times New Roman" w:eastAsia="Times New Roman" w:hAnsi="Times New Roman"/>
          <w:sz w:val="17"/>
          <w:szCs w:val="17"/>
          <w:b w:val="1"/>
          <w:bCs w:val="1"/>
          <w:color w:val="auto"/>
        </w:rPr>
        <w:t>Default Rate</w:t>
      </w:r>
      <w:r>
        <w:rPr>
          <w:rFonts w:ascii="Times New Roman" w:cs="Times New Roman" w:eastAsia="Times New Roman" w:hAnsi="Times New Roman"/>
          <w:sz w:val="17"/>
          <w:szCs w:val="17"/>
          <w:color w:val="auto"/>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pacing w:after="0" w:line="173"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Interest Rate</w:t>
      </w:r>
      <w:r>
        <w:rPr>
          <w:rFonts w:ascii="Times New Roman" w:cs="Times New Roman" w:eastAsia="Times New Roman" w:hAnsi="Times New Roman"/>
          <w:sz w:val="17"/>
          <w:szCs w:val="17"/>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Computation</w:t>
      </w:r>
      <w:r>
        <w:rPr>
          <w:rFonts w:ascii="Times New Roman" w:cs="Times New Roman" w:eastAsia="Times New Roman" w:hAnsi="Times New Roman"/>
          <w:sz w:val="17"/>
          <w:szCs w:val="17"/>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60"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Fees and Expenses. </w:t>
      </w:r>
      <w:r>
        <w:rPr>
          <w:rFonts w:ascii="Times New Roman" w:cs="Times New Roman" w:eastAsia="Times New Roman" w:hAnsi="Times New Roman"/>
          <w:sz w:val="17"/>
          <w:szCs w:val="17"/>
          <w:color w:val="auto"/>
        </w:rPr>
        <w:t>Borrower shall pay to Bank:</w:t>
      </w:r>
    </w:p>
    <w:p>
      <w:pPr>
        <w:spacing w:after="0" w:line="226" w:lineRule="exact"/>
        <w:rPr>
          <w:sz w:val="20"/>
          <w:szCs w:val="20"/>
          <w:color w:val="auto"/>
        </w:rPr>
      </w:pPr>
    </w:p>
    <w:p>
      <w:pPr>
        <w:jc w:val="both"/>
        <w:ind w:firstLine="1264"/>
        <w:spacing w:after="0" w:line="289" w:lineRule="auto"/>
        <w:tabs>
          <w:tab w:leader="none" w:pos="18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Prepayment Fee</w:t>
      </w:r>
      <w:r>
        <w:rPr>
          <w:rFonts w:ascii="Times New Roman" w:cs="Times New Roman" w:eastAsia="Times New Roman" w:hAnsi="Times New Roman"/>
          <w:sz w:val="17"/>
          <w:szCs w:val="17"/>
          <w:color w:val="auto"/>
        </w:rPr>
        <w:t>. The Prepayment Fee, if and when due hereunder, which shall be fully earned and non-refundable as of the applicable prepayment date; provided, however, if Borrower refinances the Term Loan Advance with another credit facility from Bank, Bank shall waive the Prepayment Fee;</w:t>
      </w:r>
    </w:p>
    <w:p>
      <w:pPr>
        <w:spacing w:after="0" w:line="368"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p>
    <w:p>
      <w:pPr>
        <w:spacing w:after="0" w:line="224" w:lineRule="exact"/>
        <w:rPr>
          <w:rFonts w:ascii="Times New Roman" w:cs="Times New Roman" w:eastAsia="Times New Roman" w:hAnsi="Times New Roman"/>
          <w:sz w:val="17"/>
          <w:szCs w:val="17"/>
          <w:color w:val="auto"/>
        </w:rPr>
      </w:pPr>
    </w:p>
    <w:p>
      <w:pPr>
        <w:jc w:val="both"/>
        <w:ind w:firstLine="1264"/>
        <w:spacing w:after="0" w:line="274" w:lineRule="auto"/>
        <w:tabs>
          <w:tab w:leader="none" w:pos="18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Expenses</w:t>
      </w:r>
      <w:r>
        <w:rPr>
          <w:rFonts w:ascii="Times New Roman" w:cs="Times New Roman" w:eastAsia="Times New Roman" w:hAnsi="Times New Roman"/>
          <w:sz w:val="17"/>
          <w:szCs w:val="17"/>
          <w:color w:val="auto"/>
        </w:rPr>
        <w:t>. All Bank Expenses incurred through and after the Third Amendment Effective Date, when due (or, if no stated due date, upon demand by Bank). Borrower has paid to Bank a good faith deposit of Thirty-Five Thousand Dollars ($35,000) (the “</w:t>
      </w:r>
      <w:r>
        <w:rPr>
          <w:rFonts w:ascii="Times New Roman" w:cs="Times New Roman" w:eastAsia="Times New Roman" w:hAnsi="Times New Roman"/>
          <w:sz w:val="17"/>
          <w:szCs w:val="17"/>
          <w:b w:val="1"/>
          <w:bCs w:val="1"/>
          <w:color w:val="auto"/>
        </w:rPr>
        <w:t>Good Faith Deposit</w:t>
      </w:r>
      <w:r>
        <w:rPr>
          <w:rFonts w:ascii="Times New Roman" w:cs="Times New Roman" w:eastAsia="Times New Roman" w:hAnsi="Times New Roman"/>
          <w:sz w:val="17"/>
          <w:szCs w:val="17"/>
          <w:color w:val="auto"/>
        </w:rPr>
        <w:t>”), in connection with the Third Amendment, to initiate Bank’s due diligence review process. The Good Faith Deposit will be applied to Bank Expenses as of the Effective Date.</w:t>
      </w:r>
    </w:p>
    <w:p>
      <w:pPr>
        <w:spacing w:after="0" w:line="38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16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Payments; Application of Payments; Debit of Accounts.</w:t>
      </w:r>
    </w:p>
    <w:p>
      <w:pPr>
        <w:spacing w:after="0" w:line="226" w:lineRule="exact"/>
        <w:rPr>
          <w:sz w:val="20"/>
          <w:szCs w:val="20"/>
          <w:color w:val="auto"/>
        </w:rPr>
      </w:pPr>
    </w:p>
    <w:p>
      <w:pPr>
        <w:jc w:val="both"/>
        <w:ind w:firstLine="1264"/>
        <w:spacing w:after="0" w:line="270" w:lineRule="auto"/>
        <w:tabs>
          <w:tab w:leader="none" w:pos="188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69" w:lineRule="exact"/>
        <w:rPr>
          <w:rFonts w:ascii="Times New Roman" w:cs="Times New Roman" w:eastAsia="Times New Roman" w:hAnsi="Times New Roman"/>
          <w:sz w:val="17"/>
          <w:szCs w:val="17"/>
          <w:color w:val="auto"/>
        </w:rPr>
      </w:pPr>
    </w:p>
    <w:p>
      <w:pPr>
        <w:ind w:firstLine="1264"/>
        <w:spacing w:after="0" w:line="297" w:lineRule="auto"/>
        <w:tabs>
          <w:tab w:leader="none" w:pos="195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payment terms of this Agreement and Section 8.4, Bank has the exclusive right in its reasonable discretion to determine the order and manner in which all payments with respect to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80" w:right="339" w:bottom="1440" w:gutter="0" w:footer="0" w:header="0"/>
        </w:sectPr>
      </w:pPr>
    </w:p>
    <w:bookmarkStart w:id="49" w:name="page50"/>
    <w:bookmarkEnd w:id="49"/>
    <w:p>
      <w:pPr>
        <w:jc w:val="both"/>
        <w:spacing w:after="0" w:line="277" w:lineRule="auto"/>
        <w:rPr>
          <w:sz w:val="20"/>
          <w:szCs w:val="20"/>
          <w:color w:val="auto"/>
        </w:rPr>
      </w:pPr>
      <w:r>
        <w:rPr>
          <w:rFonts w:ascii="Times New Roman" w:cs="Times New Roman" w:eastAsia="Times New Roman" w:hAnsi="Times New Roman"/>
          <w:sz w:val="17"/>
          <w:szCs w:val="17"/>
          <w:color w:val="auto"/>
        </w:rPr>
        <w:t>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62" w:lineRule="exact"/>
        <w:rPr>
          <w:sz w:val="20"/>
          <w:szCs w:val="20"/>
          <w:color w:val="auto"/>
        </w:rPr>
      </w:pPr>
    </w:p>
    <w:p>
      <w:pPr>
        <w:jc w:val="both"/>
        <w:ind w:firstLine="1264"/>
        <w:spacing w:after="0" w:line="277" w:lineRule="auto"/>
        <w:tabs>
          <w:tab w:leader="none" w:pos="188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may debit the Designated Deposit Account (or if insufficient funds are contained therein, or if an Event of Default has occurred and is continuing, any of Borrower’s other accounts at Bank), for principal and interest payments or any other amounts Borrower owes Bank when as and when due under this Agreement. These debits shall not constitute a set-off.</w:t>
      </w:r>
    </w:p>
    <w:p>
      <w:pPr>
        <w:spacing w:after="0" w:line="160"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Change in Circumstances.</w:t>
      </w:r>
    </w:p>
    <w:p>
      <w:pPr>
        <w:spacing w:after="0" w:line="226" w:lineRule="exact"/>
        <w:rPr>
          <w:sz w:val="20"/>
          <w:szCs w:val="20"/>
          <w:color w:val="auto"/>
        </w:rPr>
      </w:pPr>
    </w:p>
    <w:p>
      <w:pPr>
        <w:jc w:val="both"/>
        <w:ind w:firstLine="1264"/>
        <w:spacing w:after="0" w:line="264" w:lineRule="auto"/>
        <w:tabs>
          <w:tab w:leader="none" w:pos="188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w:t>
      </w:r>
    </w:p>
    <w:p>
      <w:pPr>
        <w:spacing w:after="0" w:line="2" w:lineRule="exact"/>
        <w:rPr>
          <w:rFonts w:ascii="Times New Roman" w:cs="Times New Roman" w:eastAsia="Times New Roman" w:hAnsi="Times New Roman"/>
          <w:sz w:val="17"/>
          <w:szCs w:val="17"/>
          <w:color w:val="auto"/>
        </w:rPr>
      </w:pPr>
    </w:p>
    <w:p>
      <w:pPr>
        <w:jc w:val="both"/>
        <w:ind w:firstLine="5"/>
        <w:spacing w:after="0" w:line="261" w:lineRule="auto"/>
        <w:tabs>
          <w:tab w:leader="none" w:pos="27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75"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Requirements</w:t>
      </w:r>
      <w:r>
        <w:rPr>
          <w:rFonts w:ascii="Times New Roman" w:cs="Times New Roman" w:eastAsia="Times New Roman" w:hAnsi="Times New Roman"/>
          <w:sz w:val="17"/>
          <w:szCs w:val="17"/>
          <w:color w:val="auto"/>
        </w:rPr>
        <w:t>.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71"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Requests</w:t>
      </w:r>
      <w:r>
        <w:rPr>
          <w:rFonts w:ascii="Times New Roman" w:cs="Times New Roman" w:eastAsia="Times New Roman" w:hAnsi="Times New Roman"/>
          <w:sz w:val="17"/>
          <w:szCs w:val="17"/>
          <w:color w:val="auto"/>
        </w:rPr>
        <w:t>. Failure or delay on the part of Bank to demand compensation pursuant to this Section 1.5 shall not constitute a waiver of Bank’s right to demand such compensation; provided that Borrower compensate Bank pursuant to subsection (a) for any increased costs incurred or reductions suffered more than nine (9) months prior to the date that Bank notifies Borrower of the Change in Law giving rise to such increased costs or reductions (except that if the Change in Law giving rise to such increased costs or reductions is retroactive, then the nine (9) month period shall be extended to include the period of retroactive effect).</w:t>
      </w:r>
    </w:p>
    <w:p>
      <w:pPr>
        <w:spacing w:after="0" w:line="170"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6" w:lineRule="exact"/>
        <w:rPr>
          <w:sz w:val="20"/>
          <w:szCs w:val="20"/>
          <w:color w:val="auto"/>
        </w:rPr>
      </w:pPr>
    </w:p>
    <w:p>
      <w:pPr>
        <w:jc w:val="both"/>
        <w:ind w:firstLine="1264"/>
        <w:spacing w:after="0" w:line="264" w:lineRule="auto"/>
        <w:tabs>
          <w:tab w:leader="none" w:pos="188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Free of Taxes</w:t>
      </w:r>
      <w:r>
        <w:rPr>
          <w:rFonts w:ascii="Times New Roman" w:cs="Times New Roman" w:eastAsia="Times New Roman" w:hAnsi="Times New Roman"/>
          <w:sz w:val="17"/>
          <w:szCs w:val="17"/>
          <w:color w:val="auto"/>
        </w:rPr>
        <w:t>. Any and all payments by or on account of any obligation of Borrower under any Loan Document shall be made without deduction or withholding for any Taxes, except as required by Applicable Law. If any Applicable Law (as determined in the commercially reasonable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pacing w:after="0" w:line="173"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Other Taxes by Borrower</w:t>
      </w:r>
      <w:r>
        <w:rPr>
          <w:rFonts w:ascii="Times New Roman" w:cs="Times New Roman" w:eastAsia="Times New Roman" w:hAnsi="Times New Roman"/>
          <w:sz w:val="17"/>
          <w:szCs w:val="17"/>
          <w:color w:val="auto"/>
        </w:rPr>
        <w:t>. Without limiting the provisions of subsection (a) above, Borrower shall timely pay any Other Taxes to the relevant Governmental Authority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80" w:right="339" w:bottom="1440" w:gutter="0" w:footer="0" w:header="0"/>
        </w:sectPr>
      </w:pPr>
    </w:p>
    <w:bookmarkStart w:id="50" w:name="page51"/>
    <w:bookmarkEnd w:id="50"/>
    <w:p>
      <w:pPr>
        <w:jc w:val="both"/>
        <w:ind w:firstLine="1264"/>
        <w:spacing w:after="0" w:line="266" w:lineRule="auto"/>
        <w:tabs>
          <w:tab w:leader="none" w:pos="188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Indemnification</w:t>
      </w:r>
      <w:r>
        <w:rPr>
          <w:rFonts w:ascii="Times New Roman" w:cs="Times New Roman" w:eastAsia="Times New Roman" w:hAnsi="Times New Roman"/>
          <w:sz w:val="17"/>
          <w:szCs w:val="17"/>
          <w:color w:val="auto"/>
        </w:rPr>
        <w:t>. Without limiting the provisions of subsections (a) and (b) above, Borrower shall, and does hereby, indemnify Bank, within ten (10)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38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Evidence of Payments</w:t>
      </w:r>
      <w:r>
        <w:rPr>
          <w:rFonts w:ascii="Times New Roman" w:cs="Times New Roman" w:eastAsia="Times New Roman" w:hAnsi="Times New Roman"/>
          <w:sz w:val="17"/>
          <w:szCs w:val="17"/>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162" w:lineRule="exact"/>
        <w:rPr>
          <w:rFonts w:ascii="Times New Roman" w:cs="Times New Roman" w:eastAsia="Times New Roman" w:hAnsi="Times New Roman"/>
          <w:sz w:val="17"/>
          <w:szCs w:val="17"/>
          <w:color w:val="auto"/>
        </w:rPr>
      </w:pPr>
    </w:p>
    <w:p>
      <w:pPr>
        <w:jc w:val="both"/>
        <w:ind w:firstLine="1264"/>
        <w:spacing w:after="0" w:line="259" w:lineRule="auto"/>
        <w:tabs>
          <w:tab w:leader="none" w:pos="188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of Bank</w:t>
      </w:r>
      <w:r>
        <w:rPr>
          <w:rFonts w:ascii="Times New Roman" w:cs="Times New Roman" w:eastAsia="Times New Roman" w:hAnsi="Times New Roman"/>
          <w:sz w:val="17"/>
          <w:szCs w:val="17"/>
          <w:color w:val="auto"/>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IRS Form W-8IMY is applicable, as well as any applicable supporting documentation or certifications.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w:t>
      </w:r>
    </w:p>
    <w:p>
      <w:pPr>
        <w:spacing w:after="0" w:line="6" w:lineRule="exact"/>
        <w:rPr>
          <w:rFonts w:ascii="Times New Roman" w:cs="Times New Roman" w:eastAsia="Times New Roman" w:hAnsi="Times New Roman"/>
          <w:sz w:val="17"/>
          <w:szCs w:val="17"/>
          <w:color w:val="auto"/>
        </w:rPr>
      </w:pP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(3)(C)(i) of the Internal Revenue Code) and such additional documentation reasonably requested by Borrower as may be necessary for Borrower to comply with its obligations under FATCA and to determine that Bank has complied with its obligations under FATCA or to determine the amount, if any, to deduct and withhold from such payment. Solely for purposes of the preceding sentence, “FATCA” shall include any amendments made to FATCA after the date of this Agreement.</w:t>
      </w:r>
    </w:p>
    <w:p>
      <w:pPr>
        <w:spacing w:after="0" w:line="381" w:lineRule="exact"/>
        <w:rPr>
          <w:rFonts w:ascii="Times New Roman" w:cs="Times New Roman" w:eastAsia="Times New Roman" w:hAnsi="Times New Roman"/>
          <w:sz w:val="17"/>
          <w:szCs w:val="17"/>
          <w:color w:val="auto"/>
        </w:rPr>
      </w:pPr>
    </w:p>
    <w:p>
      <w:pPr>
        <w:jc w:val="both"/>
        <w:ind w:firstLine="1264"/>
        <w:spacing w:after="0" w:line="261" w:lineRule="auto"/>
        <w:tabs>
          <w:tab w:leader="none" w:pos="187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If Bank determines, in its sole discretion exercised in good faith, that it has received a refund of any Taxes as to which it has been indemnified pursuant to this Section 1.6 (including by the payment of additional amounts pursuant to this Section 1.6), it shall pay to Borrower an amount equal to such refund (but only to the extent of indemnity payments made under this Section 1.6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(f) shall not be construed to require Bank to make available its Tax returns (or any other information relating to its Taxes that it deems confidential) to Borrower or any other Person.</w:t>
      </w:r>
    </w:p>
    <w:p>
      <w:pPr>
        <w:spacing w:after="0" w:line="17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Procedures for Borrowing.</w:t>
      </w:r>
    </w:p>
    <w:p>
      <w:pPr>
        <w:spacing w:after="0" w:line="226" w:lineRule="exact"/>
        <w:rPr>
          <w:sz w:val="20"/>
          <w:szCs w:val="20"/>
          <w:color w:val="auto"/>
        </w:rPr>
      </w:pPr>
    </w:p>
    <w:p>
      <w:pPr>
        <w:jc w:val="both"/>
        <w:ind w:firstLine="1264"/>
        <w:spacing w:after="0" w:line="277" w:lineRule="auto"/>
        <w:tabs>
          <w:tab w:leader="none" w:pos="188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Loan Advances</w:t>
      </w:r>
      <w:r>
        <w:rPr>
          <w:rFonts w:ascii="Times New Roman" w:cs="Times New Roman" w:eastAsia="Times New Roman" w:hAnsi="Times New Roman"/>
          <w:sz w:val="17"/>
          <w:szCs w:val="17"/>
          <w:color w:val="auto"/>
        </w:rPr>
        <w:t>. Subject to the prior satisfaction of all other applicable conditions to the making of the Term Loan Advance set forth in this Agreement (which must be satisfied no later than 12:00 p.m. Pacific time on the applicable Funding Date), to obtain the Term Loan Advance, Borrower shall notify Bank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80" w:right="339" w:bottom="1440" w:gutter="0" w:footer="0" w:header="0"/>
        </w:sectPr>
      </w:pPr>
    </w:p>
    <w:bookmarkStart w:id="51" w:name="page52"/>
    <w:bookmarkEnd w:id="51"/>
    <w:p>
      <w:pPr>
        <w:jc w:val="both"/>
        <w:spacing w:after="0" w:line="265" w:lineRule="auto"/>
        <w:rPr>
          <w:sz w:val="20"/>
          <w:szCs w:val="20"/>
          <w:color w:val="auto"/>
        </w:rPr>
      </w:pPr>
      <w:r>
        <w:rPr>
          <w:rFonts w:ascii="Times New Roman" w:cs="Times New Roman" w:eastAsia="Times New Roman" w:hAnsi="Times New Roman"/>
          <w:sz w:val="17"/>
          <w:szCs w:val="17"/>
          <w:color w:val="auto"/>
        </w:rPr>
        <w:t>(which notice shall be irrevocable) by 12:00 p.m. Pacific time on the Funding Date of the Term Loan Advance. Such notice shall be made by electronic mail or by telephone and, together with any such notification, Borrower shall deliver to Bank by electronic mail a completed Payment/Advance Form executed by an Authorized Signer. Bank may rely on any telephone notice given by a person whom Bank reasonably believes is an Authorized Signer. Borrower will indemnify Bank for any loss Bank suffers due to such reasonable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spacing w:after="0" w:line="174" w:lineRule="exact"/>
        <w:rPr>
          <w:sz w:val="20"/>
          <w:szCs w:val="20"/>
          <w:color w:val="auto"/>
        </w:rPr>
      </w:pPr>
    </w:p>
    <w:p>
      <w:pPr>
        <w:jc w:val="both"/>
        <w:ind w:firstLine="1264"/>
        <w:spacing w:after="0" w:line="277" w:lineRule="auto"/>
        <w:tabs>
          <w:tab w:leader="none" w:pos="1882"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shall credit proceeds of a Credit Extension to the Designated Deposit Account. Bank may make Term Loan Advances under this Agreement based on instructions from an Authorized Signer or without instructions if such Term Loan Advances are necessary to meet Obligations which have become due.</w:t>
      </w:r>
    </w:p>
    <w:p>
      <w:pPr>
        <w:spacing w:after="0" w:line="160"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CONDITIONS OF CREDIT EXTENSIONS</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2.1 Conditions Precedent to Initial Credit Extension. </w:t>
      </w:r>
      <w:r>
        <w:rPr>
          <w:rFonts w:ascii="Times New Roman" w:cs="Times New Roman" w:eastAsia="Times New Roman" w:hAnsi="Times New Roman"/>
          <w:sz w:val="17"/>
          <w:szCs w:val="17"/>
          <w:color w:val="auto"/>
        </w:rPr>
        <w:t>Bank’s obligation to make the initial Credit Extension is subject to the condition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precedent that Bank shall have received, in form and substance satisfactory to Bank, such documents, and completion of such other matters, as Bank may reasonably deem necessary or appropriate, including, without limitation:</w:t>
      </w:r>
    </w:p>
    <w:p>
      <w:pPr>
        <w:spacing w:after="0" w:line="162" w:lineRule="exact"/>
        <w:rPr>
          <w:sz w:val="20"/>
          <w:szCs w:val="20"/>
          <w:color w:val="auto"/>
        </w:rPr>
      </w:pPr>
    </w:p>
    <w:p>
      <w:pPr>
        <w:ind w:left="1900" w:hanging="636"/>
        <w:spacing w:after="0"/>
        <w:tabs>
          <w:tab w:leader="none" w:pos="1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duly executed Loan Documents;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Control Agreement with U.S. Bank;</w:t>
      </w:r>
    </w:p>
    <w:p>
      <w:pPr>
        <w:spacing w:after="0" w:line="224"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Documents of Borrower and its Subsidiaries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thirty (30) days prior to the Effective Date;</w:t>
      </w:r>
    </w:p>
    <w:p>
      <w:pPr>
        <w:spacing w:after="0" w:line="162"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duly executed by a Responsible Officer or secretary of Borrower with respect to Borrower’s (i) Operating Documents and (ii) Borrowing Resolutions;</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2"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Perfection Certificate of Borrower;</w:t>
      </w:r>
    </w:p>
    <w:p>
      <w:pPr>
        <w:spacing w:after="0" w:line="224" w:lineRule="exact"/>
        <w:rPr>
          <w:sz w:val="20"/>
          <w:szCs w:val="20"/>
          <w:color w:val="auto"/>
        </w:rPr>
      </w:pPr>
    </w:p>
    <w:p>
      <w:pPr>
        <w:ind w:firstLine="1264"/>
        <w:spacing w:after="0" w:line="281" w:lineRule="auto"/>
        <w:tabs>
          <w:tab w:leader="none" w:pos="188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satisfactory to Bank that the insurance policies and endorsements required by Section 5.8 hereof are in full force and effect, together with appropriate evidence showing lender loss payable and additional insured clauses or endorsements in favor of Bank; and</w:t>
      </w:r>
    </w:p>
    <w:p>
      <w:pPr>
        <w:spacing w:after="0" w:line="158"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fees and Bank Expenses then due as specified in Section 1.3 hereof.</w:t>
      </w:r>
    </w:p>
    <w:p>
      <w:pPr>
        <w:spacing w:after="0" w:line="222" w:lineRule="exact"/>
        <w:rPr>
          <w:sz w:val="20"/>
          <w:szCs w:val="20"/>
          <w:color w:val="auto"/>
        </w:rPr>
      </w:pPr>
    </w:p>
    <w:p>
      <w:pPr>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2.2 Conditions Precedent to all Credit Extensions. </w:t>
      </w:r>
      <w:r>
        <w:rPr>
          <w:rFonts w:ascii="Times New Roman" w:cs="Times New Roman" w:eastAsia="Times New Roman" w:hAnsi="Times New Roman"/>
          <w:sz w:val="17"/>
          <w:szCs w:val="17"/>
          <w:color w:val="auto"/>
        </w:rPr>
        <w:t>Bank’s obligation to make each Credit Extension, including the initial Credit Extension,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following conditions precedent:</w:t>
      </w:r>
    </w:p>
    <w:p>
      <w:pPr>
        <w:spacing w:after="0" w:line="144" w:lineRule="exact"/>
        <w:rPr>
          <w:sz w:val="20"/>
          <w:szCs w:val="20"/>
          <w:color w:val="auto"/>
        </w:rPr>
      </w:pPr>
    </w:p>
    <w:p>
      <w:pPr>
        <w:ind w:left="1900" w:hanging="636"/>
        <w:spacing w:after="0"/>
        <w:tabs>
          <w:tab w:leader="none" w:pos="1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Borrower’s Credit Extension request and the related materials and documents as required by and in accordance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1.7;</w:t>
      </w:r>
    </w:p>
    <w:p>
      <w:pPr>
        <w:spacing w:after="0" w:line="206" w:lineRule="exact"/>
        <w:rPr>
          <w:sz w:val="20"/>
          <w:szCs w:val="20"/>
          <w:color w:val="auto"/>
        </w:rPr>
      </w:pPr>
    </w:p>
    <w:p>
      <w:pPr>
        <w:jc w:val="both"/>
        <w:ind w:firstLine="1264"/>
        <w:spacing w:after="0" w:line="277" w:lineRule="auto"/>
        <w:tabs>
          <w:tab w:leader="none" w:pos="188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80" w:right="339" w:bottom="1440" w:gutter="0" w:footer="0" w:header="0"/>
        </w:sectPr>
      </w:pPr>
    </w:p>
    <w:bookmarkStart w:id="52" w:name="page53"/>
    <w:bookmarkEnd w:id="52"/>
    <w:p>
      <w:pPr>
        <w:jc w:val="both"/>
        <w:spacing w:after="0" w:line="265" w:lineRule="auto"/>
        <w:rPr>
          <w:sz w:val="20"/>
          <w:szCs w:val="20"/>
          <w:color w:val="auto"/>
        </w:rPr>
      </w:pPr>
      <w:r>
        <w:rPr>
          <w:rFonts w:ascii="Times New Roman" w:cs="Times New Roman" w:eastAsia="Times New Roman" w:hAnsi="Times New Roman"/>
          <w:sz w:val="17"/>
          <w:szCs w:val="17"/>
          <w:color w:val="auto"/>
        </w:rPr>
        <w:t>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74" w:lineRule="exact"/>
        <w:rPr>
          <w:sz w:val="20"/>
          <w:szCs w:val="20"/>
          <w:color w:val="auto"/>
        </w:rPr>
      </w:pPr>
    </w:p>
    <w:p>
      <w:pPr>
        <w:ind w:left="1900" w:hanging="636"/>
        <w:spacing w:after="0"/>
        <w:tabs>
          <w:tab w:leader="none" w:pos="1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Adverse Change shall not have occurred.</w:t>
      </w:r>
    </w:p>
    <w:p>
      <w:pPr>
        <w:spacing w:after="0" w:line="22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Covenant to Deliver.</w:t>
      </w:r>
    </w:p>
    <w:p>
      <w:pPr>
        <w:spacing w:after="0" w:line="226" w:lineRule="exact"/>
        <w:rPr>
          <w:sz w:val="20"/>
          <w:szCs w:val="20"/>
          <w:color w:val="auto"/>
        </w:rPr>
      </w:pPr>
    </w:p>
    <w:p>
      <w:pPr>
        <w:jc w:val="both"/>
        <w:ind w:firstLine="1264"/>
        <w:spacing w:after="0" w:line="277" w:lineRule="auto"/>
        <w:tabs>
          <w:tab w:leader="none" w:pos="165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60"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CREATION OF SECURITY INTEREST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Grant of Security Interest.</w:t>
      </w:r>
    </w:p>
    <w:p>
      <w:pPr>
        <w:spacing w:after="0" w:line="226" w:lineRule="exact"/>
        <w:rPr>
          <w:sz w:val="20"/>
          <w:szCs w:val="20"/>
          <w:color w:val="auto"/>
        </w:rPr>
      </w:pPr>
    </w:p>
    <w:p>
      <w:pPr>
        <w:ind w:firstLine="1264"/>
        <w:spacing w:after="0" w:line="297" w:lineRule="auto"/>
        <w:tabs>
          <w:tab w:leader="none" w:pos="188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45"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67"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3.2 Authorization to File Financing Statements. </w:t>
      </w:r>
      <w:r>
        <w:rPr>
          <w:rFonts w:ascii="Times New Roman" w:cs="Times New Roman" w:eastAsia="Times New Roman" w:hAnsi="Times New Roman"/>
          <w:sz w:val="17"/>
          <w:szCs w:val="17"/>
          <w:color w:val="auto"/>
        </w:rPr>
        <w:t>Borrower hereby authorizes Bank to file financing statements covering the Collateral,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to Borrower, with all jurisdictions deemed necessary or appropriate by Bank to perfect or protect Bank’s interest or rights hereunder, including a notice that any disposition of the Collateral, by either Borrower or any other Person, in contravention of the terms of this Agreement shall be deemed to violate the rights of Bank under the Code. Such financing statements may indicate the Collateral</w:t>
      </w:r>
    </w:p>
    <w:p>
      <w:pPr>
        <w:spacing w:after="0" w:line="16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3.3 Termination</w:t>
      </w:r>
      <w:r>
        <w:rPr>
          <w:rFonts w:ascii="Times New Roman" w:cs="Times New Roman" w:eastAsia="Times New Roman" w:hAnsi="Times New Roman"/>
          <w:sz w:val="17"/>
          <w:szCs w:val="17"/>
          <w:color w:val="auto"/>
        </w:rPr>
        <w:t>. If this Agreement is terminated, Bank’s Lien in the Collateral shall continue until the Obligations (other than inchoate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indemnity obligations) are repaid in full in cash. Upon payment in full in cash of the Obligations (other than inchoate indemnity obligations) and at such time as Bank’s obligation to make Credit Extensions has terminated, Bank shall, at Borrower’s sole cost and expense, promptly terminate its security interest in the Collateral and all rights therein shall automatically revert to Borrower, and Bank shall, upon request from Borrower and at Borrower’s sole cost and expense, promptly deliver to Borrower written evidence of the termination of such liens and any other documents reasonably necessary to terminate such liens.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commercially reasonable discretion for Bank Services, if any. In the event such Bank Services consist of outstanding Letters of Credit, Borrower shall provide to Bank cash collateral in an amount equal to at least (i) one hundred and five percent (105.0%) of the face amount of all such Letters of Credit denominated in Dollars and (ii) one hundred and fifteen percent (115.0%)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80" w:right="339" w:bottom="1440" w:gutter="0" w:footer="0" w:header="0"/>
        </w:sectPr>
      </w:pPr>
    </w:p>
    <w:bookmarkStart w:id="53" w:name="page54"/>
    <w:bookmarkEnd w:id="53"/>
    <w:p>
      <w:pPr>
        <w:ind w:left="1260" w:hanging="626"/>
        <w:spacing w:after="0"/>
        <w:tabs>
          <w:tab w:leader="none" w:pos="126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REPRESENTATIONS AND WARRANTIES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Borrower represents and warrants as follows:</w:t>
      </w:r>
    </w:p>
    <w:p>
      <w:pPr>
        <w:spacing w:after="0" w:line="22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Due Organization, Authorization; Power and Authority.</w:t>
      </w:r>
    </w:p>
    <w:p>
      <w:pPr>
        <w:spacing w:after="0" w:line="226" w:lineRule="exact"/>
        <w:rPr>
          <w:sz w:val="20"/>
          <w:szCs w:val="20"/>
          <w:color w:val="auto"/>
        </w:rPr>
      </w:pPr>
    </w:p>
    <w:p>
      <w:pPr>
        <w:jc w:val="both"/>
        <w:ind w:firstLine="1264"/>
        <w:spacing w:after="0" w:line="270" w:lineRule="auto"/>
        <w:tabs>
          <w:tab w:leader="none" w:pos="18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each of its Subsidiaries are each duly existing and in good standing as a Registered Organization in their respective jurisdiction of formation and are qualified and licensed to do business and is in good standing in any other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69"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Third Amendment Effective Date to the extent permitted by one or more specific provisions in this Agreement and the Perfection Certificate shall be deemed to be updated to the extent such notice is provided to Bank of such permitted update).</w:t>
      </w:r>
    </w:p>
    <w:p>
      <w:pPr>
        <w:spacing w:after="0" w:line="169" w:lineRule="exact"/>
        <w:rPr>
          <w:rFonts w:ascii="Times New Roman" w:cs="Times New Roman" w:eastAsia="Times New Roman" w:hAnsi="Times New Roman"/>
          <w:sz w:val="17"/>
          <w:szCs w:val="17"/>
          <w:color w:val="auto"/>
        </w:rPr>
      </w:pPr>
    </w:p>
    <w:p>
      <w:pPr>
        <w:jc w:val="both"/>
        <w:ind w:firstLine="1264"/>
        <w:spacing w:after="0" w:line="262" w:lineRule="auto"/>
        <w:tabs>
          <w:tab w:leader="none" w:pos="18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or applicable consents or waivers have been obtained. Neither Borrower nor any of its Subsidiaries are in default under any material agreement to which it is a party or by which it is bound in which the default could reasonably be expected to have a material adverse effect on Borrower’s or any of its Subsidiary’s business or operations (taken as a whole).</w:t>
      </w:r>
    </w:p>
    <w:p>
      <w:pPr>
        <w:spacing w:after="0" w:line="38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Collateral.</w:t>
      </w:r>
    </w:p>
    <w:p>
      <w:pPr>
        <w:spacing w:after="0" w:line="226" w:lineRule="exact"/>
        <w:rPr>
          <w:sz w:val="20"/>
          <w:szCs w:val="20"/>
          <w:color w:val="auto"/>
        </w:rPr>
      </w:pPr>
    </w:p>
    <w:p>
      <w:pPr>
        <w:jc w:val="both"/>
        <w:ind w:firstLine="1264"/>
        <w:spacing w:after="0" w:line="277" w:lineRule="auto"/>
        <w:tabs>
          <w:tab w:leader="none" w:pos="188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62"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to the extent that perfection is required pursuant to the terms of Section 5.9(c). The Accounts are bona fide, existing obligations of the Account Debtors.</w:t>
      </w:r>
    </w:p>
    <w:p>
      <w:pPr>
        <w:spacing w:after="0" w:line="169"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is not in the possession of any third party bailee (such as a warehouse) except as otherwise provided in the Perfection Certificate or as permitted pursuant to Section 6.2 (other than laptops and other portable electronic items used in the ordinary course of business). None of the components of the Collateral shall be maintained at locations other than as provided in the Perfection Certificate or as permitted pursuant to Section 6.2 (other than laptops and other portable electronic items used in the ordinary course of business).</w:t>
      </w:r>
    </w:p>
    <w:p>
      <w:pPr>
        <w:spacing w:after="0" w:line="169"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Inventory is in all material respects of good and marketable quality, free from material defects.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78" w:right="339" w:bottom="1440" w:gutter="0" w:footer="0" w:header="0"/>
        </w:sectPr>
      </w:pPr>
    </w:p>
    <w:bookmarkStart w:id="54" w:name="page55"/>
    <w:bookmarkEnd w:id="54"/>
    <w:p>
      <w:pPr>
        <w:jc w:val="both"/>
        <w:ind w:firstLine="1264"/>
        <w:spacing w:after="0" w:line="267" w:lineRule="auto"/>
        <w:tabs>
          <w:tab w:leader="none" w:pos="188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owns, or possesses the right to use to the extent reasonably necessary in its business, all Intellectual Property, licenses and other intangible assets that are used in the conduct of its business operations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operations.</w:t>
      </w:r>
    </w:p>
    <w:p>
      <w:pPr>
        <w:spacing w:after="0" w:line="171" w:lineRule="exact"/>
        <w:rPr>
          <w:rFonts w:ascii="Times New Roman" w:cs="Times New Roman" w:eastAsia="Times New Roman" w:hAnsi="Times New Roman"/>
          <w:sz w:val="17"/>
          <w:szCs w:val="17"/>
          <w:color w:val="auto"/>
        </w:rPr>
      </w:pPr>
    </w:p>
    <w:p>
      <w:pPr>
        <w:ind w:firstLine="1264"/>
        <w:spacing w:after="0" w:line="297" w:lineRule="auto"/>
        <w:tabs>
          <w:tab w:leader="none" w:pos="187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noted on the Perfection Certificate (as updated from time to time in accordance with this Agreement) or for which notice has been given to Bank pursuant to and in accordance with Section 5.11(b), Borrower is not a party to, nor is it bound by, any Restricted License.</w:t>
      </w:r>
    </w:p>
    <w:p>
      <w:pPr>
        <w:spacing w:after="0" w:line="14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4"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4.4 Litigation. </w:t>
      </w:r>
      <w:r>
        <w:rPr>
          <w:rFonts w:ascii="Times New Roman" w:cs="Times New Roman" w:eastAsia="Times New Roman" w:hAnsi="Times New Roman"/>
          <w:sz w:val="17"/>
          <w:szCs w:val="17"/>
          <w:color w:val="auto"/>
        </w:rPr>
        <w:t>Other than as set forth on the Perfection Certificate delivered around the Third Amendment Effective Date, and as disclosed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 pursuant to Section 5.3, there are no actions, investigations or proceedings pending or, to the knowledge of any Responsible Officer, threatened in writing by or against Borrower or any of its Subsidiaries that could reasonably be expected to result in liability of more than, individually or in the aggregate, Seven Hundred Fifty Thousand Dollars ($750,000).</w:t>
      </w:r>
    </w:p>
    <w:p>
      <w:pPr>
        <w:spacing w:after="0" w:line="16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4.5 Financial Statements; Financial Condition. </w:t>
      </w:r>
      <w:r>
        <w:rPr>
          <w:rFonts w:ascii="Times New Roman" w:cs="Times New Roman" w:eastAsia="Times New Roman" w:hAnsi="Times New Roman"/>
          <w:sz w:val="17"/>
          <w:szCs w:val="17"/>
          <w:color w:val="auto"/>
        </w:rPr>
        <w:t>All consolidated financial statements for Borrower and any of its Subsidiaries delivered to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submission to the Financial Statement Repository or otherwise submitted to Bank fairly present in all material respects Borrower’s consolidated financial condition and Borrower’s consolidated results of operations as of the dates thereof and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381"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4.6 Solvency. </w:t>
      </w:r>
      <w:r>
        <w:rPr>
          <w:rFonts w:ascii="Times New Roman" w:cs="Times New Roman" w:eastAsia="Times New Roman" w:hAnsi="Times New Roman"/>
          <w:sz w:val="17"/>
          <w:szCs w:val="17"/>
          <w:color w:val="auto"/>
        </w:rPr>
        <w:t>The fair salable value of Borrower’s consolidated assets (including goodwill minus disposition costs) exceeds the fair value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Borrower’s liabilities; Borrower is not left with unreasonably small capital after the transactions in this Agreement; and Borrower and Borrower and each of its Subsidiaries (taken as a whole) are able to pay their debts (including trade debts) as they mature.</w:t>
      </w:r>
    </w:p>
    <w:p>
      <w:pPr>
        <w:spacing w:after="0" w:line="160"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4.7 Regulatory Compliance. </w:t>
      </w:r>
      <w:r>
        <w:rPr>
          <w:rFonts w:ascii="Times New Roman" w:cs="Times New Roman" w:eastAsia="Times New Roman" w:hAnsi="Times New Roman"/>
          <w:sz w:val="17"/>
          <w:szCs w:val="17"/>
          <w:color w:val="auto"/>
        </w:rPr>
        <w:t>Borrower is not an “investment company” or a company “controlled” by an “investment company”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17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4.8 Subsidiaries; Investments. </w:t>
      </w:r>
      <w:r>
        <w:rPr>
          <w:rFonts w:ascii="Times New Roman" w:cs="Times New Roman" w:eastAsia="Times New Roman" w:hAnsi="Times New Roman"/>
          <w:sz w:val="17"/>
          <w:szCs w:val="17"/>
          <w:color w:val="auto"/>
        </w:rPr>
        <w:t>Borrower does not own any stock, partnership, or other ownership interest or other equity securities except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Investments.</w:t>
      </w:r>
    </w:p>
    <w:p>
      <w:pPr>
        <w:spacing w:after="0" w:line="14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4.9</w:t>
      </w:r>
      <w:r>
        <w:rPr>
          <w:sz w:val="20"/>
          <w:szCs w:val="20"/>
          <w:color w:val="auto"/>
        </w:rPr>
        <w:tab/>
      </w:r>
      <w:r>
        <w:rPr>
          <w:rFonts w:ascii="Times New Roman" w:cs="Times New Roman" w:eastAsia="Times New Roman" w:hAnsi="Times New Roman"/>
          <w:sz w:val="17"/>
          <w:szCs w:val="17"/>
          <w:b w:val="1"/>
          <w:bCs w:val="1"/>
          <w:color w:val="auto"/>
        </w:rPr>
        <w:t>Tax Returns and Payments; Pension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80" w:right="339" w:bottom="1440" w:gutter="0" w:footer="0" w:header="0"/>
        </w:sectPr>
      </w:pPr>
    </w:p>
    <w:bookmarkStart w:id="55" w:name="page56"/>
    <w:bookmarkEnd w:id="55"/>
    <w:p>
      <w:pPr>
        <w:jc w:val="both"/>
        <w:ind w:firstLine="1264"/>
        <w:spacing w:after="0" w:line="264" w:lineRule="auto"/>
        <w:tabs>
          <w:tab w:leader="none" w:pos="188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each of its Subsidiaries have timely filed, or submitted extensions for, all required tax returns and reports, and Borrower and each of its Subsidiaries have timely paid, or submitted extensions for,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Fifty Thousand Dollars ($50,000). Borrower is unaware of any claims or adjustments proposed for any of Borrower’s or any of its Subsidiary’s prior tax years which could result in additional taxes becoming due and payable by Borrower or any of its Subsidiaries in excess of Fifty Thousand Dollars ($50,000) in the aggregate.</w:t>
      </w:r>
    </w:p>
    <w:p>
      <w:pPr>
        <w:spacing w:after="0" w:line="173"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material liability of Borrower or any of its Subsidiaries, including any liability to the Pension Benefit Guaranty Corporation or its successors or any other Governmental Authority.</w:t>
      </w:r>
    </w:p>
    <w:p>
      <w:pPr>
        <w:spacing w:after="0" w:line="17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4.10 Full Disclosure. </w:t>
      </w:r>
      <w:r>
        <w:rPr>
          <w:rFonts w:ascii="Times New Roman" w:cs="Times New Roman" w:eastAsia="Times New Roman" w:hAnsi="Times New Roman"/>
          <w:sz w:val="17"/>
          <w:szCs w:val="17"/>
          <w:color w:val="auto"/>
        </w:rPr>
        <w:t>No written representation, warranty or other statement of Borrower or any of its Subsidiaries in any report, certificate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statement submitted to the 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4.11 Sanctions</w:t>
      </w:r>
      <w:r>
        <w:rPr>
          <w:rFonts w:ascii="Times New Roman" w:cs="Times New Roman" w:eastAsia="Times New Roman" w:hAnsi="Times New Roman"/>
          <w:sz w:val="17"/>
          <w:szCs w:val="17"/>
          <w:color w:val="auto"/>
        </w:rPr>
        <w:t>. Neither Borrower nor any of its Subsidiaries is: (a) in violation of any Sanctions; or (b) a Sanctioned Person. Neither Borrower nor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its Subsidiaries, or, to Borrower’s knowledge, its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69" w:lineRule="exact"/>
        <w:rPr>
          <w:sz w:val="20"/>
          <w:szCs w:val="20"/>
          <w:color w:val="auto"/>
        </w:rPr>
      </w:pPr>
    </w:p>
    <w:p>
      <w:pPr>
        <w:ind w:left="1260" w:hanging="626"/>
        <w:spacing w:after="0"/>
        <w:tabs>
          <w:tab w:leader="none" w:pos="126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AFFIRMATIVE COVENANTS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Borrower shall do all of the following:</w:t>
      </w:r>
    </w:p>
    <w:p>
      <w:pPr>
        <w:spacing w:after="0" w:line="222"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5.1 Use of Proceeds. </w:t>
      </w:r>
      <w:r>
        <w:rPr>
          <w:rFonts w:ascii="Times New Roman" w:cs="Times New Roman" w:eastAsia="Times New Roman" w:hAnsi="Times New Roman"/>
          <w:sz w:val="17"/>
          <w:szCs w:val="17"/>
          <w:color w:val="auto"/>
        </w:rPr>
        <w:t>Cause the proceeds of the Credit Extensions to be used solely as follows: (x) as working capital, (y) to fund its general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purposes, or (z) repayment of all Obligations constituting Term Loan Advances (as defined in the Agreement prior to the Third Amendment Effective Date) outstanding immediately prior to the Third Amendment Effective Date.</w:t>
      </w:r>
    </w:p>
    <w:p>
      <w:pPr>
        <w:spacing w:after="0" w:line="160"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Government Compliance.</w:t>
      </w:r>
    </w:p>
    <w:p>
      <w:pPr>
        <w:spacing w:after="0" w:line="226" w:lineRule="exact"/>
        <w:rPr>
          <w:sz w:val="20"/>
          <w:szCs w:val="20"/>
          <w:color w:val="auto"/>
        </w:rPr>
      </w:pPr>
    </w:p>
    <w:p>
      <w:pPr>
        <w:jc w:val="both"/>
        <w:ind w:firstLine="1264"/>
        <w:spacing w:after="0" w:line="270" w:lineRule="auto"/>
        <w:tabs>
          <w:tab w:leader="none" w:pos="188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material laws, ordinances and regulations to which it is subject.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80" w:right="339" w:bottom="1440" w:gutter="0" w:footer="0" w:header="0"/>
        </w:sectPr>
      </w:pPr>
    </w:p>
    <w:bookmarkStart w:id="56" w:name="page57"/>
    <w:bookmarkEnd w:id="56"/>
    <w:p>
      <w:pPr>
        <w:jc w:val="both"/>
        <w:ind w:firstLine="1264"/>
        <w:spacing w:after="0" w:line="277" w:lineRule="auto"/>
        <w:tabs>
          <w:tab w:leader="none" w:pos="188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all of the Governmental Approvals necessary for the performance by Borrower and each of its Subsidiaries of their obligations under the Loan Documents to which it is a party, including any grant of a security interest in the Collateral to Bank. Borrower shall promptly provide copies of any such obtained Governmental Approvals to Bank upon Bank’s request.</w:t>
      </w:r>
    </w:p>
    <w:p>
      <w:pPr>
        <w:spacing w:after="0" w:line="160"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 xml:space="preserve">Financial Statements, Reports. </w:t>
      </w:r>
      <w:r>
        <w:rPr>
          <w:rFonts w:ascii="Times New Roman" w:cs="Times New Roman" w:eastAsia="Times New Roman" w:hAnsi="Times New Roman"/>
          <w:sz w:val="17"/>
          <w:szCs w:val="17"/>
          <w:color w:val="auto"/>
        </w:rPr>
        <w:t>Deliver to Bank by submitting to the Financial Statement Repository:</w:t>
      </w:r>
    </w:p>
    <w:p>
      <w:pPr>
        <w:spacing w:after="0" w:line="226" w:lineRule="exact"/>
        <w:rPr>
          <w:sz w:val="20"/>
          <w:szCs w:val="20"/>
          <w:color w:val="auto"/>
        </w:rPr>
      </w:pPr>
    </w:p>
    <w:p>
      <w:pPr>
        <w:jc w:val="both"/>
        <w:ind w:firstLine="1264"/>
        <w:spacing w:after="0" w:line="270" w:lineRule="auto"/>
        <w:tabs>
          <w:tab w:leader="none" w:pos="18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Quarterly Financial Statements</w:t>
      </w:r>
      <w:r>
        <w:rPr>
          <w:rFonts w:ascii="Times New Roman" w:cs="Times New Roman" w:eastAsia="Times New Roman" w:hAnsi="Times New Roman"/>
          <w:sz w:val="17"/>
          <w:szCs w:val="17"/>
          <w:color w:val="auto"/>
        </w:rPr>
        <w:t>. No later than forty-five (45) days after the last day of each of the first three fiscal quarters of Borrower’s fiscal year, a company prepared consolidated and consolidating balance sheet and income statement covering Borrower’s and each of its Subsidiary’s operations for such quarter in a form reasonably acceptable to Bank (the “</w:t>
      </w:r>
      <w:r>
        <w:rPr>
          <w:rFonts w:ascii="Times New Roman" w:cs="Times New Roman" w:eastAsia="Times New Roman" w:hAnsi="Times New Roman"/>
          <w:sz w:val="17"/>
          <w:szCs w:val="17"/>
          <w:b w:val="1"/>
          <w:bCs w:val="1"/>
          <w:color w:val="auto"/>
        </w:rPr>
        <w:t>Quarterly Financial Statements</w:t>
      </w:r>
      <w:r>
        <w:rPr>
          <w:rFonts w:ascii="Times New Roman" w:cs="Times New Roman" w:eastAsia="Times New Roman" w:hAnsi="Times New Roman"/>
          <w:sz w:val="17"/>
          <w:szCs w:val="17"/>
          <w:color w:val="auto"/>
        </w:rPr>
        <w:t>”); provided that year-end Quarterly Financial Statements shall be delivered no later than ninety (90) days after the last day of each fiscal year of Borrower;</w:t>
      </w:r>
    </w:p>
    <w:p>
      <w:pPr>
        <w:spacing w:after="0" w:line="169"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Statement</w:t>
      </w:r>
      <w:r>
        <w:rPr>
          <w:rFonts w:ascii="Times New Roman" w:cs="Times New Roman" w:eastAsia="Times New Roman" w:hAnsi="Times New Roman"/>
          <w:sz w:val="17"/>
          <w:szCs w:val="17"/>
          <w:color w:val="auto"/>
        </w:rPr>
        <w:t>. Within forty-five (45) days after the last day of each of the first three fiscal quarters of Borrower (and no later than ninety (90) days after the last day of each fiscal year of Borrower), together with the statements set forth in Section 5.3(c), a duly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except as noted therein;</w:t>
      </w:r>
    </w:p>
    <w:p>
      <w:pPr>
        <w:spacing w:after="0" w:line="171"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Operating Budget and Financial Projections</w:t>
      </w:r>
      <w:r>
        <w:rPr>
          <w:rFonts w:ascii="Times New Roman" w:cs="Times New Roman" w:eastAsia="Times New Roman" w:hAnsi="Times New Roman"/>
          <w:sz w:val="17"/>
          <w:szCs w:val="17"/>
          <w:color w:val="auto"/>
        </w:rPr>
        <w:t>. Within thirty (30) days after the end of each fiscal year of Borrower, and within thirty (30) days of any material updates or amendments thereto, (i) annual operating budgets (including income statements, balance sheets and cash flow statements, by month) for the then-current fiscal year of Borrower, and (ii) annual financial projections for the then-current fiscal year (on a quarterly basis), in each case as approved by the Board, together with any material related business forecasts for the subsequent two (2) fiscal years which were used in the preparation of such annual financial projections;</w:t>
      </w:r>
    </w:p>
    <w:p>
      <w:pPr>
        <w:spacing w:after="0" w:line="171"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Audited Financial Statements</w:t>
      </w:r>
      <w:r>
        <w:rPr>
          <w:rFonts w:ascii="Times New Roman" w:cs="Times New Roman" w:eastAsia="Times New Roman" w:hAnsi="Times New Roman"/>
          <w:sz w:val="17"/>
          <w:szCs w:val="17"/>
          <w:color w:val="auto"/>
        </w:rPr>
        <w:t>. As soon as available, and in any event within one hundred and eighty (180) days following the end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162" w:lineRule="exact"/>
        <w:rPr>
          <w:rFonts w:ascii="Times New Roman" w:cs="Times New Roman" w:eastAsia="Times New Roman" w:hAnsi="Times New Roman"/>
          <w:sz w:val="17"/>
          <w:szCs w:val="17"/>
          <w:color w:val="auto"/>
        </w:rPr>
      </w:pPr>
    </w:p>
    <w:p>
      <w:pPr>
        <w:jc w:val="both"/>
        <w:ind w:firstLine="1264"/>
        <w:spacing w:after="0" w:line="263" w:lineRule="auto"/>
        <w:tabs>
          <w:tab w:leader="none" w:pos="18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 Filings</w:t>
      </w:r>
      <w:r>
        <w:rPr>
          <w:rFonts w:ascii="Times New Roman" w:cs="Times New Roman" w:eastAsia="Times New Roman" w:hAnsi="Times New Roman"/>
          <w:sz w:val="17"/>
          <w:szCs w:val="17"/>
          <w:color w:val="auto"/>
        </w:rPr>
        <w:t>. In the event that Borrower or any of its Subsidiaries becomes subject to the reporting requirements under the Exchange Act within five (5) Business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notify Bank in writing within five (5) Business Days (which may be by electronic mail) of the posting of any such documents;</w:t>
      </w:r>
    </w:p>
    <w:p>
      <w:pPr>
        <w:spacing w:after="0" w:line="174"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7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Security Holder and Subordinated Debt Holder Reports</w:t>
      </w:r>
      <w:r>
        <w:rPr>
          <w:rFonts w:ascii="Times New Roman" w:cs="Times New Roman" w:eastAsia="Times New Roman" w:hAnsi="Times New Roman"/>
          <w:sz w:val="17"/>
          <w:szCs w:val="17"/>
          <w:color w:val="auto"/>
        </w:rPr>
        <w:t>. Within five (5) Business Days of delivery, copies of all material statements, reports and notices made generally available to Borrower’s security holders or to any holders of Subordinated Debt (solely in their capacities as security holders or holders of Subordinated Debt and not in any other role);</w:t>
      </w:r>
    </w:p>
    <w:p>
      <w:pPr>
        <w:spacing w:after="0" w:line="162" w:lineRule="exact"/>
        <w:rPr>
          <w:rFonts w:ascii="Times New Roman" w:cs="Times New Roman" w:eastAsia="Times New Roman" w:hAnsi="Times New Roman"/>
          <w:sz w:val="17"/>
          <w:szCs w:val="17"/>
          <w:color w:val="auto"/>
        </w:rPr>
      </w:pPr>
    </w:p>
    <w:p>
      <w:pPr>
        <w:jc w:val="both"/>
        <w:ind w:firstLine="1264"/>
        <w:spacing w:after="0" w:line="289" w:lineRule="auto"/>
        <w:tabs>
          <w:tab w:leader="none" w:pos="188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 Information</w:t>
      </w:r>
      <w:r>
        <w:rPr>
          <w:rFonts w:ascii="Times New Roman" w:cs="Times New Roman" w:eastAsia="Times New Roman" w:hAnsi="Times New Roman"/>
          <w:sz w:val="17"/>
          <w:szCs w:val="17"/>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8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Bank’s regulatory obligations to obtain, verify and record information about the beneficial owners of its legal entity customers;</w:t>
      </w:r>
    </w:p>
    <w:p>
      <w:pPr>
        <w:spacing w:after="0" w:line="224" w:lineRule="exact"/>
        <w:rPr>
          <w:sz w:val="20"/>
          <w:szCs w:val="20"/>
          <w:color w:val="auto"/>
        </w:rPr>
      </w:pPr>
    </w:p>
    <w:p>
      <w:pPr>
        <w:jc w:val="both"/>
        <w:ind w:firstLine="1264"/>
        <w:spacing w:after="0" w:line="270" w:lineRule="auto"/>
        <w:tabs>
          <w:tab w:leader="none" w:pos="188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Legal Action Notice</w:t>
      </w:r>
      <w:r>
        <w:rPr>
          <w:rFonts w:ascii="Times New Roman" w:cs="Times New Roman" w:eastAsia="Times New Roman" w:hAnsi="Times New Roman"/>
          <w:sz w:val="17"/>
          <w:szCs w:val="17"/>
          <w:color w:val="auto"/>
        </w:rPr>
        <w:t>. Prompt written notice upon becoming aware of any legal actions, investigations or proceedings pending or threatened in writing against Borrower or any of its Subsidiaries (not otherwise already disclosed on the Perfection Certificate delivered around the Third Amendment Effective Date) that could reasonably be expected to result in damages or costs to Borrower or any of its Subsidiaries of, individually or in the aggregate, Seven Hundred Fifty Thousand Dollars ($750,000) or more;</w:t>
      </w:r>
    </w:p>
    <w:p>
      <w:pPr>
        <w:spacing w:after="0" w:line="169" w:lineRule="exact"/>
        <w:rPr>
          <w:sz w:val="20"/>
          <w:szCs w:val="20"/>
          <w:color w:val="auto"/>
        </w:rPr>
      </w:pPr>
    </w:p>
    <w:p>
      <w:pPr>
        <w:jc w:val="both"/>
        <w:ind w:firstLine="1264"/>
        <w:spacing w:after="0" w:line="270" w:lineRule="auto"/>
        <w:tabs>
          <w:tab w:leader="none" w:pos="188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Tort Claim Notice</w:t>
      </w:r>
      <w:r>
        <w:rPr>
          <w:rFonts w:ascii="Times New Roman" w:cs="Times New Roman" w:eastAsia="Times New Roman" w:hAnsi="Times New Roman"/>
          <w:sz w:val="17"/>
          <w:szCs w:val="17"/>
          <w:color w:val="auto"/>
        </w:rPr>
        <w:t>. If Borrower shall acquire a commercial tort claim with a value that could reasonably be expected to exceed Five Hundred Thousand Dollars ($500,000), Borrower shall promptly notify Bank in a writing signed by Borrower of the general details thereof and, if so requested by Bank, grant to Bank in such writing a security interest therein and in the proceeds thereof, all upon the terms of this Agreement, with such writing to be in form and substance reasonably satisfactory to Bank;</w:t>
      </w:r>
    </w:p>
    <w:p>
      <w:pPr>
        <w:spacing w:after="0" w:line="169"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Government Filings</w:t>
      </w:r>
      <w:r>
        <w:rPr>
          <w:rFonts w:ascii="Times New Roman" w:cs="Times New Roman" w:eastAsia="Times New Roman" w:hAnsi="Times New Roman"/>
          <w:sz w:val="17"/>
          <w:szCs w:val="17"/>
          <w:color w:val="auto"/>
        </w:rPr>
        <w:t>. Within five (5) Business Days after the same are sent by Borrower or received by Borrower, copies of all material correspondence, reports, documents and other filings by Borrower or any of its Subsidiaries with any Governmental Authority regarding compliance with or maintenance of Governmental Approvals or Applicable Law, in each case that could reasonably be expected to have a material effect on any of the Governmental Approvals material to the business of Borrower;</w:t>
      </w:r>
    </w:p>
    <w:p>
      <w:pPr>
        <w:spacing w:after="0" w:line="169"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Registered Organization</w:t>
      </w:r>
      <w:r>
        <w:rPr>
          <w:rFonts w:ascii="Times New Roman" w:cs="Times New Roman" w:eastAsia="Times New Roman" w:hAnsi="Times New Roman"/>
          <w:sz w:val="17"/>
          <w:szCs w:val="17"/>
          <w:color w:val="auto"/>
        </w:rPr>
        <w:t>. If Borrower is not a Registered Organization as of the Effective Date but later becomes one, promptly notify Bank of such occurrence and provide Bank with Borrower’s organizational identification number;</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w:t>
      </w:r>
      <w:r>
        <w:rPr>
          <w:rFonts w:ascii="Times New Roman" w:cs="Times New Roman" w:eastAsia="Times New Roman" w:hAnsi="Times New Roman"/>
          <w:sz w:val="17"/>
          <w:szCs w:val="17"/>
          <w:color w:val="auto"/>
        </w:rPr>
        <w:t>. Prompt written notice of the occurrence of a Default or Event of Default; and</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 Promptly, from time to time, such other financial information regarding Borrower or any of its Subsidiaries or compliance with the terms of any Loan Documents as reasonably requested by Bank.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in all material respects, (ii) as of the end of the compliance period set forth in such submission, Borrower is in complete compliance with all required covenants except as noted in such Compliance Statement, or other financial statement, as applicable,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4.9,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7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4"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5.6</w:t>
        <w:tab/>
        <w:t>Taxes; Pensions.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80" w:right="339" w:bottom="1440" w:gutter="0" w:footer="0" w:header="0"/>
        </w:sectPr>
      </w:pPr>
    </w:p>
    <w:bookmarkStart w:id="58" w:name="page59"/>
    <w:bookmarkEnd w:id="58"/>
    <w:p>
      <w:pPr>
        <w:jc w:val="both"/>
        <w:ind w:firstLine="1264"/>
        <w:spacing w:after="0" w:line="267" w:lineRule="auto"/>
        <w:tabs>
          <w:tab w:leader="none" w:pos="188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file, and require each of its Subsidiaries to timely file (in each case, unless subject to a valid extension), all required tax returns and reports and timely pay, and require each of its Subsidiaries to timely pay, or file extensions for, all foreign, federal, state and local taxes, assessments, deposits and contributions owed by Borrower and each of its Subsidiaries, except for (deferred payment of any taxes contested pursuant to the terms of Section 4.9(a)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71" w:lineRule="exact"/>
        <w:rPr>
          <w:rFonts w:ascii="Times New Roman" w:cs="Times New Roman" w:eastAsia="Times New Roman" w:hAnsi="Times New Roman"/>
          <w:sz w:val="17"/>
          <w:szCs w:val="17"/>
          <w:color w:val="auto"/>
        </w:rPr>
      </w:pPr>
    </w:p>
    <w:p>
      <w:pPr>
        <w:jc w:val="both"/>
        <w:ind w:firstLine="1264"/>
        <w:spacing w:after="0" w:line="274" w:lineRule="auto"/>
        <w:tabs>
          <w:tab w:leader="none" w:pos="188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Borrower or any of its Subsidiaries defers payment of any contested taxes in excess of Fifty Thousand Dollars ($50,000),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378" w:lineRule="exact"/>
        <w:rPr>
          <w:sz w:val="20"/>
          <w:szCs w:val="20"/>
          <w:color w:val="auto"/>
        </w:rPr>
      </w:pPr>
    </w:p>
    <w:p>
      <w:pPr>
        <w:jc w:val="both"/>
        <w:ind w:firstLine="94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5.7 Access to Collateral; Books and Records. </w:t>
      </w:r>
      <w:r>
        <w:rPr>
          <w:rFonts w:ascii="Times New Roman" w:cs="Times New Roman" w:eastAsia="Times New Roman" w:hAnsi="Times New Roman"/>
          <w:sz w:val="17"/>
          <w:szCs w:val="17"/>
          <w:color w:val="auto"/>
        </w:rPr>
        <w:t>At reasonable times, on five (5) Business Days’ notice (provided no notice is required if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Event of Default has occurred and is continuing), Bank, or its agents, shall have the right to inspect the Collateral and the right to audit and copy Borrower’s Books. Such inspections and audits shall be conducted no more often than once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eight</w:t>
      </w:r>
    </w:p>
    <w:p>
      <w:pPr>
        <w:spacing w:after="0" w:line="3" w:lineRule="exact"/>
        <w:rPr>
          <w:sz w:val="20"/>
          <w:szCs w:val="20"/>
          <w:color w:val="auto"/>
        </w:rPr>
      </w:pPr>
    </w:p>
    <w:p>
      <w:pPr>
        <w:jc w:val="both"/>
        <w:ind w:firstLine="5"/>
        <w:spacing w:after="0" w:line="266" w:lineRule="auto"/>
        <w:tabs>
          <w:tab w:leader="none" w:pos="24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spacing w:after="0" w:line="169" w:lineRule="exact"/>
        <w:rPr>
          <w:sz w:val="20"/>
          <w:szCs w:val="20"/>
          <w:color w:val="auto"/>
        </w:rPr>
      </w:pPr>
    </w:p>
    <w:p>
      <w:pPr>
        <w:ind w:left="1420"/>
        <w:spacing w:after="0"/>
        <w:tabs>
          <w:tab w:leader="none" w:pos="1800" w:val="left"/>
        </w:tabs>
        <w:rPr>
          <w:sz w:val="20"/>
          <w:szCs w:val="20"/>
          <w:color w:val="auto"/>
        </w:rPr>
      </w:pPr>
      <w:r>
        <w:rPr>
          <w:rFonts w:ascii="Times New Roman" w:cs="Times New Roman" w:eastAsia="Times New Roman" w:hAnsi="Times New Roman"/>
          <w:sz w:val="17"/>
          <w:szCs w:val="17"/>
          <w:b w:val="1"/>
          <w:bCs w:val="1"/>
          <w:color w:val="auto"/>
        </w:rPr>
        <w:t>5.8</w:t>
        <w:tab/>
        <w:t>Insurance.</w:t>
      </w:r>
    </w:p>
    <w:p>
      <w:pPr>
        <w:spacing w:after="0" w:line="226" w:lineRule="exact"/>
        <w:rPr>
          <w:sz w:val="20"/>
          <w:szCs w:val="20"/>
          <w:color w:val="auto"/>
        </w:rPr>
      </w:pPr>
    </w:p>
    <w:p>
      <w:pPr>
        <w:jc w:val="both"/>
        <w:ind w:firstLine="1264"/>
        <w:spacing w:after="0" w:line="277" w:lineRule="auto"/>
        <w:tabs>
          <w:tab w:leader="none" w:pos="188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162"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62" w:lineRule="exact"/>
        <w:rPr>
          <w:rFonts w:ascii="Times New Roman" w:cs="Times New Roman" w:eastAsia="Times New Roman" w:hAnsi="Times New Roman"/>
          <w:sz w:val="17"/>
          <w:szCs w:val="17"/>
          <w:color w:val="auto"/>
        </w:rPr>
      </w:pPr>
    </w:p>
    <w:p>
      <w:pPr>
        <w:jc w:val="both"/>
        <w:ind w:firstLine="1264"/>
        <w:spacing w:after="0" w:line="264" w:lineRule="auto"/>
        <w:tabs>
          <w:tab w:leader="none" w:pos="188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Million Dollars ($1,000,000)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388"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Bank’s request, Borrower shall deliver certified copies of insurance policies and evidence of all premium payments. Each provider of any such insurance required under this Section </w:t>
      </w:r>
      <w:r>
        <w:rPr>
          <w:rFonts w:ascii="Times New Roman" w:cs="Times New Roman" w:eastAsia="Times New Roman" w:hAnsi="Times New Roman"/>
          <w:sz w:val="17"/>
          <w:szCs w:val="17"/>
          <w:color w:val="auto"/>
          <w:strike w:val="1"/>
        </w:rPr>
        <w:t>5.8</w:t>
      </w:r>
      <w:r>
        <w:rPr>
          <w:rFonts w:ascii="Times New Roman" w:cs="Times New Roman" w:eastAsia="Times New Roman" w:hAnsi="Times New Roman"/>
          <w:sz w:val="17"/>
          <w:szCs w:val="17"/>
          <w:color w:val="auto"/>
        </w:rPr>
        <w:t>6.5 shall agree, by endorsement upon the policy or policies issued by it or by independent instruments furnished to Bank, that it will give Bank twenty (20) days (or ten (10) days’ prior written notice in the event of cancellation due to non-payment of premium) prior written notice before any such policy or policies shall be materially altered or canceled.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80" w:right="339" w:bottom="1440" w:gutter="0" w:footer="0" w:header="0"/>
        </w:sectPr>
      </w:pPr>
    </w:p>
    <w:bookmarkStart w:id="59" w:name="page60"/>
    <w:bookmarkEnd w:id="59"/>
    <w:p>
      <w:pPr>
        <w:jc w:val="both"/>
        <w:spacing w:after="0" w:line="277" w:lineRule="auto"/>
        <w:rPr>
          <w:sz w:val="20"/>
          <w:szCs w:val="20"/>
          <w:color w:val="auto"/>
        </w:rPr>
      </w:pPr>
      <w:r>
        <w:rPr>
          <w:rFonts w:ascii="Times New Roman" w:cs="Times New Roman" w:eastAsia="Times New Roman" w:hAnsi="Times New Roman"/>
          <w:sz w:val="17"/>
          <w:szCs w:val="17"/>
          <w:color w:val="auto"/>
        </w:rPr>
        <w:t>If Borrower fails to obtain insurance as required under this Section 5.8 or to pay any amount or furnish any required proof of payment to third persons and Bank, Bank may make all or part of such payment or obtain such insurance policies required in this Section 5.8, and take any action under the policies Bank deems prudent.</w:t>
      </w:r>
    </w:p>
    <w:p>
      <w:pPr>
        <w:spacing w:after="0" w:line="160" w:lineRule="exact"/>
        <w:rPr>
          <w:sz w:val="20"/>
          <w:szCs w:val="20"/>
          <w:color w:val="auto"/>
        </w:rPr>
      </w:pPr>
    </w:p>
    <w:p>
      <w:pPr>
        <w:ind w:left="1260"/>
        <w:spacing w:after="0"/>
        <w:tabs>
          <w:tab w:leader="none" w:pos="1620" w:val="left"/>
        </w:tabs>
        <w:rPr>
          <w:sz w:val="20"/>
          <w:szCs w:val="20"/>
          <w:color w:val="auto"/>
        </w:rPr>
      </w:pPr>
      <w:r>
        <w:rPr>
          <w:rFonts w:ascii="Times New Roman" w:cs="Times New Roman" w:eastAsia="Times New Roman" w:hAnsi="Times New Roman"/>
          <w:sz w:val="17"/>
          <w:szCs w:val="17"/>
          <w:b w:val="1"/>
          <w:bCs w:val="1"/>
          <w:color w:val="auto"/>
        </w:rPr>
        <w:t>5.9</w:t>
        <w:tab/>
        <w:t>Accounts.</w:t>
      </w:r>
    </w:p>
    <w:p>
      <w:pPr>
        <w:spacing w:after="0" w:line="226" w:lineRule="exact"/>
        <w:rPr>
          <w:sz w:val="20"/>
          <w:szCs w:val="20"/>
          <w:color w:val="auto"/>
        </w:rPr>
      </w:pPr>
    </w:p>
    <w:p>
      <w:pPr>
        <w:jc w:val="both"/>
        <w:ind w:firstLine="1264"/>
        <w:spacing w:after="0" w:line="260" w:lineRule="auto"/>
        <w:tabs>
          <w:tab w:leader="none" w:pos="188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Borrower’s , any of its Subsidiaries’, and any Guarantor’s primary banking relationship (including primary operating accounts) with Bank or Bank’s Affiliates such that consolidated account balances of Borrower and its Subsidiaries and Guarantors maintained with Bank or Bank’s Affiliates represent an amount equal to or greater than the greater of (i) fifty percent (50.0%) of the aggregate Dollar Equivalent value of all cash and Cash Equivalents of Borrower and its Subsidiaries and Guarantors, and (ii) the amount equal to one hundred and ten percent (110.0%) of the aggregate outstanding amount under the Term Loan (the minimum percentages set forth in clause (i) and (ii) of this Section 5.9(a) collectively referred to as the “</w:t>
      </w:r>
      <w:r>
        <w:rPr>
          <w:rFonts w:ascii="Times New Roman" w:cs="Times New Roman" w:eastAsia="Times New Roman" w:hAnsi="Times New Roman"/>
          <w:sz w:val="17"/>
          <w:szCs w:val="17"/>
          <w:b w:val="1"/>
          <w:bCs w:val="1"/>
          <w:color w:val="auto"/>
        </w:rPr>
        <w:t>Minimum Banking Requirements</w:t>
      </w:r>
      <w:r>
        <w:rPr>
          <w:rFonts w:ascii="Times New Roman" w:cs="Times New Roman" w:eastAsia="Times New Roman" w:hAnsi="Times New Roman"/>
          <w:sz w:val="17"/>
          <w:szCs w:val="17"/>
          <w:color w:val="auto"/>
        </w:rPr>
        <w:t>”); provided, however, and subject to the Minimum Banking Requirements, Borrower may maintain its other “primary” operating accounts with PNC Bank used in the ordinary course of Borrower’s business and subject, at all times, to a Control Agreement in favor of Bank. Additionally, and for the avoidance of doubt, so long as Borrower is in compliance with the Minimum Banking Requirements, Borrower may maintain other Collateral Accounts outside of Bank, subject at all times to the Control Agreement requirements set forth in Section 5.9(c) hereof. Notwithstanding the foregoing, (x) if the aggregate amount of unrestricted and unencumbered cash held by Borrower is less than one hundred and ten percent (110.0%) of the aggregate outstanding amount under the Term Loan, Borrower shall maintain all of its, any of its Subsidiaries’ and any Guarantor’s operating accounts, depository accounts and excess cash with Bank or Bank’s Affiliates other than de minimis amounts requisite to maintaining outside accounts in good standing, except that Borrower’s Foreign Subsidiaries may maintain accounts with third parties other than Bank, provided the aggregate value of such accounts is subject to the terms of Section 6.11 (collectively the “</w:t>
      </w:r>
      <w:r>
        <w:rPr>
          <w:rFonts w:ascii="Times New Roman" w:cs="Times New Roman" w:eastAsia="Times New Roman" w:hAnsi="Times New Roman"/>
          <w:sz w:val="17"/>
          <w:szCs w:val="17"/>
          <w:b w:val="1"/>
          <w:bCs w:val="1"/>
          <w:color w:val="auto"/>
        </w:rPr>
        <w:t>Permitted Foreign Subsidiary Accounts</w:t>
      </w:r>
      <w:r>
        <w:rPr>
          <w:rFonts w:ascii="Times New Roman" w:cs="Times New Roman" w:eastAsia="Times New Roman" w:hAnsi="Times New Roman"/>
          <w:sz w:val="17"/>
          <w:szCs w:val="17"/>
          <w:color w:val="auto"/>
        </w:rPr>
        <w:t>”).</w:t>
      </w:r>
    </w:p>
    <w:p>
      <w:pPr>
        <w:spacing w:after="0" w:line="394" w:lineRule="exact"/>
        <w:rPr>
          <w:rFonts w:ascii="Times New Roman" w:cs="Times New Roman" w:eastAsia="Times New Roman" w:hAnsi="Times New Roman"/>
          <w:sz w:val="17"/>
          <w:szCs w:val="17"/>
          <w:color w:val="auto"/>
        </w:rPr>
      </w:pPr>
    </w:p>
    <w:p>
      <w:pPr>
        <w:jc w:val="both"/>
        <w:ind w:firstLine="1264"/>
        <w:spacing w:after="0" w:line="266" w:lineRule="auto"/>
        <w:tabs>
          <w:tab w:leader="none" w:pos="18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foregoing, Borrower, any Subsidiary of Borrower and any Guarantor, shall obtain any business credit card, Letter of Credit, FX Contract, and cash management services exclusively from Bank, except (i) third party credit cards, as permitted in the defined term “Permitted Indebtedness” part (h); (ii) Borrower’s Foreign Subsidiaries may maintain the foregoing bank services with third parties other than Bank, (iii) to the extent that Bank does not have such services in foreign locations, Borrower and its Subsidiaries may maintain the foregoing foreign banking services with third parties other than Bank, and (iv) Borrower may maintain and permit to exist online payment processors used in the ordinary course of business with third parties other than Bank.</w:t>
      </w:r>
    </w:p>
    <w:p>
      <w:pPr>
        <w:spacing w:after="0" w:line="385" w:lineRule="exact"/>
        <w:rPr>
          <w:rFonts w:ascii="Times New Roman" w:cs="Times New Roman" w:eastAsia="Times New Roman" w:hAnsi="Times New Roman"/>
          <w:sz w:val="17"/>
          <w:szCs w:val="17"/>
          <w:color w:val="auto"/>
        </w:rPr>
      </w:pPr>
    </w:p>
    <w:p>
      <w:pPr>
        <w:jc w:val="both"/>
        <w:ind w:firstLine="1264"/>
        <w:spacing w:after="0" w:line="264" w:lineRule="auto"/>
        <w:tabs>
          <w:tab w:leader="none" w:pos="188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and (ii) the Permitted Foreign Subsidiary Accounts.</w:t>
      </w:r>
    </w:p>
    <w:p>
      <w:pPr>
        <w:spacing w:after="0" w:line="171"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5.10 Financial Covenant (Net Revenue). </w:t>
      </w:r>
      <w:r>
        <w:rPr>
          <w:rFonts w:ascii="Times New Roman" w:cs="Times New Roman" w:eastAsia="Times New Roman" w:hAnsi="Times New Roman"/>
          <w:sz w:val="17"/>
          <w:szCs w:val="17"/>
          <w:color w:val="auto"/>
        </w:rPr>
        <w:t>Commencing on June 30, 2025, Borrower shall achieve Net Revenue (measured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on a trailing six (6) month basis), tested quarterly on the last day of each calendar quarter, in an amount equal to or greater than the levels to be agreed upon between Borrower and Bank with respect to which Borrower hereby agrees: (i) shall be documented in an amendment to this Agreement, in form and substance acceptable to Bank, which amendment shall be executed no later than: (x) for the fiscal year ending on December 31, 2025, the earlier to occur of 1) the date when Borrower’s unrestricted cash and Cash Equivalent held with Bank and Bank’s Affiliates is equal to or falls below [***] Dollars, and 2) September 30, 2025, with Borrower’s failure to enter into such amendment to this Agreement to reset such covenant levels on or prior to such date being an immediate and non-curable Event of Default hereunder; and (y) for the fiscal year ending 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380" w:right="339" w:bottom="1440" w:gutter="0" w:footer="0" w:header="0"/>
        </w:sectPr>
      </w:pPr>
    </w:p>
    <w:bookmarkStart w:id="60" w:name="page61"/>
    <w:bookmarkEnd w:id="60"/>
    <w:p>
      <w:pPr>
        <w:jc w:val="both"/>
        <w:spacing w:after="0" w:line="241" w:lineRule="auto"/>
        <w:rPr>
          <w:sz w:val="20"/>
          <w:szCs w:val="20"/>
          <w:color w:val="auto"/>
        </w:rPr>
      </w:pPr>
      <w:r>
        <w:rPr>
          <w:rFonts w:ascii="Times New Roman" w:cs="Times New Roman" w:eastAsia="Times New Roman" w:hAnsi="Times New Roman"/>
          <w:sz w:val="17"/>
          <w:szCs w:val="17"/>
          <w:color w:val="auto"/>
        </w:rPr>
        <w:t>December 31, 2026 and any fiscal year after that, February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each year beginning with February 28, 2026, with Borrower’s failure to enter into such amendment to this Agreement to reset such covenant levels on or prior to February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each year being an immediate and non-curable Event of Default hereunder; (ii) shall be based on Borrower’s projections delivered to Bank in accordance with Section 5.3(e) hereof and acceptable to Bank in its commercially reasonable discretion with such projections for Borrower’s 2025 fiscal year showing a year-over-year growth satisfactory to Bank in its sole discretion. Notwithstanding the foregoing, such Net Revenue covenant will not be tested for a certain calendar quarter if (1) Borrower’s unrestricted and unencumbered (except for Liens in favor of Bank) cash and Cash Equivalents held at Bank and Bank’s Affiliates is equal to or greater than [***] Dollars, or (2) Borrower achieves Adjusted EBITDA (calculated on a trailing six (6) month basis) of equal to or greater than [***] Dollars.</w:t>
      </w:r>
    </w:p>
    <w:p>
      <w:pPr>
        <w:spacing w:after="0" w:line="190" w:lineRule="exact"/>
        <w:rPr>
          <w:sz w:val="20"/>
          <w:szCs w:val="20"/>
          <w:color w:val="auto"/>
        </w:rPr>
      </w:pPr>
    </w:p>
    <w:p>
      <w:pPr>
        <w:ind w:left="126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5.11</w:t>
        <w:tab/>
        <w:t>Protection of Intellectual Property Rights.</w:t>
      </w:r>
    </w:p>
    <w:p>
      <w:pPr>
        <w:spacing w:after="0" w:line="226" w:lineRule="exact"/>
        <w:rPr>
          <w:sz w:val="20"/>
          <w:szCs w:val="20"/>
          <w:color w:val="auto"/>
        </w:rPr>
      </w:pPr>
    </w:p>
    <w:p>
      <w:pPr>
        <w:jc w:val="both"/>
        <w:ind w:firstLine="1264"/>
        <w:spacing w:after="0" w:line="265" w:lineRule="auto"/>
        <w:tabs>
          <w:tab w:leader="none" w:pos="188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Use commercially reasonable efforts to protect, defend and maintain the validity and enforceability of Borrower’s and each Subsidiary’s Intellectual Property, except to the extent that such failure to do so would not reasonably be expected to have a material adverse effect on Borrower’s business or operations or that such Intellectual Property does not have material value; (ii) promptly advise Bank in writing of infringements or any other event that could reasonably be expected to materially and adversely affect the value Borrower’s and each Subsidiary’s Intellectual Property that has material value; and (iii) not allow any Intellectual Property material to Borrower’s or any Subsidiary’s business to be abandoned, forfeited or dedicated to the public without Bank’s written consent.</w:t>
      </w:r>
    </w:p>
    <w:p>
      <w:pPr>
        <w:spacing w:after="0" w:line="173" w:lineRule="exact"/>
        <w:rPr>
          <w:rFonts w:ascii="Times New Roman" w:cs="Times New Roman" w:eastAsia="Times New Roman" w:hAnsi="Times New Roman"/>
          <w:sz w:val="17"/>
          <w:szCs w:val="17"/>
          <w:color w:val="auto"/>
        </w:rPr>
      </w:pPr>
    </w:p>
    <w:p>
      <w:pPr>
        <w:jc w:val="both"/>
        <w:ind w:firstLine="1264"/>
        <w:spacing w:after="0" w:line="265" w:lineRule="auto"/>
        <w:tabs>
          <w:tab w:leader="none" w:pos="188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72"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5.12 Litigation Cooperation. </w:t>
      </w:r>
      <w:r>
        <w:rPr>
          <w:rFonts w:ascii="Times New Roman" w:cs="Times New Roman" w:eastAsia="Times New Roman" w:hAnsi="Times New Roman"/>
          <w:sz w:val="17"/>
          <w:szCs w:val="17"/>
          <w:color w:val="auto"/>
        </w:rPr>
        <w:t>From the date hereof and continuing through the termination of this Agreement, make available to Bank,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60"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5.13</w:t>
        <w:tab/>
        <w:t>Reserved.</w:t>
      </w:r>
    </w:p>
    <w:p>
      <w:pPr>
        <w:spacing w:after="0" w:line="22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5.14 Formation or Acquisition of Subsidiaries. </w:t>
      </w:r>
      <w:r>
        <w:rPr>
          <w:rFonts w:ascii="Times New Roman" w:cs="Times New Roman" w:eastAsia="Times New Roman" w:hAnsi="Times New Roman"/>
          <w:sz w:val="17"/>
          <w:szCs w:val="17"/>
          <w:color w:val="auto"/>
        </w:rPr>
        <w:t>Notwithstanding and without limiting the negative covenants contained in Sections 6.3 and 6.7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at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that constitute Collateral), (b) provide to Bank appropriate certificates and powers and financing statements, pledging (i) all of the direct or beneficial ownership interest in such new Subsidiary, in form and substance reasonably satisfactory to Bank; and (c) provide to Bank all other documentation in form and substance reasonably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5.14 shall be a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377" w:right="339" w:bottom="1440" w:gutter="0" w:footer="0" w:header="0"/>
        </w:sectPr>
      </w:pPr>
    </w:p>
    <w:bookmarkStart w:id="61" w:name="page62"/>
    <w:bookmarkEnd w:id="61"/>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5.15 Inventory; Returns</w:t>
      </w:r>
      <w:r>
        <w:rPr>
          <w:rFonts w:ascii="Times New Roman" w:cs="Times New Roman" w:eastAsia="Times New Roman" w:hAnsi="Times New Roman"/>
          <w:sz w:val="17"/>
          <w:szCs w:val="17"/>
          <w:color w:val="auto"/>
        </w:rPr>
        <w:t>. Keep all Inventory in good and marketable condition, free from material defects. Returns and allowances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and its Account Debtors shall follow Borrower’s customary practices as they exist at the Effective Date. Borrower shall promptly notify Bank of all returns, recoveries, disputes and claims that involve more than Two Hundred Fifty Thousand Dollars ($250,000) (measured as to any single return, recovery, dispute or claim, and not in the aggregate at such time).</w:t>
      </w:r>
    </w:p>
    <w:p>
      <w:pPr>
        <w:spacing w:after="0" w:line="166"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5.16 Further Assurances. </w:t>
      </w:r>
      <w:r>
        <w:rPr>
          <w:rFonts w:ascii="Times New Roman" w:cs="Times New Roman" w:eastAsia="Times New Roman" w:hAnsi="Times New Roman"/>
          <w:sz w:val="17"/>
          <w:szCs w:val="17"/>
          <w:color w:val="auto"/>
        </w:rPr>
        <w:t>Execute any further instruments and take such further action as Bank reasonably requests to perfect, protect, ensure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priority of or continue Bank’s Lien on the Collateral or to affect the purposes of this Agreement.</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5.17 Sanctions</w:t>
      </w:r>
      <w:r>
        <w:rPr>
          <w:rFonts w:ascii="Times New Roman" w:cs="Times New Roman" w:eastAsia="Times New Roman" w:hAnsi="Times New Roman"/>
          <w:sz w:val="17"/>
          <w:szCs w:val="17"/>
          <w:color w:val="auto"/>
        </w:rPr>
        <w:t>. (a) Not, and not permit any of its Subsidiaries to, engage in any of the activities described in Section 4.11 in the future; (b) not,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Section 5.17. In addition, have implemented, and will consistently apply while this Agreement is in effect, reasonable procedures to ensure that the representations and warranties in Section 4.11 remain true and correct while this Agreement is in effect.</w:t>
      </w:r>
    </w:p>
    <w:p>
      <w:pPr>
        <w:spacing w:after="0" w:line="167" w:lineRule="exact"/>
        <w:rPr>
          <w:sz w:val="20"/>
          <w:szCs w:val="20"/>
          <w:color w:val="auto"/>
        </w:rPr>
      </w:pPr>
    </w:p>
    <w:p>
      <w:pPr>
        <w:ind w:left="1260" w:hanging="626"/>
        <w:spacing w:after="0"/>
        <w:tabs>
          <w:tab w:leader="none" w:pos="126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NEGATIVE COVENANTS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Borrower shall not do any of the following without Bank’s prior written consent:</w:t>
      </w:r>
    </w:p>
    <w:p>
      <w:pPr>
        <w:spacing w:after="0" w:line="22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6.1 Dispositions. </w:t>
      </w:r>
      <w:r>
        <w:rPr>
          <w:rFonts w:ascii="Times New Roman" w:cs="Times New Roman" w:eastAsia="Times New Roman" w:hAnsi="Times New Roman"/>
          <w:sz w:val="17"/>
          <w:szCs w:val="17"/>
          <w:color w:val="auto"/>
        </w:rPr>
        <w:t>Convey, sell, lease, transfer, assign, or otherwise dispose of (including, without limitation, pursuant to a Division) (collectively,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or permit any of its Subsidiaries to 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including without limitation cash returns or refunds of customer payments; (f) of non-exclusive licenses for the use of the property of Borrower or its Subsidiaries in the ordinary course of business, and other licenses permitted pursuant to part (h) of the defined Permitted Liens; (g) other Transfers not to exceed One Hundred Thousand Dollars ($100,000) in any twelve (12) month period; and (h) other Transfers in which Borrower will receive cash proceeds in an amount equal to no less than seventy-five percent (75%) of such other Transfer consideration (fixed or contingent) paid or payable to Borrower or its Subsidiary.</w:t>
      </w:r>
    </w:p>
    <w:p>
      <w:pPr>
        <w:spacing w:after="0" w:line="38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For the avoidance of doubt, none of (a) the sale of any Permitted Convertible Indebtedness, (b) the sale of any Warrant Transaction, (c) the purchase of any Bond Hedge Transaction or (d) the performance by Borrower of its obligations under any Permitted Convertible Indebtedness, any Warrant Transaction or any Bond Hedge Transaction (including the settlement or termination of any Bond Hedge Transaction or Warrant Transaction) shall constitute a Transfer.</w:t>
      </w:r>
    </w:p>
    <w:p>
      <w:pPr>
        <w:spacing w:after="0" w:line="187"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6.2 Changes in Business, Management, Control, or Business Locations. </w:t>
      </w:r>
      <w:r>
        <w:rPr>
          <w:rFonts w:ascii="Times New Roman" w:cs="Times New Roman" w:eastAsia="Times New Roman" w:hAnsi="Times New Roman"/>
          <w:sz w:val="17"/>
          <w:szCs w:val="17"/>
          <w:color w:val="auto"/>
        </w:rPr>
        <w:t>(a) Engage in or permit any of its Subsidiaries to engage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other than the businesses currently engaged in by Borrower and such Subsidiary, as applicable, or reasonably related thereto; (b) liquidate or dissolve or permit any of its Subsidiaries to liquidate or dissolve (unless such Subsidiary’s assets are transferred to Borrower); (c) fail to provide notice to Bank of any Key Person departing from or ceasing to be employed by Borrower within seven (7) Business Days after such Key Person’s departure from Borrower; (d) permit, allow or suffer to occur any Change in Control; (e) without at least ten (10) days prior written notice to Bank, (i) add any new offices or business locations, including warehouses (unless such new offices or business locations contain less than Two Hundred Thousand Dollars ($200,000) in Borrower’s assets or property) or deliver any portion of the Collateral valued, individually or in the aggregate, in excess of Two Hundred Thousand Dollars ($200,000) to a bailee at a location other than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378" w:right="339" w:bottom="1440" w:gutter="0" w:footer="0" w:header="0"/>
        </w:sectPr>
      </w:pPr>
    </w:p>
    <w:bookmarkStart w:id="62" w:name="page63"/>
    <w:bookmarkEnd w:id="62"/>
    <w:p>
      <w:pPr>
        <w:jc w:val="both"/>
        <w:spacing w:after="0" w:line="262" w:lineRule="auto"/>
        <w:rPr>
          <w:sz w:val="20"/>
          <w:szCs w:val="20"/>
          <w:color w:val="auto"/>
        </w:rPr>
      </w:pPr>
      <w:r>
        <w:rPr>
          <w:rFonts w:ascii="Times New Roman" w:cs="Times New Roman" w:eastAsia="Times New Roman" w:hAnsi="Times New Roman"/>
          <w:sz w:val="17"/>
          <w:szCs w:val="17"/>
          <w:color w:val="auto"/>
        </w:rPr>
        <w:t>bailee and at a location already disclosed in the Perfection Certificate, or (f) without at least twenty (20) days prior written notice to Bank (i) change its jurisdiction of organization, (ii) change its organizational structure or type, (iii) change its legal name, or, (iv) change any organizational number (if any) assigned by its jurisdiction of organization. If Borrower intends to add any new offices or business locations, including warehouses, containing in excess of Two Hundred Thousand Dollars ($200,000) of Borrower’s assets or property, then Borrower will cause the landlord of any such new offices or business locations, including warehouses, to execute and deliver a landlord consent in form and substance reasonably satisfactory to Bank. If Borrower intends to deliver any portion of the Collateral valued, individually or in the aggregate, in excess of Two Hundred Thousand Dollars ($200,000) to a bailee, and Bank and such bailee are not already parties to a bailee agreement governing both the Collateral and the location to which Borrower intends to deliver the Collateral, then Borrower will cause such bailee to execute and deliver a bailee agreement in form and substance reasonably satisfactory to Bank. For the avoidance of doubt, no landlord or bailee waivers shall be required for or with respect to any foreign locations of Borrower or its Subsidiaries.</w:t>
      </w:r>
    </w:p>
    <w:p>
      <w:pPr>
        <w:spacing w:after="0" w:line="176"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6.3 Mergers or Acquisitions. </w:t>
      </w:r>
      <w:r>
        <w:rPr>
          <w:rFonts w:ascii="Times New Roman" w:cs="Times New Roman" w:eastAsia="Times New Roman" w:hAnsi="Times New Roman"/>
          <w:sz w:val="17"/>
          <w:szCs w:val="17"/>
          <w:color w:val="auto"/>
        </w:rPr>
        <w:t>Merge or consolidate, or permit any of its Subsidiaries to merge or consolidate, with any other Person, or acquire,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except (i) if (a) Borrower has complied with the notice requirements applicable to prepayments hereunder, and (b) prior to or contemporaneously with the closing of such transaction, all Obligations are paid in full in cash, and all of Bank’s obligations to lend to Borrower under this Agreement are terminated, and/or (iii) Permitted Acquisitions. A Subsidiary may merge or consolidate into another Subsidiary or into Borrower.</w:t>
      </w:r>
    </w:p>
    <w:p>
      <w:pPr>
        <w:spacing w:after="0" w:line="16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 xml:space="preserve">Indebtedness. </w:t>
      </w:r>
      <w:r>
        <w:rPr>
          <w:rFonts w:ascii="Times New Roman" w:cs="Times New Roman" w:eastAsia="Times New Roman" w:hAnsi="Times New Roman"/>
          <w:sz w:val="17"/>
          <w:szCs w:val="17"/>
          <w:color w:val="auto"/>
        </w:rPr>
        <w:t>Create, incur, assume, or be liable for any Indebtedness, or permit any Subsidiary to do so, other than Permitted Indebtedness.</w:t>
      </w:r>
    </w:p>
    <w:p>
      <w:pPr>
        <w:spacing w:after="0" w:line="224"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6.5 Encumbrance. </w:t>
      </w:r>
      <w:r>
        <w:rPr>
          <w:rFonts w:ascii="Times New Roman" w:cs="Times New Roman" w:eastAsia="Times New Roman" w:hAnsi="Times New Roman"/>
          <w:sz w:val="17"/>
          <w:szCs w:val="17"/>
          <w:color w:val="auto"/>
        </w:rPr>
        <w:t>Create, incur, allow, or suffer to exist any Lien on any of its property, or assign or convey any right to receive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sale of any Accounts, or permit any of its Subsidiaries to do so, in each case as to the foregoing except for Permitted Liens, permit any Collateral not to be subject to the first priority security interest granted herein, other than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spacing w:after="0" w:line="16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 xml:space="preserve">Maintenance of Collateral Accounts. </w:t>
      </w:r>
      <w:r>
        <w:rPr>
          <w:rFonts w:ascii="Times New Roman" w:cs="Times New Roman" w:eastAsia="Times New Roman" w:hAnsi="Times New Roman"/>
          <w:sz w:val="17"/>
          <w:szCs w:val="17"/>
          <w:color w:val="auto"/>
        </w:rPr>
        <w:t>Maintain any Collateral Account except pursuant to the terms of Section 5.9(c).</w:t>
      </w:r>
    </w:p>
    <w:p>
      <w:pPr>
        <w:spacing w:after="0" w:line="224"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6.7 Distributions; Investments. </w:t>
      </w:r>
      <w:r>
        <w:rPr>
          <w:rFonts w:ascii="Times New Roman" w:cs="Times New Roman" w:eastAsia="Times New Roman" w:hAnsi="Times New Roman"/>
          <w:sz w:val="17"/>
          <w:szCs w:val="17"/>
          <w:color w:val="auto"/>
        </w:rPr>
        <w:t>(a) Pay any dividends or make any distribution or payment or redeem, retire or purchase any stock, partnership,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membership, or other ownership interest or other equity securities, provided that Borrower may (i) convert any of its convertible securities into other securities pursuant to the terms of such convertible securities or otherwise in exchange thereof, (ii) pay dividends solely in common stock or equity interests, (iii) repurchase the stock of former employees, officers, directors or consultants pursuant to stock repurchase agreements or termination of employment or service or repurchases pursuant to rights of first refusal in Borrower’s bylaws, so long as an Event of Default does not exist at the time of any such repurchase and would not exist after giving effect to any such repurchase; provided the aggregate amount of all such repurchases shall not exceed Five Hundred Thousand Dollars ($500,000) per fiscal year, (iv) pay cash distributions in lieu of issuing fractional shares; provided the aggregate amount of all such payments shall not exceed Two Hundred Thousand Dollars ($200,000) per fiscal year , (v) distribute equity securities to former or current employees, officers, consultants or directors pursuant to the exercise of employee stock options approved by the Board, (vi) pay, in connection with any Permitted Acquisition by Borrower or any of its Subsidiaries, (A) the receipt or acceptance of the return to Borrower or any of its Subsidiaries of stock or equity interests of Borrower constituting a portion of the purchase price consideration in settlement of indemnification claims, or as a result of a purchase price adjustment (including earn-outs or similar obligations) and (B) payments or distributions to equity holders pursuant to appraisal rights required under requirements of law; (vii) the distribution of rights pursuant to any shareholder rights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380" w:right="339" w:bottom="1440" w:gutter="0" w:footer="0" w:header="0"/>
        </w:sectPr>
      </w:pPr>
    </w:p>
    <w:bookmarkStart w:id="63" w:name="page64"/>
    <w:bookmarkEnd w:id="63"/>
    <w:p>
      <w:pPr>
        <w:jc w:val="both"/>
        <w:spacing w:after="0" w:line="270" w:lineRule="auto"/>
        <w:rPr>
          <w:sz w:val="20"/>
          <w:szCs w:val="20"/>
          <w:color w:val="auto"/>
        </w:rPr>
      </w:pPr>
      <w:r>
        <w:rPr>
          <w:rFonts w:ascii="Times New Roman" w:cs="Times New Roman" w:eastAsia="Times New Roman" w:hAnsi="Times New Roman"/>
          <w:sz w:val="17"/>
          <w:szCs w:val="17"/>
          <w:color w:val="auto"/>
        </w:rPr>
        <w:t>the redemption of such rights for nominal consideration in accordance with the terms of any shareholder rights plan, and (viii) for the avoidance of doubt, Subsidiaries of Borrower shall be permitted to, directly or indirectly, pay dividends or make distributions to other Subsidiaries or to Borrower, or (b) directly or indirectly make any Investment (including, without limitation, by the formation of any Subsidiary) other than Permitted Investments, or permit any of its Subsidiaries to do so.</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Notwithstanding the foregoing, or anything to the contrary herein, and for the avoidance of doubt, this Section 6.7 shall not prohibit (i) the conversion by holders of (including any cash payment upon conversion), or required payment of any principal or premium on, or required payment of any interest with respect to, any Permitted Convertible Debt, in each case, in accordance with the terms of the indenture governing such Permitted Convertible Debt;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preceding sentence shall only allow principal payments with respect to any repurchase in connection with the redemption of Permitted Convertible Debt upon satisfaction of a condition related to the stock price of the Borrower’s common stock if the Redemption Conditions are satisfied in respect of such redemption; </w:t>
      </w:r>
      <w:r>
        <w:rPr>
          <w:rFonts w:ascii="Times New Roman" w:cs="Times New Roman" w:eastAsia="Times New Roman" w:hAnsi="Times New Roman"/>
          <w:sz w:val="17"/>
          <w:szCs w:val="17"/>
          <w:i w:val="1"/>
          <w:iCs w:val="1"/>
          <w:color w:val="auto"/>
        </w:rPr>
        <w:t xml:space="preserve">provided further </w:t>
      </w:r>
      <w:r>
        <w:rPr>
          <w:rFonts w:ascii="Times New Roman" w:cs="Times New Roman" w:eastAsia="Times New Roman" w:hAnsi="Times New Roman"/>
          <w:sz w:val="17"/>
          <w:szCs w:val="17"/>
          <w:color w:val="auto"/>
        </w:rPr>
        <w:t>that, to the extent both (a) the aggregate amount of cash payable upon conversion or redemption of any Permitted Convertible Debt (excluding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required payment of interest with respect to such Permitted Convertible Debt and excluding any payment of cash in lieu of a fractional share due upon conversion thereof) exceeds the aggregate principal amount thereof and (b) such conversion or redemption does not trigger or correspond to an exercise or early unwind or settlement of a corresponding portion of the Bond Hedge Transactions constituting Permitted Call Spread Agreements relating to such Permitted Convertible Debt (including, for the avoidance of doubt, the case where there is no Bond Hedge Transaction constituting a Permitted Call Spread Agreement relating to such Permitted Convertible Debt), the payment of such excess cash (any such payment, a “</w:t>
      </w:r>
      <w:r>
        <w:rPr>
          <w:rFonts w:ascii="Times New Roman" w:cs="Times New Roman" w:eastAsia="Times New Roman" w:hAnsi="Times New Roman"/>
          <w:sz w:val="17"/>
          <w:szCs w:val="17"/>
          <w:b w:val="1"/>
          <w:bCs w:val="1"/>
          <w:color w:val="auto"/>
        </w:rPr>
        <w:t>Cash Excess Payment</w:t>
      </w:r>
      <w:r>
        <w:rPr>
          <w:rFonts w:ascii="Times New Roman" w:cs="Times New Roman" w:eastAsia="Times New Roman" w:hAnsi="Times New Roman"/>
          <w:sz w:val="17"/>
          <w:szCs w:val="17"/>
          <w:color w:val="auto"/>
        </w:rPr>
        <w:t xml:space="preserve">”) shall not be permitted by this clause (i); and (ii) any required payment with respect to (including, for the avoidance of doubt, the payment of the relevant premium for the purchase thereof), or required early unwind or settlement of, any Permitted Call Spread Agreement, in each case, in accordance with the terms of the agreement governing such Permitted Call Spread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 Notwithstanding the foregoing, the Borrower may repurchase, exchange or induce the conversion of Permitted Convertible Debt by delivery of shares of the Borrower’s common stock and/or a different series of Permitted Convertible Debt (which series (I) matures after, and does not require any scheduled amortization or other scheduled payments of principal prior to, the analogous date under the indenture governing the Permitted Convertible Debt that are so repurchased, exchanged or converted and (II) has terms, conditions and covenants that are commercially reasonable to the Borrower (as determined by the Borrower in good faith) (any such series of Permitted Convertible Debt, “</w:t>
      </w:r>
      <w:r>
        <w:rPr>
          <w:rFonts w:ascii="Times New Roman" w:cs="Times New Roman" w:eastAsia="Times New Roman" w:hAnsi="Times New Roman"/>
          <w:sz w:val="17"/>
          <w:szCs w:val="17"/>
          <w:b w:val="1"/>
          <w:bCs w:val="1"/>
          <w:color w:val="auto"/>
        </w:rPr>
        <w:t>Refinancing Convertible Debt</w:t>
      </w:r>
      <w:r>
        <w:rPr>
          <w:rFonts w:ascii="Times New Roman" w:cs="Times New Roman" w:eastAsia="Times New Roman" w:hAnsi="Times New Roman"/>
          <w:sz w:val="17"/>
          <w:szCs w:val="17"/>
          <w:color w:val="auto"/>
        </w:rPr>
        <w:t xml:space="preserve">”) and/or by payment of cash (x) in lieu of any fractional shares, (y) in respect of accrued and unpaid interest of such Permitted Convertible 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Debt that is so repurchased, exchanged or converted.</w:t>
      </w:r>
    </w:p>
    <w:p>
      <w:pPr>
        <w:spacing w:after="0" w:line="20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6.8 Transactions with Affiliates. </w:t>
      </w:r>
      <w:r>
        <w:rPr>
          <w:rFonts w:ascii="Times New Roman" w:cs="Times New Roman" w:eastAsia="Times New Roman" w:hAnsi="Times New Roman"/>
          <w:sz w:val="17"/>
          <w:szCs w:val="17"/>
          <w:color w:val="auto"/>
        </w:rPr>
        <w:t>Directly or indirectly enter into or permit to exist any material transaction with any Affiliate of Borrower, except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(a) transactions that are in the ordinary course of Borrower’s business, upon fair and reasonable terms that are no less favorable to Borrower than would be obtained in an arm’s length transaction with a non-affiliated Person; (b) sales of Borrower’s equity securities to the then-existing investors of Borrower in connection with a bona fide equity financing by the Board so long as such sale shall not result in a violation of the Change of Control provision in Section 6.2,</w:t>
      </w:r>
    </w:p>
    <w:p>
      <w:pPr>
        <w:spacing w:after="0" w:line="2" w:lineRule="exact"/>
        <w:rPr>
          <w:sz w:val="20"/>
          <w:szCs w:val="20"/>
          <w:color w:val="auto"/>
        </w:rPr>
      </w:pPr>
    </w:p>
    <w:p>
      <w:pPr>
        <w:ind w:firstLine="5"/>
        <w:spacing w:after="0" w:line="275" w:lineRule="auto"/>
        <w:tabs>
          <w:tab w:leader="none" w:pos="24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financings from Borrower’s investors so long as all such Indebtedness shall constitute Subordinated Debt, (d) reasonable and customary compensation arrangements and benefit plans for officers, and other employees of Borrower approved by the Board, (e) reasonable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380" w:right="339" w:bottom="1440" w:gutter="0" w:footer="0" w:header="0"/>
        </w:sectPr>
      </w:pPr>
    </w:p>
    <w:bookmarkStart w:id="64" w:name="page65"/>
    <w:bookmarkEnd w:id="64"/>
    <w:p>
      <w:pPr>
        <w:jc w:val="both"/>
        <w:spacing w:after="0" w:line="297" w:lineRule="auto"/>
        <w:rPr>
          <w:sz w:val="20"/>
          <w:szCs w:val="20"/>
          <w:color w:val="auto"/>
        </w:rPr>
      </w:pPr>
      <w:r>
        <w:rPr>
          <w:rFonts w:ascii="Times New Roman" w:cs="Times New Roman" w:eastAsia="Times New Roman" w:hAnsi="Times New Roman"/>
          <w:sz w:val="17"/>
          <w:szCs w:val="17"/>
          <w:color w:val="auto"/>
        </w:rPr>
        <w:t>and customary compensation arrangements for fees and costs paid to members of the Board in the ordinary course of business, and (f) Investments of the type described in and permitted under clauses (g) and/or (h) of the definition of “Permitted Investments” herein.</w:t>
      </w:r>
    </w:p>
    <w:p>
      <w:pPr>
        <w:spacing w:after="0" w:line="144"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6.9 Subordinated Debt. </w:t>
      </w:r>
      <w:r>
        <w:rPr>
          <w:rFonts w:ascii="Times New Roman" w:cs="Times New Roman" w:eastAsia="Times New Roman" w:hAnsi="Times New Roman"/>
          <w:sz w:val="17"/>
          <w:szCs w:val="17"/>
          <w:color w:val="auto"/>
        </w:rPr>
        <w:t>Except as expressly permitted under the terms of the subordination, intercreditor, or other similar agreement to which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Subordinated Debt is subject: (a) make or permit any payment on such Subordinated Debt; (b) amend any provision in any document relating to such Subordinated Debt which would increase the amount thereof, or (c) provide for earlier or greater principal, interest, or other payments thereon, or adversely affect the subordination thereof to Obligations owed to Bank in contravention of the terms of such the subordination, intercreditor, or other similar agreement.</w:t>
      </w:r>
    </w:p>
    <w:p>
      <w:pPr>
        <w:spacing w:after="0" w:line="16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6.10 Compliance. </w:t>
      </w:r>
      <w:r>
        <w:rPr>
          <w:rFonts w:ascii="Times New Roman" w:cs="Times New Roman" w:eastAsia="Times New Roman" w:hAnsi="Times New Roman"/>
          <w:sz w:val="17"/>
          <w:szCs w:val="17"/>
          <w:color w:val="auto"/>
        </w:rPr>
        <w:t>(a) Become an “investment company” or a company controlled by an “investment company”, under the Investment Company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Borrower, including any material liability to the Pension Benefit Guaranty Corporation or its successors or any other Governmental Authority.</w:t>
      </w:r>
    </w:p>
    <w:p>
      <w:pPr>
        <w:spacing w:after="0" w:line="178"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6.11 Cash and Cash Equivalents held by Foreign Subsidiaries</w:t>
      </w:r>
      <w:r>
        <w:rPr>
          <w:rFonts w:ascii="Times New Roman" w:cs="Times New Roman" w:eastAsia="Times New Roman" w:hAnsi="Times New Roman"/>
          <w:sz w:val="17"/>
          <w:szCs w:val="17"/>
          <w:color w:val="auto"/>
        </w:rPr>
        <w:t>. The aggregate value of cash and Cash Equivalents held by all Foreign Subsidiaries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Borrower to exceed Two Million Five Hundred Thousand Dollars ($2,500,000) for more than five (5) Business Days in each calendar month.</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6.12 Value of Assets held by Foreign Subsidiaries. </w:t>
      </w:r>
      <w:r>
        <w:rPr>
          <w:rFonts w:ascii="Times New Roman" w:cs="Times New Roman" w:eastAsia="Times New Roman" w:hAnsi="Times New Roman"/>
          <w:sz w:val="17"/>
          <w:szCs w:val="17"/>
          <w:color w:val="auto"/>
        </w:rPr>
        <w:t>The aggregate value of the assets owned by the Foreign Subsidiaries of Borrower shall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exceed twenty percent (20%) of the aggregate value of all assets owned by the Borrower and its Subsidiaries.</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6.13 Redemption of Permitted Convertible Debt. </w:t>
      </w:r>
      <w:r>
        <w:rPr>
          <w:rFonts w:ascii="Times New Roman" w:cs="Times New Roman" w:eastAsia="Times New Roman" w:hAnsi="Times New Roman"/>
          <w:sz w:val="17"/>
          <w:szCs w:val="17"/>
          <w:color w:val="auto"/>
        </w:rPr>
        <w:t>Exercise any redemption right with respect to any Permitted Convertible Debt upon satisfaction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 condition related to the stock price of the Borrower’s common stock, unless the Redemption Conditions are satisfied in respect of such redemption.</w:t>
      </w:r>
    </w:p>
    <w:p>
      <w:pPr>
        <w:spacing w:after="0" w:line="142" w:lineRule="exact"/>
        <w:rPr>
          <w:sz w:val="20"/>
          <w:szCs w:val="20"/>
          <w:color w:val="auto"/>
        </w:rPr>
      </w:pPr>
    </w:p>
    <w:p>
      <w:pPr>
        <w:ind w:left="1260" w:hanging="626"/>
        <w:spacing w:after="0"/>
        <w:tabs>
          <w:tab w:leader="none" w:pos="126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EVENTS OF DEFAULT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Any one of the following shall constitute an event of default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under this Agreement:</w:t>
      </w:r>
    </w:p>
    <w:p>
      <w:pPr>
        <w:spacing w:after="0" w:line="224"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7.1 Payment Default. </w:t>
      </w:r>
      <w:r>
        <w:rPr>
          <w:rFonts w:ascii="Times New Roman" w:cs="Times New Roman" w:eastAsia="Times New Roman" w:hAnsi="Times New Roman"/>
          <w:sz w:val="17"/>
          <w:szCs w:val="17"/>
          <w:color w:val="auto"/>
        </w:rPr>
        <w:t>Borrower fails to (a) make any payment of principal or interest on any Credit Extension on its due date, or (b) pay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Obligations within three (3) Business Days after such Obligations are due and payable (which three (3) Business Day cure period shall not apply to payments due on the Term Loan Maturity Date), in each unless such late payment is due to Bank’s failure to auto-debit such payment when sufficient funds were contained in the Designated Deposit Account (or if insufficient funds are contained therein, or if an Event of Default has occurred and is continuing, any of Borrower’s other accounts at Bank). During the cure period, the failure to make or pay any payment specified under clause (b) hereunder is not an Event of Default (but no Credit Extension will be made during the cure period);</w:t>
      </w:r>
    </w:p>
    <w:p>
      <w:pPr>
        <w:spacing w:after="0" w:line="16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Covenant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380" w:right="339" w:bottom="1440" w:gutter="0" w:footer="0" w:header="0"/>
        </w:sectPr>
      </w:pPr>
    </w:p>
    <w:bookmarkStart w:id="65" w:name="page66"/>
    <w:bookmarkEnd w:id="65"/>
    <w:p>
      <w:pPr>
        <w:ind w:firstLine="1264"/>
        <w:spacing w:after="0" w:line="297" w:lineRule="auto"/>
        <w:tabs>
          <w:tab w:leader="none" w:pos="188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fails or neglects to perform any obligation in Section 5 (other than Sections 5.2 (Government Compliance), 5.12 (Litigation Cooperation), 5.15 (Inventory; Returns) and 5.16 (Further Assurances)) or violates any covenant in Section 6; or</w:t>
      </w:r>
    </w:p>
    <w:p>
      <w:pPr>
        <w:spacing w:after="0" w:line="145" w:lineRule="exact"/>
        <w:rPr>
          <w:rFonts w:ascii="Times New Roman" w:cs="Times New Roman" w:eastAsia="Times New Roman" w:hAnsi="Times New Roman"/>
          <w:sz w:val="17"/>
          <w:szCs w:val="17"/>
          <w:color w:val="auto"/>
        </w:rPr>
      </w:pPr>
    </w:p>
    <w:p>
      <w:pPr>
        <w:jc w:val="both"/>
        <w:ind w:firstLine="1264"/>
        <w:spacing w:after="0" w:line="263" w:lineRule="auto"/>
        <w:tabs>
          <w:tab w:leader="none" w:pos="188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spacing w:after="0" w:line="173"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 xml:space="preserve">Material Adverse Change. </w:t>
      </w:r>
      <w:r>
        <w:rPr>
          <w:rFonts w:ascii="Times New Roman" w:cs="Times New Roman" w:eastAsia="Times New Roman" w:hAnsi="Times New Roman"/>
          <w:sz w:val="17"/>
          <w:szCs w:val="17"/>
          <w:color w:val="auto"/>
        </w:rPr>
        <w:t>A Material Adverse Change occurs;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Attachment; Levy; Restraint on Business.</w:t>
      </w:r>
    </w:p>
    <w:p>
      <w:pPr>
        <w:spacing w:after="0" w:line="226" w:lineRule="exact"/>
        <w:rPr>
          <w:sz w:val="20"/>
          <w:szCs w:val="20"/>
          <w:color w:val="auto"/>
        </w:rPr>
      </w:pPr>
    </w:p>
    <w:p>
      <w:pPr>
        <w:jc w:val="both"/>
        <w:ind w:firstLine="1264"/>
        <w:spacing w:after="0" w:line="267" w:lineRule="auto"/>
        <w:tabs>
          <w:tab w:leader="none" w:pos="188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service of process seeking to attach, by trustee or similar process, any funds of Borrower or any Subsidiary with a value in excess of Two Hundred Thousand Dollars ($200,000), or (ii) a notice of lien or levy in an amount in excess of Two Hundred Thousand Dollars ($200,000), is filed against any of Borrower’s or any of its Subsidiaries’ assets by any Governmental Authority, and the same under subclauses (i) and (ii) hereof are not, within fifteen (15) days after the occurrence thereof, discharged or stayed (whether through the posting of a bond or otherwise); provided, however, no Credit Extensions shall be made during any fifteen (15) day cure period; or</w:t>
      </w:r>
    </w:p>
    <w:p>
      <w:pPr>
        <w:spacing w:after="0" w:line="171"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material portion of Borrower’s or any of its Subsidiaries’ assets with a value in excess of Two Hundred Thousand Dollars ($200,000), is attached, seized, levied on, or comes into possession of a trustee or receiver, or (ii) any court order enjoins, restrains, or prevents Borrower or any of its Subsidiaries from conducting all or any material part of its business;</w:t>
      </w:r>
    </w:p>
    <w:p>
      <w:pPr>
        <w:spacing w:after="0" w:line="160"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7.5 Insolvency. </w:t>
      </w:r>
      <w:r>
        <w:rPr>
          <w:rFonts w:ascii="Times New Roman" w:cs="Times New Roman" w:eastAsia="Times New Roman" w:hAnsi="Times New Roman"/>
          <w:sz w:val="17"/>
          <w:szCs w:val="17"/>
          <w:color w:val="auto"/>
        </w:rPr>
        <w:t>(a) Borrower or Borrower and of its Subsidiaries (taken as a whole) is unable to pay its debts (including trade debts) as they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due or otherwise becomes 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66"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7.6 Other Agreements. </w:t>
      </w:r>
      <w:r>
        <w:rPr>
          <w:rFonts w:ascii="Times New Roman" w:cs="Times New Roman" w:eastAsia="Times New Roman" w:hAnsi="Times New Roman"/>
          <w:sz w:val="17"/>
          <w:szCs w:val="17"/>
          <w:color w:val="auto"/>
        </w:rPr>
        <w:t>There is, under any agreement to which Borrower, any of Borrower’s Subsidiaries, or any Guarantor is a party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party or parties, (a) any default by Borrower (after applicable grace and/or cure periods) resulting in a right by such third party or parties, whether or not exercised, to accelerate the maturity of any Indebtedness in an amount individually or in the aggregate in excess of Five Hundred Thousand Dollars ($500,000); or (b) any breach or default by Borrower, any of Borrower’s Subsidiaries, or Guarantor the result of which could reasonably be expected to have a material adverse effect on Borrower’s, any of Borrower’s Subsidiaries’, or any Guarantor’s business or operations (taken as a whole)</w:t>
      </w:r>
    </w:p>
    <w:p>
      <w:pPr>
        <w:spacing w:after="0" w:line="167"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7.7 Judgments; Penalties. </w:t>
      </w:r>
      <w:r>
        <w:rPr>
          <w:rFonts w:ascii="Times New Roman" w:cs="Times New Roman" w:eastAsia="Times New Roman" w:hAnsi="Times New Roman"/>
          <w:sz w:val="17"/>
          <w:szCs w:val="17"/>
          <w:color w:val="auto"/>
        </w:rPr>
        <w:t>One or more fines, penalties or final judgments, orders or decrees for the payment of money in an amount,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individually or in the aggregate, of at least Five Hundred Thousand Dollars ($500,000)(not covered by independent third-party insurance as to which liability has been accepted by such insurance carrier) shall be rendered against Borrower or any of its Subsidiaries by any Governmental Authority, and the same are not, within ten (10) days after the entry, assessment or issuance thereof, discharged, satisfied or paid, or after execution thereof, or stayed pending appeal, or such judgments are not discharged, satisfied or paid prior to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380" w:right="339" w:bottom="1440" w:gutter="0" w:footer="0" w:header="0"/>
        </w:sectPr>
      </w:pPr>
    </w:p>
    <w:bookmarkStart w:id="66" w:name="page67"/>
    <w:bookmarkEnd w:id="66"/>
    <w:p>
      <w:pPr>
        <w:jc w:val="both"/>
        <w:spacing w:after="0" w:line="297" w:lineRule="auto"/>
        <w:rPr>
          <w:sz w:val="20"/>
          <w:szCs w:val="20"/>
          <w:color w:val="auto"/>
        </w:rPr>
      </w:pPr>
      <w:r>
        <w:rPr>
          <w:rFonts w:ascii="Times New Roman" w:cs="Times New Roman" w:eastAsia="Times New Roman" w:hAnsi="Times New Roman"/>
          <w:sz w:val="17"/>
          <w:szCs w:val="17"/>
          <w:color w:val="auto"/>
        </w:rPr>
        <w:t>expiration of any such stay (provided that no Credit Extensions will be made prior to the discharge, satisfaction, payment, or stay of such fine, penalty, judgment, order or decree);</w:t>
      </w:r>
    </w:p>
    <w:p>
      <w:pPr>
        <w:spacing w:after="0" w:line="144"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7.8 Misrepresentations. </w:t>
      </w:r>
      <w:r>
        <w:rPr>
          <w:rFonts w:ascii="Times New Roman" w:cs="Times New Roman" w:eastAsia="Times New Roman" w:hAnsi="Times New Roman"/>
          <w:sz w:val="17"/>
          <w:szCs w:val="17"/>
          <w:color w:val="auto"/>
        </w:rPr>
        <w:t>Borrower or any of its Subsidiaries or any Responsible Person acting for Borrower or any of its Subsidiaries knowingly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381"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7.9 Subordinated Debt. </w:t>
      </w:r>
      <w:r>
        <w:rPr>
          <w:rFonts w:ascii="Times New Roman" w:cs="Times New Roman" w:eastAsia="Times New Roman" w:hAnsi="Times New Roman"/>
          <w:sz w:val="17"/>
          <w:szCs w:val="17"/>
          <w:color w:val="auto"/>
        </w:rPr>
        <w:t>If: (a) any document, instrument, or agreement evidencing any Subordinated Debt shall for any reason be revoked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invalidated or otherwise cease to be in full force and effect (other than in accordance with the terms of such document, instrument or agreement)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the applicable subordination or intercreditor agreement;</w:t>
      </w:r>
    </w:p>
    <w:p>
      <w:pPr>
        <w:spacing w:after="0" w:line="16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7.10 Lien Priority</w:t>
      </w:r>
      <w:r>
        <w:rPr>
          <w:rFonts w:ascii="Times New Roman" w:cs="Times New Roman" w:eastAsia="Times New Roman" w:hAnsi="Times New Roman"/>
          <w:sz w:val="17"/>
          <w:szCs w:val="17"/>
          <w:color w:val="auto"/>
        </w:rPr>
        <w:t>. There is a material impairment in the perfection or priority of Bank’s security interest in the Collateral (unless such failure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caused by Bank’s gross negligence or willful misconduct);</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7.11 Guaranty. </w:t>
      </w:r>
      <w:r>
        <w:rPr>
          <w:rFonts w:ascii="Times New Roman" w:cs="Times New Roman" w:eastAsia="Times New Roman" w:hAnsi="Times New Roman"/>
          <w:sz w:val="17"/>
          <w:szCs w:val="17"/>
          <w:color w:val="auto"/>
        </w:rPr>
        <w:t>(a) Any guaranty of any Obligations terminates or ceases for any reason to be in full force and effect (except due to termination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 terms of such guaranty); (b) any Guarantor does not perform any material obligation or covenant under any guaranty of the Obligations; (c) any circumstance described in Sections 7.3, 7.4, 7.5, 7.6, 7.7, or 7.8 of this Agreement occurs with respect to any Guarantor (subject to the applicable cure and grace periods herein), (d) the death, liquidation, winding up, or termination of existence of any Guarantor; or (e)a material impairment in the perfection or priority of Bank’s Lien in the collateral provided by Guarantor or in the value of such collateral ; or</w:t>
      </w:r>
    </w:p>
    <w:p>
      <w:pPr>
        <w:spacing w:after="0" w:line="167"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7.12 Governmental Approvals. </w:t>
      </w:r>
      <w:r>
        <w:rPr>
          <w:rFonts w:ascii="Times New Roman" w:cs="Times New Roman" w:eastAsia="Times New Roman" w:hAnsi="Times New Roman"/>
          <w:sz w:val="17"/>
          <w:szCs w:val="17"/>
          <w:color w:val="auto"/>
        </w:rPr>
        <w:t>Any Governmental Approval shall have been (a) revoked, rescinded, suspended, modified in an adverse manner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w:t>
      </w:r>
    </w:p>
    <w:p>
      <w:pPr>
        <w:spacing w:after="0" w:line="2" w:lineRule="exact"/>
        <w:rPr>
          <w:sz w:val="20"/>
          <w:szCs w:val="20"/>
          <w:color w:val="auto"/>
        </w:rPr>
      </w:pPr>
    </w:p>
    <w:p>
      <w:pPr>
        <w:jc w:val="both"/>
        <w:ind w:firstLine="5"/>
        <w:spacing w:after="0" w:line="261" w:lineRule="auto"/>
        <w:tabs>
          <w:tab w:leader="none" w:pos="25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that is material to the operation of Borrower’s business.</w:t>
      </w:r>
    </w:p>
    <w:p>
      <w:pPr>
        <w:spacing w:after="0" w:line="17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1"/>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BANK’S RIGHTS AND REMEDIES</w:t>
      </w:r>
    </w:p>
    <w:p>
      <w:pPr>
        <w:spacing w:after="0" w:line="224" w:lineRule="exact"/>
        <w:rPr>
          <w:sz w:val="20"/>
          <w:szCs w:val="20"/>
          <w:color w:val="auto"/>
        </w:rPr>
      </w:pPr>
    </w:p>
    <w:p>
      <w:pPr>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8.1 Rights and Remedies. </w:t>
      </w:r>
      <w:r>
        <w:rPr>
          <w:rFonts w:ascii="Times New Roman" w:cs="Times New Roman" w:eastAsia="Times New Roman" w:hAnsi="Times New Roman"/>
          <w:sz w:val="17"/>
          <w:szCs w:val="17"/>
          <w:color w:val="auto"/>
        </w:rPr>
        <w:t>Upon the occurrence and during the continuance of an Event of Default, Bank may, without notice or demand, do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all of the following:</w:t>
      </w:r>
    </w:p>
    <w:p>
      <w:pPr>
        <w:spacing w:after="0" w:line="144" w:lineRule="exact"/>
        <w:rPr>
          <w:sz w:val="20"/>
          <w:szCs w:val="20"/>
          <w:color w:val="auto"/>
        </w:rPr>
      </w:pPr>
    </w:p>
    <w:p>
      <w:pPr>
        <w:ind w:firstLine="1264"/>
        <w:spacing w:after="0" w:line="297" w:lineRule="auto"/>
        <w:tabs>
          <w:tab w:leader="none" w:pos="188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all Obligations immediately due and payable (but if an Event of Default described in Section 7.5 occurs all Obligations are immediately due and payable without any action by Bank);</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advancing money or extending credit for Borrower’s benefit under this Agreement or under any other agreement between</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Bank;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380" w:right="339" w:bottom="1440" w:gutter="0" w:footer="0" w:header="0"/>
        </w:sectPr>
      </w:pPr>
    </w:p>
    <w:bookmarkStart w:id="67" w:name="page68"/>
    <w:bookmarkEnd w:id="67"/>
    <w:p>
      <w:pPr>
        <w:jc w:val="both"/>
        <w:ind w:firstLine="1264"/>
        <w:spacing w:after="0" w:line="265" w:lineRule="auto"/>
        <w:tabs>
          <w:tab w:leader="none" w:pos="188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that Borrower (i) deposit cash with Bank in an amount equal to at least (A) one hundred and five percent (105.0%) of the aggregate face amount of any Letters of Credit denominated in Dollars remaining undrawn, and (B) one hundred and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73"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71"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62"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7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71"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 to the Obligations any (i) balances and deposits of Borrower it holds, or (ii) amount held by Bank owing to or for the credit or</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 of Borrower;</w:t>
      </w:r>
    </w:p>
    <w:p>
      <w:pPr>
        <w:spacing w:after="0" w:line="206"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71" w:lineRule="exact"/>
        <w:rPr>
          <w:rFonts w:ascii="Times New Roman" w:cs="Times New Roman" w:eastAsia="Times New Roman" w:hAnsi="Times New Roman"/>
          <w:sz w:val="17"/>
          <w:szCs w:val="17"/>
          <w:color w:val="auto"/>
        </w:rPr>
      </w:pPr>
    </w:p>
    <w:p>
      <w:pPr>
        <w:ind w:firstLine="1264"/>
        <w:spacing w:after="0" w:line="297" w:lineRule="auto"/>
        <w:tabs>
          <w:tab w:leader="none" w:pos="188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and receive possession of Borrower’s Books; and</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4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8.2 Power of Attorney. </w:t>
      </w:r>
      <w:r>
        <w:rPr>
          <w:rFonts w:ascii="Times New Roman" w:cs="Times New Roman" w:eastAsia="Times New Roman" w:hAnsi="Times New Roman"/>
          <w:sz w:val="17"/>
          <w:szCs w:val="17"/>
          <w:color w:val="auto"/>
        </w:rPr>
        <w:t>Borrower hereby irrevocably appoints Bank as its true and lawful attorney-in-fact, (a) exercisable only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occurrence and during the continuance of an Event of Default, to: (i) endorse Borrower’s name on any checks, payment instruments, or other forms of payment or security; (ii) sign Borrower’s name on any invoice or bill of lading for any Account or drafts against Account Debtors; (iii) demand,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380"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7"/>
          <w:szCs w:val="17"/>
          <w:color w:val="auto"/>
        </w:rPr>
        <w:t>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paid in full in cash,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80"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8.3 Protective Payments. </w:t>
      </w:r>
      <w:r>
        <w:rPr>
          <w:rFonts w:ascii="Times New Roman" w:cs="Times New Roman" w:eastAsia="Times New Roman" w:hAnsi="Times New Roman"/>
          <w:sz w:val="17"/>
          <w:szCs w:val="17"/>
          <w:color w:val="auto"/>
        </w:rPr>
        <w:t>If Borrower fails to obtain the insurance called for by Section 5.8 or fails to pay any premium thereon or fails to pay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69"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8.4 Application of Payments and Proceeds. </w:t>
      </w:r>
      <w:r>
        <w:rPr>
          <w:rFonts w:ascii="Times New Roman" w:cs="Times New Roman" w:eastAsia="Times New Roman" w:hAnsi="Times New Roman"/>
          <w:sz w:val="17"/>
          <w:szCs w:val="17"/>
          <w:color w:val="auto"/>
        </w:rPr>
        <w:t>If an Event of Default has occurred and is continuing, Bank shall have the right to apply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Following the occurrence and during the continuation of an Event of Default,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73"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8.5 Bank’s Liability for Collateral. </w:t>
      </w:r>
      <w:r>
        <w:rPr>
          <w:rFonts w:ascii="Times New Roman" w:cs="Times New Roman" w:eastAsia="Times New Roman" w:hAnsi="Times New Roman"/>
          <w:sz w:val="17"/>
          <w:szCs w:val="17"/>
          <w:color w:val="auto"/>
        </w:rPr>
        <w:t>Bank’s sole duty with respect to the custody, safekeeping and physical preservation of the Collateral in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6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8.6 No Waiver; Remedies Cumulative. </w:t>
      </w:r>
      <w:r>
        <w:rPr>
          <w:rFonts w:ascii="Times New Roman" w:cs="Times New Roman" w:eastAsia="Times New Roman" w:hAnsi="Times New Roman"/>
          <w:sz w:val="17"/>
          <w:szCs w:val="17"/>
          <w:color w:val="auto"/>
        </w:rPr>
        <w:t>Bank’s failure, at any time or times, to require strict performance by Borrower of any provision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3"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8.7 Demand Waiver. </w:t>
      </w:r>
      <w:r>
        <w:rPr>
          <w:rFonts w:ascii="Times New Roman" w:cs="Times New Roman" w:eastAsia="Times New Roman" w:hAnsi="Times New Roman"/>
          <w:sz w:val="17"/>
          <w:szCs w:val="17"/>
          <w:color w:val="auto"/>
        </w:rPr>
        <w:t>Borrower waives demand, notice of default or dishonor, notice of payment and nonpayment, notice of any default,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nonpayment at maturity, release, compromise, settlement, extension, or renewal of accounts, documents, instruments, chattel paper, and guarantees held by Bank on which Borrower is liable.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380" w:right="339" w:bottom="1440" w:gutter="0" w:footer="0" w:header="0"/>
        </w:sectPr>
      </w:pPr>
    </w:p>
    <w:bookmarkStart w:id="69" w:name="page70"/>
    <w:bookmarkEnd w:id="69"/>
    <w:p>
      <w:pPr>
        <w:ind w:left="1260" w:hanging="626"/>
        <w:spacing w:after="0"/>
        <w:tabs>
          <w:tab w:leader="none" w:pos="126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NOTICES</w:t>
      </w:r>
    </w:p>
    <w:p>
      <w:pPr>
        <w:spacing w:after="0" w:line="226"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w:t>
      </w:r>
    </w:p>
    <w:p>
      <w:pPr>
        <w:spacing w:after="0" w:line="2" w:lineRule="exact"/>
        <w:rPr>
          <w:sz w:val="20"/>
          <w:szCs w:val="20"/>
          <w:color w:val="auto"/>
        </w:rPr>
      </w:pPr>
    </w:p>
    <w:p>
      <w:pPr>
        <w:jc w:val="both"/>
        <w:ind w:firstLine="5"/>
        <w:spacing w:after="0" w:line="261" w:lineRule="auto"/>
        <w:tabs>
          <w:tab w:leader="none" w:pos="24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pacing w:after="0" w:line="178" w:lineRule="exact"/>
        <w:rPr>
          <w:sz w:val="20"/>
          <w:szCs w:val="20"/>
          <w:color w:val="auto"/>
        </w:rPr>
      </w:pPr>
    </w:p>
    <w:p>
      <w:pPr>
        <w:ind w:left="1260"/>
        <w:spacing w:after="0"/>
        <w:tabs>
          <w:tab w:leader="none" w:pos="2480" w:val="left"/>
        </w:tabs>
        <w:rPr>
          <w:sz w:val="20"/>
          <w:szCs w:val="20"/>
          <w:color w:val="auto"/>
        </w:rPr>
      </w:pPr>
      <w:r>
        <w:rPr>
          <w:rFonts w:ascii="Times New Roman" w:cs="Times New Roman" w:eastAsia="Times New Roman" w:hAnsi="Times New Roman"/>
          <w:sz w:val="17"/>
          <w:szCs w:val="17"/>
          <w:color w:val="auto"/>
        </w:rPr>
        <w:t>If to Borrower:</w:t>
        <w:tab/>
        <w:t>SI-Bone, Inc.</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471 El Camino Real, Suite 101</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Santa Clara, CA 95050</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Attn: Laura Francis, CEO; and</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Anshul Maheshwari, CFO</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Email: lfrancis@si-bone.com; and</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Anshul.Maheshwari@si-bone.com</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1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Cooley LLP</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3175 Hanover Street</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Palo Alto, CA 94304</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Attn: Matthew Hemington</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Email: mhemington@cooley.com</w:t>
      </w:r>
    </w:p>
    <w:p>
      <w:pPr>
        <w:spacing w:after="0" w:line="232" w:lineRule="exact"/>
        <w:rPr>
          <w:sz w:val="20"/>
          <w:szCs w:val="20"/>
          <w:color w:val="auto"/>
        </w:rPr>
      </w:pPr>
    </w:p>
    <w:p>
      <w:pPr>
        <w:ind w:left="1440" w:right="3960" w:hanging="174"/>
        <w:spacing w:after="0" w:line="268" w:lineRule="auto"/>
        <w:rPr>
          <w:sz w:val="20"/>
          <w:szCs w:val="20"/>
          <w:color w:val="auto"/>
        </w:rPr>
      </w:pPr>
      <w:r>
        <w:rPr>
          <w:rFonts w:ascii="Times New Roman" w:cs="Times New Roman" w:eastAsia="Times New Roman" w:hAnsi="Times New Roman"/>
          <w:sz w:val="17"/>
          <w:szCs w:val="17"/>
          <w:color w:val="auto"/>
        </w:rPr>
        <w:t>If to Bank:</w:t>
      </w:r>
      <w:r>
        <w:rPr>
          <w:sz w:val="20"/>
          <w:szCs w:val="20"/>
          <w:color w:val="auto"/>
        </w:rPr>
        <w:t xml:space="preserve"> </w:t>
      </w:r>
      <w:r>
        <w:rPr>
          <w:rFonts w:ascii="Times New Roman" w:cs="Times New Roman" w:eastAsia="Times New Roman" w:hAnsi="Times New Roman"/>
          <w:sz w:val="17"/>
          <w:szCs w:val="17"/>
          <w:color w:val="auto"/>
        </w:rPr>
        <w:t>Silicon Valley Bank, a division of First-Citizens Bank &amp; Trust Company 505 Howard Street, Floor 3</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San Francisco, CA 94105</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Attn: Mark Davis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Email: mdavis@svb.com</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1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DLA Piper LLP (US)</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4365 Executive Drive Suite 1100</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San Diego California 92121-2133</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Attn: Parker Zangoei, Esq.</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Email: parker.zangoei@us.dlapiper.com</w:t>
      </w:r>
    </w:p>
    <w:p>
      <w:pPr>
        <w:spacing w:after="0" w:line="200" w:lineRule="exact"/>
        <w:rPr>
          <w:sz w:val="20"/>
          <w:szCs w:val="20"/>
          <w:color w:val="auto"/>
        </w:rPr>
      </w:pPr>
    </w:p>
    <w:p>
      <w:pPr>
        <w:spacing w:after="0" w:line="214" w:lineRule="exact"/>
        <w:rPr>
          <w:sz w:val="20"/>
          <w:szCs w:val="20"/>
          <w:color w:val="auto"/>
        </w:rPr>
      </w:pPr>
    </w:p>
    <w:p>
      <w:pPr>
        <w:ind w:left="1260" w:hanging="626"/>
        <w:spacing w:after="0"/>
        <w:tabs>
          <w:tab w:leader="none" w:pos="126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CHOICE OF LAW, VENUE AND JURY TRIAL WAIVER; JUDICIAL REFERENCE</w:t>
      </w:r>
    </w:p>
    <w:p>
      <w:pPr>
        <w:spacing w:after="0" w:line="22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Santa Clara County, California;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1378" w:right="339" w:bottom="1440" w:gutter="0" w:footer="0" w:header="0"/>
        </w:sectPr>
      </w:pPr>
    </w:p>
    <w:bookmarkStart w:id="70" w:name="page71"/>
    <w:bookmarkEnd w:id="70"/>
    <w:p>
      <w:pPr>
        <w:jc w:val="both"/>
        <w:spacing w:after="0" w:line="263" w:lineRule="auto"/>
        <w:rPr>
          <w:sz w:val="20"/>
          <w:szCs w:val="20"/>
          <w:color w:val="auto"/>
        </w:rPr>
      </w:pPr>
      <w:r>
        <w:rPr>
          <w:rFonts w:ascii="Times New Roman" w:cs="Times New Roman" w:eastAsia="Times New Roman" w:hAnsi="Times New Roman"/>
          <w:sz w:val="17"/>
          <w:szCs w:val="17"/>
          <w:color w:val="auto"/>
        </w:rPr>
        <w:t>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three (3) days after deposit in the U.S. mails, proper postage prepaid.</w:t>
      </w:r>
    </w:p>
    <w:p>
      <w:pPr>
        <w:spacing w:after="0" w:line="387"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TO THE FULLEST EXTENT PERMITTED BY APPLICABLE LAW, BORROWER AND BANK EACH WAIVES ITS RIGHT TO A JURY TRIAL OF ANY CLAIM OR CAUSE OF ACTION ARISING OUT OF OR BASED UPON THIS AGREEMENT, THE LOAN DOCUMENTS OR ANY CONTEMPLATED TRANSACTION UNDER THIS AGREEMENT, INCLUDING CONTRACT, TORT, BREACH OF DUTY AND ALL OTHER CLAIMS. THIS WAIVER IS A MATERIAL INDUCEMENT FOR THE PARTIES HERETO TO ENTER INTO THIS AGREEMENT. EACH PARTY HERETO HAS REVIEWED THIS WAIVER WITH ITS COUNSEL.</w:t>
      </w:r>
    </w:p>
    <w:p>
      <w:pPr>
        <w:spacing w:after="0" w:line="169"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Section 10 shall survive the termination of this Agreement and the repayment of all Obligations.</w:t>
      </w:r>
    </w:p>
    <w:p>
      <w:pPr>
        <w:spacing w:after="0" w:line="222" w:lineRule="exact"/>
        <w:rPr>
          <w:sz w:val="20"/>
          <w:szCs w:val="20"/>
          <w:color w:val="auto"/>
        </w:rPr>
      </w:pPr>
    </w:p>
    <w:p>
      <w:pPr>
        <w:ind w:left="1240" w:hanging="606"/>
        <w:spacing w:after="0"/>
        <w:tabs>
          <w:tab w:leader="none" w:pos="12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224"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11.1 Termination Prior to Term Loan Maturity Date; Survival. </w:t>
      </w:r>
      <w:r>
        <w:rPr>
          <w:rFonts w:ascii="Times New Roman" w:cs="Times New Roman" w:eastAsia="Times New Roman" w:hAnsi="Times New Roman"/>
          <w:sz w:val="17"/>
          <w:szCs w:val="17"/>
          <w:color w:val="auto"/>
        </w:rPr>
        <w:t>All covenants, representations and warranties made in this Agreement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3.1 of this Agreement), this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380" w:right="339" w:bottom="1440" w:gutter="0" w:footer="0" w:header="0"/>
        </w:sectPr>
      </w:pPr>
    </w:p>
    <w:bookmarkStart w:id="71" w:name="page72"/>
    <w:bookmarkEnd w:id="71"/>
    <w:p>
      <w:pPr>
        <w:jc w:val="both"/>
        <w:spacing w:after="0" w:line="277" w:lineRule="auto"/>
        <w:rPr>
          <w:sz w:val="20"/>
          <w:szCs w:val="20"/>
          <w:color w:val="auto"/>
        </w:rPr>
      </w:pPr>
      <w:r>
        <w:rPr>
          <w:rFonts w:ascii="Times New Roman" w:cs="Times New Roman" w:eastAsia="Times New Roman" w:hAnsi="Times New Roman"/>
          <w:sz w:val="17"/>
          <w:szCs w:val="17"/>
          <w:color w:val="auto"/>
        </w:rPr>
        <w:t>Agreement may be terminated prior to the Term Loan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6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11.2 Successors and Assigns. </w:t>
      </w:r>
      <w:r>
        <w:rPr>
          <w:rFonts w:ascii="Times New Roman" w:cs="Times New Roman" w:eastAsia="Times New Roman" w:hAnsi="Times New Roman"/>
          <w:sz w:val="17"/>
          <w:szCs w:val="17"/>
          <w:color w:val="auto"/>
        </w:rPr>
        <w:t>This Agreement binds and is for the benefit of the successors and permitted assigns of each party. Borrower may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or anything to the contrary herein, so long as no Event of Default shall have occurred and is continuing, Bank shall not assign its interest in the Loan Documents to any Person who is (a) a competitor of Borrower, whether as an operating company or direct or indirect parent with voting control over such operating company, or (b) a vulture fund or distressed debt fund.</w:t>
      </w:r>
    </w:p>
    <w:p>
      <w:pPr>
        <w:spacing w:after="0" w:line="173"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226" w:lineRule="exact"/>
        <w:rPr>
          <w:sz w:val="20"/>
          <w:szCs w:val="20"/>
          <w:color w:val="auto"/>
        </w:rPr>
      </w:pPr>
    </w:p>
    <w:p>
      <w:pPr>
        <w:jc w:val="both"/>
        <w:ind w:firstLine="1264"/>
        <w:spacing w:after="0" w:line="261" w:lineRule="auto"/>
        <w:tabs>
          <w:tab w:leader="none" w:pos="188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Indemnification</w:t>
      </w:r>
      <w:r>
        <w:rPr>
          <w:rFonts w:ascii="Times New Roman" w:cs="Times New Roman" w:eastAsia="Times New Roman" w:hAnsi="Times New Roman"/>
          <w:sz w:val="17"/>
          <w:szCs w:val="17"/>
          <w:color w:val="auto"/>
        </w:rPr>
        <w:t>. Borrower shall indemnify, defend and hold Bank and its Affiliates and the partners, directors, officers, employees, agents, trustees, administrators, managers, advisors and representatives of Bank and its Affiliates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harmless against: all losses, claims, damages, liabilities and related expenses (including Bank Expenses and the reasonable fees, charges and disbursements of any counsel for any Indemnified Person)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386" w:lineRule="exact"/>
        <w:rPr>
          <w:rFonts w:ascii="Times New Roman" w:cs="Times New Roman" w:eastAsia="Times New Roman" w:hAnsi="Times New Roman"/>
          <w:sz w:val="17"/>
          <w:szCs w:val="17"/>
          <w:color w:val="auto"/>
        </w:rPr>
      </w:pPr>
    </w:p>
    <w:p>
      <w:pPr>
        <w:jc w:val="both"/>
        <w:ind w:firstLine="1264"/>
        <w:spacing w:after="0" w:line="264" w:lineRule="auto"/>
        <w:tabs>
          <w:tab w:leader="none" w:pos="188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Consequential Damages, Etc.</w:t>
      </w:r>
      <w:r>
        <w:rPr>
          <w:rFonts w:ascii="Times New Roman" w:cs="Times New Roman" w:eastAsia="Times New Roman" w:hAnsi="Times New Roman"/>
          <w:sz w:val="17"/>
          <w:szCs w:val="17"/>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388"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44"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 xml:space="preserve">Time of Essence. </w:t>
      </w:r>
      <w:r>
        <w:rPr>
          <w:rFonts w:ascii="Times New Roman" w:cs="Times New Roman" w:eastAsia="Times New Roman" w:hAnsi="Times New Roman"/>
          <w:sz w:val="17"/>
          <w:szCs w:val="17"/>
          <w:color w:val="auto"/>
        </w:rPr>
        <w:t>Time is of the essence for the performance of all Obligations in this Agreement.</w:t>
      </w:r>
    </w:p>
    <w:p>
      <w:pPr>
        <w:spacing w:after="0" w:line="224" w:lineRule="exact"/>
        <w:rPr>
          <w:sz w:val="20"/>
          <w:szCs w:val="20"/>
          <w:color w:val="auto"/>
        </w:rPr>
      </w:pPr>
    </w:p>
    <w:p>
      <w:pPr>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11.5 Severability of Provisions. </w:t>
      </w:r>
      <w:r>
        <w:rPr>
          <w:rFonts w:ascii="Times New Roman" w:cs="Times New Roman" w:eastAsia="Times New Roman" w:hAnsi="Times New Roman"/>
          <w:sz w:val="17"/>
          <w:szCs w:val="17"/>
          <w:color w:val="auto"/>
        </w:rPr>
        <w:t>Each provision of this Agreement is severable from every other provision in determining the enforceability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380" w:right="339" w:bottom="1440" w:gutter="0" w:footer="0" w:header="0"/>
        </w:sectPr>
      </w:pPr>
    </w:p>
    <w:bookmarkStart w:id="72" w:name="page73"/>
    <w:bookmarkEnd w:id="72"/>
    <w:p>
      <w:pPr>
        <w:jc w:val="both"/>
        <w:ind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11.6 Amendments in Writing; Waiver; Integration. </w:t>
      </w:r>
      <w:r>
        <w:rPr>
          <w:rFonts w:ascii="Times New Roman" w:cs="Times New Roman" w:eastAsia="Times New Roman" w:hAnsi="Times New Roman"/>
          <w:sz w:val="17"/>
          <w:szCs w:val="17"/>
          <w:color w:val="auto"/>
        </w:rPr>
        <w:t>No purported amendment or modification of any Loan Document, or waiver, discharge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termination of any obligation under any Loan 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75"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11.7 Counterparts. </w:t>
      </w:r>
      <w:r>
        <w:rPr>
          <w:rFonts w:ascii="Times New Roman" w:cs="Times New Roman" w:eastAsia="Times New Roman" w:hAnsi="Times New Roman"/>
          <w:sz w:val="17"/>
          <w:szCs w:val="17"/>
          <w:color w:val="auto"/>
        </w:rPr>
        <w:t>This Agreement may be executed in any number of counterparts and by different parties on separate counterparts, each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60"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11.8 Confidentiality. </w:t>
      </w:r>
      <w:r>
        <w:rPr>
          <w:rFonts w:ascii="Times New Roman" w:cs="Times New Roman" w:eastAsia="Times New Roman" w:hAnsi="Times New Roman"/>
          <w:sz w:val="17"/>
          <w:szCs w:val="17"/>
          <w:color w:val="auto"/>
        </w:rPr>
        <w:t>Bank agrees to maintain the confidentiality of Information (as defined below), except that Information may be disclosed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Bank’s Subsidiaries and Affiliates and their respective employees, directors, agents, attorneys, accountants and other professional advisors (collectively,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and, together with Bank, collectively, “</w:t>
      </w:r>
      <w:r>
        <w:rPr>
          <w:rFonts w:ascii="Times New Roman" w:cs="Times New Roman" w:eastAsia="Times New Roman" w:hAnsi="Times New Roman"/>
          <w:sz w:val="17"/>
          <w:szCs w:val="17"/>
          <w:b w:val="1"/>
          <w:bCs w:val="1"/>
          <w:color w:val="auto"/>
        </w:rPr>
        <w:t>Bank Entities</w:t>
      </w:r>
      <w:r>
        <w:rPr>
          <w:rFonts w:ascii="Times New Roman" w:cs="Times New Roman" w:eastAsia="Times New Roman" w:hAnsi="Times New Roman"/>
          <w:sz w:val="17"/>
          <w:szCs w:val="17"/>
          <w:color w:val="auto"/>
        </w:rPr>
        <w:t>”), provided that such Bank Entities are subject to the same confidentiality provisions herein; (b) to prospective transferees, assignees, credit providers or purchasers of Bank’s interests under or in connection with this Agreement and their Representatives (provided, however, Bank shall use obtain any such prospective transferee’s, assignee’s, credit provider’s, purchaser’s or their Representatives’ agreement to the terms of this provision or substantially similar terms);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means all information received from Borrower and its agents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74"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11.9 Electronic Execution of Documents. </w:t>
      </w:r>
      <w:r>
        <w:rPr>
          <w:rFonts w:ascii="Times New Roman" w:cs="Times New Roman" w:eastAsia="Times New Roman" w:hAnsi="Times New Roman"/>
          <w:sz w:val="17"/>
          <w:szCs w:val="17"/>
          <w:color w:val="auto"/>
        </w:rPr>
        <w:t>The words “execution,” “signed,” “signature” and words of like import in any Loan Document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11.10 Right of Setoff. </w:t>
      </w:r>
      <w:r>
        <w:rPr>
          <w:rFonts w:ascii="Times New Roman" w:cs="Times New Roman" w:eastAsia="Times New Roman" w:hAnsi="Times New Roman"/>
          <w:sz w:val="17"/>
          <w:szCs w:val="17"/>
          <w:color w:val="auto"/>
        </w:rPr>
        <w:t>Borrower hereby grants to Bank a Lien and a right of setoff as security for all Obligations to Bank, whether now existing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378" w:right="339" w:bottom="1440" w:gutter="0" w:footer="0" w:header="0"/>
        </w:sectPr>
      </w:pPr>
    </w:p>
    <w:bookmarkStart w:id="73" w:name="page74"/>
    <w:bookmarkEnd w:id="73"/>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11.11 Captions and Section References. </w:t>
      </w:r>
      <w:r>
        <w:rPr>
          <w:rFonts w:ascii="Times New Roman" w:cs="Times New Roman" w:eastAsia="Times New Roman" w:hAnsi="Times New Roman"/>
          <w:sz w:val="17"/>
          <w:szCs w:val="17"/>
          <w:color w:val="auto"/>
        </w:rPr>
        <w:t>The headings used in this Agreement are for convenience only and shall not affect the interpretation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Unless indicated otherwise, section references herein are to sections of this Agreement.</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11.12 Construction of Agreement. </w:t>
      </w:r>
      <w:r>
        <w:rPr>
          <w:rFonts w:ascii="Times New Roman" w:cs="Times New Roman" w:eastAsia="Times New Roman" w:hAnsi="Times New Roman"/>
          <w:sz w:val="17"/>
          <w:szCs w:val="17"/>
          <w:color w:val="auto"/>
        </w:rPr>
        <w:t>The parties hereto mutually acknowledge that they and their attorneys have participated in the preparation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negotiation of this Agreement. In cases of uncertainty this Agreement shall be construed without regard to which of the parties caused the uncertainty to exist.</w:t>
      </w:r>
    </w:p>
    <w:p>
      <w:pPr>
        <w:spacing w:after="0" w:line="142" w:lineRule="exact"/>
        <w:rPr>
          <w:sz w:val="20"/>
          <w:szCs w:val="20"/>
          <w:color w:val="auto"/>
        </w:rPr>
      </w:pPr>
    </w:p>
    <w:p>
      <w:pPr>
        <w:jc w:val="both"/>
        <w:ind w:firstLine="6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11.13 Relationship. </w:t>
      </w:r>
      <w:r>
        <w:rPr>
          <w:rFonts w:ascii="Times New Roman" w:cs="Times New Roman" w:eastAsia="Times New Roman" w:hAnsi="Times New Roman"/>
          <w:sz w:val="17"/>
          <w:szCs w:val="17"/>
          <w:color w:val="auto"/>
        </w:rPr>
        <w:t>The relationship of the parties to this Agreement is determined solely by the provisions of this Agreement. The parties do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 to create any agency, partnership, joint venture, trust, fiduciary or other relationship with duties or incidents different from those of parties to an arm’s-length contract.</w:t>
      </w:r>
    </w:p>
    <w:p>
      <w:pPr>
        <w:spacing w:after="0" w:line="365"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11.14 Third Parties. </w:t>
      </w:r>
      <w:r>
        <w:rPr>
          <w:rFonts w:ascii="Times New Roman" w:cs="Times New Roman" w:eastAsia="Times New Roman" w:hAnsi="Times New Roman"/>
          <w:sz w:val="17"/>
          <w:szCs w:val="17"/>
          <w:color w:val="auto"/>
        </w:rPr>
        <w:t>Nothing in this Agreement, whether express or implied, is intended to: (a) confer any benefits, rights or remedies under or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66"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11.15 Anti-Terrorism Law. </w:t>
      </w:r>
      <w:r>
        <w:rPr>
          <w:rFonts w:ascii="Times New Roman" w:cs="Times New Roman" w:eastAsia="Times New Roman" w:hAnsi="Times New Roman"/>
          <w:sz w:val="17"/>
          <w:szCs w:val="17"/>
          <w:color w:val="auto"/>
        </w:rPr>
        <w:t>Bank hereby notifies Borrower that, pursuant to the requirements of Anti-Terrorism Law, Bank may be required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66" w:lineRule="exact"/>
        <w:rPr>
          <w:sz w:val="20"/>
          <w:szCs w:val="20"/>
          <w:color w:val="auto"/>
        </w:rPr>
      </w:pPr>
    </w:p>
    <w:p>
      <w:pPr>
        <w:ind w:left="640" w:right="5800" w:hanging="6"/>
        <w:spacing w:after="0" w:line="516" w:lineRule="auto"/>
        <w:tabs>
          <w:tab w:leader="none" w:pos="1265"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ACCOUNTING TERMS AND OTHER DEFINITIONS </w:t>
      </w:r>
      <w:r>
        <w:rPr>
          <w:rFonts w:ascii="Times New Roman" w:cs="Times New Roman" w:eastAsia="Times New Roman" w:hAnsi="Times New Roman"/>
          <w:sz w:val="17"/>
          <w:szCs w:val="17"/>
          <w:b w:val="1"/>
          <w:bCs w:val="1"/>
          <w:color w:val="auto"/>
        </w:rPr>
        <w:t>12.1 Accounting and Other Terms.</w:t>
      </w:r>
    </w:p>
    <w:p>
      <w:pPr>
        <w:jc w:val="both"/>
        <w:ind w:firstLine="1264"/>
        <w:spacing w:after="0" w:line="263" w:lineRule="auto"/>
        <w:tabs>
          <w:tab w:leader="none" w:pos="1885"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terms not defined in this Agreement shall be construed following GAAP, except for non-compliance with FAS 123R with respect to monthly financial statements. Calculations and determinations must be made following GAAP (except for (a) non-compliance with FAS 123R with respect to monthly financial statement),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4"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70"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12.2 Definitions. </w:t>
      </w:r>
      <w:r>
        <w:rPr>
          <w:rFonts w:ascii="Times New Roman" w:cs="Times New Roman" w:eastAsia="Times New Roman" w:hAnsi="Times New Roman"/>
          <w:sz w:val="17"/>
          <w:szCs w:val="17"/>
          <w:color w:val="auto"/>
        </w:rPr>
        <w:t>Capitalized terms not otherwise defined in this Agreement shall have the meanings set forth in this Section 12.2. All other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contained in this Agreement, unless otherwise indicated, shall have the meaning provided by the Code to the extent such terms are defined therein. As used in this Agreement, the following capitalized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378" w:right="339" w:bottom="1440" w:gutter="0" w:footer="0" w:header="0"/>
        </w:sectPr>
      </w:pPr>
    </w:p>
    <w:bookmarkStart w:id="74" w:name="page75"/>
    <w:bookmarkEnd w:id="74"/>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w:t>
      </w:r>
      <w:r>
        <w:rPr>
          <w:rFonts w:ascii="Times New Roman" w:cs="Times New Roman" w:eastAsia="Times New Roman" w:hAnsi="Times New Roman"/>
          <w:sz w:val="17"/>
          <w:szCs w:val="17"/>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 Debtor</w:t>
      </w:r>
      <w:r>
        <w:rPr>
          <w:rFonts w:ascii="Times New Roman" w:cs="Times New Roman" w:eastAsia="Times New Roman" w:hAnsi="Times New Roman"/>
          <w:sz w:val="17"/>
          <w:szCs w:val="17"/>
          <w:color w:val="auto"/>
        </w:rPr>
        <w:t>” is any “account debtor” as defined in the Code with such additions to such term as may hereafter be made.</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7"/>
          <w:szCs w:val="17"/>
          <w:color w:val="auto"/>
        </w:rPr>
        <w:t xml:space="preserve">” shall mean, for Borrower and its Subsidiaries, with respect to any period, the sum of (a) Net Income,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to the extent deducted or added to the calculation of Net Income, (i) Interest income, Interest Expenses, (ii) depreciation expense and amortization expense, (iii) income tax expense, (iv) non-cash stock compensation, and (v) any other one-time restructuring or non-cash charges.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is an individual that is named:</w:t>
      </w:r>
    </w:p>
    <w:p>
      <w:pPr>
        <w:spacing w:after="0" w:line="226" w:lineRule="exact"/>
        <w:rPr>
          <w:sz w:val="20"/>
          <w:szCs w:val="20"/>
          <w:color w:val="auto"/>
        </w:rPr>
      </w:pPr>
    </w:p>
    <w:p>
      <w:pPr>
        <w:ind w:left="640" w:firstLine="624"/>
        <w:spacing w:after="0" w:line="297" w:lineRule="auto"/>
        <w:tabs>
          <w:tab w:leader="none" w:pos="18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“Administrator” in the “SVB Online Services” form completed by Borrower with the authority to determine who will be authorized to use SVB Online Services (as defined in Bank’s Online Banking Agreement as in effect from time to time) on behalf of Borrower; and</w:t>
      </w:r>
    </w:p>
    <w:p>
      <w:pPr>
        <w:spacing w:after="0" w:line="145" w:lineRule="exact"/>
        <w:rPr>
          <w:rFonts w:ascii="Times New Roman" w:cs="Times New Roman" w:eastAsia="Times New Roman" w:hAnsi="Times New Roman"/>
          <w:sz w:val="17"/>
          <w:szCs w:val="17"/>
          <w:color w:val="auto"/>
        </w:rPr>
      </w:pPr>
    </w:p>
    <w:p>
      <w:pPr>
        <w:ind w:left="1680" w:hanging="416"/>
        <w:spacing w:after="0"/>
        <w:tabs>
          <w:tab w:leader="none" w:pos="1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Authorized Signer of Borrower in an approval by the Board.</w:t>
      </w:r>
    </w:p>
    <w:p>
      <w:pPr>
        <w:spacing w:after="0" w:line="222"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defined in the preamble hereof.</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Anti-Terrorism Law</w:t>
      </w:r>
      <w:r>
        <w:rPr>
          <w:rFonts w:ascii="Times New Roman" w:cs="Times New Roman" w:eastAsia="Times New Roman" w:hAnsi="Times New Roman"/>
          <w:sz w:val="17"/>
          <w:szCs w:val="17"/>
          <w:color w:val="auto"/>
        </w:rPr>
        <w:t>” means any law relating to terrorism or money-laundering, including Executive Order No. 13224 and the USA Patriot Act.</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Authorized Signer</w:t>
      </w:r>
      <w:r>
        <w:rPr>
          <w:rFonts w:ascii="Times New Roman" w:cs="Times New Roman" w:eastAsia="Times New Roman" w:hAnsi="Times New Roman"/>
          <w:sz w:val="17"/>
          <w:szCs w:val="17"/>
          <w:color w:val="auto"/>
        </w:rPr>
        <w:t>” means any individual listed in Borrower’s Borrowing Resolution who is authorized to execute the Loan Documents, including making (and executing if applicable) any Credit Extension request, on behalf of Borrower.</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is defined in the preamble hereof.</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Entities</w:t>
      </w:r>
      <w:r>
        <w:rPr>
          <w:rFonts w:ascii="Times New Roman" w:cs="Times New Roman" w:eastAsia="Times New Roman" w:hAnsi="Times New Roman"/>
          <w:sz w:val="17"/>
          <w:szCs w:val="17"/>
          <w:color w:val="auto"/>
        </w:rPr>
        <w:t>” is defined in Section 11.8.</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Expenses</w:t>
      </w:r>
      <w:r>
        <w:rPr>
          <w:rFonts w:ascii="Times New Roman" w:cs="Times New Roman" w:eastAsia="Times New Roman" w:hAnsi="Times New Roman"/>
          <w:sz w:val="17"/>
          <w:szCs w:val="17"/>
          <w:color w:val="auto"/>
        </w:rPr>
        <w:t>” are all reasonable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60"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Services</w:t>
      </w:r>
      <w:r>
        <w:rPr>
          <w:rFonts w:ascii="Times New Roman" w:cs="Times New Roman" w:eastAsia="Times New Roman" w:hAnsi="Times New Roman"/>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7"/>
          <w:szCs w:val="17"/>
          <w:b w:val="1"/>
          <w:bCs w:val="1"/>
          <w:color w:val="auto"/>
        </w:rPr>
        <w:t>Bank Services Agreement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378" w:right="33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Services Agreement</w:t>
      </w:r>
      <w:r>
        <w:rPr>
          <w:rFonts w:ascii="Times New Roman" w:cs="Times New Roman" w:eastAsia="Times New Roman" w:hAnsi="Times New Roman"/>
          <w:sz w:val="17"/>
          <w:szCs w:val="17"/>
          <w:color w:val="auto"/>
        </w:rPr>
        <w:t>” is defined in the definition of Bank Services.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is Borrower’s board of directors or equivalent governing body.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Borrower’s Books</w:t>
      </w:r>
      <w:r>
        <w:rPr>
          <w:rFonts w:ascii="Times New Roman" w:cs="Times New Roman" w:eastAsia="Times New Roman" w:hAnsi="Times New Roman"/>
          <w:sz w:val="17"/>
          <w:szCs w:val="17"/>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4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Borrowing Resolutions</w:t>
      </w:r>
      <w:r>
        <w:rPr>
          <w:rFonts w:ascii="Times New Roman" w:cs="Times New Roman" w:eastAsia="Times New Roman" w:hAnsi="Times New Roman"/>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applicable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8"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is a day other than a Saturday, Sunday or other day on which commercial banks in the State of California are authorized or required by law to close, except that if any determination of a “Business Day” shall relate to an FX Contract, the term “Business Day” shall be a FX Business Day.</w:t>
      </w:r>
    </w:p>
    <w:p>
      <w:pPr>
        <w:spacing w:after="0" w:line="14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Equivalents</w:t>
      </w:r>
      <w:r>
        <w:rPr>
          <w:rFonts w:ascii="Times New Roman" w:cs="Times New Roman" w:eastAsia="Times New Roman" w:hAnsi="Times New Roman"/>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(d) long-term securities having a rating minimum of A-/A3 from either Standard &amp; Poor’s Ratings Group or Moody’s Investors Service, Inc.; and (e) money market funds at least ninety-five percent (95.0%) of the assets of which constitute Cash Equivalents of the kinds described in clauses (a) through (d) of this definition.</w:t>
      </w:r>
    </w:p>
    <w:p>
      <w:pPr>
        <w:spacing w:after="0" w:line="169"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stock, partnership, membership, or other ownership interest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378" w:right="339" w:bottom="1440" w:gutter="0" w:footer="0" w:header="0"/>
        </w:sectPr>
      </w:pPr>
    </w:p>
    <w:bookmarkStart w:id="76" w:name="page77"/>
    <w:bookmarkEnd w:id="76"/>
    <w:p>
      <w:pPr>
        <w:jc w:val="both"/>
        <w:spacing w:after="0" w:line="297" w:lineRule="auto"/>
        <w:rPr>
          <w:sz w:val="20"/>
          <w:szCs w:val="20"/>
          <w:color w:val="auto"/>
        </w:rPr>
      </w:pPr>
      <w:r>
        <w:rPr>
          <w:rFonts w:ascii="Times New Roman" w:cs="Times New Roman" w:eastAsia="Times New Roman" w:hAnsi="Times New Roman"/>
          <w:sz w:val="17"/>
          <w:szCs w:val="17"/>
          <w:color w:val="auto"/>
        </w:rPr>
        <w:t>securities of each Subsidiary of Borrower free and clear of all Liens (except Permitted Liens and except dissolutions or transfers permitted pursuant to Sections 6.2 and 6.3 of this Agreement).</w:t>
      </w:r>
    </w:p>
    <w:p>
      <w:pPr>
        <w:spacing w:after="0" w:line="144"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Law</w:t>
      </w:r>
      <w:r>
        <w:rPr>
          <w:rFonts w:ascii="Times New Roman" w:cs="Times New Roman" w:eastAsia="Times New Roman" w:hAnsi="Times New Roman"/>
          <w:sz w:val="17"/>
          <w:szCs w:val="17"/>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is defined in Section 11.3.</w:t>
      </w:r>
    </w:p>
    <w:p>
      <w:pPr>
        <w:spacing w:after="0" w:line="22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3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consists of all of Borrower’s right, title and interest in and to the following personal property:</w:t>
      </w:r>
    </w:p>
    <w:p>
      <w:pPr>
        <w:spacing w:after="0" w:line="226" w:lineRule="exact"/>
        <w:rPr>
          <w:sz w:val="20"/>
          <w:szCs w:val="20"/>
          <w:color w:val="auto"/>
        </w:rPr>
      </w:pPr>
    </w:p>
    <w:p>
      <w:pPr>
        <w:jc w:val="both"/>
        <w:ind w:firstLine="1264"/>
        <w:spacing w:after="0" w:line="264" w:lineRule="auto"/>
        <w:tabs>
          <w:tab w:leader="none" w:pos="188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73"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Collateral does not include any of the following (now existing or hereafter arising, owned or</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created):</w:t>
      </w:r>
    </w:p>
    <w:p>
      <w:pPr>
        <w:spacing w:after="0" w:line="206" w:lineRule="exact"/>
        <w:rPr>
          <w:rFonts w:ascii="Times New Roman" w:cs="Times New Roman" w:eastAsia="Times New Roman" w:hAnsi="Times New Roman"/>
          <w:sz w:val="17"/>
          <w:szCs w:val="17"/>
          <w:color w:val="auto"/>
        </w:rPr>
      </w:pPr>
    </w:p>
    <w:p>
      <w:pPr>
        <w:jc w:val="both"/>
        <w:ind w:left="1260" w:firstLine="633"/>
        <w:spacing w:after="0" w:line="267" w:lineRule="auto"/>
        <w:tabs>
          <w:tab w:leader="none" w:pos="2253"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and</w:t>
      </w:r>
    </w:p>
    <w:p>
      <w:pPr>
        <w:spacing w:after="0" w:line="171" w:lineRule="exact"/>
        <w:rPr>
          <w:rFonts w:ascii="Times New Roman" w:cs="Times New Roman" w:eastAsia="Times New Roman" w:hAnsi="Times New Roman"/>
          <w:sz w:val="17"/>
          <w:szCs w:val="17"/>
          <w:color w:val="auto"/>
        </w:rPr>
      </w:pPr>
    </w:p>
    <w:p>
      <w:pPr>
        <w:jc w:val="both"/>
        <w:ind w:left="1260" w:firstLine="633"/>
        <w:spacing w:after="0" w:line="277" w:lineRule="auto"/>
        <w:tabs>
          <w:tab w:leader="none" w:pos="2326"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380" w:right="339" w:bottom="1440" w:gutter="0" w:footer="0" w:header="0"/>
        </w:sectPr>
      </w:pPr>
    </w:p>
    <w:bookmarkStart w:id="77" w:name="page78"/>
    <w:bookmarkEnd w:id="77"/>
    <w:p>
      <w:pPr>
        <w:ind w:left="1260"/>
        <w:spacing w:after="0" w:line="297" w:lineRule="auto"/>
        <w:rPr>
          <w:sz w:val="20"/>
          <w:szCs w:val="20"/>
          <w:color w:val="auto"/>
        </w:rPr>
      </w:pPr>
      <w:r>
        <w:rPr>
          <w:rFonts w:ascii="Times New Roman" w:cs="Times New Roman" w:eastAsia="Times New Roman" w:hAnsi="Times New Roman"/>
          <w:sz w:val="17"/>
          <w:szCs w:val="17"/>
          <w:color w:val="auto"/>
        </w:rPr>
        <w:t>laws including, without limitation, the Code); provided, however, that upon termination of such prohibition, such interest shall immediately become Collateral without any action by Borrower or Bank.</w:t>
      </w:r>
    </w:p>
    <w:p>
      <w:pPr>
        <w:spacing w:after="0" w:line="146" w:lineRule="exact"/>
        <w:rPr>
          <w:sz w:val="20"/>
          <w:szCs w:val="20"/>
          <w:color w:val="auto"/>
        </w:rPr>
      </w:pPr>
    </w:p>
    <w:p>
      <w:pPr>
        <w:ind w:firstLine="1264"/>
        <w:spacing w:after="0" w:line="297" w:lineRule="auto"/>
        <w:tabs>
          <w:tab w:leader="none" w:pos="188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a certain negative pledge arrangement with Bank, Borrower has agreed not to encumber any of its Intellectual Property in contravention of the terms of such pledge agreement without Bank’s prior written consent.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 Account</w:t>
      </w:r>
      <w:r>
        <w:rPr>
          <w:rFonts w:ascii="Times New Roman" w:cs="Times New Roman" w:eastAsia="Times New Roman" w:hAnsi="Times New Roman"/>
          <w:sz w:val="17"/>
          <w:szCs w:val="17"/>
          <w:color w:val="auto"/>
        </w:rPr>
        <w:t>” is any Deposit Account, Securities Account, or Commodity Account.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Commodity Account</w:t>
      </w:r>
      <w:r>
        <w:rPr>
          <w:rFonts w:ascii="Times New Roman" w:cs="Times New Roman" w:eastAsia="Times New Roman" w:hAnsi="Times New Roman"/>
          <w:sz w:val="17"/>
          <w:szCs w:val="17"/>
          <w:color w:val="auto"/>
        </w:rPr>
        <w:t>” is any “commodity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Compliance Statement</w:t>
      </w:r>
      <w:r>
        <w:rPr>
          <w:rFonts w:ascii="Times New Roman" w:cs="Times New Roman" w:eastAsia="Times New Roman" w:hAnsi="Times New Roman"/>
          <w:sz w:val="17"/>
          <w:szCs w:val="17"/>
          <w:color w:val="auto"/>
        </w:rPr>
        <w:t>” is that certain statement in the form attached hereto as Exhibit A.</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Connection Income Taxes</w:t>
      </w:r>
      <w:r>
        <w:rPr>
          <w:rFonts w:ascii="Times New Roman" w:cs="Times New Roman" w:eastAsia="Times New Roman" w:hAnsi="Times New Roman"/>
          <w:sz w:val="17"/>
          <w:szCs w:val="17"/>
          <w:color w:val="auto"/>
        </w:rPr>
        <w:t>” means Other Connection Taxes that are imposed on or measured by net income (however denominated) or that are franchise Taxes or branch profits Taxes.</w:t>
      </w:r>
    </w:p>
    <w:p>
      <w:pPr>
        <w:spacing w:after="0" w:line="14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Contingent Obligation</w:t>
      </w:r>
      <w:r>
        <w:rPr>
          <w:rFonts w:ascii="Times New Roman" w:cs="Times New Roman" w:eastAsia="Times New Roman" w:hAnsi="Times New Roman"/>
          <w:sz w:val="17"/>
          <w:szCs w:val="17"/>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or any Permitted Call Spread Agreement(s).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1"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 Agreement</w:t>
      </w:r>
      <w:r>
        <w:rPr>
          <w:rFonts w:ascii="Times New Roman" w:cs="Times New Roman" w:eastAsia="Times New Roman" w:hAnsi="Times New Roman"/>
          <w:sz w:val="17"/>
          <w:szCs w:val="17"/>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60"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Copyrights</w:t>
      </w:r>
      <w:r>
        <w:rPr>
          <w:rFonts w:ascii="Times New Roman" w:cs="Times New Roman" w:eastAsia="Times New Roman" w:hAnsi="Times New Roman"/>
          <w:sz w:val="17"/>
          <w:szCs w:val="17"/>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Credit Extension</w:t>
      </w:r>
      <w:r>
        <w:rPr>
          <w:rFonts w:ascii="Times New Roman" w:cs="Times New Roman" w:eastAsia="Times New Roman" w:hAnsi="Times New Roman"/>
          <w:sz w:val="17"/>
          <w:szCs w:val="17"/>
          <w:color w:val="auto"/>
        </w:rPr>
        <w:t>” is any Letter of Credit, FX Contract, amount utilized for cash management services, Term Loan Advance, or any other extension of credit under the Loan Documents by Bank for Borrower’s benefit.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Currency</w:t>
      </w:r>
      <w:r>
        <w:rPr>
          <w:rFonts w:ascii="Times New Roman" w:cs="Times New Roman" w:eastAsia="Times New Roman" w:hAnsi="Times New Roman"/>
          <w:sz w:val="17"/>
          <w:szCs w:val="17"/>
          <w:color w:val="auto"/>
        </w:rPr>
        <w:t>” is coined money and such other banknotes or other paper money as are authorized by law and circulate as a medium of exchange.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w:t>
      </w:r>
      <w:r>
        <w:rPr>
          <w:rFonts w:ascii="Times New Roman" w:cs="Times New Roman" w:eastAsia="Times New Roman" w:hAnsi="Times New Roman"/>
          <w:sz w:val="17"/>
          <w:szCs w:val="17"/>
          <w:color w:val="auto"/>
        </w:rPr>
        <w:t>” means any event which with notice or passage of time or both, would constitute an Event of Default.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 Rate</w:t>
      </w:r>
      <w:r>
        <w:rPr>
          <w:rFonts w:ascii="Times New Roman" w:cs="Times New Roman" w:eastAsia="Times New Roman" w:hAnsi="Times New Roman"/>
          <w:sz w:val="17"/>
          <w:szCs w:val="17"/>
          <w:color w:val="auto"/>
        </w:rPr>
        <w:t>” is defined in Section 1.2(c).</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Deposit Account</w:t>
      </w:r>
      <w:r>
        <w:rPr>
          <w:rFonts w:ascii="Times New Roman" w:cs="Times New Roman" w:eastAsia="Times New Roman" w:hAnsi="Times New Roman"/>
          <w:sz w:val="17"/>
          <w:szCs w:val="17"/>
          <w:color w:val="auto"/>
        </w:rPr>
        <w:t>” is any “</w:t>
      </w:r>
      <w:r>
        <w:rPr>
          <w:rFonts w:ascii="Times New Roman" w:cs="Times New Roman" w:eastAsia="Times New Roman" w:hAnsi="Times New Roman"/>
          <w:sz w:val="17"/>
          <w:szCs w:val="17"/>
          <w:b w:val="1"/>
          <w:bCs w:val="1"/>
          <w:color w:val="auto"/>
        </w:rPr>
        <w:t>deposit account</w:t>
      </w:r>
      <w:r>
        <w:rPr>
          <w:rFonts w:ascii="Times New Roman" w:cs="Times New Roman" w:eastAsia="Times New Roman" w:hAnsi="Times New Roman"/>
          <w:sz w:val="17"/>
          <w:szCs w:val="17"/>
          <w:color w:val="auto"/>
        </w:rPr>
        <w:t>” as defined in the Code with such additions to such term as may hereafter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380" w:right="339" w:bottom="1440" w:gutter="0" w:footer="0" w:header="0"/>
        </w:sectPr>
      </w:pPr>
    </w:p>
    <w:bookmarkStart w:id="78" w:name="page79"/>
    <w:bookmarkEnd w:id="78"/>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Designated Deposit Account</w:t>
      </w:r>
      <w:r>
        <w:rPr>
          <w:rFonts w:ascii="Times New Roman" w:cs="Times New Roman" w:eastAsia="Times New Roman" w:hAnsi="Times New Roman"/>
          <w:sz w:val="17"/>
          <w:szCs w:val="17"/>
          <w:color w:val="auto"/>
        </w:rPr>
        <w:t>” is the deposit account with account number xxx-xxxx-9905, established by Borrower with Bank for purposes of receiving Credit Extensions.</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Division</w:t>
      </w:r>
      <w:r>
        <w:rPr>
          <w:rFonts w:ascii="Times New Roman" w:cs="Times New Roman" w:eastAsia="Times New Roman" w:hAnsi="Times New Roman"/>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67"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 Equivalent</w:t>
      </w:r>
      <w:r>
        <w:rPr>
          <w:rFonts w:ascii="Times New Roman" w:cs="Times New Roman" w:eastAsia="Times New Roman" w:hAnsi="Times New Roman"/>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60"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dollars</w:t>
      </w:r>
      <w:r>
        <w:rPr>
          <w:rFonts w:ascii="Times New Roman" w:cs="Times New Roman" w:eastAsia="Times New Roman" w:hAnsi="Times New Roman"/>
          <w:sz w:val="17"/>
          <w:szCs w:val="17"/>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60"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Equipment</w:t>
      </w:r>
      <w:r>
        <w:rPr>
          <w:rFonts w:ascii="Times New Roman" w:cs="Times New Roman" w:eastAsia="Times New Roman" w:hAnsi="Times New Roman"/>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is the Employee Retirement Income Security Act of 1974, as amended, and its regulations.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is defined in Section 7.</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is the Securities Exchange Act of 1934, as amended.</w:t>
      </w:r>
    </w:p>
    <w:p>
      <w:pPr>
        <w:spacing w:after="0" w:line="22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and/or any reporting and delivery requirements, and (d) any withholding Taxes imposed under FATCA.</w:t>
      </w:r>
    </w:p>
    <w:p>
      <w:pPr>
        <w:spacing w:after="0" w:line="38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378" w:right="339" w:bottom="1440" w:gutter="0" w:footer="0" w:header="0"/>
        </w:sectPr>
      </w:pPr>
    </w:p>
    <w:bookmarkStart w:id="79" w:name="page80"/>
    <w:bookmarkEnd w:id="79"/>
    <w:p>
      <w:pPr>
        <w:jc w:val="both"/>
        <w:spacing w:after="0" w:line="297" w:lineRule="auto"/>
        <w:rPr>
          <w:sz w:val="20"/>
          <w:szCs w:val="20"/>
          <w:color w:val="auto"/>
        </w:rPr>
      </w:pPr>
      <w:r>
        <w:rPr>
          <w:rFonts w:ascii="Times New Roman" w:cs="Times New Roman" w:eastAsia="Times New Roman" w:hAnsi="Times New Roman"/>
          <w:sz w:val="17"/>
          <w:szCs w:val="17"/>
          <w:color w:val="auto"/>
        </w:rPr>
        <w:t>practices adopted pursuant to any intergovernmental agreement, treaty or convention among Governmental Authorities and implementing such Sections of the Internal Revenue Code.</w:t>
      </w:r>
    </w:p>
    <w:p>
      <w:pPr>
        <w:spacing w:after="0" w:line="14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Statement Repository</w:t>
      </w:r>
      <w:r>
        <w:rPr>
          <w:rFonts w:ascii="Times New Roman" w:cs="Times New Roman" w:eastAsia="Times New Roman" w:hAnsi="Times New Roman"/>
          <w:sz w:val="17"/>
          <w:szCs w:val="17"/>
          <w:color w:val="auto"/>
        </w:rPr>
        <w:t>” is L43f1c@svb.com or such other means of collecting information approved and designated by Bank after providing notice thereof to Borrower from time to time.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Amendment Effective Date</w:t>
      </w:r>
      <w:r>
        <w:rPr>
          <w:rFonts w:ascii="Times New Roman" w:cs="Times New Roman" w:eastAsia="Times New Roman" w:hAnsi="Times New Roman"/>
          <w:sz w:val="17"/>
          <w:szCs w:val="17"/>
          <w:color w:val="auto"/>
        </w:rPr>
        <w:t>” means January 6, 2023.</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Foreign Currency</w:t>
      </w:r>
      <w:r>
        <w:rPr>
          <w:rFonts w:ascii="Times New Roman" w:cs="Times New Roman" w:eastAsia="Times New Roman" w:hAnsi="Times New Roman"/>
          <w:sz w:val="17"/>
          <w:szCs w:val="17"/>
          <w:color w:val="auto"/>
        </w:rPr>
        <w:t>” is the lawful money of a country other than the United States.</w:t>
      </w:r>
    </w:p>
    <w:p>
      <w:pPr>
        <w:spacing w:after="0" w:line="224" w:lineRule="exact"/>
        <w:rPr>
          <w:sz w:val="20"/>
          <w:szCs w:val="20"/>
          <w:color w:val="auto"/>
        </w:rPr>
      </w:pPr>
    </w:p>
    <w:p>
      <w:pPr>
        <w:ind w:right="500"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Foreign Subsidiary</w:t>
      </w:r>
      <w:r>
        <w:rPr>
          <w:rFonts w:ascii="Times New Roman" w:cs="Times New Roman" w:eastAsia="Times New Roman" w:hAnsi="Times New Roman"/>
          <w:sz w:val="17"/>
          <w:szCs w:val="17"/>
          <w:color w:val="auto"/>
        </w:rPr>
        <w:t>” is a Subsidiary that is not an entity organized under the laws of the United States or any territory thereof or the District of Columbia.</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Funding Date</w:t>
      </w:r>
      <w:r>
        <w:rPr>
          <w:rFonts w:ascii="Times New Roman" w:cs="Times New Roman" w:eastAsia="Times New Roman" w:hAnsi="Times New Roman"/>
          <w:sz w:val="17"/>
          <w:szCs w:val="17"/>
          <w:color w:val="auto"/>
        </w:rPr>
        <w:t>” is any date on which a Credit Extension is made to or for the account of Borrower which shall be a Business Day.</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FX Business Day</w:t>
      </w:r>
      <w:r>
        <w:rPr>
          <w:rFonts w:ascii="Times New Roman" w:cs="Times New Roman" w:eastAsia="Times New Roman" w:hAnsi="Times New Roman"/>
          <w:sz w:val="17"/>
          <w:szCs w:val="17"/>
          <w:color w:val="auto"/>
        </w:rPr>
        <w:t>” is any day when (a) Bank’s Foreign Exchange Department is conducting its normal business and (b) the Foreign Currency being purchased or sold by Borrower is available to Bank from the entity from which Bank shall buy or sell such Foreign Currency.</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FX Contract</w:t>
      </w:r>
      <w:r>
        <w:rPr>
          <w:rFonts w:ascii="Times New Roman" w:cs="Times New Roman" w:eastAsia="Times New Roman" w:hAnsi="Times New Roman"/>
          <w:sz w:val="17"/>
          <w:szCs w:val="17"/>
          <w:color w:val="auto"/>
        </w:rPr>
        <w:t>” is any foreign exchange contract by and between Borrower and Bank under which Borrower commits to purchase from or sell to Bank a specific amount of Foreign Currency at a set price or on a specified date.</w:t>
      </w:r>
    </w:p>
    <w:p>
      <w:pPr>
        <w:spacing w:after="0" w:line="142"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(except for with respect to unaudited financial statements for the absence of footnotes and subject to year-end audit adjustments).</w:t>
      </w:r>
    </w:p>
    <w:p>
      <w:pPr>
        <w:spacing w:after="0" w:line="166" w:lineRule="exact"/>
        <w:rPr>
          <w:sz w:val="20"/>
          <w:szCs w:val="20"/>
          <w:color w:val="auto"/>
        </w:rPr>
      </w:pPr>
    </w:p>
    <w:p>
      <w:pPr>
        <w:jc w:val="both"/>
        <w:ind w:firstLine="62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General Intangibles</w:t>
      </w:r>
      <w:r>
        <w:rPr>
          <w:rFonts w:ascii="Times New Roman" w:cs="Times New Roman" w:eastAsia="Times New Roman" w:hAnsi="Times New Roman"/>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Faith Deposit</w:t>
      </w:r>
      <w:r>
        <w:rPr>
          <w:rFonts w:ascii="Times New Roman" w:cs="Times New Roman" w:eastAsia="Times New Roman" w:hAnsi="Times New Roman"/>
          <w:sz w:val="17"/>
          <w:szCs w:val="17"/>
          <w:color w:val="auto"/>
        </w:rPr>
        <w:t>” is defined in Section 1.3.</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Approval</w:t>
      </w:r>
      <w:r>
        <w:rPr>
          <w:rFonts w:ascii="Times New Roman" w:cs="Times New Roman" w:eastAsia="Times New Roman" w:hAnsi="Times New Roman"/>
          <w:sz w:val="17"/>
          <w:szCs w:val="17"/>
          <w:color w:val="auto"/>
        </w:rPr>
        <w:t>” is any consent, authorization, approval, order, license, franchise, permit, certificate, accreditation, registration, filing or notice, of, issued by, from or to, or other act by or in respect of, any Governmental Authority.</w:t>
      </w:r>
    </w:p>
    <w:p>
      <w:pPr>
        <w:spacing w:after="0" w:line="142"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is any Person providing a Guaranty in favor of Bank with respect to the Obligations.</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Guaranty</w:t>
      </w:r>
      <w:r>
        <w:rPr>
          <w:rFonts w:ascii="Times New Roman" w:cs="Times New Roman" w:eastAsia="Times New Roman" w:hAnsi="Times New Roman"/>
          <w:sz w:val="17"/>
          <w:szCs w:val="17"/>
          <w:color w:val="auto"/>
        </w:rPr>
        <w:t>” is any guarantee of all or any part of the Obligations, as the same may from time to time be amended, restated, modified or otherwise supplemented.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380" w:right="339" w:bottom="1440" w:gutter="0" w:footer="0" w:header="0"/>
        </w:sectPr>
      </w:pPr>
    </w:p>
    <w:bookmarkStart w:id="80" w:name="page81"/>
    <w:bookmarkEnd w:id="80"/>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 provided, however, that in no event shall obligations under any Permitted Call Spread Agreement constitute Indebtedness.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is defined in Section 11.3.</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is defined in Section 11.8.</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Insolvency Proceeding</w:t>
      </w:r>
      <w:r>
        <w:rPr>
          <w:rFonts w:ascii="Times New Roman" w:cs="Times New Roman" w:eastAsia="Times New Roman" w:hAnsi="Times New Roman"/>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60"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with respect to any Person, all of such Person’s right, title, and interest in and to the following, whether now owned or hereafter acquired or created:</w:t>
      </w:r>
    </w:p>
    <w:p>
      <w:pPr>
        <w:spacing w:after="0" w:line="144" w:lineRule="exact"/>
        <w:rPr>
          <w:sz w:val="20"/>
          <w:szCs w:val="20"/>
          <w:color w:val="auto"/>
        </w:rPr>
      </w:pPr>
    </w:p>
    <w:p>
      <w:pPr>
        <w:ind w:left="1900" w:hanging="636"/>
        <w:spacing w:after="0"/>
        <w:tabs>
          <w:tab w:leader="none" w:pos="1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Copyrights, Trademarks and Patents;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trade secrets and trade secret rights, including, without limitation, any rights to unpatented inventions, know-how and</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manuals;</w:t>
      </w:r>
    </w:p>
    <w:p>
      <w:pPr>
        <w:spacing w:after="0" w:line="206"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any and all source code;</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design rights which may be available to such Person;</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amendments, renewals and extensions of any of the Copyrights, Trademarks or Patents.</w:t>
      </w:r>
    </w:p>
    <w:p>
      <w:pPr>
        <w:spacing w:after="0" w:line="22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and its Subsidiaries,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67"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Internal Revenue Code</w:t>
      </w:r>
      <w:r>
        <w:rPr>
          <w:rFonts w:ascii="Times New Roman" w:cs="Times New Roman" w:eastAsia="Times New Roman" w:hAnsi="Times New Roman"/>
          <w:sz w:val="17"/>
          <w:szCs w:val="17"/>
          <w:color w:val="auto"/>
        </w:rPr>
        <w:t>” means the U.S. Internal Revenue Code of 1986, and the rules and regulations promulgated thereunder, each as amended or modified from time to time.</w:t>
      </w:r>
    </w:p>
    <w:p>
      <w:pPr>
        <w:spacing w:after="0" w:line="142"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Inventory</w:t>
      </w:r>
      <w:r>
        <w:rPr>
          <w:rFonts w:ascii="Times New Roman" w:cs="Times New Roman" w:eastAsia="Times New Roman" w:hAnsi="Times New Roman"/>
          <w:sz w:val="17"/>
          <w:szCs w:val="17"/>
          <w:color w:val="auto"/>
        </w:rPr>
        <w:t>” is all “</w:t>
      </w:r>
      <w:r>
        <w:rPr>
          <w:rFonts w:ascii="Times New Roman" w:cs="Times New Roman" w:eastAsia="Times New Roman" w:hAnsi="Times New Roman"/>
          <w:sz w:val="17"/>
          <w:szCs w:val="17"/>
          <w:b w:val="1"/>
          <w:bCs w:val="1"/>
          <w:color w:val="auto"/>
        </w:rPr>
        <w:t>inventory</w:t>
      </w:r>
      <w:r>
        <w:rPr>
          <w:rFonts w:ascii="Times New Roman" w:cs="Times New Roman" w:eastAsia="Times New Roman" w:hAnsi="Times New Roman"/>
          <w:sz w:val="17"/>
          <w:szCs w:val="17"/>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378" w:right="339" w:bottom="1440" w:gutter="0" w:footer="0" w:header="0"/>
        </w:sectPr>
      </w:pPr>
    </w:p>
    <w:bookmarkStart w:id="81" w:name="page82"/>
    <w:bookmarkEnd w:id="81"/>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w:t>
      </w:r>
      <w:r>
        <w:rPr>
          <w:rFonts w:ascii="Times New Roman" w:cs="Times New Roman" w:eastAsia="Times New Roman" w:hAnsi="Times New Roman"/>
          <w:sz w:val="17"/>
          <w:szCs w:val="17"/>
          <w:color w:val="auto"/>
        </w:rPr>
        <w:t>” is any beneficial ownership interest in any Person (including stock, partnership, membership, or other ownership interest or other equity securities), and any loan, advance or capital contribution to any Person.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Key Person</w:t>
      </w:r>
      <w:r>
        <w:rPr>
          <w:rFonts w:ascii="Times New Roman" w:cs="Times New Roman" w:eastAsia="Times New Roman" w:hAnsi="Times New Roman"/>
          <w:sz w:val="17"/>
          <w:szCs w:val="17"/>
          <w:color w:val="auto"/>
        </w:rPr>
        <w:t>” is each of Borrower’s (i) Chief Executive Officer, and (ii) Chief Financial Officer, as of the Effective Date.</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w:t>
      </w:r>
      <w:r>
        <w:rPr>
          <w:rFonts w:ascii="Times New Roman" w:cs="Times New Roman" w:eastAsia="Times New Roman" w:hAnsi="Times New Roman"/>
          <w:sz w:val="17"/>
          <w:szCs w:val="17"/>
          <w:color w:val="auto"/>
        </w:rPr>
        <w:t>” is a standby or commercial letter of credit issued by Bank upon request of Borrower based upon an application, guarantee, indemnity, or similar agreement.</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w:t>
      </w:r>
      <w:r>
        <w:rPr>
          <w:rFonts w:ascii="Times New Roman" w:cs="Times New Roman" w:eastAsia="Times New Roman" w:hAnsi="Times New Roman"/>
          <w:sz w:val="17"/>
          <w:szCs w:val="17"/>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 are, collectively, this Agreement and any schedules, exhibits, certificates, notices, and any other documents related to this Agreement, the Perfection Certificate, the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spacing w:after="0" w:line="167"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Change</w:t>
      </w:r>
      <w:r>
        <w:rPr>
          <w:rFonts w:ascii="Times New Roman" w:cs="Times New Roman" w:eastAsia="Times New Roman" w:hAnsi="Times New Roman"/>
          <w:sz w:val="17"/>
          <w:szCs w:val="17"/>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 when such Obligations are due.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Minimum Banking Requirements</w:t>
      </w:r>
      <w:r>
        <w:rPr>
          <w:rFonts w:ascii="Times New Roman" w:cs="Times New Roman" w:eastAsia="Times New Roman" w:hAnsi="Times New Roman"/>
          <w:sz w:val="17"/>
          <w:szCs w:val="17"/>
          <w:color w:val="auto"/>
        </w:rPr>
        <w:t>” is defined in Section 5.9(a).</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17"/>
          <w:szCs w:val="17"/>
          <w:color w:val="auto"/>
        </w:rPr>
        <w:t>” means, as calculated on a consolidated basis for Borrower and its Subsidiaries for any period as at any date of determination, the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profit (or loss), after provision for taxes, of Borrower and its Subsidiaries for such period taken as a single accounting period.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Revenue</w:t>
      </w:r>
      <w:r>
        <w:rPr>
          <w:rFonts w:ascii="Times New Roman" w:cs="Times New Roman" w:eastAsia="Times New Roman" w:hAnsi="Times New Roman"/>
          <w:sz w:val="17"/>
          <w:szCs w:val="17"/>
          <w:color w:val="auto"/>
        </w:rPr>
        <w:t>” means, for any period as of any date of determination, Borrower’s net revenue calculated in accordance with GAAP.</w:t>
      </w:r>
    </w:p>
    <w:p>
      <w:pPr>
        <w:spacing w:after="0" w:line="224"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are Borrower’s obligations to pay when due any debts, principal, interest, fees, Bank Expenses, the Prepayment Fee (if applicable), the Final Payment (if applicable), and other amounts Borrower owes Bank now or later, whether under this Agreement, or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 (but in all cases excluding any equity interests of Bank and/or its Affiliates in Borrower).</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is the Office of Foreign Assets Control of the United States Department of the Treasury and any successor thereto.</w:t>
      </w:r>
    </w:p>
    <w:p>
      <w:pPr>
        <w:spacing w:after="0" w:line="224"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Operating Documents</w:t>
      </w:r>
      <w:r>
        <w:rPr>
          <w:rFonts w:ascii="Times New Roman" w:cs="Times New Roman" w:eastAsia="Times New Roman" w:hAnsi="Times New Roman"/>
          <w:sz w:val="17"/>
          <w:szCs w:val="17"/>
          <w:color w:val="auto"/>
        </w:rPr>
        <w:t>” are, for any Person, such Person’s formation documents, as certified by the Secretary of State (or equivalent agency) of such Person’s jurisdiction of organization on a date that is no earlier than thirty (30) days prior to the Third Amendment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167"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Connection Taxes</w:t>
      </w:r>
      <w:r>
        <w:rPr>
          <w:rFonts w:ascii="Times New Roman" w:cs="Times New Roman" w:eastAsia="Times New Roman" w:hAnsi="Times New Roman"/>
          <w:sz w:val="17"/>
          <w:szCs w:val="17"/>
          <w:color w:val="auto"/>
        </w:rPr>
        <w:t>” means, with respect to Bank, Taxes imposed as a result of a present or former connection between Bank and the jurisdiction imposing such Tax (other than connections arising from Bank having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378" w:right="339" w:bottom="1440" w:gutter="0" w:footer="0" w:header="0"/>
        </w:sectPr>
      </w:pPr>
    </w:p>
    <w:bookmarkStart w:id="82" w:name="page83"/>
    <w:bookmarkEnd w:id="82"/>
    <w:p>
      <w:pPr>
        <w:jc w:val="both"/>
        <w:spacing w:after="0" w:line="297" w:lineRule="auto"/>
        <w:rPr>
          <w:sz w:val="20"/>
          <w:szCs w:val="20"/>
          <w:color w:val="auto"/>
        </w:rPr>
      </w:pPr>
      <w:r>
        <w:rPr>
          <w:rFonts w:ascii="Times New Roman" w:cs="Times New Roman" w:eastAsia="Times New Roman" w:hAnsi="Times New Roman"/>
          <w:sz w:val="17"/>
          <w:szCs w:val="17"/>
          <w:color w:val="auto"/>
        </w:rPr>
        <w:t>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4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Taxes</w:t>
      </w:r>
      <w:r>
        <w:rPr>
          <w:rFonts w:ascii="Times New Roman" w:cs="Times New Roman" w:eastAsia="Times New Roman" w:hAnsi="Times New Roman"/>
          <w:sz w:val="17"/>
          <w:szCs w:val="17"/>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60"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Patents</w:t>
      </w:r>
      <w:r>
        <w:rPr>
          <w:rFonts w:ascii="Times New Roman" w:cs="Times New Roman" w:eastAsia="Times New Roman" w:hAnsi="Times New Roman"/>
          <w:sz w:val="17"/>
          <w:szCs w:val="17"/>
          <w:color w:val="auto"/>
        </w:rPr>
        <w:t>” means all patents, patent applications and like protections including without limitation improvements, divisions, continuations, renewals, reissues, extensions and continuations-in-part of the same.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Payment/Advance Form</w:t>
      </w:r>
      <w:r>
        <w:rPr>
          <w:rFonts w:ascii="Times New Roman" w:cs="Times New Roman" w:eastAsia="Times New Roman" w:hAnsi="Times New Roman"/>
          <w:sz w:val="17"/>
          <w:szCs w:val="17"/>
          <w:color w:val="auto"/>
        </w:rPr>
        <w:t>” is that certain form in the form attached hereto as Exhibit B.</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 Date</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Perfection Certificate</w:t>
      </w:r>
      <w:r>
        <w:rPr>
          <w:rFonts w:ascii="Times New Roman" w:cs="Times New Roman" w:eastAsia="Times New Roman" w:hAnsi="Times New Roman"/>
          <w:sz w:val="17"/>
          <w:szCs w:val="17"/>
          <w:color w:val="auto"/>
        </w:rPr>
        <w:t>” is the updated Perfection Certificate delivered by Borrower on or around the Third Amendment Effective Date in connection with this Agreement.</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Milestone</w:t>
      </w:r>
      <w:r>
        <w:rPr>
          <w:rFonts w:ascii="Times New Roman" w:cs="Times New Roman" w:eastAsia="Times New Roman" w:hAnsi="Times New Roman"/>
          <w:sz w:val="17"/>
          <w:szCs w:val="17"/>
          <w:color w:val="auto"/>
        </w:rPr>
        <w:t>” means Borrower’s delivery to Bank of evidence reasonably satisfactory to Bank in its commercially reasonable discretion, confirming that Borrower has achieved Adjusted EBITDA of at least [***] Dollars for the trailing six (6) month period ending on June 30, 2027.</w:t>
      </w:r>
    </w:p>
    <w:p>
      <w:pPr>
        <w:spacing w:after="0" w:line="14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“Permitted Acquisition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Permitted Acquisitions</w:t>
      </w:r>
      <w:r>
        <w:rPr>
          <w:rFonts w:ascii="Times New Roman" w:cs="Times New Roman" w:eastAsia="Times New Roman" w:hAnsi="Times New Roman"/>
          <w:sz w:val="17"/>
          <w:szCs w:val="17"/>
          <w:color w:val="auto"/>
        </w:rPr>
        <w:t>” means an acquisition by Borrower or any Subsidiary of any Intellectual Property or all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substantially all of the assets of, all of the ownership interests in, or a business line, product line (including rights in respect of any medical device) or unit or division of another Person (including any foreign corporations) for cash consideration (including any purchase price adjustments, indemnity payments and earn-out obligations in connection therewith) up to Ten Million Dollars ($10,000,000) in any fiscal year (or such greater amount as may be agreed with the prior written consent of Bank);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each such acquisition, each of the following conditions shall have been satisfied (or waived by Bank, acting in its commercially reasonable discretion):</w:t>
      </w:r>
    </w:p>
    <w:p>
      <w:pPr>
        <w:spacing w:after="0" w:line="197" w:lineRule="exact"/>
        <w:rPr>
          <w:sz w:val="20"/>
          <w:szCs w:val="20"/>
          <w:color w:val="auto"/>
        </w:rPr>
      </w:pPr>
    </w:p>
    <w:p>
      <w:pPr>
        <w:jc w:val="both"/>
        <w:ind w:firstLine="1264"/>
        <w:spacing w:after="0" w:line="289" w:lineRule="auto"/>
        <w:tabs>
          <w:tab w:leader="none" w:pos="188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shall have occurred and be continuing or would result from the consummation of the proposed acquisition and Bank has received evidence that Borrower is in compliance with all terms and conditions of this Agreement on a pro forma basis after giving effect to such acquisition,</w:t>
      </w:r>
    </w:p>
    <w:p>
      <w:pPr>
        <w:spacing w:after="0" w:line="368"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acquired Person or assets shall be in a similar line of business as is conducted by Borrower as of the Effective Date (or a line of business reasonably related thereto),</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shall not cause the focus or locations of Borrower’s and its Subsidiaries’ operations (when taken as a whole) to be located outside of the United States,</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shall not constitute a hostile acquisition,</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acquired as a result of such acquisition shall become a secured Guarantor (or co-borrower) subject to the terms herein, within fifteen (15) Business Days of the consummation of such acquisition,</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7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such acquisition, neither Borrower nor any of its subsidiaries (including for this purpose, the target of the acquisition) shall acquire or be subject to any Indebtedness or Liens that are not otherwise permitted hereunder;</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provide Bank with written notice of the proposed acquisition at least five (5) Business Days prior to the anticipated signing, commitment, or closing date of the proposed acquisition, whichever occurs first;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380" w:right="339" w:bottom="1440" w:gutter="0" w:footer="0" w:header="0"/>
        </w:sectPr>
      </w:pPr>
    </w:p>
    <w:bookmarkStart w:id="83" w:name="page84"/>
    <w:bookmarkEnd w:id="83"/>
    <w:p>
      <w:pPr>
        <w:ind w:firstLine="1264"/>
        <w:spacing w:after="0" w:line="297" w:lineRule="auto"/>
        <w:tabs>
          <w:tab w:leader="none" w:pos="188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provide to the Bank not later than five (5) Business Days after the execution thereof, a copy of the executed purchase agreement or similar agreement with respect to any such acquisition;</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has been approved by the board of directors (or other equivalent legally governing body) of the Person to be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w:t>
      </w:r>
    </w:p>
    <w:p>
      <w:pPr>
        <w:spacing w:after="0" w:line="206"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or assets to be acquired in such acquisition shall not be subject to any Lien other (x) the first priority Liens granted in favor of Bank and (y) Permitted Liens;</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transactions related to such acquisition shall be consummated in all material respects in accordance with applicable law; and</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provide to the Bank as soon as available but in any event not later than five (5) Business Days after the execution thereof, a copy of the executed purchase agreement or similar agreement with respect to any such acquisition.</w:t>
      </w:r>
    </w:p>
    <w:p>
      <w:pPr>
        <w:spacing w:after="0" w:line="14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Borrower shall provide to the Bank as soon as available but in any event not later than five (5) Business Days after the execution thereof a certificate of a Responsible Officer of Borrower, in form and substance reasonably satisfactory to Bank, certifying that all of the requirements set forth in this definition have been satisfied or will be satisfied on or prior to the consummation of such acquisition. Notwithstanding the foregoing and for the avoidance of doubt, in no event shall Borrower or any of its Subsidiaries assume any liabilities with respect to any acquisition, including without limitation, any Permitted Indebtedness, in excess of Fifteen Million Dollars ($15,000,000) in aggregate outstanding at any time for such Permitted Acquisitions.</w:t>
      </w:r>
    </w:p>
    <w:p>
      <w:pPr>
        <w:spacing w:after="0" w:line="19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Call Spread Agreements</w:t>
      </w:r>
      <w:r>
        <w:rPr>
          <w:rFonts w:ascii="Times New Roman" w:cs="Times New Roman" w:eastAsia="Times New Roman" w:hAnsi="Times New Roman"/>
          <w:sz w:val="17"/>
          <w:szCs w:val="17"/>
          <w:color w:val="auto"/>
        </w:rPr>
        <w:t>” 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entered into by the Borrower in connection with the issuance of Permitted Convertible Debt (such transaction, a “</w:t>
      </w:r>
      <w:r>
        <w:rPr>
          <w:rFonts w:ascii="Times New Roman" w:cs="Times New Roman" w:eastAsia="Times New Roman" w:hAnsi="Times New Roman"/>
          <w:sz w:val="17"/>
          <w:szCs w:val="17"/>
          <w:b w:val="1"/>
          <w:bCs w:val="1"/>
          <w:color w:val="auto"/>
        </w:rPr>
        <w:t>Bond Hedge Transaction</w:t>
      </w:r>
      <w:r>
        <w:rPr>
          <w:rFonts w:ascii="Times New Roman" w:cs="Times New Roman" w:eastAsia="Times New Roman" w:hAnsi="Times New Roman"/>
          <w:sz w:val="17"/>
          <w:szCs w:val="17"/>
          <w:color w:val="auto"/>
        </w:rPr>
        <w:t>”) and (b) any issued warrants to acquire common stock of the Borrower (or other securities or property following a merger event or other change of the common stock of the Borrower) (whether such warrant is settled in shares, cash or a combination thereof) issued by the Borrower in connection with the issuance of Permitted Convertible Debt and sold by Borrower substantially concurrently with any purchase by Borrower of a Bond Hedge Transaction and settled in (such transaction, a “</w:t>
      </w:r>
      <w:r>
        <w:rPr>
          <w:rFonts w:ascii="Times New Roman" w:cs="Times New Roman" w:eastAsia="Times New Roman" w:hAnsi="Times New Roman"/>
          <w:sz w:val="17"/>
          <w:szCs w:val="17"/>
          <w:b w:val="1"/>
          <w:bCs w:val="1"/>
          <w:color w:val="auto"/>
        </w:rPr>
        <w:t>Warrant Transaction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terms, conditions and covenants of each such call option transaction are customary for agreements of such type, as determined by the Board (or a committee thereof) in good faith, (ii) the purchase price for such Bond Hedge Transaction, less the proceeds received by the Borrower from the sale of any related Warrant Transaction, does not exceed the net proceeds received by the Borrower from the issuance of the related Permitted Convertible Indebtedness at the time of such purchase, and (iii) in the case of clause (b) above, such warrants would be classified as an equity instrument in accordance with GAAP.</w:t>
      </w:r>
    </w:p>
    <w:p>
      <w:pPr>
        <w:spacing w:after="0" w:line="203" w:lineRule="exact"/>
        <w:rPr>
          <w:sz w:val="20"/>
          <w:szCs w:val="20"/>
          <w:color w:val="auto"/>
        </w:rPr>
      </w:pPr>
    </w:p>
    <w:p>
      <w:pPr>
        <w:jc w:val="both"/>
        <w:ind w:right="160" w:firstLine="62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Convertible Debt</w:t>
      </w:r>
      <w:r>
        <w:rPr>
          <w:rFonts w:ascii="Times New Roman" w:cs="Times New Roman" w:eastAsia="Times New Roman" w:hAnsi="Times New Roman"/>
          <w:sz w:val="17"/>
          <w:szCs w:val="17"/>
          <w:color w:val="auto"/>
        </w:rPr>
        <w:t xml:space="preserve">” means any unsecured notes issued by the Borrower that are convertible into a fixed number (subject to customary anti-dilution adjustments, “make-whole” increases and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Indebtedness must satisfy each of the following conditions: (i) both immediately prior to and after giving effect (including pro forma effect) to the issuance thereof, no Default or Event of Default shall exist or result therefrom, (ii) such Indebtedness matures after, and does not require any scheduled amortization or other scheduled or otherwise required payments of principal prior to, or have a scheduled maturity date earlier than, the date that is ninety one (91) calendar days after the Term Loan Maturity Date and prior to that date, does not provide for or require any payments of principal or any other payments with the exception of semi-annual interest payments, obligations to settle conversions, redemption rights (which, for the avoidance of doubt,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380" w:right="339" w:bottom="1440" w:gutter="0" w:footer="0" w:header="0"/>
        </w:sectPr>
      </w:pPr>
    </w:p>
    <w:bookmarkStart w:id="84" w:name="page85"/>
    <w:bookmarkEnd w:id="84"/>
    <w:p>
      <w:pPr>
        <w:jc w:val="both"/>
        <w:ind w:right="160"/>
        <w:spacing w:after="0" w:line="261" w:lineRule="auto"/>
        <w:rPr>
          <w:sz w:val="20"/>
          <w:szCs w:val="20"/>
          <w:color w:val="auto"/>
        </w:rPr>
      </w:pPr>
      <w:r>
        <w:rPr>
          <w:rFonts w:ascii="Times New Roman" w:cs="Times New Roman" w:eastAsia="Times New Roman" w:hAnsi="Times New Roman"/>
          <w:sz w:val="17"/>
          <w:szCs w:val="17"/>
          <w:color w:val="auto"/>
        </w:rPr>
        <w:t>will be subject to Section 6.7) and customary obligations to offer to repurchase the notes upon the occurrence of a “fundamental change”,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 w:cs="Times New Roman" w:eastAsia="Times New Roman" w:hAnsi="Times New Roman"/>
          <w:sz w:val="17"/>
          <w:szCs w:val="17"/>
          <w:b w:val="1"/>
          <w:bCs w:val="1"/>
          <w:color w:val="auto"/>
        </w:rPr>
        <w:t>Cross-Default Reference Obligation</w:t>
      </w:r>
      <w:r>
        <w:rPr>
          <w:rFonts w:ascii="Times New Roman" w:cs="Times New Roman" w:eastAsia="Times New Roman" w:hAnsi="Times New Roman"/>
          <w:sz w:val="17"/>
          <w:szCs w:val="17"/>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(other than pricing terms determined through a customary marketing process) of such Indebtedness must be customary for convertible Indebtedness of such type at the time of issuance (as determined by the Board, or a committee thereof, in good faith) and, (v) such Indebtedness is not guaranteed by any Subsidiary of the Borrower unless the Obligations are guaranteed by such Subsidiary on a secured basis. For the avoidance of doubt, and without limitation of the foregoing, Permitted Convertible Debt shall at all times be valued at the full stated principle amount thereof and shall not include any reduction or appreciation in value of the shares deliverable upon conversion thereof.</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Foreign Subsidiary Accounts</w:t>
      </w:r>
      <w:r>
        <w:rPr>
          <w:rFonts w:ascii="Times New Roman" w:cs="Times New Roman" w:eastAsia="Times New Roman" w:hAnsi="Times New Roman"/>
          <w:sz w:val="17"/>
          <w:szCs w:val="17"/>
          <w:color w:val="auto"/>
        </w:rPr>
        <w:t>” is defined in Section 5.9(a).</w:t>
      </w:r>
    </w:p>
    <w:p>
      <w:pPr>
        <w:spacing w:after="0" w:line="224"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Hedging Agreement</w:t>
      </w:r>
      <w:r>
        <w:rPr>
          <w:rFonts w:ascii="Times New Roman" w:cs="Times New Roman" w:eastAsia="Times New Roman" w:hAnsi="Times New Roman"/>
          <w:sz w:val="17"/>
          <w:szCs w:val="17"/>
          <w:color w:val="auto"/>
        </w:rPr>
        <w:t xml:space="preserve">” means any currency agreement, all rate swap transactions or other contract or arrangement designed solely to protect a Person against fluctuations in currency exchange rates and interest rate risk, and any confirmation executed in connection with any such agreement, contract, or arrangement, in each case, entered into by Borrower or any of its Subsidiaries solely to hedge or mitigate the risks of foreign exchange rate fluctuations and interest rate risk and not for any speculative or other purposes;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agreement, contract or arrangement shall comply in all respects with the hedging policies or guidelines as are approved by the Board or as are approved by Bank (such approval not to be unreasonably withheld, delayed or conditioned);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all accrued and reasonably expected liabilities of Borrower or its Subsidiaries arising under Permitted Hedging Agreements shall not exceed One Million Dollars ($1,000,000) in the aggregate at any time. For the avoidance of doubt, no Permitted Call Spread Agreement shall constitute a Permitted Hedging Agreement.</w:t>
      </w:r>
    </w:p>
    <w:p>
      <w:pPr>
        <w:spacing w:after="0" w:line="3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Indebtedness</w:t>
      </w:r>
      <w:r>
        <w:rPr>
          <w:rFonts w:ascii="Times New Roman" w:cs="Times New Roman" w:eastAsia="Times New Roman" w:hAnsi="Times New Roman"/>
          <w:sz w:val="17"/>
          <w:szCs w:val="17"/>
          <w:color w:val="auto"/>
        </w:rPr>
        <w:t>” is:</w:t>
      </w:r>
    </w:p>
    <w:p>
      <w:pPr>
        <w:spacing w:after="0" w:line="226" w:lineRule="exact"/>
        <w:rPr>
          <w:sz w:val="20"/>
          <w:szCs w:val="20"/>
          <w:color w:val="auto"/>
        </w:rPr>
      </w:pPr>
    </w:p>
    <w:p>
      <w:pPr>
        <w:ind w:left="1900" w:hanging="636"/>
        <w:spacing w:after="0"/>
        <w:tabs>
          <w:tab w:leader="none" w:pos="19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Indebtedness to Bank under this Agreement, the other Loan Documents and under any other agreement with Bank;</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existing on the Effective Date which is shown on the Perfection Certificate;</w:t>
      </w:r>
    </w:p>
    <w:p>
      <w:pPr>
        <w:spacing w:after="0" w:line="224"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Subordinated Debt;</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Indebtedness to trade creditors incurred in the ordinary course of business;</w:t>
      </w:r>
    </w:p>
    <w:p>
      <w:pPr>
        <w:spacing w:after="0" w:line="224"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incurred as a result of endorsing negotiable instruments received in the ordinary course of business;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secured by Liens permitted under clauses (a) and (c) of the definition of “Permitted Liens” hereunder;</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unsecured Indebtedness not otherwise permitted by Section 6.4 not exceeding Two Hundred Fifty Thousand Dollars ($250,000.00) in the aggregate outstanding at any time;</w:t>
      </w:r>
    </w:p>
    <w:p>
      <w:pPr>
        <w:spacing w:after="0" w:line="146" w:lineRule="exact"/>
        <w:rPr>
          <w:sz w:val="20"/>
          <w:szCs w:val="20"/>
          <w:color w:val="auto"/>
        </w:rPr>
      </w:pPr>
    </w:p>
    <w:p>
      <w:pPr>
        <w:ind w:firstLine="1264"/>
        <w:spacing w:after="0" w:line="297" w:lineRule="auto"/>
        <w:tabs>
          <w:tab w:leader="none" w:pos="187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with respect to credit cards maintained with American Express, not to exceed Five Hundred Thousand Dollars ($500,000) outstanding at any time;</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Hedging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380" w:right="339" w:bottom="1440" w:gutter="0" w:footer="0" w:header="0"/>
        </w:sectPr>
      </w:pPr>
    </w:p>
    <w:bookmarkStart w:id="85" w:name="page86"/>
    <w:bookmarkEnd w:id="85"/>
    <w:p>
      <w:pPr>
        <w:ind w:left="1880" w:hanging="616"/>
        <w:spacing w:after="0"/>
        <w:tabs>
          <w:tab w:leader="none" w:pos="1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Indebtedness by and among Borrower and its Subsidiaries (subject to “Permitted Investments” part (g)(i);</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letters of credit, bank guarantees and similar instruments issued for the account of Borrower and/or its Subsidiaries in the ordinary course of business not to exceed Seven Hundred Fifty Thousand Dollars ($750,000) outstanding at any time;</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advances or deposits received in the ordinary course of business from customers or vendors;</w:t>
      </w:r>
    </w:p>
    <w:p>
      <w:pPr>
        <w:spacing w:after="0" w:line="224"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 Indebtedness arising in connection with automated clearing house transfer of funds or the use of other payment processing services;</w:t>
      </w:r>
    </w:p>
    <w:p>
      <w:pPr>
        <w:spacing w:after="0" w:line="162" w:lineRule="exact"/>
        <w:rPr>
          <w:rFonts w:ascii="Times New Roman" w:cs="Times New Roman" w:eastAsia="Times New Roman" w:hAnsi="Times New Roman"/>
          <w:sz w:val="17"/>
          <w:szCs w:val="17"/>
          <w:color w:val="auto"/>
        </w:rPr>
      </w:pPr>
    </w:p>
    <w:p>
      <w:pPr>
        <w:ind w:firstLine="1264"/>
        <w:spacing w:after="0" w:line="297" w:lineRule="auto"/>
        <w:tabs>
          <w:tab w:leader="none" w:pos="188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in connection with the financing of insurance premiums in the ordinary course of business not to exceed Seven Hundred Fifty Thousand Dollars ($750,000) outstanding at any time;</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7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performance bonds, bid bonds, appeal bonds, surety bonds, completion guarantees and similar obligations arising in the ordinary course of business not to exceed Seven Hundred Fifty Thousand Dollars ($750,000) in the aggregate outstanding at any time;</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Indebtedness in connection with Permitted Acquisitions, not to exceed Fifteen Million Dollars ($15,000,000) in aggregate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at any time;</w:t>
      </w:r>
    </w:p>
    <w:p>
      <w:pPr>
        <w:spacing w:after="0" w:line="206"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Convertible Debt in aggregate principal amount not to exceed Two Hundred Fifty Million Dollars ($250,000,000) in principal amount at any time outstanding;</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Borrower’s Subsidiaries in connection with the sale of Inventory by Borrower to its Subsidiaries in the ordinary course of business, which may from time to time be forgiven by Borrower;</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price adjustments, indemnity payments and earn-out obligations in connection with any Permitted Acquisition (to the extent not in excess of the consideration limitations set forth in the definition thereof); and</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7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extensions, refinancings, modifications, amendments and restatements of any items of Permitted Indebtedness (a) through (s) above, provided that the principal amount thereof is not increased or the terms thereof are not modified to impose more burdensome terms upon Borrower or its Subsidiary, as the case may be.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Investments</w:t>
      </w:r>
      <w:r>
        <w:rPr>
          <w:rFonts w:ascii="Times New Roman" w:cs="Times New Roman" w:eastAsia="Times New Roman" w:hAnsi="Times New Roman"/>
          <w:sz w:val="17"/>
          <w:szCs w:val="17"/>
          <w:color w:val="auto"/>
        </w:rPr>
        <w:t>” are:</w:t>
      </w:r>
    </w:p>
    <w:p>
      <w:pPr>
        <w:spacing w:after="0" w:line="226" w:lineRule="exact"/>
        <w:rPr>
          <w:sz w:val="20"/>
          <w:szCs w:val="20"/>
          <w:color w:val="auto"/>
        </w:rPr>
      </w:pPr>
    </w:p>
    <w:p>
      <w:pPr>
        <w:ind w:left="1260"/>
        <w:spacing w:after="0"/>
        <w:tabs>
          <w:tab w:leader="none" w:pos="188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Investments (including, without limitation, Subsidiaries) existing on the Effective Date which are shown on the Perfection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w:t>
      </w:r>
    </w:p>
    <w:p>
      <w:pPr>
        <w:spacing w:after="0" w:line="206" w:lineRule="exact"/>
        <w:rPr>
          <w:sz w:val="20"/>
          <w:szCs w:val="20"/>
          <w:color w:val="auto"/>
        </w:rPr>
      </w:pPr>
    </w:p>
    <w:p>
      <w:pPr>
        <w:jc w:val="both"/>
        <w:ind w:firstLine="1264"/>
        <w:spacing w:after="0" w:line="277" w:lineRule="auto"/>
        <w:tabs>
          <w:tab w:leader="none" w:pos="188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Investments consisting of cash and Cash Equivalents, and (ii) any other Investments permitted by Borrower’s investment policy, as amended from time to time, provided that such investment policy (and any such amendment thereto) has been approved in writing by Bank, further provided that Bank hereby confirms approval of such investment policy delivered to Bank around the Effective Date;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380" w:right="339" w:bottom="1440" w:gutter="0" w:footer="0" w:header="0"/>
        </w:sectPr>
      </w:pPr>
    </w:p>
    <w:bookmarkStart w:id="86" w:name="page87"/>
    <w:bookmarkEnd w:id="86"/>
    <w:p>
      <w:pPr>
        <w:ind w:firstLine="1264"/>
        <w:spacing w:after="0" w:line="297" w:lineRule="auto"/>
        <w:tabs>
          <w:tab w:leader="none" w:pos="188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the endorsement of negotiable instruments for deposit or collection or similar transactions in the ordinary course of Borrower’s business;</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deposit and securities accounts (but only to the extent that Borrower or its Subsidiaries is permitted to maintain such accounts pursuant to Section 5.9 of this Agreement) in which Bank has a first priority perfected security interest (only if and to the extent required pursuant to Section 5.9 of this Agreement);</w:t>
      </w:r>
    </w:p>
    <w:p>
      <w:pPr>
        <w:spacing w:after="0" w:line="162"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accepted in connection with Transfers permitted by Section 6.1;</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7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the creation of a Subsidiary for the purpose of consummating a merger transactions and Permitted Acquisitions permitted by Section 6.3 of this Agreement, which is otherwise a Permitted Investment;</w:t>
      </w:r>
    </w:p>
    <w:p>
      <w:pPr>
        <w:spacing w:after="0" w:line="145"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Borrower in Subsidiaries that are not borrowers hereunder (or Guarantors), not to exceed (i) (x) Seven Million Five Hundred Thousand Dollars ($7,500,000) in the aggregate in any fiscal year; and (y) Three Million Dollars ($3,000,000) in any fiscal quarter, plus (ii) the ongoing day-to-day operations of such Subsidiaries in the ordinary course of business, so long as such (part (ii)) Investments are (A) made on a cost-plus basis, or (B) otherwise in accordance with transfer pricing arrangements, or (C) are otherwise approved in advance in writing by Bank;</w:t>
      </w:r>
    </w:p>
    <w:p>
      <w:pPr>
        <w:spacing w:after="0" w:line="169" w:lineRule="exact"/>
        <w:rPr>
          <w:sz w:val="20"/>
          <w:szCs w:val="20"/>
          <w:color w:val="auto"/>
        </w:rPr>
      </w:pPr>
    </w:p>
    <w:p>
      <w:pPr>
        <w:ind w:left="1880" w:hanging="616"/>
        <w:spacing w:after="0"/>
        <w:tabs>
          <w:tab w:leader="none" w:pos="18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Borrower in any other co-borrower under this Agreement or Guarantor;</w:t>
      </w:r>
    </w:p>
    <w:p>
      <w:pPr>
        <w:spacing w:after="0" w:line="224"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162"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Cash investments of up to One Million Dollars ($1,000,000) per fiscal year,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non-cash Investments in joint ventures or strategic alliances in the ordinary course of Borrower’s business consisting of the non-exclusive licensing of technology, the development of technology or the providing of technical support;</w:t>
      </w:r>
    </w:p>
    <w:p>
      <w:pPr>
        <w:spacing w:after="0" w:line="162"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Permitted Call Spread Agreements;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Acquisitions;</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not to exceed Five Million Dollars ($5,000,000) per fiscal year to fund the expansion of Borrower and/or its Subsidiaries in (i) Japan, and/or (ii) any other jurisdiction as may be agreed by Bank (in its commercially reasonable discretion) and Borrower; and</w:t>
      </w:r>
    </w:p>
    <w:p>
      <w:pPr>
        <w:spacing w:after="0" w:line="146" w:lineRule="exact"/>
        <w:rPr>
          <w:sz w:val="20"/>
          <w:szCs w:val="20"/>
          <w:color w:val="auto"/>
        </w:rPr>
      </w:pPr>
    </w:p>
    <w:p>
      <w:pPr>
        <w:ind w:firstLine="1264"/>
        <w:spacing w:after="0" w:line="297" w:lineRule="auto"/>
        <w:tabs>
          <w:tab w:leader="none" w:pos="188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Investments not otherwise enumerated in this defined term “Permitted Investments” not exceeding Five Hundred Thousand Dollars ($500,000) in the aggregate during any fiscal year.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380" w:right="339" w:bottom="1440" w:gutter="0" w:footer="0" w:header="0"/>
        </w:sectPr>
      </w:pPr>
    </w:p>
    <w:bookmarkStart w:id="87" w:name="page88"/>
    <w:bookmarkEnd w:id="87"/>
    <w:p>
      <w:pPr>
        <w:ind w:left="1900" w:hanging="636"/>
        <w:spacing w:after="0"/>
        <w:tabs>
          <w:tab w:leader="none" w:pos="19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existing on the Effective Date which are shown on the Perfection Certificate or arising under this Agreement or the other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w:t>
      </w:r>
    </w:p>
    <w:p>
      <w:pPr>
        <w:spacing w:after="0" w:line="206" w:lineRule="exact"/>
        <w:rPr>
          <w:sz w:val="20"/>
          <w:szCs w:val="20"/>
          <w:color w:val="auto"/>
        </w:rPr>
      </w:pPr>
    </w:p>
    <w:p>
      <w:pPr>
        <w:jc w:val="both"/>
        <w:ind w:firstLine="1264"/>
        <w:spacing w:after="0" w:line="277" w:lineRule="auto"/>
        <w:tabs>
          <w:tab w:leader="none" w:pos="188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62"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money Liens and equipment liens (i) on Equipment or software acquired or held by Borrower incurred for financing the acquisition of the Equipment or software securing no more than One Million Dollars ($1,000,000) in the aggregate amount outstanding, or (ii) existing on Equipment or software when acquired, if the Lien is confined to the property and improvements and the proceeds of the Equipment or software;</w:t>
      </w:r>
    </w:p>
    <w:p>
      <w:pPr>
        <w:spacing w:after="0" w:line="162"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69"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7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62"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69" w:lineRule="exact"/>
        <w:rPr>
          <w:sz w:val="20"/>
          <w:szCs w:val="20"/>
          <w:color w:val="auto"/>
        </w:rPr>
      </w:pPr>
    </w:p>
    <w:p>
      <w:pPr>
        <w:jc w:val="both"/>
        <w:ind w:firstLine="1259"/>
        <w:spacing w:after="0" w:line="274" w:lineRule="auto"/>
        <w:rPr>
          <w:sz w:val="20"/>
          <w:szCs w:val="20"/>
          <w:color w:val="auto"/>
        </w:rPr>
      </w:pPr>
      <w:r>
        <w:rPr>
          <w:rFonts w:ascii="Times New Roman" w:cs="Times New Roman" w:eastAsia="Times New Roman" w:hAnsi="Times New Roman"/>
          <w:sz w:val="17"/>
          <w:szCs w:val="17"/>
          <w:color w:val="auto"/>
        </w:rPr>
        <w:t>(ab) (i) non-exclusive licenses of Intellectual Property granted to third parties in the ordinary course of business, (ii) licenses of Intellectual Property that could not reasonably be expected to result in a legal transfer of title of the licensed property that may be exclusive in respects of territory (as to discreet geographical areas inside and outside of the United States), and (iii) licenses existing on the Effective Date and disclosed on the Perfection Certificate;</w:t>
      </w:r>
    </w:p>
    <w:p>
      <w:pPr>
        <w:spacing w:after="0" w:line="380" w:lineRule="exact"/>
        <w:rPr>
          <w:sz w:val="20"/>
          <w:szCs w:val="20"/>
          <w:color w:val="auto"/>
        </w:rPr>
      </w:pPr>
    </w:p>
    <w:p>
      <w:pPr>
        <w:jc w:val="both"/>
        <w:ind w:firstLine="1259"/>
        <w:spacing w:after="0" w:line="277" w:lineRule="auto"/>
        <w:rPr>
          <w:sz w:val="20"/>
          <w:szCs w:val="20"/>
          <w:color w:val="auto"/>
        </w:rPr>
      </w:pPr>
      <w:r>
        <w:rPr>
          <w:rFonts w:ascii="Times New Roman" w:cs="Times New Roman" w:eastAsia="Times New Roman" w:hAnsi="Times New Roman"/>
          <w:sz w:val="17"/>
          <w:szCs w:val="17"/>
          <w:color w:val="auto"/>
        </w:rPr>
        <w:t>(ac) customary Liens of any bank in connection with statutory, common law and contractual rights of setoff and recoupment with respect to any deposit account or securities account of Borrower, provided that (i) Bank has a first priority perfected security interest in such account (if perfection is required pursuant to Section 5.9 of this Agreement), and (ii) such account is permitted to be maintained pursuant to Section 5.9 of this Agreement;</w:t>
      </w:r>
    </w:p>
    <w:p>
      <w:pPr>
        <w:sectPr>
          <w:pgSz w:w="11900" w:h="16838" w:orient="portrait"/>
          <w:cols w:equalWidth="0" w:num="1">
            <w:col w:w="11240"/>
          </w:cols>
          <w:pgMar w:left="320" w:top="1380" w:right="339" w:bottom="1440" w:gutter="0" w:footer="0" w:header="0"/>
        </w:sectPr>
      </w:pP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Liens arising from attachments or judgments, orders, or decrees in circumstances not constituting an Event of Default under Sections</w:t>
      </w:r>
    </w:p>
    <w:p>
      <w:pPr>
        <w:spacing w:after="0" w:line="32" w:lineRule="exact"/>
        <w:rPr>
          <w:sz w:val="20"/>
          <w:szCs w:val="20"/>
          <w:color w:val="auto"/>
        </w:rPr>
      </w:pPr>
    </w:p>
    <w:p>
      <w:pPr>
        <w:sectPr>
          <w:pgSz w:w="11900" w:h="16838" w:orient="portrait"/>
          <w:cols w:equalWidth="0" w:num="2">
            <w:col w:w="1540" w:space="340"/>
            <w:col w:w="9360"/>
          </w:cols>
          <w:pgMar w:left="320" w:top="13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and 7.7;</w:t>
      </w:r>
    </w:p>
    <w:p>
      <w:pPr>
        <w:spacing w:after="0" w:line="206" w:lineRule="exact"/>
        <w:rPr>
          <w:sz w:val="20"/>
          <w:szCs w:val="20"/>
          <w:color w:val="auto"/>
        </w:rPr>
      </w:pPr>
    </w:p>
    <w:p>
      <w:pPr>
        <w:ind w:firstLine="1259"/>
        <w:spacing w:after="0" w:line="297" w:lineRule="auto"/>
        <w:rPr>
          <w:sz w:val="20"/>
          <w:szCs w:val="20"/>
          <w:color w:val="auto"/>
        </w:rPr>
      </w:pPr>
      <w:r>
        <w:rPr>
          <w:rFonts w:ascii="Times New Roman" w:cs="Times New Roman" w:eastAsia="Times New Roman" w:hAnsi="Times New Roman"/>
          <w:sz w:val="17"/>
          <w:szCs w:val="17"/>
          <w:color w:val="auto"/>
        </w:rPr>
        <w:t>(ae) deposits under real property leases that are made in the ordinary course of business not to exceed Seven Hundred Fifty Thousand Dollars ($750,000) at any time;</w:t>
      </w:r>
    </w:p>
    <w:p>
      <w:pPr>
        <w:spacing w:after="0" w:line="146"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(af)</w:t>
      </w:r>
      <w:r>
        <w:rPr>
          <w:sz w:val="20"/>
          <w:szCs w:val="20"/>
          <w:color w:val="auto"/>
        </w:rPr>
        <w:tab/>
      </w:r>
      <w:r>
        <w:rPr>
          <w:rFonts w:ascii="Times New Roman" w:cs="Times New Roman" w:eastAsia="Times New Roman" w:hAnsi="Times New Roman"/>
          <w:sz w:val="17"/>
          <w:szCs w:val="17"/>
          <w:color w:val="auto"/>
        </w:rPr>
        <w:t>easements, rights-of-way, restrictions and other similar encumbrances affecting real property which, in the aggregate, are not</w:t>
      </w:r>
    </w:p>
    <w:p>
      <w:pPr>
        <w:sectPr>
          <w:pgSz w:w="11900" w:h="16838" w:orient="portrait"/>
          <w:cols w:equalWidth="0" w:num="1">
            <w:col w:w="11240"/>
          </w:cols>
          <w:pgMar w:left="320" w:top="1380" w:right="339" w:bottom="1440" w:gutter="0" w:footer="0" w:header="0"/>
          <w:type w:val="continuous"/>
        </w:sectPr>
      </w:pPr>
    </w:p>
    <w:p>
      <w:pPr>
        <w:spacing w:after="0" w:line="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substantial in amount, and which do not in any case materially detract from the value of the property subject thereto or materially interfere with the ordinary conduct of the business of the applicable Person;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380" w:right="339" w:bottom="1440" w:gutter="0" w:footer="0" w:header="0"/>
          <w:type w:val="continuous"/>
        </w:sectPr>
      </w:pPr>
    </w:p>
    <w:bookmarkStart w:id="88" w:name="page89"/>
    <w:bookmarkEnd w:id="88"/>
    <w:p>
      <w:pPr>
        <w:ind w:firstLine="1259"/>
        <w:spacing w:after="0" w:line="297" w:lineRule="auto"/>
        <w:rPr>
          <w:sz w:val="20"/>
          <w:szCs w:val="20"/>
          <w:color w:val="auto"/>
        </w:rPr>
      </w:pPr>
      <w:r>
        <w:rPr>
          <w:rFonts w:ascii="Times New Roman" w:cs="Times New Roman" w:eastAsia="Times New Roman" w:hAnsi="Times New Roman"/>
          <w:sz w:val="17"/>
          <w:szCs w:val="17"/>
          <w:color w:val="auto"/>
        </w:rPr>
        <w:t>(ag) other Liens (not otherwise enumerated in this defined term) not exceeding One Hundred Thousand Dollars ($100,000) in the aggregate outstanding at any time;</w:t>
      </w:r>
    </w:p>
    <w:p>
      <w:pPr>
        <w:spacing w:after="0" w:line="146" w:lineRule="exact"/>
        <w:rPr>
          <w:sz w:val="20"/>
          <w:szCs w:val="20"/>
          <w:color w:val="auto"/>
        </w:rPr>
      </w:pPr>
    </w:p>
    <w:p>
      <w:pPr>
        <w:ind w:firstLine="1259"/>
        <w:spacing w:after="0" w:line="297" w:lineRule="auto"/>
        <w:rPr>
          <w:sz w:val="20"/>
          <w:szCs w:val="20"/>
          <w:color w:val="auto"/>
        </w:rPr>
      </w:pPr>
      <w:r>
        <w:rPr>
          <w:rFonts w:ascii="Times New Roman" w:cs="Times New Roman" w:eastAsia="Times New Roman" w:hAnsi="Times New Roman"/>
          <w:sz w:val="17"/>
          <w:szCs w:val="17"/>
          <w:color w:val="auto"/>
        </w:rPr>
        <w:t>(ah) Liens in respect of performance bonds, bid bonds, appeal bonds, surety bonds, completion guarantees and similar obligations arising in the ordinary course of business not to exceed Seven Hundred Fifty Thousand Dollars ($750,000) in the aggregate outstanding at any time; and</w:t>
      </w:r>
    </w:p>
    <w:p>
      <w:pPr>
        <w:sectPr>
          <w:pgSz w:w="11900" w:h="16838" w:orient="portrait"/>
          <w:cols w:equalWidth="0" w:num="1">
            <w:col w:w="11240"/>
          </w:cols>
          <w:pgMar w:left="320" w:top="1380" w:right="339" w:bottom="1440" w:gutter="0" w:footer="0" w:header="0"/>
        </w:sectPr>
      </w:pP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Liens on cash and Cash Equivalents securing obligations under Permitted Hedging Agreements.</w:t>
      </w:r>
    </w:p>
    <w:p>
      <w:pPr>
        <w:spacing w:after="0" w:line="200" w:lineRule="exact"/>
        <w:rPr>
          <w:sz w:val="20"/>
          <w:szCs w:val="20"/>
          <w:color w:val="auto"/>
        </w:rPr>
      </w:pPr>
    </w:p>
    <w:p>
      <w:pPr>
        <w:sectPr>
          <w:pgSz w:w="11900" w:h="16838" w:orient="portrait"/>
          <w:cols w:equalWidth="0" w:num="2">
            <w:col w:w="1500" w:space="380"/>
            <w:col w:w="9360"/>
          </w:cols>
          <w:pgMar w:left="320" w:top="1380" w:right="339" w:bottom="1440" w:gutter="0" w:footer="0" w:header="0"/>
          <w:type w:val="continuous"/>
        </w:sectPr>
      </w:pPr>
    </w:p>
    <w:p>
      <w:pPr>
        <w:spacing w:after="0" w:line="22" w:lineRule="exact"/>
        <w:rPr>
          <w:sz w:val="20"/>
          <w:szCs w:val="20"/>
          <w:color w:val="auto"/>
        </w:rPr>
      </w:pPr>
    </w:p>
    <w:p>
      <w:pPr>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2"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Prepayment Fee</w:t>
      </w:r>
      <w:r>
        <w:rPr>
          <w:rFonts w:ascii="Times New Roman" w:cs="Times New Roman" w:eastAsia="Times New Roman" w:hAnsi="Times New Roman"/>
          <w:sz w:val="17"/>
          <w:szCs w:val="17"/>
          <w:color w:val="auto"/>
        </w:rPr>
        <w:t>” is a fee due upon prepayment (whether voluntary or otherwise) of the Term Loan Advance in full equal to (i) one and a half percent (1.50%) of the aggregate original principal amount of the Term Loan Advance made by Bank to Borrower hereunder, if such prepayment occurs within eighteen</w:t>
      </w:r>
    </w:p>
    <w:p>
      <w:pPr>
        <w:spacing w:after="0" w:line="1" w:lineRule="exact"/>
        <w:rPr>
          <w:sz w:val="20"/>
          <w:szCs w:val="20"/>
          <w:color w:val="auto"/>
        </w:rPr>
      </w:pPr>
    </w:p>
    <w:p>
      <w:pPr>
        <w:jc w:val="both"/>
        <w:ind w:firstLine="5"/>
        <w:spacing w:after="0" w:line="266" w:lineRule="auto"/>
        <w:tabs>
          <w:tab w:leader="none" w:pos="34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the Third Amendment Effective Date, (ii) zero percent (0.00%) of the aggregate original principal amount of the Term Loan Advance made by Bank to Borrower hereunder if such prepayment occurs on or at any time after the date that is eighteen (18) months after the Third Amendment Effective Date but prior to the Term Loan Maturity Date.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 Margin</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Cash</w:t>
      </w:r>
      <w:r>
        <w:rPr>
          <w:rFonts w:ascii="Times New Roman" w:cs="Times New Roman" w:eastAsia="Times New Roman" w:hAnsi="Times New Roman"/>
          <w:sz w:val="17"/>
          <w:szCs w:val="17"/>
          <w:color w:val="auto"/>
        </w:rPr>
        <w:t>” means the amount of the Borrower and its Subsidiaries cash and Cash Equivalents held with Bank and/or Banks’ Affiliates and/or in accounts subject to a Control Agreement in favor of Bank;</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Quarterly Financial Statements</w:t>
      </w:r>
      <w:r>
        <w:rPr>
          <w:rFonts w:ascii="Times New Roman" w:cs="Times New Roman" w:eastAsia="Times New Roman" w:hAnsi="Times New Roman"/>
          <w:sz w:val="17"/>
          <w:szCs w:val="17"/>
          <w:color w:val="auto"/>
        </w:rPr>
        <w:t>” is defined in Section 5.3(c).</w:t>
      </w:r>
    </w:p>
    <w:p>
      <w:pPr>
        <w:spacing w:after="0" w:line="224"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Conditions</w:t>
      </w:r>
      <w:r>
        <w:rPr>
          <w:rFonts w:ascii="Times New Roman" w:cs="Times New Roman" w:eastAsia="Times New Roman" w:hAnsi="Times New Roman"/>
          <w:sz w:val="17"/>
          <w:szCs w:val="17"/>
          <w:color w:val="auto"/>
        </w:rPr>
        <w:t>” means, with respect to any redemption by the Borrower of any Permitted Convertible Debt, satisfaction of each of the following events: (a) no Event of Default shall exist or result therefrom, (b) both immediately before and after such redemption, Borrower’s Qualified Cash shall be no less than the amount required to prepay the outstanding Obligations in full at the time of such redemption, including all outstanding principal of the Term Loans, the accrued and unpaid interest thereon, and the Prepayment Fee (provided, however, for the avoidance of doubt no such prepayment is required at such time), and (c) both immediately before and after such redemption, Borrower’s Remaining Months Liquidity shall be no less than twelve (12).</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Registered Organization</w:t>
      </w:r>
      <w:r>
        <w:rPr>
          <w:rFonts w:ascii="Times New Roman" w:cs="Times New Roman" w:eastAsia="Times New Roman" w:hAnsi="Times New Roman"/>
          <w:sz w:val="17"/>
          <w:szCs w:val="17"/>
          <w:color w:val="auto"/>
        </w:rPr>
        <w:t>” is any “registered organization”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Remaining Months Liquidity</w:t>
      </w:r>
      <w:r>
        <w:rPr>
          <w:rFonts w:ascii="Times New Roman" w:cs="Times New Roman" w:eastAsia="Times New Roman" w:hAnsi="Times New Roman"/>
          <w:sz w:val="17"/>
          <w:szCs w:val="17"/>
          <w:color w:val="auto"/>
        </w:rPr>
        <w:t>” means Qualified Cash divided by Adjusted EBITDA (measured on a trailing twelve (12) month basis).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is defined in Section 11.8.</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is any of the Chief Executive Officer, President, Chief Financial Officer, Chief Legal Officer, and Controller of Borrower.</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License</w:t>
      </w:r>
      <w:r>
        <w:rPr>
          <w:rFonts w:ascii="Times New Roman" w:cs="Times New Roman" w:eastAsia="Times New Roman" w:hAnsi="Times New Roman"/>
          <w:sz w:val="17"/>
          <w:szCs w:val="17"/>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material Collateral.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380" w:right="339" w:bottom="1440" w:gutter="0" w:footer="0" w:header="0"/>
          <w:type w:val="continuous"/>
        </w:sectPr>
      </w:pPr>
    </w:p>
    <w:bookmarkStart w:id="89" w:name="page90"/>
    <w:bookmarkEnd w:id="89"/>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clauses (a) and (b) hereof.</w:t>
      </w:r>
    </w:p>
    <w:p>
      <w:pPr>
        <w:spacing w:after="0" w:line="160"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is the Securities and Exchange Commission, any successor thereto, and any analogous Governmental Authority.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Account</w:t>
      </w:r>
      <w:r>
        <w:rPr>
          <w:rFonts w:ascii="Times New Roman" w:cs="Times New Roman" w:eastAsia="Times New Roman" w:hAnsi="Times New Roman"/>
          <w:sz w:val="17"/>
          <w:szCs w:val="17"/>
          <w:color w:val="auto"/>
        </w:rPr>
        <w:t>” is any “securities account” as defined in the Code with such additions to such term as may hereafter be made.</w:t>
      </w:r>
    </w:p>
    <w:p>
      <w:pPr>
        <w:spacing w:after="0" w:line="224" w:lineRule="exact"/>
        <w:rPr>
          <w:sz w:val="20"/>
          <w:szCs w:val="20"/>
          <w:color w:val="auto"/>
        </w:rPr>
      </w:pPr>
    </w:p>
    <w:p>
      <w:pPr>
        <w:jc w:val="both"/>
        <w:ind w:firstLine="62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Subordinated Debt</w:t>
      </w:r>
      <w:r>
        <w:rPr>
          <w:rFonts w:ascii="Times New Roman" w:cs="Times New Roman" w:eastAsia="Times New Roman" w:hAnsi="Times New Roman"/>
          <w:sz w:val="17"/>
          <w:szCs w:val="17"/>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For the avoidance of doubt, Permitted Convertible Debt shall not constitute Subordinated Debt.</w:t>
      </w:r>
    </w:p>
    <w:p>
      <w:pPr>
        <w:spacing w:after="0" w:line="37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6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Advance</w:t>
      </w:r>
      <w:r>
        <w:rPr>
          <w:rFonts w:ascii="Times New Roman" w:cs="Times New Roman" w:eastAsia="Times New Roman" w:hAnsi="Times New Roman"/>
          <w:sz w:val="17"/>
          <w:szCs w:val="17"/>
          <w:color w:val="auto"/>
        </w:rPr>
        <w:t>” is defined in Section 1.1(a) of this Agreement.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Amortization Date</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Availability Amount</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Maturity Date</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Amendment Effective Date</w:t>
      </w:r>
      <w:r>
        <w:rPr>
          <w:rFonts w:ascii="Times New Roman" w:cs="Times New Roman" w:eastAsia="Times New Roman" w:hAnsi="Times New Roman"/>
          <w:sz w:val="17"/>
          <w:szCs w:val="17"/>
          <w:color w:val="auto"/>
        </w:rPr>
        <w:t>” means November 8, 2024.</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is defined in Section 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378" w:right="339" w:bottom="1440" w:gutter="0" w:footer="0" w:header="0"/>
        </w:sectPr>
      </w:pPr>
    </w:p>
    <w:bookmarkStart w:id="90" w:name="page91"/>
    <w:bookmarkEnd w:id="90"/>
    <w:p>
      <w:pPr>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USA Patriot Act</w:t>
      </w:r>
      <w:r>
        <w:rPr>
          <w:rFonts w:ascii="Times New Roman" w:cs="Times New Roman" w:eastAsia="Times New Roman" w:hAnsi="Times New Roman"/>
          <w:sz w:val="17"/>
          <w:szCs w:val="17"/>
          <w:color w:val="auto"/>
        </w:rPr>
        <w:t>” means the “Uniting and Strengthening America by Providing Appropriate Tools Required to Intercept and Obstruct Terrorism Act of 2001” (Public Law 107-56, signed into law on October 26, 2001), as amended from time to time.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37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ectPr>
          <w:pgSz w:w="11900" w:h="16838" w:orient="portrait"/>
          <w:cols w:equalWidth="0" w:num="1">
            <w:col w:w="9499"/>
          </w:cols>
          <w:pgMar w:left="960" w:top="1378" w:right="1440" w:bottom="1440" w:gutter="0" w:footer="0" w:header="0"/>
        </w:sectPr>
      </w:pP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BORROWER:</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By: _______________</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Anshul Maheshwari</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BANK:</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SILICON VALLEY BANK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By: _______________________</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Matt Perry</w:t>
      </w:r>
    </w:p>
    <w:p>
      <w:pPr>
        <w:spacing w:after="0" w:line="2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Signature Page to Loan and Security Agreement</w:t>
      </w:r>
      <w:r>
        <w:rPr>
          <w:rFonts w:ascii="Times New Roman" w:cs="Times New Roman" w:eastAsia="Times New Roman" w:hAnsi="Times New Roman"/>
          <w:sz w:val="17"/>
          <w:szCs w:val="17"/>
          <w:b w:val="1"/>
          <w:bCs w:val="1"/>
          <w:color w:val="auto"/>
        </w:rPr>
        <w:t>]</w:t>
      </w:r>
    </w:p>
    <w:p>
      <w:pPr>
        <w:sectPr>
          <w:pgSz w:w="11900" w:h="16838" w:orient="portrait"/>
          <w:cols w:equalWidth="0" w:num="1">
            <w:col w:w="9499"/>
          </w:cols>
          <w:pgMar w:left="960" w:top="1378" w:right="1440" w:bottom="1440" w:gutter="0" w:footer="0" w:header="0"/>
          <w:type w:val="continuous"/>
        </w:sectPr>
      </w:pPr>
    </w:p>
    <w:bookmarkStart w:id="92" w:name="page93"/>
    <w:bookmarkEnd w:id="92"/>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gridSpan w:val="3"/>
          </w:tcPr>
          <w:p>
            <w:pPr>
              <w:jc w:val="center"/>
              <w:ind w:right="4980"/>
              <w:spacing w:after="0"/>
              <w:rPr>
                <w:sz w:val="20"/>
                <w:szCs w:val="20"/>
                <w:color w:val="auto"/>
              </w:rPr>
            </w:pPr>
            <w:r>
              <w:rPr>
                <w:rFonts w:ascii="Times New Roman" w:cs="Times New Roman" w:eastAsia="Times New Roman" w:hAnsi="Times New Roman"/>
                <w:sz w:val="17"/>
                <w:szCs w:val="17"/>
                <w:b w:val="1"/>
                <w:bCs w:val="1"/>
                <w:color w:val="auto"/>
              </w:rPr>
              <w:t>SCHEDULE I</w:t>
            </w: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0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LSA PROVISIONS</w:t>
            </w:r>
          </w:p>
        </w:tc>
        <w:tc>
          <w:tcPr>
            <w:tcW w:w="4780" w:type="dxa"/>
            <w:vAlign w:val="bottom"/>
          </w:tcPr>
          <w:p>
            <w:pPr>
              <w:spacing w:after="0"/>
              <w:rPr>
                <w:sz w:val="24"/>
                <w:szCs w:val="24"/>
                <w:color w:val="auto"/>
              </w:rPr>
            </w:pPr>
          </w:p>
        </w:tc>
      </w:tr>
      <w:tr>
        <w:trPr>
          <w:trHeight w:val="701"/>
        </w:trPr>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5"/>
          </w:tcPr>
          <w:p>
            <w:pPr>
              <w:spacing w:after="0"/>
              <w:rPr>
                <w:sz w:val="24"/>
                <w:szCs w:val="24"/>
                <w:color w:val="auto"/>
              </w:rPr>
            </w:pPr>
          </w:p>
        </w:tc>
      </w:tr>
      <w:tr>
        <w:trPr>
          <w:trHeight w:val="177"/>
        </w:trPr>
        <w:tc>
          <w:tcPr>
            <w:tcW w:w="3760" w:type="dxa"/>
            <w:vAlign w:val="bottom"/>
            <w:tcBorders>
              <w:left w:val="single" w:sz="8" w:color="auto"/>
              <w:right w:val="single" w:sz="8" w:color="auto"/>
            </w:tcBorders>
            <w:gridSpan w:val="3"/>
          </w:tcPr>
          <w:p>
            <w:pPr>
              <w:jc w:val="right"/>
              <w:ind w:right="2800"/>
              <w:spacing w:after="0" w:line="176" w:lineRule="exact"/>
              <w:rPr>
                <w:sz w:val="20"/>
                <w:szCs w:val="20"/>
                <w:color w:val="auto"/>
              </w:rPr>
            </w:pPr>
            <w:r>
              <w:rPr>
                <w:rFonts w:ascii="Times New Roman" w:cs="Times New Roman" w:eastAsia="Times New Roman" w:hAnsi="Times New Roman"/>
                <w:sz w:val="17"/>
                <w:szCs w:val="17"/>
                <w:b w:val="1"/>
                <w:bCs w:val="1"/>
                <w:color w:val="auto"/>
              </w:rPr>
              <w:t>LSA Section</w:t>
            </w:r>
          </w:p>
        </w:tc>
        <w:tc>
          <w:tcPr>
            <w:tcW w:w="20" w:type="dxa"/>
            <w:vAlign w:val="bottom"/>
          </w:tcPr>
          <w:p>
            <w:pPr>
              <w:spacing w:after="0"/>
              <w:rPr>
                <w:sz w:val="15"/>
                <w:szCs w:val="15"/>
                <w:color w:val="auto"/>
              </w:rPr>
            </w:pPr>
          </w:p>
        </w:tc>
        <w:tc>
          <w:tcPr>
            <w:tcW w:w="736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LSA Provision</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3720" w:type="dxa"/>
            <w:vAlign w:val="bottom"/>
            <w:tcBorders>
              <w:righ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7"/>
                <w:szCs w:val="17"/>
                <w:color w:val="auto"/>
              </w:rPr>
              <w:t>1.1(a) – Term Loan – Availability</w:t>
            </w:r>
          </w:p>
        </w:tc>
        <w:tc>
          <w:tcPr>
            <w:tcW w:w="20" w:type="dxa"/>
            <w:vAlign w:val="bottom"/>
          </w:tcPr>
          <w:p>
            <w:pPr>
              <w:spacing w:after="0"/>
              <w:rPr>
                <w:sz w:val="15"/>
                <w:szCs w:val="15"/>
                <w:color w:val="auto"/>
              </w:rPr>
            </w:pPr>
          </w:p>
        </w:tc>
        <w:tc>
          <w:tcPr>
            <w:tcW w:w="736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The initial Term Loan Advance must be in an amount equal to the initial Term Loan Availability</w:t>
            </w:r>
          </w:p>
        </w:tc>
      </w:tr>
      <w:tr>
        <w:trPr>
          <w:trHeight w:val="165"/>
        </w:trPr>
        <w:tc>
          <w:tcPr>
            <w:tcW w:w="4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Borders>
              <w:right w:val="single" w:sz="8" w:color="auto"/>
            </w:tcBorders>
            <w:gridSpan w:val="6"/>
          </w:tcPr>
          <w:p>
            <w:pPr>
              <w:spacing w:after="0" w:line="165" w:lineRule="exact"/>
              <w:rPr>
                <w:sz w:val="20"/>
                <w:szCs w:val="20"/>
                <w:color w:val="auto"/>
              </w:rPr>
            </w:pPr>
            <w:r>
              <w:rPr>
                <w:rFonts w:ascii="Times New Roman" w:cs="Times New Roman" w:eastAsia="Times New Roman" w:hAnsi="Times New Roman"/>
                <w:sz w:val="17"/>
                <w:szCs w:val="17"/>
                <w:color w:val="auto"/>
              </w:rPr>
              <w:t>Amount available on the Third Amendment Effective Date. After repayment, the Term Loan Advance</w:t>
            </w:r>
          </w:p>
        </w:tc>
      </w:tr>
      <w:tr>
        <w:trPr>
          <w:trHeight w:val="228"/>
        </w:trPr>
        <w:tc>
          <w:tcPr>
            <w:tcW w:w="4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36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(or any portion thereof) may not be reborrowed.</w:t>
            </w:r>
          </w:p>
        </w:tc>
      </w:tr>
      <w:tr>
        <w:trPr>
          <w:trHeight w:val="211"/>
        </w:trPr>
        <w:tc>
          <w:tcPr>
            <w:tcW w:w="40" w:type="dxa"/>
            <w:vAlign w:val="bottom"/>
            <w:tcBorders>
              <w:left w:val="single" w:sz="8" w:color="auto"/>
            </w:tcBorders>
          </w:tcPr>
          <w:p>
            <w:pPr>
              <w:spacing w:after="0"/>
              <w:rPr>
                <w:sz w:val="18"/>
                <w:szCs w:val="18"/>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1.1(b) – Term Loan – Repayment</w:t>
            </w: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Commencing on the Term Loan Amortization Date, and continuing on each Payment Date thereafter</w:t>
            </w:r>
          </w:p>
        </w:tc>
      </w:tr>
      <w:tr>
        <w:trPr>
          <w:trHeight w:val="210"/>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until the Term Loan Advance is paid in full, Borrower shall repay the outstanding Term Loan Advance</w:t>
            </w:r>
          </w:p>
        </w:tc>
      </w:tr>
      <w:tr>
        <w:trPr>
          <w:trHeight w:val="210"/>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in (i) twenty-four (24) equal monthly installments of principal, which shall reduce to twelve (12) equal</w:t>
            </w:r>
          </w:p>
        </w:tc>
      </w:tr>
      <w:tr>
        <w:trPr>
          <w:trHeight w:val="210"/>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monthly installments of principal upon the occurrence of the Performance Milestone plus (ii) monthly</w:t>
            </w:r>
          </w:p>
        </w:tc>
      </w:tr>
      <w:tr>
        <w:trPr>
          <w:trHeight w:val="210"/>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payments of accrued interest in accordance with Section 1.2(a)(ii) at the rate set forth in Section 1.2(b)</w:t>
            </w:r>
          </w:p>
        </w:tc>
      </w:tr>
      <w:tr>
        <w:trPr>
          <w:trHeight w:val="228"/>
        </w:trPr>
        <w:tc>
          <w:tcPr>
            <w:tcW w:w="4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(ii).</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80" w:type="dxa"/>
            <w:vAlign w:val="bottom"/>
            <w:tcBorders>
              <w:bottom w:val="single" w:sz="8" w:color="auto"/>
              <w:right w:val="single" w:sz="8" w:color="auto"/>
            </w:tcBorders>
            <w:gridSpan w:val="5"/>
          </w:tcPr>
          <w:p>
            <w:pPr>
              <w:spacing w:after="0"/>
              <w:rPr>
                <w:sz w:val="20"/>
                <w:szCs w:val="20"/>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3720" w:type="dxa"/>
            <w:vAlign w:val="bottom"/>
            <w:tcBorders>
              <w:right w:val="single" w:sz="8" w:color="auto"/>
            </w:tcBorders>
            <w:gridSpan w:val="2"/>
          </w:tcPr>
          <w:p>
            <w:pPr>
              <w:ind w:left="40"/>
              <w:spacing w:after="0" w:line="163" w:lineRule="exact"/>
              <w:rPr>
                <w:sz w:val="20"/>
                <w:szCs w:val="20"/>
                <w:color w:val="auto"/>
              </w:rPr>
            </w:pPr>
            <w:r>
              <w:rPr>
                <w:rFonts w:ascii="Times New Roman" w:cs="Times New Roman" w:eastAsia="Times New Roman" w:hAnsi="Times New Roman"/>
                <w:sz w:val="17"/>
                <w:szCs w:val="17"/>
                <w:color w:val="auto"/>
              </w:rPr>
              <w:t>1.2(a)(ii) – Interest Payments – Term Loan</w:t>
            </w:r>
          </w:p>
        </w:tc>
        <w:tc>
          <w:tcPr>
            <w:tcW w:w="20" w:type="dxa"/>
            <w:vAlign w:val="bottom"/>
          </w:tcPr>
          <w:p>
            <w:pPr>
              <w:spacing w:after="0"/>
              <w:rPr>
                <w:sz w:val="14"/>
                <w:szCs w:val="14"/>
                <w:color w:val="auto"/>
              </w:rPr>
            </w:pPr>
          </w:p>
        </w:tc>
        <w:tc>
          <w:tcPr>
            <w:tcW w:w="7360" w:type="dxa"/>
            <w:vAlign w:val="bottom"/>
            <w:tcBorders>
              <w:right w:val="single" w:sz="8" w:color="auto"/>
            </w:tcBorders>
            <w:gridSpan w:val="6"/>
          </w:tcPr>
          <w:p>
            <w:pPr>
              <w:spacing w:after="0" w:line="163" w:lineRule="exact"/>
              <w:rPr>
                <w:sz w:val="20"/>
                <w:szCs w:val="20"/>
                <w:color w:val="auto"/>
              </w:rPr>
            </w:pPr>
            <w:r>
              <w:rPr>
                <w:rFonts w:ascii="Times New Roman" w:cs="Times New Roman" w:eastAsia="Times New Roman" w:hAnsi="Times New Roman"/>
                <w:sz w:val="17"/>
                <w:szCs w:val="17"/>
                <w:color w:val="auto"/>
              </w:rPr>
              <w:t>Interest on the outstanding principal amount of the Term Loan Advance is payable in arrears monthly (i)</w:t>
            </w:r>
          </w:p>
        </w:tc>
      </w:tr>
      <w:tr>
        <w:trPr>
          <w:trHeight w:val="178"/>
        </w:trPr>
        <w:tc>
          <w:tcPr>
            <w:tcW w:w="40" w:type="dxa"/>
            <w:vAlign w:val="bottom"/>
            <w:tcBorders>
              <w:left w:val="single" w:sz="8" w:color="auto"/>
            </w:tcBorders>
          </w:tcPr>
          <w:p>
            <w:pPr>
              <w:spacing w:after="0"/>
              <w:rPr>
                <w:sz w:val="15"/>
                <w:szCs w:val="15"/>
                <w:color w:val="auto"/>
              </w:rPr>
            </w:pPr>
          </w:p>
        </w:tc>
        <w:tc>
          <w:tcPr>
            <w:tcW w:w="3720" w:type="dxa"/>
            <w:vAlign w:val="bottom"/>
            <w:tcBorders>
              <w:right w:val="single" w:sz="8" w:color="auto"/>
            </w:tcBorders>
            <w:gridSpan w:val="2"/>
          </w:tcPr>
          <w:p>
            <w:pPr>
              <w:ind w:left="40"/>
              <w:spacing w:after="0" w:line="178" w:lineRule="exact"/>
              <w:rPr>
                <w:sz w:val="20"/>
                <w:szCs w:val="20"/>
                <w:color w:val="auto"/>
              </w:rPr>
            </w:pPr>
            <w:r>
              <w:rPr>
                <w:rFonts w:ascii="Times New Roman" w:cs="Times New Roman" w:eastAsia="Times New Roman" w:hAnsi="Times New Roman"/>
                <w:sz w:val="17"/>
                <w:szCs w:val="17"/>
                <w:color w:val="auto"/>
              </w:rPr>
              <w:t>Advances</w:t>
            </w:r>
          </w:p>
        </w:tc>
        <w:tc>
          <w:tcPr>
            <w:tcW w:w="20" w:type="dxa"/>
            <w:vAlign w:val="bottom"/>
          </w:tcPr>
          <w:p>
            <w:pPr>
              <w:spacing w:after="0"/>
              <w:rPr>
                <w:sz w:val="15"/>
                <w:szCs w:val="15"/>
                <w:color w:val="auto"/>
              </w:rPr>
            </w:pPr>
          </w:p>
        </w:tc>
        <w:tc>
          <w:tcPr>
            <w:tcW w:w="7360" w:type="dxa"/>
            <w:vAlign w:val="bottom"/>
            <w:tcBorders>
              <w:right w:val="single" w:sz="8" w:color="auto"/>
            </w:tcBorders>
            <w:gridSpan w:val="6"/>
          </w:tcPr>
          <w:p>
            <w:pPr>
              <w:spacing w:after="0" w:line="178" w:lineRule="exact"/>
              <w:rPr>
                <w:sz w:val="20"/>
                <w:szCs w:val="20"/>
                <w:color w:val="auto"/>
              </w:rPr>
            </w:pPr>
            <w:r>
              <w:rPr>
                <w:rFonts w:ascii="Times New Roman" w:cs="Times New Roman" w:eastAsia="Times New Roman" w:hAnsi="Times New Roman"/>
                <w:sz w:val="17"/>
                <w:szCs w:val="17"/>
                <w:color w:val="auto"/>
              </w:rPr>
              <w:t>on each Payment Date commencing on the first Payment Date following the Funding Date of each such</w:t>
            </w:r>
          </w:p>
        </w:tc>
      </w:tr>
      <w:tr>
        <w:trPr>
          <w:trHeight w:val="176"/>
        </w:trPr>
        <w:tc>
          <w:tcPr>
            <w:tcW w:w="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36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Term Loan Advance, (ii) on the date of any prepayment of the Term Loan Advance, and (iii) on the</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36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Term Loan Maturity Date.</w:t>
            </w:r>
          </w:p>
        </w:tc>
      </w:tr>
      <w:tr>
        <w:trPr>
          <w:trHeight w:val="211"/>
        </w:trPr>
        <w:tc>
          <w:tcPr>
            <w:tcW w:w="40" w:type="dxa"/>
            <w:vAlign w:val="bottom"/>
            <w:tcBorders>
              <w:left w:val="single" w:sz="8" w:color="auto"/>
            </w:tcBorders>
          </w:tcPr>
          <w:p>
            <w:pPr>
              <w:spacing w:after="0"/>
              <w:rPr>
                <w:sz w:val="18"/>
                <w:szCs w:val="18"/>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1.2(b)(ii) – Interest Rate – Term Loan Advances</w:t>
            </w: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The outstanding principal amount of the Term Loan Advance shall accrue interest at a floating rate per</w:t>
            </w:r>
          </w:p>
        </w:tc>
      </w:tr>
      <w:tr>
        <w:trPr>
          <w:trHeight w:val="210"/>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annum equal to the greater of (A) four and one quarter of one percent (4.25%) and (B) the Prime Rate</w:t>
            </w:r>
          </w:p>
        </w:tc>
      </w:tr>
      <w:tr>
        <w:trPr>
          <w:trHeight w:val="210"/>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minus the applicable Prime Rate Margin, which interest shall be payable in accordance with Section</w:t>
            </w:r>
          </w:p>
        </w:tc>
      </w:tr>
      <w:tr>
        <w:trPr>
          <w:trHeight w:val="228"/>
        </w:trPr>
        <w:tc>
          <w:tcPr>
            <w:tcW w:w="4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1.2(a)(ii).</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80" w:type="dxa"/>
            <w:vAlign w:val="bottom"/>
            <w:tcBorders>
              <w:bottom w:val="single" w:sz="8" w:color="auto"/>
              <w:right w:val="single" w:sz="8" w:color="auto"/>
            </w:tcBorders>
            <w:gridSpan w:val="5"/>
          </w:tcPr>
          <w:p>
            <w:pPr>
              <w:spacing w:after="0"/>
              <w:rPr>
                <w:sz w:val="20"/>
                <w:szCs w:val="20"/>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3720" w:type="dxa"/>
            <w:vAlign w:val="bottom"/>
            <w:tcBorders>
              <w:right w:val="single" w:sz="8" w:color="auto"/>
            </w:tcBorders>
            <w:gridSpan w:val="2"/>
          </w:tcPr>
          <w:p>
            <w:pPr>
              <w:ind w:left="40"/>
              <w:spacing w:after="0" w:line="163" w:lineRule="exact"/>
              <w:rPr>
                <w:sz w:val="20"/>
                <w:szCs w:val="20"/>
                <w:color w:val="auto"/>
              </w:rPr>
            </w:pPr>
            <w:r>
              <w:rPr>
                <w:rFonts w:ascii="Times New Roman" w:cs="Times New Roman" w:eastAsia="Times New Roman" w:hAnsi="Times New Roman"/>
                <w:sz w:val="17"/>
                <w:szCs w:val="17"/>
                <w:color w:val="auto"/>
              </w:rPr>
              <w:t>1.2(e) – Interest Computation</w:t>
            </w:r>
          </w:p>
        </w:tc>
        <w:tc>
          <w:tcPr>
            <w:tcW w:w="20" w:type="dxa"/>
            <w:vAlign w:val="bottom"/>
          </w:tcPr>
          <w:p>
            <w:pPr>
              <w:spacing w:after="0"/>
              <w:rPr>
                <w:sz w:val="14"/>
                <w:szCs w:val="14"/>
                <w:color w:val="auto"/>
              </w:rPr>
            </w:pPr>
          </w:p>
        </w:tc>
        <w:tc>
          <w:tcPr>
            <w:tcW w:w="7360" w:type="dxa"/>
            <w:vAlign w:val="bottom"/>
            <w:tcBorders>
              <w:right w:val="single" w:sz="8" w:color="auto"/>
            </w:tcBorders>
            <w:gridSpan w:val="6"/>
          </w:tcPr>
          <w:p>
            <w:pPr>
              <w:spacing w:after="0" w:line="163" w:lineRule="exact"/>
              <w:rPr>
                <w:sz w:val="20"/>
                <w:szCs w:val="20"/>
                <w:color w:val="auto"/>
              </w:rPr>
            </w:pPr>
            <w:r>
              <w:rPr>
                <w:rFonts w:ascii="Times New Roman" w:cs="Times New Roman" w:eastAsia="Times New Roman" w:hAnsi="Times New Roman"/>
                <w:sz w:val="17"/>
                <w:szCs w:val="17"/>
                <w:color w:val="auto"/>
              </w:rPr>
              <w:t>Interest shall be computed on the basis of the actual number of days elapsed and a 360-day year for any</w:t>
            </w:r>
          </w:p>
        </w:tc>
      </w:tr>
      <w:tr>
        <w:trPr>
          <w:trHeight w:val="232"/>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36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Credit Extension outstanding.</w:t>
            </w:r>
          </w:p>
        </w:tc>
      </w:tr>
      <w:tr>
        <w:trPr>
          <w:trHeight w:val="233"/>
        </w:trPr>
        <w:tc>
          <w:tcPr>
            <w:tcW w:w="40" w:type="dxa"/>
            <w:vAlign w:val="bottom"/>
            <w:tcBorders>
              <w:left w:val="single" w:sz="8" w:color="auto"/>
            </w:tcBorders>
          </w:tcPr>
          <w:p>
            <w:pPr>
              <w:spacing w:after="0"/>
              <w:rPr>
                <w:sz w:val="20"/>
                <w:szCs w:val="20"/>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12.2 – “Borrower”</w:t>
            </w:r>
          </w:p>
        </w:tc>
        <w:tc>
          <w:tcPr>
            <w:tcW w:w="20" w:type="dxa"/>
            <w:vAlign w:val="bottom"/>
          </w:tcPr>
          <w:p>
            <w:pPr>
              <w:spacing w:after="0"/>
              <w:rPr>
                <w:sz w:val="20"/>
                <w:szCs w:val="20"/>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xml:space="preserve">” means (i) </w:t>
            </w:r>
            <w:r>
              <w:rPr>
                <w:rFonts w:ascii="Times New Roman" w:cs="Times New Roman" w:eastAsia="Times New Roman" w:hAnsi="Times New Roman"/>
                <w:sz w:val="17"/>
                <w:szCs w:val="17"/>
                <w:b w:val="1"/>
                <w:bCs w:val="1"/>
                <w:color w:val="auto"/>
              </w:rPr>
              <w:t>SI-BONE, INC.</w:t>
            </w:r>
            <w:r>
              <w:rPr>
                <w:rFonts w:ascii="Times New Roman" w:cs="Times New Roman" w:eastAsia="Times New Roman" w:hAnsi="Times New Roman"/>
                <w:sz w:val="17"/>
                <w:szCs w:val="17"/>
                <w:color w:val="auto"/>
              </w:rPr>
              <w:t>, a Delaware corporation.</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80" w:type="dxa"/>
            <w:vAlign w:val="bottom"/>
            <w:tcBorders>
              <w:bottom w:val="single" w:sz="8" w:color="auto"/>
              <w:right w:val="single" w:sz="8" w:color="auto"/>
            </w:tcBorders>
            <w:gridSpan w:val="5"/>
          </w:tcPr>
          <w:p>
            <w:pPr>
              <w:spacing w:after="0"/>
              <w:rPr>
                <w:sz w:val="20"/>
                <w:szCs w:val="20"/>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12.2 – “Effective Date”</w:t>
            </w:r>
          </w:p>
        </w:tc>
        <w:tc>
          <w:tcPr>
            <w:tcW w:w="20" w:type="dxa"/>
            <w:vAlign w:val="bottom"/>
          </w:tcPr>
          <w:p>
            <w:pPr>
              <w:spacing w:after="0"/>
              <w:rPr>
                <w:sz w:val="19"/>
                <w:szCs w:val="19"/>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August 12, 2021.</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80" w:type="dxa"/>
            <w:vAlign w:val="bottom"/>
            <w:tcBorders>
              <w:bottom w:val="single" w:sz="8" w:color="auto"/>
              <w:right w:val="single" w:sz="8" w:color="auto"/>
            </w:tcBorders>
            <w:gridSpan w:val="5"/>
          </w:tcPr>
          <w:p>
            <w:pPr>
              <w:spacing w:after="0"/>
              <w:rPr>
                <w:sz w:val="20"/>
                <w:szCs w:val="20"/>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12.2 – “Payment Date”</w:t>
            </w:r>
          </w:p>
        </w:tc>
        <w:tc>
          <w:tcPr>
            <w:tcW w:w="20" w:type="dxa"/>
            <w:vAlign w:val="bottom"/>
          </w:tcPr>
          <w:p>
            <w:pPr>
              <w:spacing w:after="0"/>
              <w:rPr>
                <w:sz w:val="19"/>
                <w:szCs w:val="19"/>
                <w:color w:val="auto"/>
              </w:rPr>
            </w:pPr>
          </w:p>
        </w:tc>
        <w:tc>
          <w:tcPr>
            <w:tcW w:w="736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 Date</w:t>
            </w:r>
            <w:r>
              <w:rPr>
                <w:rFonts w:ascii="Times New Roman" w:cs="Times New Roman" w:eastAsia="Times New Roman" w:hAnsi="Times New Roman"/>
                <w:sz w:val="17"/>
                <w:szCs w:val="17"/>
                <w:color w:val="auto"/>
              </w:rPr>
              <w:t>” is the first (1st) calendar day of each month.</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60" w:type="dxa"/>
            <w:vAlign w:val="bottom"/>
            <w:tcBorders>
              <w:bottom w:val="single" w:sz="8" w:color="auto"/>
              <w:right w:val="single" w:sz="8" w:color="auto"/>
            </w:tcBorders>
            <w:gridSpan w:val="3"/>
          </w:tcPr>
          <w:p>
            <w:pPr>
              <w:spacing w:after="0"/>
              <w:rPr>
                <w:sz w:val="20"/>
                <w:szCs w:val="20"/>
                <w:color w:val="auto"/>
              </w:rPr>
            </w:pPr>
          </w:p>
        </w:tc>
      </w:tr>
      <w:tr>
        <w:trPr>
          <w:trHeight w:val="701"/>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3"/>
          </w:tcPr>
          <w:p>
            <w:pPr>
              <w:jc w:val="center"/>
              <w:ind w:right="4980"/>
              <w:spacing w:after="0"/>
              <w:rPr>
                <w:sz w:val="20"/>
                <w:szCs w:val="20"/>
                <w:color w:val="auto"/>
              </w:rPr>
            </w:pPr>
            <w:r>
              <w:rPr>
                <w:rFonts w:ascii="Times New Roman" w:cs="Times New Roman" w:eastAsia="Times New Roman" w:hAnsi="Times New Roman"/>
                <w:sz w:val="17"/>
                <w:szCs w:val="17"/>
                <w:color w:val="auto"/>
              </w:rPr>
              <w:t>I-1</w:t>
            </w:r>
          </w:p>
        </w:tc>
      </w:tr>
      <w:tr>
        <w:trPr>
          <w:trHeight w:val="416"/>
        </w:trPr>
        <w:tc>
          <w:tcPr>
            <w:tcW w:w="3760" w:type="dxa"/>
            <w:vAlign w:val="bottom"/>
            <w:gridSpan w:val="3"/>
          </w:tcPr>
          <w:p>
            <w:pPr>
              <w:jc w:val="right"/>
              <w:ind w:right="1940"/>
              <w:spacing w:after="0"/>
              <w:rPr>
                <w:sz w:val="20"/>
                <w:szCs w:val="20"/>
                <w:color w:val="auto"/>
              </w:rPr>
            </w:pPr>
            <w:r>
              <w:rPr>
                <w:rFonts w:ascii="Times New Roman" w:cs="Times New Roman" w:eastAsia="Times New Roman" w:hAnsi="Times New Roman"/>
                <w:sz w:val="16"/>
                <w:szCs w:val="16"/>
                <w:color w:val="auto"/>
                <w:w w:val="97"/>
              </w:rPr>
              <w:t>1613270762.5</w:t>
            </w:r>
            <w:r>
              <w:rPr>
                <w:rFonts w:ascii="Calibri" w:cs="Calibri" w:eastAsia="Calibri" w:hAnsi="Calibri"/>
                <w:sz w:val="16"/>
                <w:szCs w:val="16"/>
                <w:color w:val="auto"/>
                <w:w w:val="97"/>
              </w:rPr>
              <w:t>1613270762.5</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ACTIVE\1606094096.1</w:t>
      </w:r>
    </w:p>
    <w:p>
      <w:pPr>
        <w:sectPr>
          <w:pgSz w:w="11900" w:h="16838" w:orient="portrait"/>
          <w:cols w:equalWidth="0" w:num="1">
            <w:col w:w="11140"/>
          </w:cols>
          <w:pgMar w:left="320" w:top="1373" w:right="4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31"/>
        </w:trPr>
        <w:tc>
          <w:tcPr>
            <w:tcW w:w="42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“Prime Rate”</w:t>
            </w:r>
          </w:p>
        </w:tc>
        <w:tc>
          <w:tcPr>
            <w:tcW w:w="60" w:type="dxa"/>
            <w:vAlign w:val="bottom"/>
            <w:tcBorders>
              <w:top w:val="single" w:sz="8" w:color="auto"/>
            </w:tcBorders>
          </w:tcPr>
          <w:p>
            <w:pPr>
              <w:spacing w:after="0"/>
              <w:rPr>
                <w:sz w:val="20"/>
                <w:szCs w:val="20"/>
                <w:color w:val="auto"/>
              </w:rPr>
            </w:pPr>
          </w:p>
        </w:tc>
        <w:tc>
          <w:tcPr>
            <w:tcW w:w="732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w:t>
            </w:r>
            <w:r>
              <w:rPr>
                <w:rFonts w:ascii="Times New Roman" w:cs="Times New Roman" w:eastAsia="Times New Roman" w:hAnsi="Times New Roman"/>
                <w:sz w:val="17"/>
                <w:szCs w:val="17"/>
                <w:color w:val="auto"/>
              </w:rPr>
              <w:t>” is the rate of interest per annum from time to time published in the money rates section</w:t>
            </w:r>
          </w:p>
        </w:tc>
      </w:tr>
      <w:tr>
        <w:trPr>
          <w:trHeight w:val="189"/>
        </w:trPr>
        <w:tc>
          <w:tcPr>
            <w:tcW w:w="420" w:type="dxa"/>
            <w:vAlign w:val="bottom"/>
            <w:tcBorders>
              <w:lef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tcBorders>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7"/>
                <w:szCs w:val="17"/>
                <w:color w:val="auto"/>
              </w:rPr>
              <w:t>of The Wall Street Journal or any successor publication thereto as the “prime rate” then in effect;</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90"/>
        </w:trPr>
        <w:tc>
          <w:tcPr>
            <w:tcW w:w="420" w:type="dxa"/>
            <w:vAlign w:val="bottom"/>
            <w:tcBorders>
              <w:lef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tcBorders>
              <w:right w:val="single" w:sz="8" w:color="auto"/>
            </w:tcBorders>
            <w:gridSpan w:val="6"/>
          </w:tcPr>
          <w:p>
            <w:pPr>
              <w:spacing w:after="0" w:line="190" w:lineRule="exact"/>
              <w:rPr>
                <w:sz w:val="20"/>
                <w:szCs w:val="20"/>
                <w:color w:val="auto"/>
              </w:rPr>
            </w:pPr>
            <w:r>
              <w:rPr>
                <w:rFonts w:ascii="Times New Roman" w:cs="Times New Roman" w:eastAsia="Times New Roman" w:hAnsi="Times New Roman"/>
                <w:sz w:val="17"/>
                <w:szCs w:val="17"/>
                <w:color w:val="auto"/>
              </w:rPr>
              <w:t>provided that if such rate of interest, as set forth from time to time in the money rates section of The</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90"/>
        </w:trPr>
        <w:tc>
          <w:tcPr>
            <w:tcW w:w="420" w:type="dxa"/>
            <w:vAlign w:val="bottom"/>
            <w:tcBorders>
              <w:lef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tcBorders>
              <w:right w:val="single" w:sz="8" w:color="auto"/>
            </w:tcBorders>
            <w:gridSpan w:val="6"/>
          </w:tcPr>
          <w:p>
            <w:pPr>
              <w:spacing w:after="0" w:line="190" w:lineRule="exact"/>
              <w:rPr>
                <w:sz w:val="20"/>
                <w:szCs w:val="20"/>
                <w:color w:val="auto"/>
              </w:rPr>
            </w:pPr>
            <w:r>
              <w:rPr>
                <w:rFonts w:ascii="Times New Roman" w:cs="Times New Roman" w:eastAsia="Times New Roman" w:hAnsi="Times New Roman"/>
                <w:sz w:val="17"/>
                <w:szCs w:val="17"/>
                <w:color w:val="auto"/>
              </w:rPr>
              <w:t>Wall Street Journal, becomes unavailable for any reason as determined by Bank, the “Prime Rate” shall</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5980" w:type="dxa"/>
            <w:vAlign w:val="bottom"/>
            <w:tcBorders>
              <w:right w:val="single" w:sz="8" w:color="auto"/>
            </w:tcBorders>
            <w:gridSpan w:val="4"/>
          </w:tcPr>
          <w:p>
            <w:pPr>
              <w:spacing w:after="0" w:line="20" w:lineRule="exact"/>
              <w:rPr>
                <w:sz w:val="1"/>
                <w:szCs w:val="1"/>
                <w:color w:val="auto"/>
              </w:rPr>
            </w:pPr>
          </w:p>
        </w:tc>
      </w:tr>
      <w:tr>
        <w:trPr>
          <w:trHeight w:val="211"/>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mean the rate of interest per annum announced by Bank as its prime rate in effect at its principal office</w:t>
            </w:r>
          </w:p>
        </w:tc>
      </w:tr>
      <w:tr>
        <w:trPr>
          <w:trHeight w:val="210"/>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in the State of California (such Bank announced Prime Rate not being intended to be the lowest rate of</w:t>
            </w:r>
          </w:p>
        </w:tc>
      </w:tr>
      <w:tr>
        <w:trPr>
          <w:trHeight w:val="210"/>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interest charged by Bank in connection with extensions of credit to debtors); provided that, in the event</w:t>
            </w:r>
          </w:p>
        </w:tc>
      </w:tr>
      <w:tr>
        <w:trPr>
          <w:trHeight w:val="210"/>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such rate of interest is less than zero percent (0.0%) per annum, such rate shall be deemed to be zero</w:t>
            </w:r>
          </w:p>
        </w:tc>
      </w:tr>
      <w:tr>
        <w:trPr>
          <w:trHeight w:val="228"/>
        </w:trPr>
        <w:tc>
          <w:tcPr>
            <w:tcW w:w="420" w:type="dxa"/>
            <w:vAlign w:val="bottom"/>
            <w:tcBorders>
              <w:lef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percent (0.0%) per annum for purposes of this Agreement.</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29"/>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“Prime Rate Margin”</w:t>
            </w:r>
          </w:p>
        </w:tc>
        <w:tc>
          <w:tcPr>
            <w:tcW w:w="60" w:type="dxa"/>
            <w:vAlign w:val="bottom"/>
          </w:tcPr>
          <w:p>
            <w:pPr>
              <w:spacing w:after="0"/>
              <w:rPr>
                <w:sz w:val="19"/>
                <w:szCs w:val="19"/>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 Margin</w:t>
            </w:r>
            <w:r>
              <w:rPr>
                <w:rFonts w:ascii="Times New Roman" w:cs="Times New Roman" w:eastAsia="Times New Roman" w:hAnsi="Times New Roman"/>
                <w:sz w:val="17"/>
                <w:szCs w:val="17"/>
                <w:color w:val="auto"/>
              </w:rPr>
              <w:t>” is for Term Loan Advances, one half of one percent (0.50%).</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11"/>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“Term Loan Amortization Date”</w:t>
            </w:r>
          </w:p>
        </w:tc>
        <w:tc>
          <w:tcPr>
            <w:tcW w:w="60" w:type="dxa"/>
            <w:vAlign w:val="bottom"/>
          </w:tcPr>
          <w:p>
            <w:pPr>
              <w:spacing w:after="0"/>
              <w:rPr>
                <w:sz w:val="18"/>
                <w:szCs w:val="18"/>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Amortization Date</w:t>
            </w:r>
            <w:r>
              <w:rPr>
                <w:rFonts w:ascii="Times New Roman" w:cs="Times New Roman" w:eastAsia="Times New Roman" w:hAnsi="Times New Roman"/>
                <w:sz w:val="17"/>
                <w:szCs w:val="17"/>
                <w:color w:val="auto"/>
              </w:rPr>
              <w:t>” is October 1, 2027; provided that upon the occurrence of the</w:t>
            </w:r>
          </w:p>
        </w:tc>
      </w:tr>
      <w:tr>
        <w:trPr>
          <w:trHeight w:val="228"/>
        </w:trPr>
        <w:tc>
          <w:tcPr>
            <w:tcW w:w="420" w:type="dxa"/>
            <w:vAlign w:val="bottom"/>
            <w:tcBorders>
              <w:lef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Performance Milestone, the Term Loan Amortization Date shall become October 1, 2028.</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29"/>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“Term Loan Availability Amount”</w:t>
            </w:r>
          </w:p>
        </w:tc>
        <w:tc>
          <w:tcPr>
            <w:tcW w:w="60" w:type="dxa"/>
            <w:vAlign w:val="bottom"/>
          </w:tcPr>
          <w:p>
            <w:pPr>
              <w:spacing w:after="0"/>
              <w:rPr>
                <w:sz w:val="19"/>
                <w:szCs w:val="19"/>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Availability Amount</w:t>
            </w:r>
            <w:r>
              <w:rPr>
                <w:rFonts w:ascii="Times New Roman" w:cs="Times New Roman" w:eastAsia="Times New Roman" w:hAnsi="Times New Roman"/>
                <w:sz w:val="17"/>
                <w:szCs w:val="17"/>
                <w:color w:val="auto"/>
              </w:rPr>
              <w:t>” is Thirty-Six Million Dollars ($36,000,000).</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29"/>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“Term Loan Maturity Date”</w:t>
            </w:r>
          </w:p>
        </w:tc>
        <w:tc>
          <w:tcPr>
            <w:tcW w:w="60" w:type="dxa"/>
            <w:vAlign w:val="bottom"/>
          </w:tcPr>
          <w:p>
            <w:pPr>
              <w:spacing w:after="0"/>
              <w:rPr>
                <w:sz w:val="19"/>
                <w:szCs w:val="19"/>
                <w:color w:val="auto"/>
              </w:rPr>
            </w:pPr>
          </w:p>
        </w:tc>
        <w:tc>
          <w:tcPr>
            <w:tcW w:w="73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Maturity Date</w:t>
            </w:r>
            <w:r>
              <w:rPr>
                <w:rFonts w:ascii="Times New Roman" w:cs="Times New Roman" w:eastAsia="Times New Roman" w:hAnsi="Times New Roman"/>
                <w:sz w:val="17"/>
                <w:szCs w:val="17"/>
                <w:color w:val="auto"/>
              </w:rPr>
              <w:t>” is September 1, 2029.</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1613270762.5</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ACTIVE\1606094096.1</w:t>
      </w:r>
    </w:p>
    <w:p>
      <w:pPr>
        <w:sectPr>
          <w:pgSz w:w="11900" w:h="16838" w:orient="portrait"/>
          <w:cols w:equalWidth="0" w:num="1">
            <w:col w:w="11140"/>
          </w:cols>
          <w:pgMar w:left="320" w:top="1405" w:right="439" w:bottom="1440" w:gutter="0" w:footer="0" w:header="0"/>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t>COMPLIANCE STATEMENT</w:t>
      </w:r>
    </w:p>
    <w:p>
      <w:pPr>
        <w:spacing w:after="0" w:line="224" w:lineRule="exact"/>
        <w:rPr>
          <w:sz w:val="20"/>
          <w:szCs w:val="20"/>
          <w:color w:val="auto"/>
        </w:rPr>
      </w:pPr>
    </w:p>
    <w:p>
      <w:pPr>
        <w:spacing w:after="0"/>
        <w:tabs>
          <w:tab w:leader="none" w:pos="440" w:val="left"/>
          <w:tab w:leader="none" w:pos="7420" w:val="left"/>
        </w:tabs>
        <w:rPr>
          <w:sz w:val="20"/>
          <w:szCs w:val="20"/>
          <w:color w:val="auto"/>
        </w:rPr>
      </w:pPr>
      <w:r>
        <w:rPr>
          <w:rFonts w:ascii="Times New Roman" w:cs="Times New Roman" w:eastAsia="Times New Roman" w:hAnsi="Times New Roman"/>
          <w:sz w:val="17"/>
          <w:szCs w:val="17"/>
          <w:color w:val="auto"/>
        </w:rPr>
        <w:t>TO:</w:t>
        <w:tab/>
        <w:t>SILICON VALLEY BANK, A DIVISION OF FIRST-CITIZENS BANK &amp; TRUST COMPANY</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4987290</wp:posOffset>
            </wp:positionH>
            <wp:positionV relativeFrom="paragraph">
              <wp:posOffset>-3810</wp:posOffset>
            </wp:positionV>
            <wp:extent cx="22225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2">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FROM:</w:t>
        <w:tab/>
        <w:t>SI-BONE, INC.</w:t>
      </w:r>
    </w:p>
    <w:p>
      <w:pPr>
        <w:spacing w:after="0" w:line="206" w:lineRule="exact"/>
        <w:rPr>
          <w:sz w:val="20"/>
          <w:szCs w:val="20"/>
          <w:color w:val="auto"/>
        </w:rPr>
      </w:pPr>
    </w:p>
    <w:p>
      <w:pPr>
        <w:jc w:val="both"/>
        <w:ind w:right="20" w:firstLine="629"/>
        <w:spacing w:after="0" w:line="268" w:lineRule="auto"/>
        <w:rPr>
          <w:sz w:val="20"/>
          <w:szCs w:val="20"/>
          <w:color w:val="auto"/>
        </w:rPr>
      </w:pPr>
      <w:r>
        <w:rPr>
          <w:rFonts w:ascii="Times New Roman" w:cs="Times New Roman" w:eastAsia="Times New Roman" w:hAnsi="Times New Roman"/>
          <w:sz w:val="17"/>
          <w:szCs w:val="17"/>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Borrower is in complete compliance for the period ending _______________ with all required covenants except</w:t>
      </w:r>
    </w:p>
    <w:p>
      <w:pPr>
        <w:spacing w:after="0" w:line="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as noted below. Attached are the required documents evidencing such compliance, setting forth calculations prepared in accordance with GAAP consistently applied from one period to the next except as explained in an accompanying letter or footnotes (and except for with respect to unaudited financial statements for the absence of footnotes and subject to year-end audit adjustments). Capitalized terms used but not otherwise defined herein shall have the meanings given them in the Agreement.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Please indicate compliance status by circling Yes/No under “Complies” column.</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4840" w:type="dxa"/>
            <w:vAlign w:val="bottom"/>
            <w:tcBorders>
              <w:top w:val="single" w:sz="8" w:color="auto"/>
              <w:left w:val="single" w:sz="8" w:color="auto"/>
              <w:right w:val="single" w:sz="8" w:color="auto"/>
            </w:tcBorders>
            <w:gridSpan w:val="3"/>
          </w:tcPr>
          <w:p>
            <w:pPr>
              <w:ind w:left="1620"/>
              <w:spacing w:after="0" w:line="177" w:lineRule="exact"/>
              <w:rPr>
                <w:sz w:val="20"/>
                <w:szCs w:val="20"/>
                <w:color w:val="auto"/>
              </w:rPr>
            </w:pPr>
            <w:r>
              <w:rPr>
                <w:rFonts w:ascii="Times New Roman" w:cs="Times New Roman" w:eastAsia="Times New Roman" w:hAnsi="Times New Roman"/>
                <w:sz w:val="17"/>
                <w:szCs w:val="17"/>
                <w:b w:val="1"/>
                <w:bCs w:val="1"/>
                <w:color w:val="auto"/>
              </w:rPr>
              <w:t>Reporting Covenants</w:t>
            </w:r>
          </w:p>
        </w:tc>
        <w:tc>
          <w:tcPr>
            <w:tcW w:w="1200" w:type="dxa"/>
            <w:vAlign w:val="bottom"/>
            <w:tcBorders>
              <w:top w:val="single" w:sz="8" w:color="auto"/>
            </w:tcBorders>
          </w:tcPr>
          <w:p>
            <w:pPr>
              <w:spacing w:after="0"/>
              <w:rPr>
                <w:sz w:val="15"/>
                <w:szCs w:val="15"/>
                <w:color w:val="auto"/>
              </w:rPr>
            </w:pPr>
          </w:p>
        </w:tc>
        <w:tc>
          <w:tcPr>
            <w:tcW w:w="1900" w:type="dxa"/>
            <w:vAlign w:val="bottom"/>
            <w:tcBorders>
              <w:top w:val="single" w:sz="8" w:color="auto"/>
              <w:right w:val="single" w:sz="8" w:color="auto"/>
            </w:tcBorders>
            <w:gridSpan w:val="2"/>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Required</w:t>
            </w:r>
          </w:p>
        </w:tc>
        <w:tc>
          <w:tcPr>
            <w:tcW w:w="3320" w:type="dxa"/>
            <w:vAlign w:val="bottom"/>
            <w:tcBorders>
              <w:top w:val="single" w:sz="8" w:color="auto"/>
              <w:right w:val="single" w:sz="8" w:color="auto"/>
            </w:tcBorders>
            <w:gridSpan w:val="3"/>
          </w:tcPr>
          <w:p>
            <w:pPr>
              <w:jc w:val="center"/>
              <w:ind w:right="20"/>
              <w:spacing w:after="0" w:line="177" w:lineRule="exact"/>
              <w:rPr>
                <w:sz w:val="20"/>
                <w:szCs w:val="20"/>
                <w:color w:val="auto"/>
              </w:rPr>
            </w:pPr>
            <w:r>
              <w:rPr>
                <w:rFonts w:ascii="Times New Roman" w:cs="Times New Roman" w:eastAsia="Times New Roman" w:hAnsi="Times New Roman"/>
                <w:sz w:val="17"/>
                <w:szCs w:val="17"/>
                <w:b w:val="1"/>
                <w:bCs w:val="1"/>
                <w:color w:val="auto"/>
              </w:rPr>
              <w:t>Complies</w:t>
            </w:r>
          </w:p>
        </w:tc>
      </w:tr>
      <w:tr>
        <w:trPr>
          <w:trHeight w:val="20"/>
        </w:trPr>
        <w:tc>
          <w:tcPr>
            <w:tcW w:w="1620" w:type="dxa"/>
            <w:vAlign w:val="bottom"/>
            <w:tcBorders>
              <w:left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71"/>
        </w:trPr>
        <w:tc>
          <w:tcPr>
            <w:tcW w:w="4840" w:type="dxa"/>
            <w:vAlign w:val="bottom"/>
            <w:tcBorders>
              <w:left w:val="single" w:sz="8" w:color="auto"/>
              <w:right w:val="single" w:sz="8" w:color="auto"/>
            </w:tcBorders>
            <w:gridSpan w:val="3"/>
          </w:tcPr>
          <w:p>
            <w:pPr>
              <w:ind w:left="80"/>
              <w:spacing w:after="0" w:line="171" w:lineRule="exact"/>
              <w:rPr>
                <w:sz w:val="20"/>
                <w:szCs w:val="20"/>
                <w:color w:val="auto"/>
              </w:rPr>
            </w:pPr>
            <w:r>
              <w:rPr>
                <w:rFonts w:ascii="Times New Roman" w:cs="Times New Roman" w:eastAsia="Times New Roman" w:hAnsi="Times New Roman"/>
                <w:sz w:val="17"/>
                <w:szCs w:val="17"/>
                <w:color w:val="auto"/>
              </w:rPr>
              <w:t>Quarterly Financial Statements with Compliance Statement</w:t>
            </w:r>
          </w:p>
        </w:tc>
        <w:tc>
          <w:tcPr>
            <w:tcW w:w="3100" w:type="dxa"/>
            <w:vAlign w:val="bottom"/>
            <w:tcBorders>
              <w:right w:val="single" w:sz="8" w:color="auto"/>
            </w:tcBorders>
            <w:gridSpan w:val="3"/>
          </w:tcPr>
          <w:p>
            <w:pPr>
              <w:ind w:left="60"/>
              <w:spacing w:after="0" w:line="171" w:lineRule="exact"/>
              <w:rPr>
                <w:sz w:val="20"/>
                <w:szCs w:val="20"/>
                <w:color w:val="auto"/>
              </w:rPr>
            </w:pPr>
            <w:r>
              <w:rPr>
                <w:rFonts w:ascii="Times New Roman" w:cs="Times New Roman" w:eastAsia="Times New Roman" w:hAnsi="Times New Roman"/>
                <w:sz w:val="17"/>
                <w:szCs w:val="17"/>
                <w:color w:val="auto"/>
              </w:rPr>
              <w:t>Quarterly within 45 days and FYE within</w:t>
            </w:r>
          </w:p>
        </w:tc>
        <w:tc>
          <w:tcPr>
            <w:tcW w:w="1300" w:type="dxa"/>
            <w:vAlign w:val="bottom"/>
          </w:tcPr>
          <w:p>
            <w:pPr>
              <w:spacing w:after="0"/>
              <w:rPr>
                <w:sz w:val="14"/>
                <w:szCs w:val="14"/>
                <w:color w:val="auto"/>
              </w:rPr>
            </w:pPr>
          </w:p>
        </w:tc>
        <w:tc>
          <w:tcPr>
            <w:tcW w:w="2020" w:type="dxa"/>
            <w:vAlign w:val="bottom"/>
            <w:tcBorders>
              <w:right w:val="single" w:sz="8" w:color="auto"/>
            </w:tcBorders>
            <w:gridSpan w:val="2"/>
          </w:tcPr>
          <w:p>
            <w:pPr>
              <w:jc w:val="center"/>
              <w:ind w:right="1320"/>
              <w:spacing w:after="0" w:line="171" w:lineRule="exact"/>
              <w:rPr>
                <w:sz w:val="20"/>
                <w:szCs w:val="20"/>
                <w:color w:val="auto"/>
              </w:rPr>
            </w:pPr>
            <w:r>
              <w:rPr>
                <w:rFonts w:ascii="Times New Roman" w:cs="Times New Roman" w:eastAsia="Times New Roman" w:hAnsi="Times New Roman"/>
                <w:sz w:val="17"/>
                <w:szCs w:val="17"/>
                <w:color w:val="auto"/>
                <w:w w:val="97"/>
              </w:rPr>
              <w:t>Yes No</w:t>
            </w:r>
          </w:p>
        </w:tc>
      </w:tr>
      <w:tr>
        <w:trPr>
          <w:trHeight w:val="228"/>
        </w:trPr>
        <w:tc>
          <w:tcPr>
            <w:tcW w:w="1620" w:type="dxa"/>
            <w:vAlign w:val="bottom"/>
            <w:tcBorders>
              <w:left w:val="single" w:sz="8" w:color="auto"/>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31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90 days</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16"/>
        </w:trPr>
        <w:tc>
          <w:tcPr>
            <w:tcW w:w="484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Annual financial statements (CPA Audited)</w:t>
            </w:r>
          </w:p>
        </w:tc>
        <w:tc>
          <w:tcPr>
            <w:tcW w:w="31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FYE within 180 days</w:t>
            </w:r>
          </w:p>
        </w:tc>
        <w:tc>
          <w:tcPr>
            <w:tcW w:w="1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7"/>
                <w:szCs w:val="17"/>
                <w:color w:val="auto"/>
                <w:w w:val="97"/>
              </w:rPr>
              <w:t>Yes No</w:t>
            </w:r>
          </w:p>
        </w:tc>
      </w:tr>
      <w:tr>
        <w:trPr>
          <w:trHeight w:val="171"/>
        </w:trPr>
        <w:tc>
          <w:tcPr>
            <w:tcW w:w="4840" w:type="dxa"/>
            <w:vAlign w:val="bottom"/>
            <w:tcBorders>
              <w:left w:val="single" w:sz="8" w:color="auto"/>
              <w:right w:val="single" w:sz="8" w:color="auto"/>
            </w:tcBorders>
            <w:gridSpan w:val="3"/>
          </w:tcPr>
          <w:p>
            <w:pPr>
              <w:ind w:left="80"/>
              <w:spacing w:after="0" w:line="172" w:lineRule="exact"/>
              <w:rPr>
                <w:sz w:val="20"/>
                <w:szCs w:val="20"/>
                <w:color w:val="auto"/>
              </w:rPr>
            </w:pPr>
            <w:r>
              <w:rPr>
                <w:rFonts w:ascii="Times New Roman" w:cs="Times New Roman" w:eastAsia="Times New Roman" w:hAnsi="Times New Roman"/>
                <w:sz w:val="17"/>
                <w:szCs w:val="17"/>
                <w:color w:val="auto"/>
              </w:rPr>
              <w:t>10-Q, 10-K and 8-K</w:t>
            </w:r>
          </w:p>
        </w:tc>
        <w:tc>
          <w:tcPr>
            <w:tcW w:w="3100" w:type="dxa"/>
            <w:vAlign w:val="bottom"/>
            <w:tcBorders>
              <w:right w:val="single" w:sz="8" w:color="auto"/>
            </w:tcBorders>
            <w:gridSpan w:val="3"/>
          </w:tcPr>
          <w:p>
            <w:pPr>
              <w:ind w:left="60"/>
              <w:spacing w:after="0" w:line="172" w:lineRule="exact"/>
              <w:rPr>
                <w:sz w:val="20"/>
                <w:szCs w:val="20"/>
                <w:color w:val="auto"/>
              </w:rPr>
            </w:pPr>
            <w:r>
              <w:rPr>
                <w:rFonts w:ascii="Times New Roman" w:cs="Times New Roman" w:eastAsia="Times New Roman" w:hAnsi="Times New Roman"/>
                <w:sz w:val="17"/>
                <w:szCs w:val="17"/>
                <w:color w:val="auto"/>
              </w:rPr>
              <w:t>Within 5 Business Days after filing with</w:t>
            </w:r>
          </w:p>
        </w:tc>
        <w:tc>
          <w:tcPr>
            <w:tcW w:w="3320" w:type="dxa"/>
            <w:vAlign w:val="bottom"/>
            <w:tcBorders>
              <w:right w:val="single" w:sz="8" w:color="auto"/>
            </w:tcBorders>
            <w:gridSpan w:val="3"/>
          </w:tcPr>
          <w:p>
            <w:pPr>
              <w:jc w:val="center"/>
              <w:ind w:right="20"/>
              <w:spacing w:after="0" w:line="172" w:lineRule="exact"/>
              <w:rPr>
                <w:sz w:val="20"/>
                <w:szCs w:val="20"/>
                <w:color w:val="auto"/>
              </w:rPr>
            </w:pPr>
            <w:r>
              <w:rPr>
                <w:rFonts w:ascii="Times New Roman" w:cs="Times New Roman" w:eastAsia="Times New Roman" w:hAnsi="Times New Roman"/>
                <w:sz w:val="17"/>
                <w:szCs w:val="17"/>
                <w:color w:val="auto"/>
              </w:rPr>
              <w:t>Yes No N/A</w:t>
            </w:r>
          </w:p>
        </w:tc>
      </w:tr>
      <w:tr>
        <w:trPr>
          <w:trHeight w:val="228"/>
        </w:trPr>
        <w:tc>
          <w:tcPr>
            <w:tcW w:w="1620" w:type="dxa"/>
            <w:vAlign w:val="bottom"/>
            <w:tcBorders>
              <w:left w:val="single" w:sz="8" w:color="auto"/>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31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SEC</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177"/>
        </w:trPr>
        <w:tc>
          <w:tcPr>
            <w:tcW w:w="4840" w:type="dxa"/>
            <w:vAlign w:val="bottom"/>
            <w:tcBorders>
              <w:left w:val="single" w:sz="8" w:color="auto"/>
              <w:right w:val="single" w:sz="8" w:color="auto"/>
            </w:tcBorders>
            <w:gridSpan w:val="3"/>
          </w:tcPr>
          <w:p>
            <w:pPr>
              <w:ind w:left="80"/>
              <w:spacing w:after="0" w:line="177" w:lineRule="exact"/>
              <w:rPr>
                <w:sz w:val="20"/>
                <w:szCs w:val="20"/>
                <w:color w:val="auto"/>
              </w:rPr>
            </w:pPr>
            <w:r>
              <w:rPr>
                <w:rFonts w:ascii="Times New Roman" w:cs="Times New Roman" w:eastAsia="Times New Roman" w:hAnsi="Times New Roman"/>
                <w:sz w:val="17"/>
                <w:szCs w:val="17"/>
                <w:color w:val="auto"/>
              </w:rPr>
              <w:t>Board approved projections</w:t>
            </w:r>
          </w:p>
        </w:tc>
        <w:tc>
          <w:tcPr>
            <w:tcW w:w="3100" w:type="dxa"/>
            <w:vAlign w:val="bottom"/>
            <w:tcBorders>
              <w:right w:val="single" w:sz="8" w:color="auto"/>
            </w:tcBorders>
            <w:gridSpan w:val="3"/>
          </w:tcPr>
          <w:p>
            <w:pPr>
              <w:ind w:left="60"/>
              <w:spacing w:after="0" w:line="177" w:lineRule="exact"/>
              <w:rPr>
                <w:sz w:val="20"/>
                <w:szCs w:val="20"/>
                <w:color w:val="auto"/>
              </w:rPr>
            </w:pPr>
            <w:r>
              <w:rPr>
                <w:rFonts w:ascii="Times New Roman" w:cs="Times New Roman" w:eastAsia="Times New Roman" w:hAnsi="Times New Roman"/>
                <w:sz w:val="17"/>
                <w:szCs w:val="17"/>
                <w:color w:val="auto"/>
              </w:rPr>
              <w:t>FYE within 30 days and within 30 days, as</w:t>
            </w:r>
          </w:p>
        </w:tc>
        <w:tc>
          <w:tcPr>
            <w:tcW w:w="1300" w:type="dxa"/>
            <w:vAlign w:val="bottom"/>
          </w:tcPr>
          <w:p>
            <w:pPr>
              <w:spacing w:after="0"/>
              <w:rPr>
                <w:sz w:val="15"/>
                <w:szCs w:val="15"/>
                <w:color w:val="auto"/>
              </w:rPr>
            </w:pPr>
          </w:p>
        </w:tc>
        <w:tc>
          <w:tcPr>
            <w:tcW w:w="2020" w:type="dxa"/>
            <w:vAlign w:val="bottom"/>
            <w:tcBorders>
              <w:right w:val="single" w:sz="8" w:color="auto"/>
            </w:tcBorders>
            <w:gridSpan w:val="2"/>
          </w:tcPr>
          <w:p>
            <w:pPr>
              <w:jc w:val="center"/>
              <w:ind w:right="1320"/>
              <w:spacing w:after="0" w:line="177" w:lineRule="exact"/>
              <w:rPr>
                <w:sz w:val="20"/>
                <w:szCs w:val="20"/>
                <w:color w:val="auto"/>
              </w:rPr>
            </w:pPr>
            <w:r>
              <w:rPr>
                <w:rFonts w:ascii="Times New Roman" w:cs="Times New Roman" w:eastAsia="Times New Roman" w:hAnsi="Times New Roman"/>
                <w:sz w:val="17"/>
                <w:szCs w:val="17"/>
                <w:color w:val="auto"/>
                <w:w w:val="97"/>
              </w:rPr>
              <w:t>Yes No</w:t>
            </w:r>
          </w:p>
        </w:tc>
      </w:tr>
      <w:tr>
        <w:trPr>
          <w:trHeight w:val="170"/>
        </w:trPr>
        <w:tc>
          <w:tcPr>
            <w:tcW w:w="1620" w:type="dxa"/>
            <w:vAlign w:val="bottom"/>
            <w:tcBorders>
              <w:lef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100" w:type="dxa"/>
            <w:vAlign w:val="bottom"/>
            <w:tcBorders>
              <w:right w:val="single" w:sz="8" w:color="auto"/>
            </w:tcBorders>
            <w:gridSpan w:val="3"/>
          </w:tcPr>
          <w:p>
            <w:pPr>
              <w:ind w:left="60"/>
              <w:spacing w:after="0" w:line="171" w:lineRule="exact"/>
              <w:rPr>
                <w:sz w:val="20"/>
                <w:szCs w:val="20"/>
                <w:color w:val="auto"/>
              </w:rPr>
            </w:pPr>
            <w:r>
              <w:rPr>
                <w:rFonts w:ascii="Times New Roman" w:cs="Times New Roman" w:eastAsia="Times New Roman" w:hAnsi="Times New Roman"/>
                <w:sz w:val="17"/>
                <w:szCs w:val="17"/>
                <w:color w:val="auto"/>
              </w:rPr>
              <w:t>amended/updated, in each case as</w:t>
            </w: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r>
      <w:tr>
        <w:trPr>
          <w:trHeight w:val="223"/>
        </w:trPr>
        <w:tc>
          <w:tcPr>
            <w:tcW w:w="1620" w:type="dxa"/>
            <w:vAlign w:val="bottom"/>
            <w:tcBorders>
              <w:left w:val="single" w:sz="8" w:color="auto"/>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31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approved by the Board</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11"/>
        </w:trPr>
        <w:tc>
          <w:tcPr>
            <w:tcW w:w="4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Have there been any material amendments to the Operating</w:t>
            </w:r>
          </w:p>
        </w:tc>
        <w:tc>
          <w:tcPr>
            <w:tcW w:w="31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N/A</w:t>
            </w:r>
          </w:p>
        </w:tc>
        <w:tc>
          <w:tcPr>
            <w:tcW w:w="1300" w:type="dxa"/>
            <w:vAlign w:val="bottom"/>
          </w:tcPr>
          <w:p>
            <w:pPr>
              <w:spacing w:after="0"/>
              <w:rPr>
                <w:sz w:val="18"/>
                <w:szCs w:val="18"/>
                <w:color w:val="auto"/>
              </w:rPr>
            </w:pPr>
          </w:p>
        </w:tc>
        <w:tc>
          <w:tcPr>
            <w:tcW w:w="2020" w:type="dxa"/>
            <w:vAlign w:val="bottom"/>
            <w:tcBorders>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7"/>
                <w:szCs w:val="17"/>
                <w:color w:val="auto"/>
                <w:w w:val="97"/>
              </w:rPr>
              <w:t>Yes No</w:t>
            </w:r>
          </w:p>
        </w:tc>
      </w:tr>
      <w:tr>
        <w:trPr>
          <w:trHeight w:val="210"/>
        </w:trPr>
        <w:tc>
          <w:tcPr>
            <w:tcW w:w="4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Documents of Borrower? If yes, provide copies of any such</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28"/>
        </w:trPr>
        <w:tc>
          <w:tcPr>
            <w:tcW w:w="4840" w:type="dxa"/>
            <w:vAlign w:val="bottom"/>
            <w:tcBorders>
              <w:left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amendments or changes with this Compliance Statement</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r>
      <w:tr>
        <w:trPr>
          <w:trHeight w:val="27"/>
        </w:trPr>
        <w:tc>
          <w:tcPr>
            <w:tcW w:w="162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right="20" w:firstLine="239"/>
        <w:spacing w:after="0" w:line="297" w:lineRule="auto"/>
        <w:rPr>
          <w:sz w:val="20"/>
          <w:szCs w:val="20"/>
          <w:color w:val="auto"/>
        </w:rPr>
      </w:pPr>
      <w:r>
        <w:rPr>
          <w:rFonts w:ascii="Times New Roman" w:cs="Times New Roman" w:eastAsia="Times New Roman" w:hAnsi="Times New Roman"/>
          <w:sz w:val="17"/>
          <w:szCs w:val="17"/>
          <w:color w:val="auto"/>
        </w:rPr>
        <w:t>The following financial covenant analyses and information set forth in Schedule 1 attached hereto are true and correct as of the date of this Compliance Statement.</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are the exceptions with respect to the statements above: (If no exceptions exist, state “No exceptions to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A-1</w:t>
      </w:r>
    </w:p>
    <w:p>
      <w:pPr>
        <w:spacing w:after="0"/>
        <w:rPr>
          <w:sz w:val="20"/>
          <w:szCs w:val="20"/>
          <w:color w:val="auto"/>
        </w:rPr>
      </w:pPr>
      <w:r>
        <w:rPr>
          <w:rFonts w:ascii="Times New Roman" w:cs="Times New Roman" w:eastAsia="Times New Roman" w:hAnsi="Times New Roman"/>
          <w:sz w:val="16"/>
          <w:szCs w:val="16"/>
          <w:color w:val="auto"/>
        </w:rPr>
        <w:t>1613270762.51613270762.5</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ACTIVE\1606094096.1</w:t>
      </w:r>
    </w:p>
    <w:p>
      <w:pPr>
        <w:sectPr>
          <w:pgSz w:w="11900" w:h="16838" w:orient="portrait"/>
          <w:cols w:equalWidth="0" w:num="1">
            <w:col w:w="11260"/>
          </w:cols>
          <w:pgMar w:left="320" w:top="945" w:right="319" w:bottom="1440" w:gutter="0" w:footer="0" w:header="0"/>
        </w:sectPr>
      </w:pPr>
    </w:p>
    <w:bookmarkStart w:id="95" w:name="page96"/>
    <w:bookmarkEnd w:id="95"/>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SI-Bone, INC.</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-3810</wp:posOffset>
            </wp:positionV>
            <wp:extent cx="1111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11112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-15240</wp:posOffset>
            </wp:positionV>
            <wp:extent cx="1111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1613270762.5</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ACTIVE\1606094096.1</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17"/>
          <w:szCs w:val="17"/>
          <w:b w:val="1"/>
          <w:bCs w:val="1"/>
          <w:color w:val="auto"/>
        </w:rPr>
        <w:t>BANK USE ONLY</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Received by: _____________________</w:t>
      </w:r>
    </w:p>
    <w:p>
      <w:pPr>
        <w:spacing w:after="0" w:line="3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authorized signer</w:t>
      </w:r>
    </w:p>
    <w:p>
      <w:pPr>
        <w:spacing w:after="0" w:line="14"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7"/>
          <w:szCs w:val="17"/>
          <w:color w:val="auto"/>
        </w:rPr>
        <w:t>Date:</w:t>
        <w:tab/>
        <w:t>_________________________</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Verified: ________________________</w:t>
      </w:r>
    </w:p>
    <w:p>
      <w:pPr>
        <w:spacing w:after="0" w:line="3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authorized signer</w:t>
      </w:r>
    </w:p>
    <w:p>
      <w:pPr>
        <w:spacing w:after="0" w:line="14"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7"/>
          <w:szCs w:val="17"/>
          <w:color w:val="auto"/>
        </w:rPr>
        <w:t>Date:</w:t>
        <w:tab/>
        <w:t>_________________________</w:t>
      </w:r>
    </w:p>
    <w:p>
      <w:pPr>
        <w:spacing w:after="0" w:line="232" w:lineRule="exact"/>
        <w:rPr>
          <w:sz w:val="20"/>
          <w:szCs w:val="20"/>
          <w:color w:val="auto"/>
        </w:rPr>
      </w:pPr>
    </w:p>
    <w:p>
      <w:pPr>
        <w:ind w:left="320"/>
        <w:spacing w:after="0"/>
        <w:tabs>
          <w:tab w:leader="none" w:pos="1840" w:val="left"/>
        </w:tabs>
        <w:rPr>
          <w:sz w:val="20"/>
          <w:szCs w:val="20"/>
          <w:color w:val="auto"/>
        </w:rPr>
      </w:pPr>
      <w:r>
        <w:rPr>
          <w:rFonts w:ascii="Times New Roman" w:cs="Times New Roman" w:eastAsia="Times New Roman" w:hAnsi="Times New Roman"/>
          <w:sz w:val="17"/>
          <w:szCs w:val="17"/>
          <w:color w:val="auto"/>
        </w:rPr>
        <w:t>Compliance Status:</w:t>
      </w:r>
      <w:r>
        <w:rPr>
          <w:sz w:val="20"/>
          <w:szCs w:val="20"/>
          <w:color w:val="auto"/>
        </w:rPr>
        <w:tab/>
      </w:r>
      <w:r>
        <w:rPr>
          <w:rFonts w:ascii="Times New Roman" w:cs="Times New Roman" w:eastAsia="Times New Roman" w:hAnsi="Times New Roman"/>
          <w:sz w:val="16"/>
          <w:szCs w:val="16"/>
          <w:color w:val="auto"/>
        </w:rPr>
        <w:t>Yes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379"/>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2">
            <w:col w:w="4760" w:space="720"/>
            <w:col w:w="4659"/>
          </w:cols>
          <w:pgMar w:left="320" w:top="997" w:right="1440" w:bottom="1440" w:gutter="0" w:footer="0" w:header="0"/>
        </w:sectPr>
      </w:pPr>
    </w:p>
    <w:bookmarkStart w:id="96" w:name="page97"/>
    <w:bookmarkEnd w:id="96"/>
    <w:p>
      <w:pPr>
        <w:jc w:val="center"/>
        <w:ind w:right="-93"/>
        <w:spacing w:after="0"/>
        <w:rPr>
          <w:sz w:val="20"/>
          <w:szCs w:val="20"/>
          <w:color w:val="auto"/>
        </w:rPr>
      </w:pPr>
      <w:r>
        <w:rPr>
          <w:rFonts w:ascii="Times New Roman" w:cs="Times New Roman" w:eastAsia="Times New Roman" w:hAnsi="Times New Roman"/>
          <w:sz w:val="17"/>
          <w:szCs w:val="17"/>
          <w:b w:val="1"/>
          <w:bCs w:val="1"/>
          <w:u w:val="single" w:color="auto"/>
          <w:color w:val="auto"/>
        </w:rPr>
        <w:t>Schedule 1 to Compliance Statement</w:t>
      </w:r>
    </w:p>
    <w:p>
      <w:pPr>
        <w:spacing w:after="0" w:line="250"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7"/>
          <w:szCs w:val="17"/>
          <w:b w:val="1"/>
          <w:bCs w:val="1"/>
          <w:u w:val="single" w:color="auto"/>
          <w:color w:val="auto"/>
        </w:rPr>
        <w:t>Financial Covenants of Borrower</w:t>
      </w:r>
    </w:p>
    <w:p>
      <w:pPr>
        <w:spacing w:after="0" w:line="252"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color w:val="auto"/>
        </w:rPr>
        <w:t>In the event of a conflict between this Schedule and the Agreement, the terms of the Agreement shall govern.</w:t>
      </w:r>
    </w:p>
    <w:p>
      <w:pPr>
        <w:spacing w:after="0" w:line="222" w:lineRule="exact"/>
        <w:rPr>
          <w:sz w:val="20"/>
          <w:szCs w:val="20"/>
          <w:color w:val="auto"/>
        </w:rPr>
      </w:pPr>
    </w:p>
    <w:p>
      <w:pPr>
        <w:ind w:left="854" w:hanging="854"/>
        <w:spacing w:after="0"/>
        <w:tabs>
          <w:tab w:leader="none" w:pos="85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Minimum Net Revenue </w:t>
      </w:r>
      <w:r>
        <w:rPr>
          <w:rFonts w:ascii="Times New Roman" w:cs="Times New Roman" w:eastAsia="Times New Roman" w:hAnsi="Times New Roman"/>
          <w:sz w:val="17"/>
          <w:szCs w:val="17"/>
          <w:color w:val="auto"/>
        </w:rPr>
        <w:t>(Section 5.10)</w:t>
      </w:r>
    </w:p>
    <w:p>
      <w:pPr>
        <w:spacing w:after="0" w:line="252" w:lineRule="exact"/>
        <w:rPr>
          <w:sz w:val="20"/>
          <w:szCs w:val="20"/>
          <w:color w:val="auto"/>
        </w:rPr>
      </w:pPr>
    </w:p>
    <w:p>
      <w:pPr>
        <w:ind w:left="74"/>
        <w:spacing w:after="0"/>
        <w:tabs>
          <w:tab w:leader="none" w:pos="913" w:val="left"/>
        </w:tabs>
        <w:rPr>
          <w:sz w:val="20"/>
          <w:szCs w:val="20"/>
          <w:color w:val="auto"/>
        </w:rPr>
      </w:pPr>
      <w:r>
        <w:rPr>
          <w:rFonts w:ascii="Times New Roman" w:cs="Times New Roman" w:eastAsia="Times New Roman" w:hAnsi="Times New Roman"/>
          <w:sz w:val="17"/>
          <w:szCs w:val="17"/>
          <w:color w:val="auto"/>
        </w:rPr>
        <w:t>Required:</w:t>
        <w:tab/>
        <w:t>Commencing on June 30, 2025, Borrower shall achieve Net Revenue as required by Section 5.10 and set forth below (pursuant to the amendment(s)</w:t>
      </w:r>
    </w:p>
    <w:p>
      <w:pPr>
        <w:spacing w:after="0" w:line="32" w:lineRule="exact"/>
        <w:rPr>
          <w:sz w:val="20"/>
          <w:szCs w:val="20"/>
          <w:color w:val="auto"/>
        </w:rPr>
      </w:pPr>
    </w:p>
    <w:p>
      <w:pPr>
        <w:ind w:left="1334"/>
        <w:spacing w:after="0"/>
        <w:rPr>
          <w:sz w:val="20"/>
          <w:szCs w:val="20"/>
          <w:color w:val="auto"/>
        </w:rPr>
      </w:pPr>
      <w:r>
        <w:rPr>
          <w:rFonts w:ascii="Times New Roman" w:cs="Times New Roman" w:eastAsia="Times New Roman" w:hAnsi="Times New Roman"/>
          <w:sz w:val="17"/>
          <w:szCs w:val="17"/>
          <w:color w:val="auto"/>
        </w:rPr>
        <w:t>required under Section 5.10):</w:t>
      </w:r>
    </w:p>
    <w:p>
      <w:pPr>
        <w:spacing w:after="0" w:line="257" w:lineRule="exact"/>
        <w:rPr>
          <w:sz w:val="20"/>
          <w:szCs w:val="20"/>
          <w:color w:val="auto"/>
        </w:rPr>
      </w:pPr>
    </w:p>
    <w:tbl>
      <w:tblPr>
        <w:tblLayout w:type="fixed"/>
        <w:tblInd w:w="1264" w:type="dxa"/>
        <w:tblCellMar>
          <w:top w:w="0" w:type="dxa"/>
          <w:left w:w="0" w:type="dxa"/>
          <w:bottom w:w="0" w:type="dxa"/>
          <w:right w:w="0" w:type="dxa"/>
        </w:tblCellMar>
      </w:tblPr>
      <w:tr>
        <w:trPr>
          <w:trHeight w:val="189"/>
        </w:trPr>
        <w:tc>
          <w:tcPr>
            <w:tcW w:w="336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Measuring Period Ending</w:t>
            </w:r>
          </w:p>
        </w:tc>
        <w:tc>
          <w:tcPr>
            <w:tcW w:w="34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Minimum Net Revenue</w:t>
            </w:r>
          </w:p>
        </w:tc>
      </w:tr>
      <w:tr>
        <w:trPr>
          <w:trHeight w:val="230"/>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(measured on a trailing 6 month basis)</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bl>
    <w:p>
      <w:pPr>
        <w:spacing w:after="0" w:line="200" w:lineRule="exact"/>
        <w:rPr>
          <w:sz w:val="20"/>
          <w:szCs w:val="20"/>
          <w:color w:val="auto"/>
        </w:rPr>
      </w:pPr>
    </w:p>
    <w:p>
      <w:pPr>
        <w:spacing w:after="0" w:line="345"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color w:val="auto"/>
        </w:rPr>
        <w:t>Actual: $_____________</w:t>
      </w:r>
    </w:p>
    <w:p>
      <w:pPr>
        <w:spacing w:after="0" w:line="250" w:lineRule="exact"/>
        <w:rPr>
          <w:sz w:val="20"/>
          <w:szCs w:val="20"/>
          <w:color w:val="auto"/>
        </w:rPr>
      </w:pPr>
    </w:p>
    <w:p>
      <w:pPr>
        <w:ind w:left="74" w:right="40"/>
        <w:spacing w:after="0" w:line="297" w:lineRule="auto"/>
        <w:rPr>
          <w:sz w:val="20"/>
          <w:szCs w:val="20"/>
          <w:color w:val="auto"/>
        </w:rPr>
      </w:pPr>
      <w:r>
        <w:rPr>
          <w:rFonts w:ascii="Times New Roman" w:cs="Times New Roman" w:eastAsia="Times New Roman" w:hAnsi="Times New Roman"/>
          <w:sz w:val="17"/>
          <w:szCs w:val="17"/>
          <w:color w:val="auto"/>
        </w:rPr>
        <w:t>Is Borrower’s Net Revenue (measured on a trailing 6 month basis) greater than or equal to the required amount for the corresponding measuring period set forth in the chart above?</w:t>
      </w:r>
    </w:p>
    <w:p>
      <w:pPr>
        <w:spacing w:after="0" w:line="172" w:lineRule="exact"/>
        <w:rPr>
          <w:sz w:val="20"/>
          <w:szCs w:val="20"/>
          <w:color w:val="auto"/>
        </w:rPr>
      </w:pPr>
    </w:p>
    <w:p>
      <w:pPr>
        <w:ind w:left="514"/>
        <w:spacing w:after="0"/>
        <w:tabs>
          <w:tab w:leader="none" w:pos="3173" w:val="left"/>
        </w:tabs>
        <w:rPr>
          <w:sz w:val="20"/>
          <w:szCs w:val="20"/>
          <w:color w:val="auto"/>
        </w:rPr>
      </w:pPr>
      <w:r>
        <w:rPr>
          <w:rFonts w:ascii="Times New Roman" w:cs="Times New Roman" w:eastAsia="Times New Roman" w:hAnsi="Times New Roman"/>
          <w:sz w:val="17"/>
          <w:szCs w:val="17"/>
          <w:color w:val="auto"/>
        </w:rPr>
        <w:t>No, not in compliance</w:t>
      </w:r>
      <w:r>
        <w:rPr>
          <w:sz w:val="20"/>
          <w:szCs w:val="20"/>
          <w:color w:val="auto"/>
        </w:rPr>
        <w:tab/>
      </w:r>
      <w:r>
        <w:rPr>
          <w:rFonts w:ascii="Times New Roman" w:cs="Times New Roman" w:eastAsia="Times New Roman" w:hAnsi="Times New Roman"/>
          <w:sz w:val="17"/>
          <w:szCs w:val="17"/>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-3810</wp:posOffset>
            </wp:positionV>
            <wp:extent cx="1111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-3810</wp:posOffset>
            </wp:positionV>
            <wp:extent cx="1111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6"/>
          <w:szCs w:val="16"/>
          <w:color w:val="auto"/>
        </w:rPr>
        <w:t>1613270762.51613270762.5</w:t>
      </w:r>
    </w:p>
    <w:p>
      <w:pPr>
        <w:spacing w:after="0" w:line="74" w:lineRule="exact"/>
        <w:rPr>
          <w:sz w:val="20"/>
          <w:szCs w:val="20"/>
          <w:color w:val="auto"/>
        </w:rPr>
      </w:pPr>
    </w:p>
    <w:p>
      <w:pPr>
        <w:ind w:left="94"/>
        <w:spacing w:after="0"/>
        <w:rPr>
          <w:sz w:val="20"/>
          <w:szCs w:val="20"/>
          <w:color w:val="auto"/>
        </w:rPr>
      </w:pPr>
      <w:r>
        <w:rPr>
          <w:rFonts w:ascii="Arial" w:cs="Arial" w:eastAsia="Arial" w:hAnsi="Arial"/>
          <w:sz w:val="12"/>
          <w:szCs w:val="12"/>
          <w:color w:val="auto"/>
        </w:rPr>
        <w:t>ACTIVE\1606094096.1</w:t>
      </w:r>
    </w:p>
    <w:p>
      <w:pPr>
        <w:sectPr>
          <w:pgSz w:w="11900" w:h="16838" w:orient="portrait"/>
          <w:cols w:equalWidth="0" w:num="1">
            <w:col w:w="11314"/>
          </w:cols>
          <w:pgMar w:left="246" w:top="945" w:right="339" w:bottom="1440" w:gutter="0" w:footer="0" w:header="0"/>
        </w:sectPr>
      </w:pPr>
    </w:p>
    <w:bookmarkStart w:id="97" w:name="page98"/>
    <w:bookmarkEnd w:id="97"/>
    <w:tbl>
      <w:tblPr>
        <w:tblLayout w:type="fixed"/>
        <w:tblInd w:w="70" w:type="dxa"/>
        <w:tblCellMar>
          <w:top w:w="0" w:type="dxa"/>
          <w:left w:w="0" w:type="dxa"/>
          <w:bottom w:w="0" w:type="dxa"/>
          <w:right w:w="0" w:type="dxa"/>
        </w:tblCellMar>
      </w:tblPr>
      <w:tr>
        <w:trPr>
          <w:trHeight w:val="195"/>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tc>
        <w:tc>
          <w:tcPr>
            <w:tcW w:w="5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6"/>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rPr>
              <w:t>LOAN PAYMENT/ADVANCE REQUEST FORM</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Deadline for same day processing is Noon Pacific Time</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100" w:type="dxa"/>
            <w:vAlign w:val="bottom"/>
            <w:gridSpan w:val="9"/>
          </w:tcPr>
          <w:p>
            <w:pPr>
              <w:ind w:left="640"/>
              <w:spacing w:after="0"/>
              <w:rPr>
                <w:sz w:val="20"/>
                <w:szCs w:val="20"/>
                <w:color w:val="auto"/>
              </w:rPr>
            </w:pPr>
            <w:r>
              <w:rPr>
                <w:rFonts w:ascii="Times New Roman" w:cs="Times New Roman" w:eastAsia="Times New Roman" w:hAnsi="Times New Roman"/>
                <w:sz w:val="17"/>
                <w:szCs w:val="17"/>
                <w:color w:val="auto"/>
              </w:rPr>
              <w:t>fax to:  Date: _____________________</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0" w:type="dxa"/>
            <w:vAlign w:val="bottom"/>
            <w:tcBorders>
              <w:lef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Loan Payment:</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80" w:type="dxa"/>
            <w:vAlign w:val="bottom"/>
            <w:tcBorders>
              <w:right w:val="single" w:sz="8" w:color="auto"/>
            </w:tcBorders>
            <w:gridSpan w:val="5"/>
            <w:vMerge w:val="restart"/>
          </w:tcPr>
          <w:p>
            <w:pPr>
              <w:ind w:left="940"/>
              <w:spacing w:after="0"/>
              <w:rPr>
                <w:sz w:val="20"/>
                <w:szCs w:val="20"/>
                <w:color w:val="auto"/>
              </w:rPr>
            </w:pPr>
            <w:r>
              <w:rPr>
                <w:rFonts w:ascii="Times New Roman" w:cs="Times New Roman" w:eastAsia="Times New Roman" w:hAnsi="Times New Roman"/>
                <w:sz w:val="17"/>
                <w:szCs w:val="17"/>
                <w:color w:val="auto"/>
              </w:rPr>
              <w:t>SI-BONE, INC.</w:t>
            </w: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tcBorders>
              <w:right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100" w:type="dxa"/>
            <w:vAlign w:val="bottom"/>
            <w:tcBorders>
              <w:left w:val="single" w:sz="8" w:color="auto"/>
            </w:tcBorders>
            <w:gridSpan w:val="9"/>
          </w:tcPr>
          <w:p>
            <w:pPr>
              <w:ind w:left="80"/>
              <w:spacing w:after="0"/>
              <w:rPr>
                <w:sz w:val="20"/>
                <w:szCs w:val="20"/>
                <w:color w:val="auto"/>
              </w:rPr>
            </w:pPr>
            <w:r>
              <w:rPr>
                <w:rFonts w:ascii="Times New Roman" w:cs="Times New Roman" w:eastAsia="Times New Roman" w:hAnsi="Times New Roman"/>
                <w:sz w:val="17"/>
                <w:szCs w:val="17"/>
                <w:color w:val="auto"/>
              </w:rPr>
              <w:t>From Account #________________________________</w:t>
            </w:r>
          </w:p>
        </w:tc>
        <w:tc>
          <w:tcPr>
            <w:tcW w:w="7080" w:type="dxa"/>
            <w:vAlign w:val="bottom"/>
            <w:tcBorders>
              <w:right w:val="single" w:sz="8" w:color="auto"/>
            </w:tcBorders>
            <w:gridSpan w:val="5"/>
          </w:tcPr>
          <w:p>
            <w:pPr>
              <w:jc w:val="center"/>
              <w:ind w:right="3220"/>
              <w:spacing w:after="0"/>
              <w:rPr>
                <w:sz w:val="20"/>
                <w:szCs w:val="20"/>
                <w:color w:val="auto"/>
              </w:rPr>
            </w:pPr>
            <w:r>
              <w:rPr>
                <w:rFonts w:ascii="Times New Roman" w:cs="Times New Roman" w:eastAsia="Times New Roman" w:hAnsi="Times New Roman"/>
                <w:sz w:val="17"/>
                <w:szCs w:val="17"/>
                <w:color w:val="auto"/>
              </w:rPr>
              <w:t>To Account ________________________________</w:t>
            </w:r>
          </w:p>
        </w:tc>
        <w:tc>
          <w:tcPr>
            <w:tcW w:w="0" w:type="dxa"/>
            <w:vAlign w:val="bottom"/>
          </w:tcPr>
          <w:p>
            <w:pPr>
              <w:spacing w:after="0"/>
              <w:rPr>
                <w:sz w:val="1"/>
                <w:szCs w:val="1"/>
                <w:color w:val="auto"/>
              </w:rPr>
            </w:pPr>
          </w:p>
        </w:tc>
      </w:tr>
      <w:tr>
        <w:trPr>
          <w:trHeight w:val="228"/>
        </w:trPr>
        <w:tc>
          <w:tcPr>
            <w:tcW w:w="1340" w:type="dxa"/>
            <w:vAlign w:val="bottom"/>
            <w:tcBorders>
              <w:left w:val="single" w:sz="8" w:color="auto"/>
            </w:tcBorders>
          </w:tcPr>
          <w:p>
            <w:pPr>
              <w:spacing w:after="0"/>
              <w:rPr>
                <w:sz w:val="19"/>
                <w:szCs w:val="19"/>
                <w:color w:val="auto"/>
              </w:rPr>
            </w:pPr>
          </w:p>
        </w:tc>
        <w:tc>
          <w:tcPr>
            <w:tcW w:w="9840" w:type="dxa"/>
            <w:vAlign w:val="bottom"/>
            <w:tcBorders>
              <w:right w:val="single" w:sz="8" w:color="auto"/>
            </w:tcBorders>
            <w:gridSpan w:val="13"/>
          </w:tcPr>
          <w:p>
            <w:pPr>
              <w:ind w:left="60"/>
              <w:spacing w:after="0"/>
              <w:rPr>
                <w:sz w:val="20"/>
                <w:szCs w:val="20"/>
                <w:color w:val="auto"/>
              </w:rPr>
            </w:pPr>
            <w:r>
              <w:rPr>
                <w:rFonts w:ascii="Times New Roman" w:cs="Times New Roman" w:eastAsia="Times New Roman" w:hAnsi="Times New Roman"/>
                <w:sz w:val="17"/>
                <w:szCs w:val="17"/>
                <w:color w:val="auto"/>
              </w:rPr>
              <w:t>(Deposit Account #)  (Loan Account #)</w:t>
            </w:r>
          </w:p>
        </w:tc>
        <w:tc>
          <w:tcPr>
            <w:tcW w:w="0" w:type="dxa"/>
            <w:vAlign w:val="bottom"/>
          </w:tcPr>
          <w:p>
            <w:pPr>
              <w:spacing w:after="0"/>
              <w:rPr>
                <w:sz w:val="1"/>
                <w:szCs w:val="1"/>
                <w:color w:val="auto"/>
              </w:rPr>
            </w:pPr>
          </w:p>
        </w:tc>
      </w:tr>
      <w:tr>
        <w:trPr>
          <w:trHeight w:val="315"/>
        </w:trPr>
        <w:tc>
          <w:tcPr>
            <w:tcW w:w="4100" w:type="dxa"/>
            <w:vAlign w:val="bottom"/>
            <w:tcBorders>
              <w:left w:val="single" w:sz="8" w:color="auto"/>
            </w:tcBorders>
            <w:gridSpan w:val="9"/>
          </w:tcPr>
          <w:p>
            <w:pPr>
              <w:ind w:left="80"/>
              <w:spacing w:after="0"/>
              <w:rPr>
                <w:sz w:val="20"/>
                <w:szCs w:val="20"/>
                <w:color w:val="auto"/>
              </w:rPr>
            </w:pPr>
            <w:r>
              <w:rPr>
                <w:rFonts w:ascii="Times New Roman" w:cs="Times New Roman" w:eastAsia="Times New Roman" w:hAnsi="Times New Roman"/>
                <w:sz w:val="17"/>
                <w:szCs w:val="17"/>
                <w:color w:val="auto"/>
              </w:rPr>
              <w:t>Principal $____________________________________</w:t>
            </w:r>
          </w:p>
        </w:tc>
        <w:tc>
          <w:tcPr>
            <w:tcW w:w="7080" w:type="dxa"/>
            <w:vAlign w:val="bottom"/>
            <w:tcBorders>
              <w:right w:val="single" w:sz="8" w:color="auto"/>
            </w:tcBorders>
            <w:gridSpan w:val="5"/>
          </w:tcPr>
          <w:p>
            <w:pPr>
              <w:jc w:val="center"/>
              <w:ind w:right="3280"/>
              <w:spacing w:after="0"/>
              <w:rPr>
                <w:sz w:val="20"/>
                <w:szCs w:val="20"/>
                <w:color w:val="auto"/>
              </w:rPr>
            </w:pPr>
            <w:r>
              <w:rPr>
                <w:rFonts w:ascii="Times New Roman" w:cs="Times New Roman" w:eastAsia="Times New Roman" w:hAnsi="Times New Roman"/>
                <w:sz w:val="17"/>
                <w:szCs w:val="17"/>
                <w:color w:val="auto"/>
              </w:rPr>
              <w:t>and/or Interest $_____________________________</w:t>
            </w:r>
          </w:p>
        </w:tc>
        <w:tc>
          <w:tcPr>
            <w:tcW w:w="0" w:type="dxa"/>
            <w:vAlign w:val="bottom"/>
          </w:tcPr>
          <w:p>
            <w:pPr>
              <w:spacing w:after="0"/>
              <w:rPr>
                <w:sz w:val="1"/>
                <w:szCs w:val="1"/>
                <w:color w:val="auto"/>
              </w:rPr>
            </w:pPr>
          </w:p>
        </w:tc>
      </w:tr>
      <w:tr>
        <w:trPr>
          <w:trHeight w:val="276"/>
        </w:trPr>
        <w:tc>
          <w:tcPr>
            <w:tcW w:w="164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Authorized Signature:</w:t>
            </w:r>
          </w:p>
        </w:tc>
        <w:tc>
          <w:tcPr>
            <w:tcW w:w="160" w:type="dxa"/>
            <w:vAlign w:val="bottom"/>
            <w:tcBorders>
              <w:bottom w:val="single" w:sz="8" w:color="auto"/>
            </w:tcBorders>
          </w:tcPr>
          <w:p>
            <w:pPr>
              <w:spacing w:after="0"/>
              <w:rPr>
                <w:sz w:val="23"/>
                <w:szCs w:val="23"/>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Phone Number:</w:t>
            </w:r>
          </w:p>
        </w:tc>
        <w:tc>
          <w:tcPr>
            <w:tcW w:w="180" w:type="dxa"/>
            <w:vAlign w:val="bottom"/>
            <w:tcBorders>
              <w:bottom w:val="single" w:sz="8" w:color="auto"/>
            </w:tcBorders>
          </w:tcPr>
          <w:p>
            <w:pPr>
              <w:spacing w:after="0"/>
              <w:rPr>
                <w:sz w:val="23"/>
                <w:szCs w:val="23"/>
                <w:color w:val="auto"/>
              </w:rPr>
            </w:pPr>
          </w:p>
        </w:tc>
        <w:tc>
          <w:tcPr>
            <w:tcW w:w="800" w:type="dxa"/>
            <w:vAlign w:val="bottom"/>
            <w:gridSpan w:val="3"/>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800" w:type="dxa"/>
            <w:vAlign w:val="bottom"/>
            <w:tcBorders>
              <w:left w:val="single" w:sz="8" w:color="auto"/>
            </w:tcBorders>
            <w:gridSpan w:val="4"/>
          </w:tcPr>
          <w:p>
            <w:pPr>
              <w:ind w:left="80"/>
              <w:spacing w:after="0" w:line="190" w:lineRule="exact"/>
              <w:rPr>
                <w:sz w:val="20"/>
                <w:szCs w:val="20"/>
                <w:color w:val="auto"/>
              </w:rPr>
            </w:pPr>
            <w:r>
              <w:rPr>
                <w:rFonts w:ascii="Times New Roman" w:cs="Times New Roman" w:eastAsia="Times New Roman" w:hAnsi="Times New Roman"/>
                <w:sz w:val="17"/>
                <w:szCs w:val="17"/>
                <w:color w:val="auto"/>
              </w:rPr>
              <w:t>Print Name/Title:</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40" w:type="dxa"/>
            <w:vAlign w:val="bottom"/>
            <w:tcBorders>
              <w:left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144385" cy="21151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8">
                      <a:extLst>
                        <a:ext uri="{28A0092B-C50C-407E-A947-70E740481C1C}"/>
                      </a:extLst>
                    </a:blip>
                    <a:srcRect/>
                    <a:stretch>
                      <a:fillRect/>
                    </a:stretch>
                  </pic:blipFill>
                  <pic:spPr bwMode="auto">
                    <a:xfrm>
                      <a:off x="0" y="0"/>
                      <a:ext cx="7144385" cy="2115185"/>
                    </a:xfrm>
                    <a:prstGeom prst="rect">
                      <a:avLst/>
                    </a:prstGeom>
                    <a:noFill/>
                  </pic:spPr>
                </pic:pic>
              </a:graphicData>
            </a:graphic>
          </wp:anchor>
        </w:drawing>
      </w:r>
    </w:p>
    <w:p>
      <w:pPr>
        <w:spacing w:after="0" w:line="3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Loan Advance:</w:t>
      </w:r>
    </w:p>
    <w:p>
      <w:pPr>
        <w:spacing w:after="0" w:line="1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xml:space="preserve">Complete </w:t>
      </w:r>
      <w:r>
        <w:rPr>
          <w:rFonts w:ascii="Times New Roman" w:cs="Times New Roman" w:eastAsia="Times New Roman" w:hAnsi="Times New Roman"/>
          <w:sz w:val="17"/>
          <w:szCs w:val="17"/>
          <w:i w:val="1"/>
          <w:iCs w:val="1"/>
          <w:color w:val="auto"/>
        </w:rPr>
        <w:t>Outgoing Wire Request</w:t>
      </w:r>
      <w:r>
        <w:rPr>
          <w:rFonts w:ascii="Times New Roman" w:cs="Times New Roman" w:eastAsia="Times New Roman" w:hAnsi="Times New Roman"/>
          <w:sz w:val="17"/>
          <w:szCs w:val="17"/>
          <w:color w:val="auto"/>
        </w:rPr>
        <w:t xml:space="preserve"> section below if all or a portion of the funds from this loan advance are for an outgoing wire.</w:t>
      </w:r>
    </w:p>
    <w:p>
      <w:pPr>
        <w:spacing w:after="0" w:line="121" w:lineRule="exact"/>
        <w:rPr>
          <w:sz w:val="20"/>
          <w:szCs w:val="20"/>
          <w:color w:val="auto"/>
        </w:rPr>
      </w:pPr>
    </w:p>
    <w:p>
      <w:pPr>
        <w:ind w:left="80"/>
        <w:spacing w:after="0"/>
        <w:tabs>
          <w:tab w:leader="none" w:pos="4180" w:val="left"/>
        </w:tabs>
        <w:rPr>
          <w:sz w:val="20"/>
          <w:szCs w:val="20"/>
          <w:color w:val="auto"/>
        </w:rPr>
      </w:pPr>
      <w:r>
        <w:rPr>
          <w:rFonts w:ascii="Times New Roman" w:cs="Times New Roman" w:eastAsia="Times New Roman" w:hAnsi="Times New Roman"/>
          <w:sz w:val="17"/>
          <w:szCs w:val="17"/>
          <w:color w:val="auto"/>
        </w:rPr>
        <w:t>From Account #________________________________</w:t>
        <w:tab/>
        <w:t>To Account #__________________________________________</w:t>
      </w:r>
    </w:p>
    <w:p>
      <w:pPr>
        <w:spacing w:after="0" w:line="32" w:lineRule="exact"/>
        <w:rPr>
          <w:sz w:val="20"/>
          <w:szCs w:val="20"/>
          <w:color w:val="auto"/>
        </w:rPr>
      </w:pPr>
    </w:p>
    <w:p>
      <w:pPr>
        <w:ind w:left="1320"/>
        <w:spacing w:after="0"/>
        <w:tabs>
          <w:tab w:leader="none" w:pos="3240" w:val="left"/>
        </w:tabs>
        <w:rPr>
          <w:sz w:val="20"/>
          <w:szCs w:val="20"/>
          <w:color w:val="auto"/>
        </w:rPr>
      </w:pPr>
      <w:r>
        <w:rPr>
          <w:rFonts w:ascii="Times New Roman" w:cs="Times New Roman" w:eastAsia="Times New Roman" w:hAnsi="Times New Roman"/>
          <w:sz w:val="17"/>
          <w:szCs w:val="17"/>
          <w:color w:val="auto"/>
        </w:rPr>
        <w:t>(Loan Account #)</w:t>
      </w:r>
      <w:r>
        <w:rPr>
          <w:sz w:val="20"/>
          <w:szCs w:val="20"/>
          <w:color w:val="auto"/>
        </w:rPr>
        <w:tab/>
      </w:r>
      <w:r>
        <w:rPr>
          <w:rFonts w:ascii="Times New Roman" w:cs="Times New Roman" w:eastAsia="Times New Roman" w:hAnsi="Times New Roman"/>
          <w:sz w:val="17"/>
          <w:szCs w:val="17"/>
          <w:color w:val="auto"/>
        </w:rPr>
        <w:t>(Deposit Account #)</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Amount of Term Loan Advance $___________________________</w:t>
      </w:r>
    </w:p>
    <w:p>
      <w:pPr>
        <w:spacing w:after="0" w:line="119" w:lineRule="exact"/>
        <w:rPr>
          <w:sz w:val="20"/>
          <w:szCs w:val="20"/>
          <w:color w:val="auto"/>
        </w:rPr>
      </w:pPr>
    </w:p>
    <w:p>
      <w:pPr>
        <w:jc w:val="both"/>
        <w:ind w:left="80" w:right="80"/>
        <w:spacing w:after="0" w:line="270" w:lineRule="auto"/>
        <w:rPr>
          <w:sz w:val="20"/>
          <w:szCs w:val="20"/>
          <w:color w:val="auto"/>
        </w:rPr>
      </w:pPr>
      <w:r>
        <w:rPr>
          <w:rFonts w:ascii="Times New Roman" w:cs="Times New Roman" w:eastAsia="Times New Roman" w:hAnsi="Times New Roman"/>
          <w:sz w:val="17"/>
          <w:szCs w:val="17"/>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69" w:lineRule="exact"/>
        <w:rPr>
          <w:sz w:val="20"/>
          <w:szCs w:val="20"/>
          <w:color w:val="auto"/>
        </w:rPr>
      </w:pPr>
    </w:p>
    <w:p>
      <w:pPr>
        <w:ind w:left="80"/>
        <w:spacing w:after="0"/>
        <w:tabs>
          <w:tab w:leader="none" w:pos="1960" w:val="left"/>
        </w:tabs>
        <w:rPr>
          <w:sz w:val="20"/>
          <w:szCs w:val="20"/>
          <w:color w:val="auto"/>
        </w:rPr>
      </w:pPr>
      <w:r>
        <w:rPr>
          <w:rFonts w:ascii="Times New Roman" w:cs="Times New Roman" w:eastAsia="Times New Roman" w:hAnsi="Times New Roman"/>
          <w:sz w:val="17"/>
          <w:szCs w:val="17"/>
          <w:color w:val="auto"/>
        </w:rPr>
        <w:t>Authorized Signature:</w:t>
      </w:r>
      <w:r>
        <w:rPr>
          <w:sz w:val="20"/>
          <w:szCs w:val="20"/>
          <w:color w:val="auto"/>
        </w:rPr>
        <w:tab/>
      </w:r>
      <w:r>
        <w:rPr>
          <w:rFonts w:ascii="Times New Roman" w:cs="Times New Roman" w:eastAsia="Times New Roman" w:hAnsi="Times New Roman"/>
          <w:sz w:val="17"/>
          <w:szCs w:val="17"/>
          <w:color w:val="auto"/>
        </w:rPr>
        <w:t>Phone Number:</w:t>
      </w:r>
    </w:p>
    <w:p>
      <w:pPr>
        <w:spacing w:after="0" w:line="1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Print 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1613270762.5</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ACTIVE\1606094096.1</w:t>
      </w:r>
    </w:p>
    <w:p>
      <w:pPr>
        <w:sectPr>
          <w:pgSz w:w="11900" w:h="16838" w:orient="portrait"/>
          <w:cols w:equalWidth="0" w:num="1">
            <w:col w:w="11240"/>
          </w:cols>
          <w:pgMar w:left="320" w:top="1373" w:right="339" w:bottom="1440" w:gutter="0" w:footer="0" w:header="0"/>
        </w:sectPr>
      </w:pPr>
    </w:p>
    <w:bookmarkStart w:id="98" w:name="page99"/>
    <w:bookmarkEnd w:id="98"/>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904875</wp:posOffset>
            </wp:positionV>
            <wp:extent cx="7103110" cy="26479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9">
                      <a:extLst>
                        <a:ext uri="{28A0092B-C50C-407E-A947-70E740481C1C}"/>
                      </a:extLst>
                    </a:blip>
                    <a:srcRect/>
                    <a:stretch>
                      <a:fillRect/>
                    </a:stretch>
                  </pic:blipFill>
                  <pic:spPr bwMode="auto">
                    <a:xfrm>
                      <a:off x="0" y="0"/>
                      <a:ext cx="7103110" cy="264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outgoing wire request: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Complete only if all or a portion of funds from the loan advance above is to be wired.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Deadline for same day processing is noon, Pacific Time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Beneficiary Name: ____________________________</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Amount of Wire: $</w:t>
            </w:r>
          </w:p>
        </w:tc>
        <w:tc>
          <w:tcPr>
            <w:tcW w:w="160" w:type="dxa"/>
            <w:vAlign w:val="bottom"/>
            <w:tcBorders>
              <w:bottom w:val="single" w:sz="8" w:color="auto"/>
            </w:tcBorders>
          </w:tcPr>
          <w:p>
            <w:pPr>
              <w:spacing w:after="0"/>
              <w:rPr>
                <w:sz w:val="17"/>
                <w:szCs w:val="17"/>
                <w:color w:val="auto"/>
              </w:rPr>
            </w:pPr>
          </w:p>
        </w:tc>
        <w:tc>
          <w:tcPr>
            <w:tcW w:w="1240" w:type="dxa"/>
            <w:vAlign w:val="bottom"/>
            <w:gridSpan w:val="4"/>
          </w:tcPr>
          <w:p>
            <w:pPr>
              <w:spacing w:after="0"/>
              <w:rPr>
                <w:sz w:val="17"/>
                <w:szCs w:val="17"/>
                <w:color w:val="auto"/>
              </w:rPr>
            </w:pPr>
          </w:p>
        </w:tc>
      </w:tr>
      <w:tr>
        <w:trPr>
          <w:trHeight w:val="190"/>
        </w:trPr>
        <w:tc>
          <w:tcPr>
            <w:tcW w:w="3920" w:type="dxa"/>
            <w:vAlign w:val="bottom"/>
            <w:gridSpan w:val="11"/>
          </w:tcPr>
          <w:p>
            <w:pPr>
              <w:spacing w:after="0" w:line="190" w:lineRule="exact"/>
              <w:rPr>
                <w:sz w:val="20"/>
                <w:szCs w:val="20"/>
                <w:color w:val="auto"/>
              </w:rPr>
            </w:pPr>
            <w:r>
              <w:rPr>
                <w:rFonts w:ascii="Times New Roman" w:cs="Times New Roman" w:eastAsia="Times New Roman" w:hAnsi="Times New Roman"/>
                <w:sz w:val="17"/>
                <w:szCs w:val="17"/>
                <w:color w:val="auto"/>
              </w:rPr>
              <w:t>Beneficiary Bank: _____________________________</w:t>
            </w:r>
          </w:p>
        </w:tc>
        <w:tc>
          <w:tcPr>
            <w:tcW w:w="2800" w:type="dxa"/>
            <w:vAlign w:val="bottom"/>
            <w:gridSpan w:val="6"/>
          </w:tcPr>
          <w:p>
            <w:pPr>
              <w:jc w:val="center"/>
              <w:ind w:right="1340"/>
              <w:spacing w:after="0" w:line="190" w:lineRule="exact"/>
              <w:rPr>
                <w:sz w:val="20"/>
                <w:szCs w:val="20"/>
                <w:color w:val="auto"/>
              </w:rPr>
            </w:pPr>
            <w:r>
              <w:rPr>
                <w:rFonts w:ascii="Times New Roman" w:cs="Times New Roman" w:eastAsia="Times New Roman" w:hAnsi="Times New Roman"/>
                <w:sz w:val="17"/>
                <w:szCs w:val="17"/>
                <w:color w:val="auto"/>
              </w:rPr>
              <w:t>Account Number:</w:t>
            </w:r>
          </w:p>
        </w:tc>
      </w:tr>
      <w:tr>
        <w:trPr>
          <w:trHeight w:val="190"/>
        </w:trPr>
        <w:tc>
          <w:tcPr>
            <w:tcW w:w="108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City and State:</w:t>
            </w:r>
          </w:p>
        </w:tc>
        <w:tc>
          <w:tcPr>
            <w:tcW w:w="180" w:type="dxa"/>
            <w:vAlign w:val="bottom"/>
            <w:tcBorders>
              <w:bottom w:val="single" w:sz="8" w:color="auto"/>
            </w:tcBorders>
          </w:tcPr>
          <w:p>
            <w:pPr>
              <w:spacing w:after="0"/>
              <w:rPr>
                <w:sz w:val="16"/>
                <w:szCs w:val="16"/>
                <w:color w:val="auto"/>
              </w:rPr>
            </w:pPr>
          </w:p>
        </w:tc>
        <w:tc>
          <w:tcPr>
            <w:tcW w:w="32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95"/>
        </w:trPr>
        <w:tc>
          <w:tcPr>
            <w:tcW w:w="25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Beneficiary Bank Transit (ABA) #:</w:t>
            </w:r>
          </w:p>
        </w:tc>
        <w:tc>
          <w:tcPr>
            <w:tcW w:w="160" w:type="dxa"/>
            <w:vAlign w:val="bottom"/>
            <w:tcBorders>
              <w:bottom w:val="single" w:sz="8" w:color="auto"/>
            </w:tcBorders>
          </w:tcPr>
          <w:p>
            <w:pPr>
              <w:spacing w:after="0"/>
              <w:rPr>
                <w:sz w:val="24"/>
                <w:szCs w:val="24"/>
                <w:color w:val="auto"/>
              </w:rPr>
            </w:pPr>
          </w:p>
        </w:tc>
        <w:tc>
          <w:tcPr>
            <w:tcW w:w="3600" w:type="dxa"/>
            <w:vAlign w:val="bottom"/>
            <w:gridSpan w:val="7"/>
          </w:tcPr>
          <w:p>
            <w:pPr>
              <w:ind w:left="180"/>
              <w:spacing w:after="0"/>
              <w:rPr>
                <w:sz w:val="20"/>
                <w:szCs w:val="20"/>
                <w:color w:val="auto"/>
              </w:rPr>
            </w:pPr>
            <w:r>
              <w:rPr>
                <w:rFonts w:ascii="Times New Roman" w:cs="Times New Roman" w:eastAsia="Times New Roman" w:hAnsi="Times New Roman"/>
                <w:sz w:val="17"/>
                <w:szCs w:val="17"/>
                <w:color w:val="auto"/>
              </w:rPr>
              <w:t>Beneficiary Bank Code (Swift, Sort, Chip, etc.):</w:t>
            </w:r>
          </w:p>
        </w:tc>
        <w:tc>
          <w:tcPr>
            <w:tcW w:w="1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29"/>
        </w:trPr>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0" w:type="dxa"/>
            <w:vAlign w:val="bottom"/>
            <w:gridSpan w:val="6"/>
          </w:tcPr>
          <w:p>
            <w:pPr>
              <w:ind w:left="560"/>
              <w:spacing w:after="0"/>
              <w:rPr>
                <w:sz w:val="20"/>
                <w:szCs w:val="20"/>
                <w:color w:val="auto"/>
              </w:rPr>
            </w:pPr>
            <w:r>
              <w:rPr>
                <w:rFonts w:ascii="Times New Roman" w:cs="Times New Roman" w:eastAsia="Times New Roman" w:hAnsi="Times New Roman"/>
                <w:sz w:val="17"/>
                <w:szCs w:val="17"/>
                <w:b w:val="1"/>
                <w:bCs w:val="1"/>
                <w:color w:val="auto"/>
              </w:rPr>
              <w:t>(For International Wire Only)</w:t>
            </w:r>
          </w:p>
        </w:tc>
      </w:tr>
      <w:tr>
        <w:trPr>
          <w:trHeight w:val="276"/>
        </w:trPr>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Intermediary Bank:</w:t>
            </w:r>
          </w:p>
        </w:tc>
        <w:tc>
          <w:tcPr>
            <w:tcW w:w="180" w:type="dxa"/>
            <w:vAlign w:val="bottom"/>
            <w:tcBorders>
              <w:bottom w:val="single" w:sz="8" w:color="auto"/>
            </w:tcBorders>
            <w:gridSpan w:val="2"/>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(ABA) #:</w:t>
            </w:r>
          </w:p>
        </w:tc>
        <w:tc>
          <w:tcPr>
            <w:tcW w:w="180" w:type="dxa"/>
            <w:vAlign w:val="bottom"/>
            <w:tcBorders>
              <w:bottom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190"/>
        </w:trPr>
        <w:tc>
          <w:tcPr>
            <w:tcW w:w="1560" w:type="dxa"/>
            <w:vAlign w:val="bottom"/>
            <w:gridSpan w:val="4"/>
          </w:tcPr>
          <w:p>
            <w:pPr>
              <w:spacing w:after="0" w:line="190" w:lineRule="exact"/>
              <w:rPr>
                <w:sz w:val="20"/>
                <w:szCs w:val="20"/>
                <w:color w:val="auto"/>
              </w:rPr>
            </w:pPr>
            <w:r>
              <w:rPr>
                <w:rFonts w:ascii="Times New Roman" w:cs="Times New Roman" w:eastAsia="Times New Roman" w:hAnsi="Times New Roman"/>
                <w:sz w:val="17"/>
                <w:szCs w:val="17"/>
                <w:color w:val="auto"/>
              </w:rPr>
              <w:t>For Further Credit to:</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95"/>
        </w:trPr>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Special Instruction:</w:t>
            </w:r>
          </w:p>
        </w:tc>
        <w:tc>
          <w:tcPr>
            <w:tcW w:w="180" w:type="dxa"/>
            <w:vAlign w:val="bottom"/>
            <w:tcBorders>
              <w:bottom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1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bl>
      <w:tblPr>
        <w:tblLayout w:type="fixed"/>
        <w:tblInd w:w="0" w:type="dxa"/>
        <w:tblCellMar>
          <w:top w:w="0" w:type="dxa"/>
          <w:left w:w="0" w:type="dxa"/>
          <w:bottom w:w="0" w:type="dxa"/>
          <w:right w:w="0" w:type="dxa"/>
        </w:tblCellMar>
      </w:tblPr>
      <w:tr>
        <w:trPr>
          <w:trHeight w:val="228"/>
        </w:trPr>
        <w:tc>
          <w:tcPr>
            <w:tcW w:w="1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Authorized Signature:</w:t>
            </w:r>
          </w:p>
        </w:tc>
        <w:tc>
          <w:tcPr>
            <w:tcW w:w="160" w:type="dxa"/>
            <w:vAlign w:val="bottom"/>
            <w:tcBorders>
              <w:bottom w:val="single" w:sz="8" w:color="auto"/>
            </w:tcBorders>
          </w:tcPr>
          <w:p>
            <w:pPr>
              <w:spacing w:after="0"/>
              <w:rPr>
                <w:sz w:val="19"/>
                <w:szCs w:val="19"/>
                <w:color w:val="auto"/>
              </w:rPr>
            </w:pPr>
          </w:p>
        </w:tc>
        <w:tc>
          <w:tcPr>
            <w:tcW w:w="2040" w:type="dxa"/>
            <w:vAlign w:val="bottom"/>
            <w:gridSpan w:val="5"/>
          </w:tcPr>
          <w:p>
            <w:pPr>
              <w:ind w:left="180"/>
              <w:spacing w:after="0" w:line="228" w:lineRule="exact"/>
              <w:rPr>
                <w:sz w:val="20"/>
                <w:szCs w:val="20"/>
                <w:color w:val="auto"/>
              </w:rPr>
            </w:pPr>
            <w:r>
              <w:rPr>
                <w:rFonts w:ascii="Times New Roman" w:cs="Times New Roman" w:eastAsia="Times New Roman" w:hAnsi="Times New Roman"/>
                <w:sz w:val="17"/>
                <w:szCs w:val="17"/>
                <w:color w:val="auto"/>
                <w:w w:val="99"/>
              </w:rPr>
              <w:t>2</w:t>
            </w:r>
            <w:r>
              <w:rPr>
                <w:rFonts w:ascii="Times New Roman" w:cs="Times New Roman" w:eastAsia="Times New Roman" w:hAnsi="Times New Roman"/>
                <w:sz w:val="22"/>
                <w:szCs w:val="22"/>
                <w:color w:val="auto"/>
                <w:w w:val="99"/>
                <w:vertAlign w:val="superscript"/>
              </w:rPr>
              <w:t>nd</w:t>
            </w:r>
            <w:r>
              <w:rPr>
                <w:rFonts w:ascii="Times New Roman" w:cs="Times New Roman" w:eastAsia="Times New Roman" w:hAnsi="Times New Roman"/>
                <w:sz w:val="17"/>
                <w:szCs w:val="17"/>
                <w:color w:val="auto"/>
                <w:w w:val="99"/>
              </w:rPr>
              <w:t xml:space="preserve"> Signature (if required):</w:t>
            </w:r>
          </w:p>
        </w:tc>
        <w:tc>
          <w:tcPr>
            <w:tcW w:w="180" w:type="dxa"/>
            <w:vAlign w:val="bottom"/>
            <w:tcBorders>
              <w:bottom w:val="single" w:sz="8" w:color="auto"/>
            </w:tcBorders>
          </w:tcPr>
          <w:p>
            <w:pPr>
              <w:spacing w:after="0"/>
              <w:rPr>
                <w:sz w:val="19"/>
                <w:szCs w:val="19"/>
                <w:color w:val="auto"/>
              </w:rPr>
            </w:pPr>
          </w:p>
        </w:tc>
      </w:tr>
      <w:tr>
        <w:trPr>
          <w:trHeight w:val="190"/>
        </w:trPr>
        <w:tc>
          <w:tcPr>
            <w:tcW w:w="124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Print Name/Title: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7"/>
          </w:tcPr>
          <w:p>
            <w:pPr>
              <w:ind w:left="20"/>
              <w:spacing w:after="0" w:line="190" w:lineRule="exact"/>
              <w:rPr>
                <w:sz w:val="20"/>
                <w:szCs w:val="20"/>
                <w:color w:val="auto"/>
              </w:rPr>
            </w:pPr>
            <w:r>
              <w:rPr>
                <w:rFonts w:ascii="Times New Roman" w:cs="Times New Roman" w:eastAsia="Times New Roman" w:hAnsi="Times New Roman"/>
                <w:sz w:val="17"/>
                <w:szCs w:val="17"/>
                <w:color w:val="auto"/>
              </w:rPr>
              <w:t>Print Name/Title:</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0"/>
        </w:trPr>
        <w:tc>
          <w:tcPr>
            <w:tcW w:w="124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Telephone #:</w:t>
            </w:r>
          </w:p>
        </w:tc>
        <w:tc>
          <w:tcPr>
            <w:tcW w:w="2700" w:type="dxa"/>
            <w:vAlign w:val="bottom"/>
            <w:gridSpan w:val="9"/>
          </w:tcPr>
          <w:p>
            <w:pPr>
              <w:ind w:left="20"/>
              <w:spacing w:after="0" w:line="190" w:lineRule="exact"/>
              <w:rPr>
                <w:sz w:val="20"/>
                <w:szCs w:val="20"/>
                <w:color w:val="auto"/>
              </w:rPr>
            </w:pPr>
            <w:r>
              <w:rPr>
                <w:rFonts w:ascii="Times New Roman" w:cs="Times New Roman" w:eastAsia="Times New Roman" w:hAnsi="Times New Roman"/>
                <w:sz w:val="17"/>
                <w:szCs w:val="17"/>
                <w:color w:val="auto"/>
              </w:rPr>
              <w:t>Telephone #:</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020"/>
          </w:cols>
          <w:pgMar w:left="460" w:top="1440" w:right="4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B</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LOAN AND SECURITY AGREEMENT</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LOAN AND SECURITY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is dated as of the Effective Date between </w:t>
      </w:r>
      <w:r>
        <w:rPr>
          <w:rFonts w:ascii="Times New Roman" w:cs="Times New Roman" w:eastAsia="Times New Roman" w:hAnsi="Times New Roman"/>
          <w:sz w:val="17"/>
          <w:szCs w:val="17"/>
          <w:b w:val="1"/>
          <w:bCs w:val="1"/>
          <w:color w:val="auto"/>
        </w:rPr>
        <w:t>SILICON VALLEY BANK</w:t>
      </w:r>
      <w:r>
        <w:rPr>
          <w:rFonts w:ascii="Times New Roman" w:cs="Times New Roman" w:eastAsia="Times New Roman" w:hAnsi="Times New Roman"/>
          <w:sz w:val="17"/>
          <w:szCs w:val="17"/>
          <w:color w:val="auto"/>
        </w:rPr>
        <w:t>,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corporation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 the borrower listed on Schedule I hereto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The parties agree as follows:</w:t>
      </w:r>
    </w:p>
    <w:p>
      <w:pPr>
        <w:spacing w:after="0" w:line="202" w:lineRule="exact"/>
        <w:rPr>
          <w:sz w:val="20"/>
          <w:szCs w:val="20"/>
          <w:color w:val="auto"/>
        </w:rPr>
      </w:pPr>
    </w:p>
    <w:p>
      <w:pPr>
        <w:ind w:left="640" w:right="7200" w:hanging="6"/>
        <w:spacing w:after="0" w:line="508" w:lineRule="auto"/>
        <w:tabs>
          <w:tab w:leader="none" w:pos="1269"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LOAN AND TERMS OF PAYMENT </w:t>
      </w:r>
      <w:r>
        <w:rPr>
          <w:rFonts w:ascii="Times New Roman" w:cs="Times New Roman" w:eastAsia="Times New Roman" w:hAnsi="Times New Roman"/>
          <w:sz w:val="17"/>
          <w:szCs w:val="17"/>
          <w:b w:val="1"/>
          <w:bCs w:val="1"/>
          <w:color w:val="auto"/>
        </w:rPr>
        <w:t>1.1 Term Loan Advance.</w:t>
      </w:r>
    </w:p>
    <w:p>
      <w:pPr>
        <w:jc w:val="both"/>
        <w:ind w:firstLine="1264"/>
        <w:spacing w:after="0" w:line="262" w:lineRule="auto"/>
        <w:tabs>
          <w:tab w:leader="none" w:pos="188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Availability</w:t>
      </w:r>
      <w:r>
        <w:rPr>
          <w:rFonts w:ascii="Times New Roman" w:cs="Times New Roman" w:eastAsia="Times New Roman" w:hAnsi="Times New Roman"/>
          <w:sz w:val="17"/>
          <w:szCs w:val="17"/>
          <w:color w:val="auto"/>
        </w:rPr>
        <w:t xml:space="preserve">. Subject to the terms and conditions of this Agreement, on or about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w:t>
      </w:r>
      <w:r>
        <w:rPr>
          <w:rFonts w:ascii="Times New Roman" w:cs="Times New Roman" w:eastAsia="Times New Roman" w:hAnsi="Times New Roman"/>
          <w:sz w:val="17"/>
          <w:szCs w:val="17"/>
          <w:color w:val="FF0000"/>
        </w:rPr>
        <w:t>or</w:t>
      </w:r>
      <w:r>
        <w:rPr>
          <w:rFonts w:ascii="Times New Roman" w:cs="Times New Roman" w:eastAsia="Times New Roman" w:hAnsi="Times New Roman"/>
          <w:sz w:val="17"/>
          <w:szCs w:val="17"/>
          <w:color w:val="auto"/>
        </w:rPr>
        <w:t>, Bank shall make one (1) term loan advance to Borrower in an original principal amount equal to the Term Loan Availability Amount (the “</w:t>
      </w:r>
      <w:r>
        <w:rPr>
          <w:rFonts w:ascii="Times New Roman" w:cs="Times New Roman" w:eastAsia="Times New Roman" w:hAnsi="Times New Roman"/>
          <w:sz w:val="17"/>
          <w:szCs w:val="17"/>
          <w:b w:val="1"/>
          <w:bCs w:val="1"/>
          <w:color w:val="auto"/>
        </w:rPr>
        <w:t>Term Loan Advance</w:t>
      </w:r>
      <w:r>
        <w:rPr>
          <w:rFonts w:ascii="Times New Roman" w:cs="Times New Roman" w:eastAsia="Times New Roman" w:hAnsi="Times New Roman"/>
          <w:sz w:val="17"/>
          <w:szCs w:val="17"/>
          <w:color w:val="auto"/>
        </w:rPr>
        <w:t xml:space="preserve">”) which shall be used to (i) refinance the Term Loan Advance (as defined in the Agreement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outstanding as of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(ii) satisfy the Final Payment (as defined in the Agreement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which is with respect to the Term Loan Advance (as defined in the Agreement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and (iii) thereafter, used for working capital purposes. Bank and Borrower acknowledge and agree that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the amount Borrower accrued and owed to Bank in connection with the Final Payment (as defined in the Agreement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was </w:t>
      </w:r>
      <w:r>
        <w:rPr>
          <w:rFonts w:ascii="Times New Roman" w:cs="Times New Roman" w:eastAsia="Times New Roman" w:hAnsi="Times New Roman"/>
          <w:sz w:val="17"/>
          <w:szCs w:val="17"/>
          <w:color w:val="FF0000"/>
          <w:strike w:val="1"/>
        </w:rPr>
        <w:t>Two</w:t>
      </w:r>
      <w:r>
        <w:rPr>
          <w:rFonts w:ascii="Times New Roman" w:cs="Times New Roman" w:eastAsia="Times New Roman" w:hAnsi="Times New Roman"/>
          <w:sz w:val="17"/>
          <w:szCs w:val="17"/>
          <w:u w:val="single" w:color="auto"/>
          <w:color w:val="0000FF"/>
        </w:rPr>
        <w:t>Seven</w:t>
      </w:r>
      <w:r>
        <w:rPr>
          <w:rFonts w:ascii="Times New Roman" w:cs="Times New Roman" w:eastAsia="Times New Roman" w:hAnsi="Times New Roman"/>
          <w:sz w:val="17"/>
          <w:szCs w:val="17"/>
          <w:color w:val="auto"/>
        </w:rPr>
        <w:t xml:space="preserve"> Hundred </w:t>
      </w:r>
      <w:r>
        <w:rPr>
          <w:rFonts w:ascii="Times New Roman" w:cs="Times New Roman" w:eastAsia="Times New Roman" w:hAnsi="Times New Roman"/>
          <w:sz w:val="17"/>
          <w:szCs w:val="17"/>
          <w:color w:val="FF0000"/>
          <w:strike w:val="1"/>
        </w:rPr>
        <w:t>Seventy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Four</w:t>
      </w:r>
      <w:r>
        <w:rPr>
          <w:rFonts w:ascii="Times New Roman" w:cs="Times New Roman" w:eastAsia="Times New Roman" w:hAnsi="Times New Roman"/>
          <w:sz w:val="17"/>
          <w:szCs w:val="17"/>
          <w:u w:val="single" w:color="auto"/>
          <w:color w:val="0000FF"/>
        </w:rPr>
        <w:t>Twenty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Thousand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Nine Hundred Ninety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Dollars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and 88/100</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FF0000"/>
          <w:strike w:val="1"/>
        </w:rPr>
        <w:t>274,990.88</w:t>
      </w:r>
      <w:r>
        <w:rPr>
          <w:rFonts w:ascii="Times New Roman" w:cs="Times New Roman" w:eastAsia="Times New Roman" w:hAnsi="Times New Roman"/>
          <w:sz w:val="17"/>
          <w:szCs w:val="17"/>
          <w:u w:val="single" w:color="auto"/>
          <w:color w:val="0000FF"/>
        </w:rPr>
        <w:t>720,000</w:t>
      </w:r>
      <w:r>
        <w:rPr>
          <w:rFonts w:ascii="Times New Roman" w:cs="Times New Roman" w:eastAsia="Times New Roman" w:hAnsi="Times New Roman"/>
          <w:sz w:val="17"/>
          <w:szCs w:val="17"/>
          <w:color w:val="000000"/>
        </w:rPr>
        <w:t>). After repayment (in whole or in part), the Term Loan Advance may not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-1013460</wp:posOffset>
            </wp:positionV>
            <wp:extent cx="1282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7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17"/>
          <w:szCs w:val="17"/>
          <w:color w:val="FF0000"/>
          <w:strike w:val="1"/>
        </w:rPr>
        <w:t>Additionally, at any time during the applicable draw period agreed to by Borrower and Bank, Borrower may request that Bank make additional term loan advances available to Borrower in an aggregate original principal amount of up to Fifteen Million Dollars ($15,000,000) (the “</w:t>
      </w:r>
      <w:r>
        <w:rPr>
          <w:rFonts w:ascii="Times New Roman" w:cs="Times New Roman" w:eastAsia="Times New Roman" w:hAnsi="Times New Roman"/>
          <w:sz w:val="17"/>
          <w:szCs w:val="17"/>
          <w:b w:val="1"/>
          <w:bCs w:val="1"/>
          <w:color w:val="FF0000"/>
          <w:strike w:val="1"/>
        </w:rPr>
        <w:t>Uncommitted Accordion</w:t>
      </w:r>
      <w:r>
        <w:rPr>
          <w:rFonts w:ascii="Times New Roman" w:cs="Times New Roman" w:eastAsia="Times New Roman" w:hAnsi="Times New Roman"/>
          <w:sz w:val="17"/>
          <w:szCs w:val="17"/>
          <w:color w:val="FF0000"/>
          <w:strike w:val="1"/>
        </w:rPr>
        <w:t>”). Bank, in its sole and absolute discretion, may grant or deny any such request from Borrower for a term loan advance under the Uncommitted Accordion. If, and only if, Bank, in its sole discretion, agrees to provide any additional term loan advance(s) to Borrower under the Uncommitted Accordion, each such term loan advance shall each be considered a “Term Loan Advance” hereunder and added to the definition thereof; provided that the terms of the making of any advance under the Uncommitted Accordion shall be outlined in an amendment to this Agreement to be entered into by the parties hereto.</w:t>
      </w:r>
    </w:p>
    <w:p>
      <w:pPr>
        <w:spacing w:after="0" w:line="170" w:lineRule="exact"/>
        <w:rPr>
          <w:sz w:val="20"/>
          <w:szCs w:val="20"/>
          <w:color w:val="auto"/>
        </w:rPr>
      </w:pPr>
    </w:p>
    <w:p>
      <w:pPr>
        <w:jc w:val="both"/>
        <w:ind w:firstLine="1264"/>
        <w:spacing w:after="0" w:line="277" w:lineRule="auto"/>
        <w:tabs>
          <w:tab w:leader="none" w:pos="188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w:t>
      </w:r>
      <w:r>
        <w:rPr>
          <w:rFonts w:ascii="Times New Roman" w:cs="Times New Roman" w:eastAsia="Times New Roman" w:hAnsi="Times New Roman"/>
          <w:sz w:val="17"/>
          <w:szCs w:val="17"/>
          <w:color w:val="auto"/>
        </w:rPr>
        <w:t>. Borrower shall repay the Term Loan Advance as set forth in Schedule I hereto. All outstanding principal and accrued and unpaid interest under the Term Loan Advance, and all other outstanding Obligations with respect to such Term Loan Advance, are due and payable in full on the Term Loan Maturity Date.</w:t>
      </w:r>
    </w:p>
    <w:p>
      <w:pPr>
        <w:spacing w:after="0" w:line="162"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Permitted Prepayment</w:t>
      </w:r>
      <w:r>
        <w:rPr>
          <w:rFonts w:ascii="Times New Roman" w:cs="Times New Roman" w:eastAsia="Times New Roman" w:hAnsi="Times New Roman"/>
          <w:sz w:val="17"/>
          <w:szCs w:val="17"/>
          <w:color w:val="auto"/>
        </w:rPr>
        <w:t xml:space="preserve">. Borrower shall have the option to prepay all, but not less than all, of the Term Loan Advance, provided Borrower (i) delivers written notice to Bank of its election to prepay the Term Loan Advance at least five (5) Business Days prior to such prepayment, and (ii) pays, on the date of such prepayment (A) the outstanding principal plus accrued and unpaid interest with respect to the Term Loan Advance, (B) the applicable Prepayment Fee, if any, </w:t>
      </w:r>
      <w:r>
        <w:rPr>
          <w:rFonts w:ascii="Times New Roman" w:cs="Times New Roman" w:eastAsia="Times New Roman" w:hAnsi="Times New Roman"/>
          <w:sz w:val="17"/>
          <w:szCs w:val="17"/>
          <w:u w:val="single" w:color="auto"/>
          <w:color w:val="0000FF"/>
        </w:rPr>
        <w:t>and</w:t>
      </w:r>
      <w:r>
        <w:rPr>
          <w:rFonts w:ascii="Times New Roman" w:cs="Times New Roman" w:eastAsia="Times New Roman" w:hAnsi="Times New Roman"/>
          <w:sz w:val="17"/>
          <w:szCs w:val="17"/>
          <w:color w:val="auto"/>
        </w:rPr>
        <w:t xml:space="preserve"> (C) </w:t>
      </w:r>
      <w:r>
        <w:rPr>
          <w:rFonts w:ascii="Times New Roman" w:cs="Times New Roman" w:eastAsia="Times New Roman" w:hAnsi="Times New Roman"/>
          <w:sz w:val="17"/>
          <w:szCs w:val="17"/>
          <w:color w:val="FF0000"/>
          <w:strike w:val="1"/>
        </w:rPr>
        <w:t>the Final Payment, and (D)</w:t>
      </w:r>
      <w:r>
        <w:rPr>
          <w:rFonts w:ascii="Times New Roman" w:cs="Times New Roman" w:eastAsia="Times New Roman" w:hAnsi="Times New Roman"/>
          <w:sz w:val="17"/>
          <w:szCs w:val="17"/>
          <w:color w:val="auto"/>
        </w:rPr>
        <w:t xml:space="preserve"> all other sums, if any, that shall have become due and payable with respect to the Term Loan Advance, including interest at the Default Rate with respect to any past due amounts.</w:t>
      </w:r>
    </w:p>
    <w:p>
      <w:pPr>
        <w:spacing w:after="0" w:line="171"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Prepayment Upon an Acceleration</w:t>
      </w:r>
      <w:r>
        <w:rPr>
          <w:rFonts w:ascii="Times New Roman" w:cs="Times New Roman" w:eastAsia="Times New Roman" w:hAnsi="Times New Roman"/>
          <w:sz w:val="17"/>
          <w:szCs w:val="17"/>
          <w:color w:val="auto"/>
        </w:rPr>
        <w:t xml:space="preserve">. If the Term Loan Advance is accelerated by Bank following the occurrence and during the continuance of an Event of Default, Borrower shall immediately pay to Bank an amount equal to the sum of (i) all outstanding principal plus accrued and unpaid interest with respect to the Term Loan Advance, (ii) the applicable Prepayment Fee, if any, </w:t>
      </w:r>
      <w:r>
        <w:rPr>
          <w:rFonts w:ascii="Times New Roman" w:cs="Times New Roman" w:eastAsia="Times New Roman" w:hAnsi="Times New Roman"/>
          <w:sz w:val="17"/>
          <w:szCs w:val="17"/>
          <w:u w:val="single" w:color="auto"/>
          <w:color w:val="0000FF"/>
        </w:rPr>
        <w:t>and</w:t>
      </w:r>
      <w:r>
        <w:rPr>
          <w:rFonts w:ascii="Times New Roman" w:cs="Times New Roman" w:eastAsia="Times New Roman" w:hAnsi="Times New Roman"/>
          <w:sz w:val="17"/>
          <w:szCs w:val="17"/>
          <w:color w:val="auto"/>
        </w:rPr>
        <w:t xml:space="preserve"> (iii) </w:t>
      </w:r>
      <w:r>
        <w:rPr>
          <w:rFonts w:ascii="Times New Roman" w:cs="Times New Roman" w:eastAsia="Times New Roman" w:hAnsi="Times New Roman"/>
          <w:sz w:val="17"/>
          <w:szCs w:val="17"/>
          <w:color w:val="FF0000"/>
          <w:strike w:val="1"/>
        </w:rPr>
        <w:t>the Final Payment, and (iv)</w:t>
      </w:r>
      <w:r>
        <w:rPr>
          <w:rFonts w:ascii="Times New Roman" w:cs="Times New Roman" w:eastAsia="Times New Roman" w:hAnsi="Times New Roman"/>
          <w:sz w:val="17"/>
          <w:szCs w:val="17"/>
          <w:color w:val="auto"/>
        </w:rPr>
        <w:t xml:space="preserve"> all other</w:t>
      </w:r>
    </w:p>
    <w:p>
      <w:pPr>
        <w:sectPr>
          <w:pgSz w:w="11900" w:h="16838" w:orient="portrait"/>
          <w:cols w:equalWidth="0" w:num="1">
            <w:col w:w="11240"/>
          </w:cols>
          <w:pgMar w:left="320" w:top="1380" w:right="339" w:bottom="1440" w:gutter="0" w:footer="0" w:header="0"/>
        </w:sectPr>
      </w:pPr>
    </w:p>
    <w:bookmarkStart w:id="100" w:name="page101"/>
    <w:bookmarkEnd w:id="100"/>
    <w:p>
      <w:pPr>
        <w:spacing w:after="0" w:line="297" w:lineRule="auto"/>
        <w:rPr>
          <w:sz w:val="20"/>
          <w:szCs w:val="20"/>
          <w:color w:val="auto"/>
        </w:rPr>
      </w:pPr>
      <w:r>
        <w:rPr>
          <w:rFonts w:ascii="Times New Roman" w:cs="Times New Roman" w:eastAsia="Times New Roman" w:hAnsi="Times New Roman"/>
          <w:sz w:val="17"/>
          <w:szCs w:val="17"/>
          <w:color w:val="auto"/>
        </w:rPr>
        <w:t>sums, if any, that shall have become due and payable with respect to the Term Loan Advance, including interest at the Default Rate with respect to any past due amounts.</w:t>
      </w:r>
    </w:p>
    <w:p>
      <w:pPr>
        <w:spacing w:after="0" w:line="146"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17"/>
          <w:szCs w:val="17"/>
          <w:color w:val="FF0000"/>
          <w:strike w:val="1"/>
        </w:rPr>
        <w:t>1.1.A</w:t>
        <w:tab/>
        <w:t>Revolving Line.</w:t>
      </w:r>
    </w:p>
    <w:p>
      <w:pPr>
        <w:spacing w:after="0" w:line="211" w:lineRule="exact"/>
        <w:rPr>
          <w:sz w:val="20"/>
          <w:szCs w:val="20"/>
          <w:color w:val="auto"/>
        </w:rPr>
      </w:pPr>
    </w:p>
    <w:p>
      <w:pPr>
        <w:jc w:val="both"/>
        <w:ind w:firstLine="1264"/>
        <w:spacing w:after="0" w:line="277" w:lineRule="auto"/>
        <w:tabs>
          <w:tab w:leader="none" w:pos="1509" w:val="left"/>
        </w:tabs>
        <w:numPr>
          <w:ilvl w:val="0"/>
          <w:numId w:val="9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Availability</w:t>
      </w:r>
      <w:r>
        <w:rPr>
          <w:rFonts w:ascii="Times New Roman" w:cs="Times New Roman" w:eastAsia="Times New Roman" w:hAnsi="Times New Roman"/>
          <w:sz w:val="17"/>
          <w:szCs w:val="17"/>
          <w:color w:val="FF0000"/>
          <w:strike w:val="1"/>
        </w:rPr>
        <w:t>. Subject to the terms and conditions of this Agreement and to deduction of Reserves, Bank shall make Advances under the</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Revolving Line upon Borrower’s request not exceeding the Availability Amount. Amounts borrowed under the Revolving Line may be prepaid or repaid as set forth on Schedule I hereto.</w:t>
      </w:r>
    </w:p>
    <w:p>
      <w:pPr>
        <w:spacing w:after="0" w:line="162" w:lineRule="exact"/>
        <w:rPr>
          <w:rFonts w:ascii="Times New Roman" w:cs="Times New Roman" w:eastAsia="Times New Roman" w:hAnsi="Times New Roman"/>
          <w:sz w:val="17"/>
          <w:szCs w:val="17"/>
          <w:color w:val="FF0000"/>
          <w:strike w:val="1"/>
        </w:rPr>
      </w:pPr>
    </w:p>
    <w:p>
      <w:pPr>
        <w:jc w:val="both"/>
        <w:ind w:firstLine="1264"/>
        <w:spacing w:after="0" w:line="277" w:lineRule="auto"/>
        <w:tabs>
          <w:tab w:leader="none" w:pos="1519" w:val="left"/>
        </w:tabs>
        <w:numPr>
          <w:ilvl w:val="0"/>
          <w:numId w:val="9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Termination; Repayment</w:t>
      </w:r>
      <w:r>
        <w:rPr>
          <w:rFonts w:ascii="Times New Roman" w:cs="Times New Roman" w:eastAsia="Times New Roman" w:hAnsi="Times New Roman"/>
          <w:sz w:val="17"/>
          <w:szCs w:val="17"/>
          <w:color w:val="FF0000"/>
          <w:strike w:val="1"/>
        </w:rPr>
        <w:t>. The Revolving Line terminates on the Revolving Line Maturity Date, at which time the outstanding principal</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amount of all Advances, the accrued and unpaid interest thereon, and all other outstanding Obligations relating to the Revolving Line shall be immediately due and payable.</w:t>
      </w:r>
    </w:p>
    <w:p>
      <w:pPr>
        <w:spacing w:after="0" w:line="160"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FF0000"/>
          <w:strike w:val="1"/>
        </w:rPr>
        <w:t xml:space="preserve">1.1.B </w:t>
      </w:r>
      <w:r>
        <w:rPr>
          <w:rFonts w:ascii="Times New Roman" w:cs="Times New Roman" w:eastAsia="Times New Roman" w:hAnsi="Times New Roman"/>
          <w:sz w:val="17"/>
          <w:szCs w:val="17"/>
          <w:b w:val="1"/>
          <w:bCs w:val="1"/>
          <w:color w:val="FF0000"/>
          <w:strike w:val="1"/>
        </w:rPr>
        <w:t>Overadvances.</w:t>
      </w:r>
      <w:r>
        <w:rPr>
          <w:rFonts w:ascii="Times New Roman" w:cs="Times New Roman" w:eastAsia="Times New Roman" w:hAnsi="Times New Roman"/>
          <w:sz w:val="17"/>
          <w:szCs w:val="17"/>
          <w:color w:val="FF0000"/>
          <w:strike w:val="1"/>
        </w:rPr>
        <w:t xml:space="preserve"> If, at any time, the sum of the aggregate outstanding principal amount of any Advances exceeds the lesser of (i) the Revolving Line or (ii) the Borrowing Base, Borrower shall immediately pay to Bank in cash the amount of such excess (such excess, the “</w:t>
      </w:r>
      <w:r>
        <w:rPr>
          <w:rFonts w:ascii="Times New Roman" w:cs="Times New Roman" w:eastAsia="Times New Roman" w:hAnsi="Times New Roman"/>
          <w:sz w:val="17"/>
          <w:szCs w:val="17"/>
          <w:b w:val="1"/>
          <w:bCs w:val="1"/>
          <w:color w:val="FF0000"/>
          <w:strike w:val="1"/>
        </w:rPr>
        <w:t>Overadvance</w:t>
      </w:r>
      <w:r>
        <w:rPr>
          <w:rFonts w:ascii="Times New Roman" w:cs="Times New Roman" w:eastAsia="Times New Roman" w:hAnsi="Times New Roman"/>
          <w:sz w:val="17"/>
          <w:szCs w:val="17"/>
          <w:color w:val="FF0000"/>
          <w:strike w:val="1"/>
        </w:rPr>
        <w:t>”). Without limiting Borrower’s obligation to repay Bank any Overadvance, at Bank’s sole option, Borrower shall pay Bank interest on the outstanding amount of any Overadvance, on demand, at a rate per annum equal to the rate that is otherwise applicable to Advances plus three percent (3.0%).</w:t>
      </w:r>
    </w:p>
    <w:p>
      <w:pPr>
        <w:spacing w:after="0" w:line="17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1.2</w:t>
        <w:tab/>
        <w:t>Payment of Interest on the Credit Extensions.</w:t>
      </w:r>
    </w:p>
    <w:p>
      <w:pPr>
        <w:spacing w:after="0" w:line="226" w:lineRule="exact"/>
        <w:rPr>
          <w:sz w:val="20"/>
          <w:szCs w:val="20"/>
          <w:color w:val="auto"/>
        </w:rPr>
      </w:pPr>
    </w:p>
    <w:p>
      <w:pPr>
        <w:ind w:left="1900" w:hanging="636"/>
        <w:spacing w:after="0"/>
        <w:tabs>
          <w:tab w:leader="none" w:pos="1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Payments</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2740" w:hanging="217"/>
        <w:spacing w:after="0"/>
        <w:tabs>
          <w:tab w:leader="none" w:pos="2740" w:val="left"/>
        </w:tabs>
        <w:numPr>
          <w:ilvl w:val="1"/>
          <w:numId w:val="93"/>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Advances</w:t>
      </w:r>
      <w:r>
        <w:rPr>
          <w:rFonts w:ascii="Times New Roman" w:cs="Times New Roman" w:eastAsia="Times New Roman" w:hAnsi="Times New Roman"/>
          <w:sz w:val="17"/>
          <w:szCs w:val="17"/>
          <w:color w:val="FF0000"/>
          <w:strike w:val="1"/>
        </w:rPr>
        <w:t>. Interest on the principal amount of each Advance is payable as set forth on Schedule I hereto.</w:t>
      </w:r>
    </w:p>
    <w:p>
      <w:pPr>
        <w:spacing w:after="0" w:line="224" w:lineRule="exact"/>
        <w:rPr>
          <w:sz w:val="20"/>
          <w:szCs w:val="20"/>
          <w:color w:val="auto"/>
        </w:rPr>
      </w:pPr>
    </w:p>
    <w:p>
      <w:pPr>
        <w:ind w:left="1540" w:hanging="276"/>
        <w:spacing w:after="0"/>
        <w:tabs>
          <w:tab w:leader="none" w:pos="1540" w:val="left"/>
        </w:tabs>
        <w:numPr>
          <w:ilvl w:val="0"/>
          <w:numId w:val="9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auto"/>
        </w:rPr>
        <w:t>Term Loan Advances</w:t>
      </w:r>
      <w:r>
        <w:rPr>
          <w:rFonts w:ascii="Times New Roman" w:cs="Times New Roman" w:eastAsia="Times New Roman" w:hAnsi="Times New Roman"/>
          <w:sz w:val="17"/>
          <w:szCs w:val="17"/>
          <w:color w:val="auto"/>
        </w:rPr>
        <w:t>. Interest on the outstanding principal amount of each Term Loan Advance is payable as set forth on Schedule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hereto.</w:t>
      </w:r>
    </w:p>
    <w:p>
      <w:pPr>
        <w:spacing w:after="0" w:line="206" w:lineRule="exact"/>
        <w:rPr>
          <w:sz w:val="20"/>
          <w:szCs w:val="20"/>
          <w:color w:val="auto"/>
        </w:rPr>
      </w:pPr>
    </w:p>
    <w:p>
      <w:pPr>
        <w:ind w:left="1880" w:hanging="616"/>
        <w:spacing w:after="0"/>
        <w:tabs>
          <w:tab w:leader="none" w:pos="18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Rate</w:t>
      </w:r>
      <w:r>
        <w:rPr>
          <w:rFonts w:ascii="Times New Roman" w:cs="Times New Roman" w:eastAsia="Times New Roman" w:hAnsi="Times New Roman"/>
          <w:sz w:val="17"/>
          <w:szCs w:val="17"/>
          <w:color w:val="auto"/>
        </w:rPr>
        <w:t>.</w:t>
      </w:r>
    </w:p>
    <w:p>
      <w:pPr>
        <w:spacing w:after="0" w:line="224" w:lineRule="exact"/>
        <w:rPr>
          <w:rFonts w:ascii="Times New Roman" w:cs="Times New Roman" w:eastAsia="Times New Roman" w:hAnsi="Times New Roman"/>
          <w:sz w:val="17"/>
          <w:szCs w:val="17"/>
          <w:color w:val="auto"/>
        </w:rPr>
      </w:pPr>
    </w:p>
    <w:p>
      <w:pPr>
        <w:ind w:left="2740" w:hanging="217"/>
        <w:spacing w:after="0"/>
        <w:tabs>
          <w:tab w:leader="none" w:pos="2740" w:val="left"/>
        </w:tabs>
        <w:numPr>
          <w:ilvl w:val="1"/>
          <w:numId w:val="9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Advances</w:t>
      </w:r>
      <w:r>
        <w:rPr>
          <w:rFonts w:ascii="Times New Roman" w:cs="Times New Roman" w:eastAsia="Times New Roman" w:hAnsi="Times New Roman"/>
          <w:sz w:val="17"/>
          <w:szCs w:val="17"/>
          <w:color w:val="FF0000"/>
          <w:strike w:val="1"/>
        </w:rPr>
        <w:t>. Subject to Section 1.2(c), the outstanding principal amount of any Advance shall accrue interest as set forth on</w:t>
      </w:r>
    </w:p>
    <w:p>
      <w:pPr>
        <w:spacing w:after="0" w:line="32" w:lineRule="exact"/>
        <w:rPr>
          <w:rFonts w:ascii="Times New Roman" w:cs="Times New Roman" w:eastAsia="Times New Roman" w:hAnsi="Times New Roman"/>
          <w:sz w:val="17"/>
          <w:szCs w:val="17"/>
          <w:color w:val="FF0000"/>
          <w:strike w:val="1"/>
        </w:rPr>
      </w:pPr>
    </w:p>
    <w:p>
      <w:pPr>
        <w:spacing w:after="0"/>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Schedule I hereto.</w:t>
      </w:r>
    </w:p>
    <w:p>
      <w:pPr>
        <w:spacing w:after="0" w:line="206" w:lineRule="exact"/>
        <w:rPr>
          <w:sz w:val="20"/>
          <w:szCs w:val="20"/>
          <w:color w:val="auto"/>
        </w:rPr>
      </w:pPr>
    </w:p>
    <w:p>
      <w:pPr>
        <w:ind w:firstLine="2523"/>
        <w:spacing w:after="0" w:line="297" w:lineRule="auto"/>
        <w:tabs>
          <w:tab w:leader="none" w:pos="3142" w:val="left"/>
        </w:tabs>
        <w:numPr>
          <w:ilvl w:val="0"/>
          <w:numId w:val="9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(ii)</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Term Loan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FF0000"/>
          <w:strike w:val="1"/>
        </w:rPr>
        <w:t>Advances</w:t>
      </w:r>
      <w:r>
        <w:rPr>
          <w:rFonts w:ascii="Times New Roman" w:cs="Times New Roman" w:eastAsia="Times New Roman" w:hAnsi="Times New Roman"/>
          <w:sz w:val="17"/>
          <w:szCs w:val="17"/>
          <w:u w:val="single" w:color="auto"/>
          <w:color w:val="0000FF"/>
        </w:rPr>
        <w:t>Advance</w:t>
      </w:r>
      <w:r>
        <w:rPr>
          <w:rFonts w:ascii="Times New Roman" w:cs="Times New Roman" w:eastAsia="Times New Roman" w:hAnsi="Times New Roman"/>
          <w:sz w:val="17"/>
          <w:szCs w:val="17"/>
          <w:color w:val="000000"/>
        </w:rPr>
        <w:t>. Subject to Section 1.2(c), the outstanding principal amount of the Term Loan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Advance shall accrue interest as set forth on Schedule I hereto.</w:t>
      </w:r>
    </w:p>
    <w:p>
      <w:pPr>
        <w:spacing w:after="0" w:line="146" w:lineRule="exact"/>
        <w:rPr>
          <w:sz w:val="20"/>
          <w:szCs w:val="20"/>
          <w:color w:val="auto"/>
        </w:rPr>
      </w:pPr>
    </w:p>
    <w:p>
      <w:pPr>
        <w:ind w:firstLine="2523"/>
        <w:spacing w:after="0" w:line="297" w:lineRule="auto"/>
        <w:tabs>
          <w:tab w:leader="none" w:pos="3142" w:val="left"/>
        </w:tabs>
        <w:numPr>
          <w:ilvl w:val="1"/>
          <w:numId w:val="97"/>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(iii)</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All-In Rate</w:t>
      </w:r>
      <w:r>
        <w:rPr>
          <w:rFonts w:ascii="Times New Roman" w:cs="Times New Roman" w:eastAsia="Times New Roman" w:hAnsi="Times New Roman"/>
          <w:sz w:val="17"/>
          <w:szCs w:val="17"/>
          <w:color w:val="000000"/>
        </w:rPr>
        <w:t>. Notwithstanding any terms in this Agreement to the contrary, if at any time the interest rate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applicable to any Obligations is less than zero percent (0.0%), such interest rate shall be deemed to be zero percent (0.0%) for all purposes of this Agreement.</w:t>
      </w:r>
    </w:p>
    <w:p>
      <w:pPr>
        <w:spacing w:after="0" w:line="145" w:lineRule="exact"/>
        <w:rPr>
          <w:rFonts w:ascii="Times New Roman" w:cs="Times New Roman" w:eastAsia="Times New Roman" w:hAnsi="Times New Roman"/>
          <w:sz w:val="17"/>
          <w:szCs w:val="17"/>
          <w:u w:val="single" w:color="auto"/>
          <w:color w:val="0000FF"/>
        </w:rPr>
      </w:pPr>
    </w:p>
    <w:p>
      <w:pPr>
        <w:jc w:val="both"/>
        <w:ind w:firstLine="1264"/>
        <w:spacing w:after="0" w:line="265" w:lineRule="auto"/>
        <w:tabs>
          <w:tab w:leader="none" w:pos="188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Immediately upon the occurrence and during the continuance of an Event of Default, the outstanding Obligations shall bear interest at a rate per annum which is three percent (3.0%) above the rate that is otherwise applicable thereto (the “</w:t>
      </w:r>
      <w:r>
        <w:rPr>
          <w:rFonts w:ascii="Times New Roman" w:cs="Times New Roman" w:eastAsia="Times New Roman" w:hAnsi="Times New Roman"/>
          <w:sz w:val="17"/>
          <w:szCs w:val="17"/>
          <w:b w:val="1"/>
          <w:bCs w:val="1"/>
          <w:color w:val="auto"/>
        </w:rPr>
        <w:t>Default Rate</w:t>
      </w:r>
      <w:r>
        <w:rPr>
          <w:rFonts w:ascii="Times New Roman" w:cs="Times New Roman" w:eastAsia="Times New Roman" w:hAnsi="Times New Roman"/>
          <w:sz w:val="17"/>
          <w:szCs w:val="17"/>
          <w:color w:val="auto"/>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ectPr>
          <w:pgSz w:w="11900" w:h="16838" w:orient="portrait"/>
          <w:cols w:equalWidth="0" w:num="1">
            <w:col w:w="11240"/>
          </w:cols>
          <w:pgMar w:left="320" w:top="1380" w:right="339" w:bottom="1440" w:gutter="0" w:footer="0" w:header="0"/>
        </w:sectPr>
      </w:pPr>
    </w:p>
    <w:bookmarkStart w:id="101" w:name="page102"/>
    <w:bookmarkEnd w:id="101"/>
    <w:p>
      <w:pPr>
        <w:ind w:firstLine="1264"/>
        <w:spacing w:after="0" w:line="297" w:lineRule="auto"/>
        <w:tabs>
          <w:tab w:leader="none" w:pos="188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Interest Rate</w:t>
      </w:r>
      <w:r>
        <w:rPr>
          <w:rFonts w:ascii="Times New Roman" w:cs="Times New Roman" w:eastAsia="Times New Roman" w:hAnsi="Times New Roman"/>
          <w:sz w:val="17"/>
          <w:szCs w:val="17"/>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Computation</w:t>
      </w:r>
      <w:r>
        <w:rPr>
          <w:rFonts w:ascii="Times New Roman" w:cs="Times New Roman" w:eastAsia="Times New Roman" w:hAnsi="Times New Roman"/>
          <w:sz w:val="17"/>
          <w:szCs w:val="17"/>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6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1.3</w:t>
        <w:tab/>
        <w:t xml:space="preserve">Fees and Expenses. </w:t>
      </w:r>
      <w:r>
        <w:rPr>
          <w:rFonts w:ascii="Times New Roman" w:cs="Times New Roman" w:eastAsia="Times New Roman" w:hAnsi="Times New Roman"/>
          <w:sz w:val="17"/>
          <w:szCs w:val="17"/>
          <w:color w:val="auto"/>
        </w:rPr>
        <w:t>Borrower shall pay to Bank:</w:t>
      </w:r>
    </w:p>
    <w:p>
      <w:pPr>
        <w:spacing w:after="0" w:line="226" w:lineRule="exact"/>
        <w:rPr>
          <w:sz w:val="20"/>
          <w:szCs w:val="20"/>
          <w:color w:val="auto"/>
        </w:rPr>
      </w:pPr>
    </w:p>
    <w:p>
      <w:pPr>
        <w:jc w:val="both"/>
        <w:ind w:firstLine="1264"/>
        <w:spacing w:after="0" w:line="289" w:lineRule="auto"/>
        <w:tabs>
          <w:tab w:leader="none" w:pos="188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Prepayment Fee</w:t>
      </w:r>
      <w:r>
        <w:rPr>
          <w:rFonts w:ascii="Times New Roman" w:cs="Times New Roman" w:eastAsia="Times New Roman" w:hAnsi="Times New Roman"/>
          <w:sz w:val="17"/>
          <w:szCs w:val="17"/>
          <w:color w:val="auto"/>
        </w:rPr>
        <w:t>. The Prepayment Fee, if and when due hereunder, which shall be fully earned and non-refundable as of the applicable prepayment date; provided, however, if Borrower refinances the Term Loan Advance with another credit facility from Bank, Bank shall waive the Prepayment Fee;</w:t>
      </w:r>
    </w:p>
    <w:p>
      <w:pPr>
        <w:spacing w:after="0" w:line="368"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11" w:lineRule="exact"/>
        <w:rPr>
          <w:sz w:val="20"/>
          <w:szCs w:val="20"/>
          <w:color w:val="auto"/>
        </w:rPr>
      </w:pPr>
    </w:p>
    <w:p>
      <w:pPr>
        <w:jc w:val="both"/>
        <w:ind w:firstLine="1264"/>
        <w:spacing w:after="0" w:line="270" w:lineRule="auto"/>
        <w:tabs>
          <w:tab w:leader="none" w:pos="1532" w:val="left"/>
        </w:tabs>
        <w:numPr>
          <w:ilvl w:val="0"/>
          <w:numId w:val="10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Final Payment</w:t>
      </w:r>
      <w:r>
        <w:rPr>
          <w:rFonts w:ascii="Times New Roman" w:cs="Times New Roman" w:eastAsia="Times New Roman" w:hAnsi="Times New Roman"/>
          <w:sz w:val="17"/>
          <w:szCs w:val="17"/>
          <w:color w:val="FF0000"/>
          <w:strike w:val="1"/>
        </w:rPr>
        <w:t>. The Final Payment, when due hereunder, which shall be fully earned and non-refundable as of such date, provided</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 xml:space="preserve">however, </w:t>
      </w:r>
      <w:r>
        <w:rPr>
          <w:rFonts w:ascii="Times New Roman" w:cs="Times New Roman" w:eastAsia="Times New Roman" w:hAnsi="Times New Roman"/>
          <w:sz w:val="17"/>
          <w:szCs w:val="17"/>
          <w:color w:val="008000"/>
          <w:strike w:val="1"/>
        </w:rPr>
        <w:t>for the avoidance of doubt,</w:t>
      </w:r>
      <w:r>
        <w:rPr>
          <w:rFonts w:ascii="Times New Roman" w:cs="Times New Roman" w:eastAsia="Times New Roman" w:hAnsi="Times New Roman"/>
          <w:sz w:val="17"/>
          <w:szCs w:val="17"/>
          <w:color w:val="FF0000"/>
          <w:strike w:val="1"/>
        </w:rPr>
        <w:t xml:space="preserve"> the Final Payment due under the terms of this original Agreement with respect to the original Term Loan Advances shall be pro-rated and accrued and payable only through the date such original Term Loan Advances are repaid on or around the First Amendment Effective Date, in accordance with Section 1.1(a);</w:t>
      </w:r>
    </w:p>
    <w:p>
      <w:pPr>
        <w:spacing w:after="0" w:line="169" w:lineRule="exact"/>
        <w:rPr>
          <w:rFonts w:ascii="Times New Roman" w:cs="Times New Roman" w:eastAsia="Times New Roman" w:hAnsi="Times New Roman"/>
          <w:sz w:val="17"/>
          <w:szCs w:val="17"/>
          <w:color w:val="FF0000"/>
          <w:strike w:val="1"/>
        </w:rPr>
      </w:pPr>
    </w:p>
    <w:p>
      <w:pPr>
        <w:ind w:firstLine="1264"/>
        <w:spacing w:after="0" w:line="297" w:lineRule="auto"/>
        <w:tabs>
          <w:tab w:leader="none" w:pos="1496" w:val="left"/>
        </w:tabs>
        <w:numPr>
          <w:ilvl w:val="0"/>
          <w:numId w:val="10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Revolving Line Commitment Fee</w:t>
      </w:r>
      <w:r>
        <w:rPr>
          <w:rFonts w:ascii="Times New Roman" w:cs="Times New Roman" w:eastAsia="Times New Roman" w:hAnsi="Times New Roman"/>
          <w:sz w:val="17"/>
          <w:szCs w:val="17"/>
          <w:color w:val="FF0000"/>
          <w:strike w:val="1"/>
        </w:rPr>
        <w:t>. A fully earned, as of the First Amendment Effective Date, non-refundable commitment fee as set forth</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on Schedule I hereto; and</w:t>
      </w:r>
    </w:p>
    <w:p>
      <w:pPr>
        <w:spacing w:after="0" w:line="145" w:lineRule="exact"/>
        <w:rPr>
          <w:rFonts w:ascii="Times New Roman" w:cs="Times New Roman" w:eastAsia="Times New Roman" w:hAnsi="Times New Roman"/>
          <w:sz w:val="17"/>
          <w:szCs w:val="17"/>
          <w:color w:val="FF0000"/>
          <w:strike w:val="1"/>
        </w:rPr>
      </w:pPr>
    </w:p>
    <w:p>
      <w:pPr>
        <w:jc w:val="both"/>
        <w:ind w:firstLine="1264"/>
        <w:spacing w:after="0" w:line="270" w:lineRule="auto"/>
        <w:tabs>
          <w:tab w:leader="none" w:pos="1506" w:val="left"/>
        </w:tabs>
        <w:numPr>
          <w:ilvl w:val="0"/>
          <w:numId w:val="10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Termination Fee</w:t>
      </w:r>
      <w:r>
        <w:rPr>
          <w:rFonts w:ascii="Times New Roman" w:cs="Times New Roman" w:eastAsia="Times New Roman" w:hAnsi="Times New Roman"/>
          <w:sz w:val="17"/>
          <w:szCs w:val="17"/>
          <w:color w:val="FF0000"/>
          <w:strike w:val="1"/>
        </w:rPr>
        <w:t>. Upon termination of this Agreement or the termination of the Revolving Line for any reason prior to the Revolving Line</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Maturity Date, in addition to the payment of any other amounts then-owing, a termination fee in an amount equal to One Hundred Fifty Thousand Dollars ($150,000), which shall be fully earned and non-refundable as of such date; provided that no termination fee shall be charged if the credit facility hereunder is replaced with a new facility from Bank;</w:t>
      </w:r>
    </w:p>
    <w:p>
      <w:pPr>
        <w:spacing w:after="0" w:line="169" w:lineRule="exact"/>
        <w:rPr>
          <w:sz w:val="20"/>
          <w:szCs w:val="20"/>
          <w:color w:val="auto"/>
        </w:rPr>
      </w:pPr>
    </w:p>
    <w:p>
      <w:pPr>
        <w:jc w:val="both"/>
        <w:ind w:left="1260" w:firstLine="4"/>
        <w:spacing w:after="0" w:line="270" w:lineRule="auto"/>
        <w:tabs>
          <w:tab w:leader="none" w:pos="137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color w:val="FF0000"/>
        </w:rPr>
        <w:t>(e)</w:t>
      </w:r>
      <w:r>
        <w:rPr>
          <w:rFonts w:ascii="Times New Roman" w:cs="Times New Roman" w:eastAsia="Times New Roman" w:hAnsi="Times New Roman"/>
          <w:sz w:val="17"/>
          <w:szCs w:val="17"/>
          <w:u w:val="single" w:color="auto"/>
          <w:color w:val="auto"/>
        </w:rPr>
        <w:t>Bank Expenses</w:t>
      </w:r>
      <w:r>
        <w:rPr>
          <w:rFonts w:ascii="Times New Roman" w:cs="Times New Roman" w:eastAsia="Times New Roman" w:hAnsi="Times New Roman"/>
          <w:sz w:val="17"/>
          <w:szCs w:val="17"/>
          <w:color w:val="auto"/>
        </w:rPr>
        <w:t xml:space="preserve">. All Bank Expenses incurred through and after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when due (or, if no stated due date, upon demand by Bank). Borrower has paid to Bank a good faith deposit of </w:t>
      </w:r>
      <w:r>
        <w:rPr>
          <w:rFonts w:ascii="Times New Roman" w:cs="Times New Roman" w:eastAsia="Times New Roman" w:hAnsi="Times New Roman"/>
          <w:sz w:val="17"/>
          <w:szCs w:val="17"/>
          <w:color w:val="FF0000"/>
          <w:strike w:val="1"/>
        </w:rPr>
        <w:t>Seventy-Five</w:t>
      </w:r>
      <w:r>
        <w:rPr>
          <w:rFonts w:ascii="Times New Roman" w:cs="Times New Roman" w:eastAsia="Times New Roman" w:hAnsi="Times New Roman"/>
          <w:sz w:val="17"/>
          <w:szCs w:val="17"/>
          <w:u w:val="single" w:color="auto"/>
          <w:color w:val="0000FF"/>
        </w:rPr>
        <w:t>Thirty-Five</w:t>
      </w:r>
      <w:r>
        <w:rPr>
          <w:rFonts w:ascii="Times New Roman" w:cs="Times New Roman" w:eastAsia="Times New Roman" w:hAnsi="Times New Roman"/>
          <w:sz w:val="17"/>
          <w:szCs w:val="17"/>
          <w:color w:val="auto"/>
        </w:rPr>
        <w:t xml:space="preserve"> Thousand Dollars ($</w:t>
      </w:r>
      <w:r>
        <w:rPr>
          <w:rFonts w:ascii="Times New Roman" w:cs="Times New Roman" w:eastAsia="Times New Roman" w:hAnsi="Times New Roman"/>
          <w:sz w:val="17"/>
          <w:szCs w:val="17"/>
          <w:color w:val="FF0000"/>
          <w:strike w:val="1"/>
        </w:rPr>
        <w:t>75,000</w:t>
      </w:r>
      <w:r>
        <w:rPr>
          <w:rFonts w:ascii="Times New Roman" w:cs="Times New Roman" w:eastAsia="Times New Roman" w:hAnsi="Times New Roman"/>
          <w:sz w:val="17"/>
          <w:szCs w:val="17"/>
          <w:u w:val="single" w:color="auto"/>
          <w:color w:val="0000FF"/>
        </w:rPr>
        <w:t>35,000</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Good Faith Deposit</w:t>
      </w:r>
      <w:r>
        <w:rPr>
          <w:rFonts w:ascii="Times New Roman" w:cs="Times New Roman" w:eastAsia="Times New Roman" w:hAnsi="Times New Roman"/>
          <w:sz w:val="17"/>
          <w:szCs w:val="17"/>
          <w:color w:val="auto"/>
        </w:rPr>
        <w:t xml:space="preserve">”), in connection with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to initiate Bank’s due diligence review process. The Good Faith Deposit will be applied to Bank Expenses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-487680</wp:posOffset>
            </wp:positionV>
            <wp:extent cx="15938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1">
                      <a:extLst>
                        <a:ext uri="{28A0092B-C50C-407E-A947-70E740481C1C}"/>
                      </a:extLst>
                    </a:blip>
                    <a:srcRect/>
                    <a:stretch>
                      <a:fillRect/>
                    </a:stretch>
                  </pic:blipFill>
                  <pic:spPr bwMode="auto">
                    <a:xfrm>
                      <a:off x="0" y="0"/>
                      <a:ext cx="159385" cy="8255"/>
                    </a:xfrm>
                    <a:prstGeom prst="rect">
                      <a:avLst/>
                    </a:prstGeom>
                    <a:noFill/>
                  </pic:spPr>
                </pic:pic>
              </a:graphicData>
            </a:graphic>
          </wp:anchor>
        </w:drawing>
      </w:r>
    </w:p>
    <w:p>
      <w:pPr>
        <w:spacing w:after="0" w:line="14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16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1.4</w:t>
        <w:tab/>
        <w:t>Payments; Application of Payments; Debit of Accounts.</w:t>
      </w:r>
    </w:p>
    <w:p>
      <w:pPr>
        <w:spacing w:after="0" w:line="226" w:lineRule="exact"/>
        <w:rPr>
          <w:sz w:val="20"/>
          <w:szCs w:val="20"/>
          <w:color w:val="auto"/>
        </w:rPr>
      </w:pPr>
    </w:p>
    <w:p>
      <w:pPr>
        <w:jc w:val="both"/>
        <w:ind w:firstLine="1264"/>
        <w:spacing w:after="0" w:line="270" w:lineRule="auto"/>
        <w:tabs>
          <w:tab w:leader="none" w:pos="188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ectPr>
          <w:pgSz w:w="11900" w:h="16838" w:orient="portrait"/>
          <w:cols w:equalWidth="0" w:num="1">
            <w:col w:w="11240"/>
          </w:cols>
          <w:pgMar w:left="320" w:top="1380" w:right="339" w:bottom="1440" w:gutter="0" w:footer="0" w:header="0"/>
        </w:sectPr>
      </w:pPr>
    </w:p>
    <w:bookmarkStart w:id="102" w:name="page103"/>
    <w:bookmarkEnd w:id="102"/>
    <w:p>
      <w:pPr>
        <w:jc w:val="both"/>
        <w:ind w:left="-5" w:firstLine="1264"/>
        <w:spacing w:after="0" w:line="270" w:lineRule="auto"/>
        <w:tabs>
          <w:tab w:leader="none" w:pos="1953"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payment terms of this Agreement and Section 8.4, Bank has the exclusive right in its reasonable discretion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69" w:lineRule="exact"/>
        <w:rPr>
          <w:rFonts w:ascii="Times New Roman" w:cs="Times New Roman" w:eastAsia="Times New Roman" w:hAnsi="Times New Roman"/>
          <w:sz w:val="17"/>
          <w:szCs w:val="17"/>
          <w:color w:val="auto"/>
        </w:rPr>
      </w:pPr>
    </w:p>
    <w:p>
      <w:pPr>
        <w:jc w:val="both"/>
        <w:ind w:left="-5" w:firstLine="1264"/>
        <w:spacing w:after="0" w:line="277" w:lineRule="auto"/>
        <w:tabs>
          <w:tab w:leader="none" w:pos="18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may debit the Designated Deposit Account (or if insufficient funds are contained therein, or if an Event of Default has occurred and is continuing, any of Borrower’s other accounts at Bank), for principal and interest payments or any other amounts Borrower owes Bank when as and when due under this Agreement. These debits shall not constitute a set-off.</w:t>
      </w:r>
    </w:p>
    <w:p>
      <w:pPr>
        <w:spacing w:after="0" w:line="160" w:lineRule="exact"/>
        <w:rPr>
          <w:sz w:val="20"/>
          <w:szCs w:val="20"/>
          <w:color w:val="auto"/>
        </w:rPr>
      </w:pPr>
    </w:p>
    <w:p>
      <w:pPr>
        <w:ind w:left="635"/>
        <w:spacing w:after="0"/>
        <w:tabs>
          <w:tab w:leader="none" w:pos="995" w:val="left"/>
        </w:tabs>
        <w:rPr>
          <w:sz w:val="20"/>
          <w:szCs w:val="20"/>
          <w:color w:val="auto"/>
        </w:rPr>
      </w:pPr>
      <w:r>
        <w:rPr>
          <w:rFonts w:ascii="Times New Roman" w:cs="Times New Roman" w:eastAsia="Times New Roman" w:hAnsi="Times New Roman"/>
          <w:sz w:val="17"/>
          <w:szCs w:val="17"/>
          <w:b w:val="1"/>
          <w:bCs w:val="1"/>
          <w:color w:val="auto"/>
        </w:rPr>
        <w:t>1.5</w:t>
        <w:tab/>
        <w:t>Change in Circumstances.</w:t>
      </w:r>
    </w:p>
    <w:p>
      <w:pPr>
        <w:spacing w:after="0" w:line="226" w:lineRule="exact"/>
        <w:rPr>
          <w:sz w:val="20"/>
          <w:szCs w:val="20"/>
          <w:color w:val="auto"/>
        </w:rPr>
      </w:pPr>
    </w:p>
    <w:p>
      <w:pPr>
        <w:jc w:val="both"/>
        <w:ind w:left="-5" w:firstLine="1264"/>
        <w:spacing w:after="0" w:line="264" w:lineRule="auto"/>
        <w:tabs>
          <w:tab w:leader="none" w:pos="188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w:t>
      </w:r>
    </w:p>
    <w:p>
      <w:pPr>
        <w:spacing w:after="0" w:line="2" w:lineRule="exact"/>
        <w:rPr>
          <w:rFonts w:ascii="Times New Roman" w:cs="Times New Roman" w:eastAsia="Times New Roman" w:hAnsi="Times New Roman"/>
          <w:sz w:val="17"/>
          <w:szCs w:val="17"/>
          <w:color w:val="auto"/>
        </w:rPr>
      </w:pPr>
    </w:p>
    <w:p>
      <w:pPr>
        <w:jc w:val="both"/>
        <w:ind w:left="-5" w:firstLine="5"/>
        <w:spacing w:after="0" w:line="261" w:lineRule="auto"/>
        <w:tabs>
          <w:tab w:leader="none" w:pos="27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75" w:lineRule="exact"/>
        <w:rPr>
          <w:rFonts w:ascii="Times New Roman" w:cs="Times New Roman" w:eastAsia="Times New Roman" w:hAnsi="Times New Roman"/>
          <w:sz w:val="17"/>
          <w:szCs w:val="17"/>
          <w:color w:val="auto"/>
        </w:rPr>
      </w:pPr>
    </w:p>
    <w:p>
      <w:pPr>
        <w:jc w:val="both"/>
        <w:ind w:left="-5" w:firstLine="1264"/>
        <w:spacing w:after="0" w:line="267" w:lineRule="auto"/>
        <w:tabs>
          <w:tab w:leader="none" w:pos="187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Requirements</w:t>
      </w:r>
      <w:r>
        <w:rPr>
          <w:rFonts w:ascii="Times New Roman" w:cs="Times New Roman" w:eastAsia="Times New Roman" w:hAnsi="Times New Roman"/>
          <w:sz w:val="17"/>
          <w:szCs w:val="17"/>
          <w:color w:val="auto"/>
        </w:rPr>
        <w:t xml:space="preserve">. If Bank determines that any Change in Law affecting Bank regarding capital or liquidity requirements, has or would have the effect of reducing the rate of return on Bank’s capital as a consequence of this Agreement, </w:t>
      </w:r>
      <w:r>
        <w:rPr>
          <w:rFonts w:ascii="Times New Roman" w:cs="Times New Roman" w:eastAsia="Times New Roman" w:hAnsi="Times New Roman"/>
          <w:sz w:val="17"/>
          <w:szCs w:val="17"/>
          <w:color w:val="FF0000"/>
          <w:strike w:val="1"/>
        </w:rPr>
        <w:t>the Revolving Line,</w:t>
      </w:r>
      <w:r>
        <w:rPr>
          <w:rFonts w:ascii="Times New Roman" w:cs="Times New Roman" w:eastAsia="Times New Roman" w:hAnsi="Times New Roman"/>
          <w:sz w:val="17"/>
          <w:szCs w:val="17"/>
          <w:color w:val="auto"/>
        </w:rPr>
        <w:t xml:space="preserve">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71" w:lineRule="exact"/>
        <w:rPr>
          <w:rFonts w:ascii="Times New Roman" w:cs="Times New Roman" w:eastAsia="Times New Roman" w:hAnsi="Times New Roman"/>
          <w:sz w:val="17"/>
          <w:szCs w:val="17"/>
          <w:color w:val="auto"/>
        </w:rPr>
      </w:pPr>
    </w:p>
    <w:p>
      <w:pPr>
        <w:jc w:val="both"/>
        <w:ind w:left="-5" w:firstLine="1264"/>
        <w:spacing w:after="0" w:line="267" w:lineRule="auto"/>
        <w:tabs>
          <w:tab w:leader="none" w:pos="188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Requests</w:t>
      </w:r>
      <w:r>
        <w:rPr>
          <w:rFonts w:ascii="Times New Roman" w:cs="Times New Roman" w:eastAsia="Times New Roman" w:hAnsi="Times New Roman"/>
          <w:sz w:val="17"/>
          <w:szCs w:val="17"/>
          <w:color w:val="auto"/>
        </w:rPr>
        <w:t>. Failure or delay on the part of Bank to demand compensation pursuant to this Section 1.5 shall not constitute a waiver of Bank’s right to demand such compensation; provided that Borrower compensate Bank pursuant to subsection (a) for any increased costs incurred or reductions suffered more than nine (9) months prior to the date that Bank notifies Borrower of the Change in Law giving rise to such increased costs or reductions (except that if the Change in Law giving rise to such increased costs or reductions is retroactive, then the nine (9) month period shall be extended to include the period of retroactive effect).</w:t>
      </w:r>
    </w:p>
    <w:p>
      <w:pPr>
        <w:spacing w:after="0" w:line="170" w:lineRule="exact"/>
        <w:rPr>
          <w:sz w:val="20"/>
          <w:szCs w:val="20"/>
          <w:color w:val="auto"/>
        </w:rPr>
      </w:pPr>
    </w:p>
    <w:p>
      <w:pPr>
        <w:ind w:left="635"/>
        <w:spacing w:after="0"/>
        <w:tabs>
          <w:tab w:leader="none" w:pos="995" w:val="left"/>
        </w:tabs>
        <w:rPr>
          <w:sz w:val="20"/>
          <w:szCs w:val="20"/>
          <w:color w:val="auto"/>
        </w:rPr>
      </w:pPr>
      <w:r>
        <w:rPr>
          <w:rFonts w:ascii="Times New Roman" w:cs="Times New Roman" w:eastAsia="Times New Roman" w:hAnsi="Times New Roman"/>
          <w:sz w:val="17"/>
          <w:szCs w:val="17"/>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Taxes.</w:t>
      </w:r>
    </w:p>
    <w:p>
      <w:pPr>
        <w:spacing w:after="0" w:line="226" w:lineRule="exact"/>
        <w:rPr>
          <w:sz w:val="20"/>
          <w:szCs w:val="20"/>
          <w:color w:val="auto"/>
        </w:rPr>
      </w:pPr>
    </w:p>
    <w:p>
      <w:pPr>
        <w:jc w:val="both"/>
        <w:ind w:left="-5" w:firstLine="1264"/>
        <w:spacing w:after="0" w:line="264" w:lineRule="auto"/>
        <w:tabs>
          <w:tab w:leader="none" w:pos="18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Free of Taxes</w:t>
      </w:r>
      <w:r>
        <w:rPr>
          <w:rFonts w:ascii="Times New Roman" w:cs="Times New Roman" w:eastAsia="Times New Roman" w:hAnsi="Times New Roman"/>
          <w:sz w:val="17"/>
          <w:szCs w:val="17"/>
          <w:color w:val="auto"/>
        </w:rPr>
        <w:t>. Any and all payments by or on account of any obligation of Borrower under any Loan Document shall be made without deduction or withholding for any Taxes, except as required by Applicable Law. If any Applicable Law (as determined in the commercially reasonable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ectPr>
          <w:pgSz w:w="11900" w:h="16838" w:orient="portrait"/>
          <w:cols w:equalWidth="0" w:num="1">
            <w:col w:w="11235"/>
          </w:cols>
          <w:pgMar w:left="325" w:top="1380" w:right="339" w:bottom="1440" w:gutter="0" w:footer="0" w:header="0"/>
        </w:sectPr>
      </w:pPr>
    </w:p>
    <w:bookmarkStart w:id="103" w:name="page104"/>
    <w:bookmarkEnd w:id="103"/>
    <w:p>
      <w:pPr>
        <w:ind w:firstLine="1264"/>
        <w:spacing w:after="0" w:line="297" w:lineRule="auto"/>
        <w:tabs>
          <w:tab w:leader="none" w:pos="1882"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Other Taxes by Borrower</w:t>
      </w:r>
      <w:r>
        <w:rPr>
          <w:rFonts w:ascii="Times New Roman" w:cs="Times New Roman" w:eastAsia="Times New Roman" w:hAnsi="Times New Roman"/>
          <w:sz w:val="17"/>
          <w:szCs w:val="17"/>
          <w:color w:val="auto"/>
        </w:rPr>
        <w:t>. Without limiting the provisions of subsection (a) above, Borrower shall timely pay any Other Taxes to the relevant Governmental Authority in accordance with Applicable Law.</w:t>
      </w:r>
    </w:p>
    <w:p>
      <w:pPr>
        <w:spacing w:after="0" w:line="145" w:lineRule="exact"/>
        <w:rPr>
          <w:rFonts w:ascii="Times New Roman" w:cs="Times New Roman" w:eastAsia="Times New Roman" w:hAnsi="Times New Roman"/>
          <w:sz w:val="17"/>
          <w:szCs w:val="17"/>
          <w:color w:val="auto"/>
        </w:rPr>
      </w:pPr>
    </w:p>
    <w:p>
      <w:pPr>
        <w:jc w:val="both"/>
        <w:ind w:firstLine="1264"/>
        <w:spacing w:after="0" w:line="266" w:lineRule="auto"/>
        <w:tabs>
          <w:tab w:leader="none" w:pos="188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Indemnification</w:t>
      </w:r>
      <w:r>
        <w:rPr>
          <w:rFonts w:ascii="Times New Roman" w:cs="Times New Roman" w:eastAsia="Times New Roman" w:hAnsi="Times New Roman"/>
          <w:sz w:val="17"/>
          <w:szCs w:val="17"/>
          <w:color w:val="auto"/>
        </w:rPr>
        <w:t>. Without limiting the provisions of subsections (a) and (b) above, Borrower shall, and does hereby, indemnify Bank, within ten (10)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38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Evidence of Payments</w:t>
      </w:r>
      <w:r>
        <w:rPr>
          <w:rFonts w:ascii="Times New Roman" w:cs="Times New Roman" w:eastAsia="Times New Roman" w:hAnsi="Times New Roman"/>
          <w:sz w:val="17"/>
          <w:szCs w:val="17"/>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162" w:lineRule="exact"/>
        <w:rPr>
          <w:rFonts w:ascii="Times New Roman" w:cs="Times New Roman" w:eastAsia="Times New Roman" w:hAnsi="Times New Roman"/>
          <w:sz w:val="17"/>
          <w:szCs w:val="17"/>
          <w:color w:val="auto"/>
        </w:rPr>
      </w:pPr>
    </w:p>
    <w:p>
      <w:pPr>
        <w:jc w:val="both"/>
        <w:ind w:firstLine="1264"/>
        <w:spacing w:after="0" w:line="259" w:lineRule="auto"/>
        <w:tabs>
          <w:tab w:leader="none" w:pos="188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of Bank</w:t>
      </w:r>
      <w:r>
        <w:rPr>
          <w:rFonts w:ascii="Times New Roman" w:cs="Times New Roman" w:eastAsia="Times New Roman" w:hAnsi="Times New Roman"/>
          <w:sz w:val="17"/>
          <w:szCs w:val="17"/>
          <w:color w:val="auto"/>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IRS Form W-8IMY is applicable, as well as any applicable supporting documentation or certifications.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w:t>
      </w:r>
    </w:p>
    <w:p>
      <w:pPr>
        <w:spacing w:after="0" w:line="6" w:lineRule="exact"/>
        <w:rPr>
          <w:rFonts w:ascii="Times New Roman" w:cs="Times New Roman" w:eastAsia="Times New Roman" w:hAnsi="Times New Roman"/>
          <w:sz w:val="17"/>
          <w:szCs w:val="17"/>
          <w:color w:val="auto"/>
        </w:rPr>
      </w:pPr>
    </w:p>
    <w:p>
      <w:pPr>
        <w:jc w:val="both"/>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(3)(C)(i) of the Internal Revenue Code) and such additional documentation reasonably requested by Borrower as may be necessary for Borrower to comply with its obligations under FATCA and to determine that Bank has complied with its obligations under FATCA or to determine the amount, if any, to deduct and withhold from such payment. Solely for purposes of the preceding sentence, “FATCA” shall include any amendments made to FATCA after the date of this Agreement.</w:t>
      </w:r>
    </w:p>
    <w:p>
      <w:pPr>
        <w:spacing w:after="0" w:line="381" w:lineRule="exact"/>
        <w:rPr>
          <w:rFonts w:ascii="Times New Roman" w:cs="Times New Roman" w:eastAsia="Times New Roman" w:hAnsi="Times New Roman"/>
          <w:sz w:val="17"/>
          <w:szCs w:val="17"/>
          <w:color w:val="auto"/>
        </w:rPr>
      </w:pPr>
    </w:p>
    <w:p>
      <w:pPr>
        <w:jc w:val="both"/>
        <w:ind w:firstLine="1264"/>
        <w:spacing w:after="0" w:line="261" w:lineRule="auto"/>
        <w:tabs>
          <w:tab w:leader="none" w:pos="187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If Bank determines, in its sole discretion exercised in good faith, that it has received a refund of any Taxes as to which it has been indemnified pursuant to this Section 1.6 (including by the payment of additional amounts pursuant to this Section 1.6), it shall pay to Borrower an amount equal to such refund (but only to the extent of indemnity payments made under this Section 1.6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(f) shall not be construed to require Bank to make available its Tax returns (or any other information relating to its Taxes that it deems confidential) to Borrower or any other Person.</w:t>
      </w:r>
    </w:p>
    <w:p>
      <w:pPr>
        <w:spacing w:after="0" w:line="17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1.7</w:t>
        <w:tab/>
        <w:t>Procedures for Borrowing.</w:t>
      </w:r>
    </w:p>
    <w:p>
      <w:pPr>
        <w:sectPr>
          <w:pgSz w:w="11900" w:h="16838" w:orient="portrait"/>
          <w:cols w:equalWidth="0" w:num="1">
            <w:col w:w="11240"/>
          </w:cols>
          <w:pgMar w:left="320" w:top="1380" w:right="339" w:bottom="1440" w:gutter="0" w:footer="0" w:header="0"/>
        </w:sectPr>
      </w:pPr>
    </w:p>
    <w:bookmarkStart w:id="104" w:name="page105"/>
    <w:bookmarkEnd w:id="104"/>
    <w:p>
      <w:pPr>
        <w:jc w:val="both"/>
        <w:ind w:firstLine="1264"/>
        <w:spacing w:after="0" w:line="262" w:lineRule="auto"/>
        <w:tabs>
          <w:tab w:leader="none" w:pos="1509" w:val="left"/>
        </w:tabs>
        <w:numPr>
          <w:ilvl w:val="0"/>
          <w:numId w:val="109"/>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Advances</w:t>
      </w:r>
      <w:r>
        <w:rPr>
          <w:rFonts w:ascii="Times New Roman" w:cs="Times New Roman" w:eastAsia="Times New Roman" w:hAnsi="Times New Roman"/>
          <w:sz w:val="17"/>
          <w:szCs w:val="17"/>
          <w:color w:val="FF0000"/>
          <w:strike w:val="1"/>
        </w:rPr>
        <w:t>. Subject to the prior satisfaction of all other applicable conditions to the making of an Advance set forth in this Agreement</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(which must be satisfied no later than 12:00 p.m. Pacific time on the applicable Funding Date), to obtain an Advance, Borrower (via an individual duly authorized by an Administrator) shall notify Bank (which notice shall be irrevocable) by 12:00 p.m. Pacific time on the Funding Date of the Advance. Such notice shall be made through Bank’s online banking program, provided, however, if Borrower is not utilizing Bank’s online banking program, then such notice shall be in a written format acceptable to Bank that is executed by an Authorized Signer. In connection with any such notification, Borrower shall deliver to Bank by electronic mail or through Bank’s online banking program such reports and information, including without limitation, accounts receivable aging reports, as Bank may reasonably request. Bank shall have received satisfactory evidence that the Board has approved that such Authorized Signer may provide such notices and request Advances (which requirement may be deemed satisfied by the prior delivery of Borrowing Resolutions or a secretary’s certificate that certifies as to such Board approval).</w:t>
      </w:r>
    </w:p>
    <w:p>
      <w:pPr>
        <w:spacing w:after="0" w:line="391" w:lineRule="exact"/>
        <w:rPr>
          <w:sz w:val="20"/>
          <w:szCs w:val="20"/>
          <w:color w:val="auto"/>
        </w:rPr>
      </w:pPr>
    </w:p>
    <w:p>
      <w:pPr>
        <w:jc w:val="both"/>
        <w:ind w:firstLine="1264"/>
        <w:spacing w:after="0" w:line="263" w:lineRule="auto"/>
        <w:tabs>
          <w:tab w:leader="none" w:pos="1885" w:val="left"/>
        </w:tabs>
        <w:numPr>
          <w:ilvl w:val="1"/>
          <w:numId w:val="110"/>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(b)</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Term Loan Advances</w:t>
      </w:r>
      <w:r>
        <w:rPr>
          <w:rFonts w:ascii="Times New Roman" w:cs="Times New Roman" w:eastAsia="Times New Roman" w:hAnsi="Times New Roman"/>
          <w:sz w:val="17"/>
          <w:szCs w:val="17"/>
          <w:color w:val="000000"/>
        </w:rPr>
        <w:t>. Subject to the prior satisfaction of all other applicable conditions to the making of the Term Loan Advance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set forth in this Agreement (which must be satisfied no later than 12:00 p.m. Pacific time on the applicable Funding Date), to obtain the Term Loan Advance, Borrower shall notify Bank (which notice shall be irrevocable) by 12:00 p.m. Pacific time on the Funding Date of the Term Loan Advance. Such notice shall be made by electronic mail or by telephone and, together with any such notification, Borrower shall deliver to Bank by electronic mail a completed Payment/Advance Form executed by an Authorized Signer. Bank may rely on any telephone notice given by a person whom Bank reasonably believes is an Authorized Signer. Borrower will indemnify Bank for any loss Bank suffers due to such reasonable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spacing w:after="0" w:line="174" w:lineRule="exact"/>
        <w:rPr>
          <w:rFonts w:ascii="Times New Roman" w:cs="Times New Roman" w:eastAsia="Times New Roman" w:hAnsi="Times New Roman"/>
          <w:sz w:val="17"/>
          <w:szCs w:val="17"/>
          <w:u w:val="single" w:color="auto"/>
          <w:color w:val="0000FF"/>
        </w:rPr>
      </w:pPr>
    </w:p>
    <w:p>
      <w:pPr>
        <w:jc w:val="both"/>
        <w:ind w:firstLine="1264"/>
        <w:spacing w:after="0" w:line="277" w:lineRule="auto"/>
        <w:tabs>
          <w:tab w:leader="none" w:pos="1882" w:val="left"/>
        </w:tabs>
        <w:numPr>
          <w:ilvl w:val="1"/>
          <w:numId w:val="110"/>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(c)</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Bank shall credit proceeds of a Credit Extension to the Designated Deposit Account. Bank may make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Advances 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 Loan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Advances under this Agreement based on instructions from an Authorized Signer or without instructions if such </w:t>
      </w:r>
      <w:r>
        <w:rPr>
          <w:rFonts w:ascii="Times New Roman" w:cs="Times New Roman" w:eastAsia="Times New Roman" w:hAnsi="Times New Roman"/>
          <w:sz w:val="17"/>
          <w:szCs w:val="17"/>
          <w:color w:val="FF0000"/>
          <w:strike w:val="1"/>
        </w:rPr>
        <w:t>Advances or</w:t>
      </w:r>
      <w:r>
        <w:rPr>
          <w:rFonts w:ascii="Times New Roman" w:cs="Times New Roman" w:eastAsia="Times New Roman" w:hAnsi="Times New Roman"/>
          <w:sz w:val="17"/>
          <w:szCs w:val="17"/>
          <w:color w:val="000000"/>
        </w:rPr>
        <w:t xml:space="preserve"> Term Loan Advances are necessary to meet Obligations which have become due.</w:t>
      </w:r>
    </w:p>
    <w:p>
      <w:pPr>
        <w:spacing w:after="0" w:line="160" w:lineRule="exact"/>
        <w:rPr>
          <w:rFonts w:ascii="Times New Roman" w:cs="Times New Roman" w:eastAsia="Times New Roman" w:hAnsi="Times New Roman"/>
          <w:sz w:val="17"/>
          <w:szCs w:val="17"/>
          <w:u w:val="single" w:color="auto"/>
          <w:color w:val="0000FF"/>
        </w:rPr>
      </w:pPr>
    </w:p>
    <w:p>
      <w:pPr>
        <w:ind w:left="940" w:hanging="306"/>
        <w:spacing w:after="0"/>
        <w:tabs>
          <w:tab w:leader="none" w:pos="94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CONDITIONS OF CREDIT EXTENSIONS</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2.1 Conditions Precedent to Initial Credit Extension. </w:t>
      </w:r>
      <w:r>
        <w:rPr>
          <w:rFonts w:ascii="Times New Roman" w:cs="Times New Roman" w:eastAsia="Times New Roman" w:hAnsi="Times New Roman"/>
          <w:sz w:val="17"/>
          <w:szCs w:val="17"/>
          <w:color w:val="auto"/>
        </w:rPr>
        <w:t>Bank’s obligation to make the initial Credit Extension is subject to the condition precedent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Bank shall have received, in form and substance satisfactory to Bank, such documents, and completion of such other matters, as Bank may reasonably deem necessary or appropriate, including, without limitation:</w:t>
      </w:r>
    </w:p>
    <w:p>
      <w:pPr>
        <w:spacing w:after="0" w:line="162" w:lineRule="exact"/>
        <w:rPr>
          <w:sz w:val="20"/>
          <w:szCs w:val="20"/>
          <w:color w:val="auto"/>
        </w:rPr>
      </w:pPr>
    </w:p>
    <w:p>
      <w:pPr>
        <w:ind w:left="1900" w:hanging="636"/>
        <w:spacing w:after="0"/>
        <w:tabs>
          <w:tab w:leader="none" w:pos="1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duly executed Loan Documents;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Control Agreement with U.S. Bank;</w:t>
      </w:r>
    </w:p>
    <w:p>
      <w:pPr>
        <w:spacing w:after="0" w:line="224"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Documents of Borrower and its Subsidiaries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thirty (30) days prior to the Effective Date;</w:t>
      </w:r>
    </w:p>
    <w:p>
      <w:pPr>
        <w:spacing w:after="0" w:line="162"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duly executed by a Responsible Officer or secretary of Borrower with respect to Borrower’s (i) Operating Documents and (ii) Borrowing Resolutions;</w:t>
      </w:r>
    </w:p>
    <w:p>
      <w:pPr>
        <w:spacing w:after="0" w:line="145" w:lineRule="exact"/>
        <w:rPr>
          <w:rFonts w:ascii="Times New Roman" w:cs="Times New Roman" w:eastAsia="Times New Roman" w:hAnsi="Times New Roman"/>
          <w:sz w:val="17"/>
          <w:szCs w:val="17"/>
          <w:color w:val="auto"/>
        </w:rPr>
      </w:pPr>
    </w:p>
    <w:p>
      <w:pPr>
        <w:ind w:left="1500" w:hanging="236"/>
        <w:spacing w:after="0"/>
        <w:tabs>
          <w:tab w:leader="none" w:pos="1500" w:val="left"/>
        </w:tabs>
        <w:numPr>
          <w:ilvl w:val="0"/>
          <w:numId w:val="11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 duly executed payoff letter from Solar Capital;</w:t>
      </w:r>
    </w:p>
    <w:p>
      <w:pPr>
        <w:spacing w:after="0" w:line="224" w:lineRule="exact"/>
        <w:rPr>
          <w:rFonts w:ascii="Times New Roman" w:cs="Times New Roman" w:eastAsia="Times New Roman" w:hAnsi="Times New Roman"/>
          <w:sz w:val="17"/>
          <w:szCs w:val="17"/>
          <w:color w:val="FF0000"/>
          <w:strike w:val="1"/>
        </w:rPr>
      </w:pPr>
    </w:p>
    <w:p>
      <w:pPr>
        <w:ind w:firstLine="1264"/>
        <w:spacing w:after="0" w:line="297" w:lineRule="auto"/>
        <w:tabs>
          <w:tab w:leader="none" w:pos="1498" w:val="left"/>
        </w:tabs>
        <w:numPr>
          <w:ilvl w:val="0"/>
          <w:numId w:val="11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evidence that (i) the Liens securing Indebtedness owed by Borrower to Solar Capital will be terminated and (ii) the documents and/or filings evidencing the perfection of such Liens, including without</w:t>
      </w:r>
    </w:p>
    <w:p>
      <w:pPr>
        <w:sectPr>
          <w:pgSz w:w="11900" w:h="16838" w:orient="portrait"/>
          <w:cols w:equalWidth="0" w:num="1">
            <w:col w:w="11240"/>
          </w:cols>
          <w:pgMar w:left="320" w:top="138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FF0000"/>
          <w:strike w:val="1"/>
        </w:rPr>
        <w:t>limitation any financing statements and/or control agreements, have or will, concurrently with the initial Credit Extension, be terminated;</w:t>
      </w:r>
    </w:p>
    <w:p>
      <w:pPr>
        <w:spacing w:after="0" w:line="224" w:lineRule="exact"/>
        <w:rPr>
          <w:sz w:val="20"/>
          <w:szCs w:val="20"/>
          <w:color w:val="auto"/>
        </w:rPr>
      </w:pPr>
    </w:p>
    <w:p>
      <w:pPr>
        <w:jc w:val="both"/>
        <w:ind w:left="1260" w:firstLine="4"/>
        <w:spacing w:after="0" w:line="277" w:lineRule="auto"/>
        <w:tabs>
          <w:tab w:leader="none" w:pos="1629" w:val="left"/>
        </w:tabs>
        <w:numPr>
          <w:ilvl w:val="0"/>
          <w:numId w:val="113"/>
        </w:numPr>
        <w:rPr>
          <w:rFonts w:ascii="Times New Roman" w:cs="Times New Roman" w:eastAsia="Times New Roman" w:hAnsi="Times New Roman"/>
          <w:sz w:val="17"/>
          <w:szCs w:val="17"/>
          <w:color w:val="FF0000"/>
        </w:rPr>
      </w:pPr>
      <w:r>
        <w:rPr>
          <w:rFonts w:ascii="Times New Roman" w:cs="Times New Roman" w:eastAsia="Times New Roman" w:hAnsi="Times New Roman"/>
          <w:sz w:val="17"/>
          <w:szCs w:val="17"/>
          <w:color w:val="FF0000"/>
        </w:rPr>
        <w:t xml:space="preserve">(g) </w:t>
      </w:r>
      <w:r>
        <w:rPr>
          <w:rFonts w:ascii="Times New Roman" w:cs="Times New Roman" w:eastAsia="Times New Roman" w:hAnsi="Times New Roman"/>
          <w:sz w:val="17"/>
          <w:szCs w:val="17"/>
          <w:color w:val="000000"/>
        </w:rPr>
        <w:t>certified copies, dated as of a recent date, of searches for financing statement filed in the central filing office of the State of Delaware,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2" w:lineRule="exact"/>
        <w:rPr>
          <w:rFonts w:ascii="Times New Roman" w:cs="Times New Roman" w:eastAsia="Times New Roman" w:hAnsi="Times New Roman"/>
          <w:sz w:val="17"/>
          <w:szCs w:val="17"/>
          <w:color w:val="FF0000"/>
        </w:rPr>
      </w:pPr>
    </w:p>
    <w:p>
      <w:pPr>
        <w:ind w:left="1880" w:hanging="616"/>
        <w:spacing w:after="0"/>
        <w:tabs>
          <w:tab w:leader="none" w:pos="18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FF0000"/>
          <w:strike w:val="1"/>
        </w:rPr>
        <w:t>(h)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 duly executed Perfection Certificate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-586740</wp:posOffset>
            </wp:positionV>
            <wp:extent cx="2679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2">
                      <a:extLst>
                        <a:ext uri="{28A0092B-C50C-407E-A947-70E740481C1C}"/>
                      </a:extLst>
                    </a:blip>
                    <a:srcRect/>
                    <a:stretch>
                      <a:fillRect/>
                    </a:stretch>
                  </pic:blipFill>
                  <pic:spPr bwMode="auto">
                    <a:xfrm>
                      <a:off x="0" y="0"/>
                      <a:ext cx="267970" cy="8255"/>
                    </a:xfrm>
                    <a:prstGeom prst="rect">
                      <a:avLst/>
                    </a:prstGeom>
                    <a:noFill/>
                  </pic:spPr>
                </pic:pic>
              </a:graphicData>
            </a:graphic>
          </wp:anchor>
        </w:drawing>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FF0000"/>
          <w:strike w:val="1"/>
        </w:rPr>
        <w:t>(i) a duly executed landlord’s consent in favor of Bank for Borrower’s leased location at 471 El Camino Real, Suite 101, Santa Clara, 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95050;</w:t>
      </w:r>
    </w:p>
    <w:p>
      <w:pPr>
        <w:spacing w:after="0" w:line="206" w:lineRule="exact"/>
        <w:rPr>
          <w:sz w:val="20"/>
          <w:szCs w:val="20"/>
          <w:color w:val="auto"/>
        </w:rPr>
      </w:pPr>
    </w:p>
    <w:p>
      <w:pPr>
        <w:ind w:left="1480" w:hanging="216"/>
        <w:spacing w:after="0"/>
        <w:tabs>
          <w:tab w:leader="none" w:pos="1480" w:val="left"/>
        </w:tabs>
        <w:numPr>
          <w:ilvl w:val="0"/>
          <w:numId w:val="11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 legal opinion of Borrower’s counsel dated as of the Effective Date;</w:t>
      </w:r>
    </w:p>
    <w:p>
      <w:pPr>
        <w:spacing w:after="0" w:line="224" w:lineRule="exact"/>
        <w:rPr>
          <w:rFonts w:ascii="Times New Roman" w:cs="Times New Roman" w:eastAsia="Times New Roman" w:hAnsi="Times New Roman"/>
          <w:sz w:val="17"/>
          <w:szCs w:val="17"/>
          <w:color w:val="FF0000"/>
          <w:strike w:val="1"/>
        </w:rPr>
      </w:pPr>
    </w:p>
    <w:p>
      <w:pPr>
        <w:ind w:left="1520" w:hanging="256"/>
        <w:spacing w:after="0"/>
        <w:tabs>
          <w:tab w:leader="none" w:pos="1520" w:val="left"/>
        </w:tabs>
        <w:numPr>
          <w:ilvl w:val="0"/>
          <w:numId w:val="11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with respect to initial Advance, a completed Borrowing Base Certificate;</w:t>
      </w:r>
    </w:p>
    <w:p>
      <w:pPr>
        <w:spacing w:after="0" w:line="211" w:lineRule="exact"/>
        <w:rPr>
          <w:rFonts w:ascii="Times New Roman" w:cs="Times New Roman" w:eastAsia="Times New Roman" w:hAnsi="Times New Roman"/>
          <w:sz w:val="17"/>
          <w:szCs w:val="17"/>
          <w:color w:val="FF0000"/>
          <w:strike w:val="1"/>
        </w:rPr>
      </w:pPr>
    </w:p>
    <w:p>
      <w:pPr>
        <w:ind w:left="1480" w:hanging="216"/>
        <w:spacing w:after="0"/>
        <w:tabs>
          <w:tab w:leader="none" w:pos="1480" w:val="left"/>
        </w:tabs>
        <w:numPr>
          <w:ilvl w:val="0"/>
          <w:numId w:val="11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the completion of the Initial Audit with respect to the initial Advance;</w:t>
      </w:r>
    </w:p>
    <w:p>
      <w:pPr>
        <w:spacing w:after="0" w:line="224" w:lineRule="exact"/>
        <w:rPr>
          <w:sz w:val="20"/>
          <w:szCs w:val="20"/>
          <w:color w:val="auto"/>
        </w:rPr>
      </w:pPr>
    </w:p>
    <w:p>
      <w:pPr>
        <w:ind w:firstLine="1264"/>
        <w:spacing w:after="0" w:line="281" w:lineRule="auto"/>
        <w:tabs>
          <w:tab w:leader="none" w:pos="1883"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FF0000"/>
          <w:strike w:val="1"/>
        </w:rPr>
        <w:t>(m)</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evidence satisfactory to Bank that the insurance policies and endorsements required by Section 5.8 hereof are in full force 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effect, together with appropriate evidence showing lender loss payable and additional insured clauses or endorsements in favor of Bank; and</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FF0000"/>
          <w:strike w:val="1"/>
        </w:rPr>
        <w:t>(n)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payment of the fees and Bank Expenses then due as specified in Section 1.3 hereof.</w:t>
      </w:r>
    </w:p>
    <w:p>
      <w:pPr>
        <w:spacing w:after="0" w:line="222" w:lineRule="exact"/>
        <w:rPr>
          <w:sz w:val="20"/>
          <w:szCs w:val="20"/>
          <w:color w:val="auto"/>
        </w:rPr>
      </w:pPr>
    </w:p>
    <w:p>
      <w:pPr>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2.2 Conditions Precedent to all Credit Extensions. </w:t>
      </w:r>
      <w:r>
        <w:rPr>
          <w:rFonts w:ascii="Times New Roman" w:cs="Times New Roman" w:eastAsia="Times New Roman" w:hAnsi="Times New Roman"/>
          <w:sz w:val="17"/>
          <w:szCs w:val="17"/>
          <w:color w:val="auto"/>
        </w:rPr>
        <w:t>Bank’s obligation to make each Credit Extension, including the initial Credit Extension,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following conditions precedent:</w:t>
      </w:r>
    </w:p>
    <w:p>
      <w:pPr>
        <w:spacing w:after="0" w:line="144" w:lineRule="exact"/>
        <w:rPr>
          <w:sz w:val="20"/>
          <w:szCs w:val="20"/>
          <w:color w:val="auto"/>
        </w:rPr>
      </w:pPr>
    </w:p>
    <w:p>
      <w:pPr>
        <w:ind w:left="1900" w:hanging="636"/>
        <w:spacing w:after="0"/>
        <w:tabs>
          <w:tab w:leader="none" w:pos="1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Borrower’s Credit Extension request and the related materials and documents as required by and in accordance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1.7;</w:t>
      </w:r>
    </w:p>
    <w:p>
      <w:pPr>
        <w:spacing w:after="0" w:line="206" w:lineRule="exact"/>
        <w:rPr>
          <w:sz w:val="20"/>
          <w:szCs w:val="20"/>
          <w:color w:val="auto"/>
        </w:rPr>
      </w:pPr>
    </w:p>
    <w:p>
      <w:pPr>
        <w:jc w:val="both"/>
        <w:ind w:firstLine="1264"/>
        <w:spacing w:after="0" w:line="263" w:lineRule="auto"/>
        <w:tabs>
          <w:tab w:leader="none" w:pos="1882"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74"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Adverse Change shall not have occurred.</w:t>
      </w:r>
    </w:p>
    <w:p>
      <w:pPr>
        <w:spacing w:after="0" w:line="22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2.3</w:t>
        <w:tab/>
        <w:t>Covenant to Deliver.</w:t>
      </w:r>
    </w:p>
    <w:p>
      <w:pPr>
        <w:spacing w:after="0" w:line="226" w:lineRule="exact"/>
        <w:rPr>
          <w:sz w:val="20"/>
          <w:szCs w:val="20"/>
          <w:color w:val="auto"/>
        </w:rPr>
      </w:pPr>
    </w:p>
    <w:p>
      <w:pPr>
        <w:jc w:val="both"/>
        <w:ind w:firstLine="1264"/>
        <w:spacing w:after="0" w:line="277" w:lineRule="auto"/>
        <w:tabs>
          <w:tab w:leader="none" w:pos="1654"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ectPr>
          <w:pgSz w:w="11900" w:h="16838" w:orient="portrait"/>
          <w:cols w:equalWidth="0" w:num="1">
            <w:col w:w="11240"/>
          </w:cols>
          <w:pgMar w:left="320" w:top="1380" w:right="339" w:bottom="1440" w:gutter="0" w:footer="0" w:header="0"/>
        </w:sectPr>
      </w:pPr>
    </w:p>
    <w:bookmarkStart w:id="106" w:name="page107"/>
    <w:bookmarkEnd w:id="106"/>
    <w:p>
      <w:pPr>
        <w:ind w:left="640" w:right="6580" w:firstLine="624"/>
        <w:spacing w:after="0" w:line="516" w:lineRule="auto"/>
        <w:tabs>
          <w:tab w:leader="none" w:pos="1575"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CREATION OF SECURITY INTEREST </w:t>
      </w:r>
      <w:r>
        <w:rPr>
          <w:rFonts w:ascii="Times New Roman" w:cs="Times New Roman" w:eastAsia="Times New Roman" w:hAnsi="Times New Roman"/>
          <w:sz w:val="17"/>
          <w:szCs w:val="17"/>
          <w:b w:val="1"/>
          <w:bCs w:val="1"/>
          <w:color w:val="auto"/>
        </w:rPr>
        <w:t>3.1 Grant of Security Interest.</w:t>
      </w:r>
    </w:p>
    <w:p>
      <w:pPr>
        <w:spacing w:after="0" w:line="1" w:lineRule="exact"/>
        <w:rPr>
          <w:sz w:val="20"/>
          <w:szCs w:val="20"/>
          <w:color w:val="auto"/>
        </w:rPr>
      </w:pPr>
    </w:p>
    <w:p>
      <w:pPr>
        <w:ind w:firstLine="1264"/>
        <w:spacing w:after="0" w:line="297" w:lineRule="auto"/>
        <w:tabs>
          <w:tab w:leader="none" w:pos="188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45"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67"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3.2 Authorization to File Financing Statements. </w:t>
      </w:r>
      <w:r>
        <w:rPr>
          <w:rFonts w:ascii="Times New Roman" w:cs="Times New Roman" w:eastAsia="Times New Roman" w:hAnsi="Times New Roman"/>
          <w:sz w:val="17"/>
          <w:szCs w:val="17"/>
          <w:color w:val="auto"/>
        </w:rPr>
        <w:t>Borrower hereby authorizes Bank to file financing statements covering the Collateral,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to Borrower, with all jurisdictions deemed necessary or appropriate by Bank to perfect or protect Bank’s interest or rights hereunder, including a notice that any disposition of the Collateral, by either Borrower or any other Person, in contravention of the terms of this Agreement shall be deemed to violate the rights of Bank under the Code. Such financing statements may indicate the Collateral</w:t>
      </w:r>
    </w:p>
    <w:p>
      <w:pPr>
        <w:spacing w:after="0" w:line="16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3.3 Termination</w:t>
      </w:r>
      <w:r>
        <w:rPr>
          <w:rFonts w:ascii="Times New Roman" w:cs="Times New Roman" w:eastAsia="Times New Roman" w:hAnsi="Times New Roman"/>
          <w:sz w:val="17"/>
          <w:szCs w:val="17"/>
          <w:color w:val="auto"/>
        </w:rPr>
        <w:t>. If this Agreement is terminated, Bank’s Lien in the Collateral shall continue until the Obligations (other than inchoate indemnity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are repaid in full in cash. Upon payment in full in cash of the Obligations (other than inchoate indemnity obligations) and at such time as Bank’s obligation to make Credit Extensions has terminated, Bank shall, at Borrower’s sole cost and expense, promptly terminate its security interest in the Collateral and all rights therein shall automatically revert to Borrower, and Bank shall, upon request from Borrower and at Borrower’s sole cost and expense, promptly deliver to Borrower written evidence of the termination of such liens and any other documents reasonably necessary to terminate such liens.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commercially reasonable discretion for Bank Services, if any. In the event such Bank Services consist of outstanding Letters of Credit, Borrower shall provide to Bank cash collateral in an amount equal to at least (i) one hundred and five percent (105.0%) of the face amount of all such Letters of Credit denominated in Dollars and (ii) one hundred and fifteen percent (115.0%)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179" w:lineRule="exact"/>
        <w:rPr>
          <w:sz w:val="20"/>
          <w:szCs w:val="20"/>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REPRESENTATIONS AND WARRANTIES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Borrower represents and warrants as follows:</w:t>
      </w:r>
    </w:p>
    <w:p>
      <w:pPr>
        <w:spacing w:after="0" w:line="20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4.1</w:t>
        <w:tab/>
        <w:t>Due Organization, Authorization; Power and Authority.</w:t>
      </w:r>
    </w:p>
    <w:p>
      <w:pPr>
        <w:spacing w:after="0" w:line="226" w:lineRule="exact"/>
        <w:rPr>
          <w:sz w:val="20"/>
          <w:szCs w:val="20"/>
          <w:color w:val="auto"/>
        </w:rPr>
      </w:pPr>
    </w:p>
    <w:p>
      <w:pPr>
        <w:jc w:val="both"/>
        <w:ind w:firstLine="1264"/>
        <w:spacing w:after="0" w:line="270" w:lineRule="auto"/>
        <w:tabs>
          <w:tab w:leader="none" w:pos="188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each of its Subsidiaries are each duly existing and in good standing as a Registered Organization in their respective jurisdiction of formation and are qualified and licensed to do business and is in good standing in any other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69"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Amendment Effective Date to the extent permitted by one or more specific provisions in this Agreement and the Perfection Certificate shall be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deemed to be updated to the extent such notice is provided to Bank of such permitted update).</w:t>
      </w:r>
    </w:p>
    <w:p>
      <w:pPr>
        <w:sectPr>
          <w:pgSz w:w="11900" w:h="16838" w:orient="portrait"/>
          <w:cols w:equalWidth="0" w:num="1">
            <w:col w:w="11240"/>
          </w:cols>
          <w:pgMar w:left="320" w:top="1378" w:right="339" w:bottom="1440" w:gutter="0" w:footer="0" w:header="0"/>
        </w:sectPr>
      </w:pPr>
    </w:p>
    <w:bookmarkStart w:id="107" w:name="page108"/>
    <w:bookmarkEnd w:id="107"/>
    <w:p>
      <w:pPr>
        <w:jc w:val="both"/>
        <w:ind w:left="-640" w:firstLine="1264"/>
        <w:spacing w:after="0" w:line="262" w:lineRule="auto"/>
        <w:tabs>
          <w:tab w:leader="none" w:pos="124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or applicable consents or waivers have been obtained. Neither Borrower nor any of its Subsidiaries are in default under any material agreement to which it is a party or by which it is bound in which the default could reasonably be expected to have a material adverse effect on Borrower’s or any of its Subsidiary’s business or operations (taken as a whole).</w:t>
      </w:r>
    </w:p>
    <w:p>
      <w:pPr>
        <w:spacing w:after="0" w:line="3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4.2</w:t>
        <w:tab/>
        <w:t>Collateral.</w:t>
      </w:r>
    </w:p>
    <w:p>
      <w:pPr>
        <w:spacing w:after="0" w:line="226" w:lineRule="exact"/>
        <w:rPr>
          <w:sz w:val="20"/>
          <w:szCs w:val="20"/>
          <w:color w:val="auto"/>
        </w:rPr>
      </w:pPr>
    </w:p>
    <w:p>
      <w:pPr>
        <w:jc w:val="both"/>
        <w:ind w:left="-640" w:firstLine="1264"/>
        <w:spacing w:after="0" w:line="277" w:lineRule="auto"/>
        <w:tabs>
          <w:tab w:leader="none" w:pos="124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62" w:lineRule="exact"/>
        <w:rPr>
          <w:rFonts w:ascii="Times New Roman" w:cs="Times New Roman" w:eastAsia="Times New Roman" w:hAnsi="Times New Roman"/>
          <w:sz w:val="17"/>
          <w:szCs w:val="17"/>
          <w:color w:val="auto"/>
        </w:rPr>
      </w:pPr>
    </w:p>
    <w:p>
      <w:pPr>
        <w:jc w:val="both"/>
        <w:ind w:left="-640" w:firstLine="1264"/>
        <w:spacing w:after="0" w:line="270" w:lineRule="auto"/>
        <w:tabs>
          <w:tab w:leader="none" w:pos="1242"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to the extent that perfection is required pursuant to the terms of Section 5.9(c). The Accounts are bona fide, existing obligations of the Account Debtors.</w:t>
      </w:r>
    </w:p>
    <w:p>
      <w:pPr>
        <w:spacing w:after="0" w:line="169" w:lineRule="exact"/>
        <w:rPr>
          <w:rFonts w:ascii="Times New Roman" w:cs="Times New Roman" w:eastAsia="Times New Roman" w:hAnsi="Times New Roman"/>
          <w:sz w:val="17"/>
          <w:szCs w:val="17"/>
          <w:color w:val="auto"/>
        </w:rPr>
      </w:pPr>
    </w:p>
    <w:p>
      <w:pPr>
        <w:jc w:val="both"/>
        <w:ind w:left="-640" w:firstLine="1264"/>
        <w:spacing w:after="0" w:line="270" w:lineRule="auto"/>
        <w:tabs>
          <w:tab w:leader="none" w:pos="124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is not in the possession of any third party bailee (such as a warehouse) except as otherwise provided in the Perfection Certificate or as permitted pursuant to Section 6.2 (other than laptops and other portable electronic items used in the ordinary course of business). None of the components of the Collateral shall be maintained at locations other than as provided in the Perfection Certificate or as permitted pursuant to Section 6.2 (other than laptops and other portable electronic items used in the ordinary course of business).</w:t>
      </w:r>
    </w:p>
    <w:p>
      <w:pPr>
        <w:spacing w:after="0" w:line="169"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Inventory is in all material respects of good and marketable quality, free from material defects.</w:t>
      </w:r>
    </w:p>
    <w:p>
      <w:pPr>
        <w:spacing w:after="0" w:line="224" w:lineRule="exact"/>
        <w:rPr>
          <w:rFonts w:ascii="Times New Roman" w:cs="Times New Roman" w:eastAsia="Times New Roman" w:hAnsi="Times New Roman"/>
          <w:sz w:val="17"/>
          <w:szCs w:val="17"/>
          <w:color w:val="auto"/>
        </w:rPr>
      </w:pPr>
    </w:p>
    <w:p>
      <w:pPr>
        <w:jc w:val="both"/>
        <w:ind w:left="-640" w:firstLine="1264"/>
        <w:spacing w:after="0" w:line="267" w:lineRule="auto"/>
        <w:tabs>
          <w:tab w:leader="none" w:pos="124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owns, or possesses the right to use to the extent reasonably necessary in its business, all Intellectual Property, licenses and other intangible assets that are used in the conduct of its business operations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operations.</w:t>
      </w:r>
    </w:p>
    <w:p>
      <w:pPr>
        <w:spacing w:after="0" w:line="171" w:lineRule="exact"/>
        <w:rPr>
          <w:rFonts w:ascii="Times New Roman" w:cs="Times New Roman" w:eastAsia="Times New Roman" w:hAnsi="Times New Roman"/>
          <w:sz w:val="17"/>
          <w:szCs w:val="17"/>
          <w:color w:val="auto"/>
        </w:rPr>
      </w:pPr>
    </w:p>
    <w:p>
      <w:pPr>
        <w:ind w:left="-640" w:firstLine="1264"/>
        <w:spacing w:after="0" w:line="297" w:lineRule="auto"/>
        <w:tabs>
          <w:tab w:leader="none" w:pos="1239"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noted on the Perfection Certificate (as updated from time to time in accordance with this Agreement) or for which notice has been given to Bank pursuant to and in accordance with Section 5.11(b), Borrower is not a party to, nor is it bound by, any Restricted License.</w:t>
      </w:r>
    </w:p>
    <w:p>
      <w:pPr>
        <w:spacing w:after="0" w:line="1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4.3</w:t>
      </w:r>
      <w:r>
        <w:rPr>
          <w:sz w:val="20"/>
          <w:szCs w:val="20"/>
          <w:color w:val="auto"/>
        </w:rPr>
        <w:tab/>
      </w:r>
      <w:r>
        <w:rPr>
          <w:rFonts w:ascii="Times New Roman" w:cs="Times New Roman" w:eastAsia="Times New Roman" w:hAnsi="Times New Roman"/>
          <w:sz w:val="17"/>
          <w:szCs w:val="17"/>
          <w:b w:val="1"/>
          <w:bCs w:val="1"/>
          <w:color w:val="FF0000"/>
          <w:strike w:val="1"/>
        </w:rPr>
        <w:t>Accounts Receivable</w:t>
      </w:r>
      <w:r>
        <w:rPr>
          <w:rFonts w:ascii="Times New Roman" w:cs="Times New Roman" w:eastAsia="Times New Roman" w:hAnsi="Times New Roman"/>
          <w:sz w:val="17"/>
          <w:szCs w:val="17"/>
          <w:b w:val="1"/>
          <w:bCs w:val="1"/>
          <w:u w:val="single" w:color="auto"/>
          <w:color w:val="0000FF"/>
          <w:strike w:val="1"/>
        </w:rPr>
        <w:t>Reserved</w:t>
      </w:r>
      <w:r>
        <w:rPr>
          <w:rFonts w:ascii="Times New Roman" w:cs="Times New Roman" w:eastAsia="Times New Roman" w:hAnsi="Times New Roman"/>
          <w:sz w:val="17"/>
          <w:szCs w:val="17"/>
          <w:b w:val="1"/>
          <w:bCs w:val="1"/>
          <w:color w:val="000000"/>
          <w:strike w:val="1"/>
        </w:rPr>
        <w:t>.</w:t>
      </w:r>
    </w:p>
    <w:p>
      <w:pPr>
        <w:spacing w:after="0" w:line="226" w:lineRule="exact"/>
        <w:rPr>
          <w:sz w:val="20"/>
          <w:szCs w:val="20"/>
          <w:color w:val="auto"/>
        </w:rPr>
      </w:pPr>
    </w:p>
    <w:p>
      <w:pPr>
        <w:ind w:left="-640" w:firstLine="1264"/>
        <w:spacing w:after="0" w:line="297" w:lineRule="auto"/>
        <w:tabs>
          <w:tab w:leader="none" w:pos="867" w:val="left"/>
        </w:tabs>
        <w:numPr>
          <w:ilvl w:val="0"/>
          <w:numId w:val="12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For each Account included in the most recent Borrowing Base Statement, on the date such related Advance is requested and made, such Account shall be an Eligible Account.</w:t>
      </w:r>
    </w:p>
    <w:p>
      <w:pPr>
        <w:sectPr>
          <w:pgSz w:w="11900" w:h="16838" w:orient="portrait"/>
          <w:cols w:equalWidth="0" w:num="1">
            <w:col w:w="10600"/>
          </w:cols>
          <w:pgMar w:left="960" w:top="1380" w:right="339" w:bottom="1440" w:gutter="0" w:footer="0" w:header="0"/>
        </w:sectPr>
      </w:pPr>
    </w:p>
    <w:bookmarkStart w:id="108" w:name="page109"/>
    <w:bookmarkEnd w:id="108"/>
    <w:p>
      <w:pPr>
        <w:jc w:val="both"/>
        <w:ind w:firstLine="1264"/>
        <w:spacing w:after="0" w:line="265" w:lineRule="auto"/>
        <w:tabs>
          <w:tab w:leader="none" w:pos="1511" w:val="left"/>
        </w:tabs>
        <w:numPr>
          <w:ilvl w:val="0"/>
          <w:numId w:val="12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 Borrower has no knowledge of any actual or imminent Insolvency Proceeding of any Account Debtor whose accounts are Eligible Accounts in any Borrowing Base Statement. To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172"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4.4 Litigation. </w:t>
      </w:r>
      <w:r>
        <w:rPr>
          <w:rFonts w:ascii="Times New Roman" w:cs="Times New Roman" w:eastAsia="Times New Roman" w:hAnsi="Times New Roman"/>
          <w:sz w:val="17"/>
          <w:szCs w:val="17"/>
          <w:color w:val="auto"/>
        </w:rPr>
        <w:t>Other than as set forth on the Perfection Certificate delivered around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Effective Date, and as disclosed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 pursuant to Section 5.3, there are no actions, investigations or proceedings pending or, to the knowledge of any Responsible Officer, threatened in writing by or against Borrower or any of its Subsidiaries that could reasonably be expected to result in liability of more than, individually or in the aggregate, Seven Hundred Fifty Thousand Dollars ($750,000).</w:t>
      </w:r>
    </w:p>
    <w:p>
      <w:pPr>
        <w:spacing w:after="0" w:line="16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4.5 Financial Statements; Financial Condition. </w:t>
      </w:r>
      <w:r>
        <w:rPr>
          <w:rFonts w:ascii="Times New Roman" w:cs="Times New Roman" w:eastAsia="Times New Roman" w:hAnsi="Times New Roman"/>
          <w:sz w:val="17"/>
          <w:szCs w:val="17"/>
          <w:color w:val="auto"/>
        </w:rPr>
        <w:t>All consolidated financial statements for Borrower and any of its Subsidiaries delivered to Bank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submission to the Financial Statement Repository or otherwise submitted to Bank fairly present in all material respects Borrower’s consolidated financial condition and Borrower’s consolidated results of operations as of the dates thereof and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381"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4.6 Solvency. </w:t>
      </w:r>
      <w:r>
        <w:rPr>
          <w:rFonts w:ascii="Times New Roman" w:cs="Times New Roman" w:eastAsia="Times New Roman" w:hAnsi="Times New Roman"/>
          <w:sz w:val="17"/>
          <w:szCs w:val="17"/>
          <w:color w:val="auto"/>
        </w:rPr>
        <w:t>The fair salable value of Borrower’s consolidated assets (including goodwill minus disposition costs) exceeds the fair value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Borrower’s liabilities; Borrower is not left with unreasonably small capital after the transactions in this Agreement; and Borrower and Borrower and each of its Subsidiaries (taken as a whole) are able to pay their debts (including trade debts) as they mature.</w:t>
      </w:r>
    </w:p>
    <w:p>
      <w:pPr>
        <w:spacing w:after="0" w:line="160"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4.7 Regulatory Compliance. </w:t>
      </w:r>
      <w:r>
        <w:rPr>
          <w:rFonts w:ascii="Times New Roman" w:cs="Times New Roman" w:eastAsia="Times New Roman" w:hAnsi="Times New Roman"/>
          <w:sz w:val="17"/>
          <w:szCs w:val="17"/>
          <w:color w:val="auto"/>
        </w:rPr>
        <w:t>Borrower is not an “investment company” or a company “controlled” by an “investment company”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spacing w:after="0" w:line="17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4.8 Subsidiaries; Investments. </w:t>
      </w:r>
      <w:r>
        <w:rPr>
          <w:rFonts w:ascii="Times New Roman" w:cs="Times New Roman" w:eastAsia="Times New Roman" w:hAnsi="Times New Roman"/>
          <w:sz w:val="17"/>
          <w:szCs w:val="17"/>
          <w:color w:val="auto"/>
        </w:rPr>
        <w:t>Borrower does not own any stock, partnership, or other ownership interest or other equity securities except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Investments.</w:t>
      </w:r>
    </w:p>
    <w:p>
      <w:pPr>
        <w:spacing w:after="0" w:line="14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4.9</w:t>
        <w:tab/>
        <w:t>Tax Returns and Payments; Pension Contributions.</w:t>
      </w:r>
    </w:p>
    <w:p>
      <w:pPr>
        <w:spacing w:after="0" w:line="226" w:lineRule="exact"/>
        <w:rPr>
          <w:sz w:val="20"/>
          <w:szCs w:val="20"/>
          <w:color w:val="auto"/>
        </w:rPr>
      </w:pPr>
    </w:p>
    <w:p>
      <w:pPr>
        <w:jc w:val="both"/>
        <w:ind w:firstLine="1264"/>
        <w:spacing w:after="0" w:line="270" w:lineRule="auto"/>
        <w:tabs>
          <w:tab w:leader="none" w:pos="188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each of its Subsidiaries have timely filed, or submitted extensions for, all required tax returns and reports, and Borrower and each of its Subsidiaries have timely paid, or submitted extensions for,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w:t>
      </w:r>
    </w:p>
    <w:p>
      <w:pPr>
        <w:sectPr>
          <w:pgSz w:w="11900" w:h="16838" w:orient="portrait"/>
          <w:cols w:equalWidth="0" w:num="1">
            <w:col w:w="11240"/>
          </w:cols>
          <w:pgMar w:left="320" w:top="1380" w:right="339" w:bottom="1440" w:gutter="0" w:footer="0" w:header="0"/>
        </w:sectPr>
      </w:pPr>
    </w:p>
    <w:bookmarkStart w:id="109" w:name="page110"/>
    <w:bookmarkEnd w:id="109"/>
    <w:p>
      <w:pPr>
        <w:jc w:val="both"/>
        <w:spacing w:after="0" w:line="270" w:lineRule="auto"/>
        <w:rPr>
          <w:sz w:val="20"/>
          <w:szCs w:val="20"/>
          <w:color w:val="auto"/>
        </w:rPr>
      </w:pPr>
      <w:r>
        <w:rPr>
          <w:rFonts w:ascii="Times New Roman" w:cs="Times New Roman" w:eastAsia="Times New Roman" w:hAnsi="Times New Roman"/>
          <w:sz w:val="17"/>
          <w:szCs w:val="17"/>
          <w:color w:val="auto"/>
        </w:rPr>
        <w:t>be required in conformity with GAAP shall have been made therefor, or (ii) if such taxes, assessments, deposits and contributions do not, individually or in the aggregate, exceed Fifty Thousand Dollars ($50,000). Borrower is unaware of any claims or adjustments proposed for any of Borrower’s or any of its Subsidiary’s prior tax years which could result in additional taxes becoming due and payable by Borrower or any of its Subsidiaries in excess of Fifty Thousand Dollars ($50,000) in the aggregate.</w:t>
      </w:r>
    </w:p>
    <w:p>
      <w:pPr>
        <w:spacing w:after="0" w:line="169" w:lineRule="exact"/>
        <w:rPr>
          <w:sz w:val="20"/>
          <w:szCs w:val="20"/>
          <w:color w:val="auto"/>
        </w:rPr>
      </w:pPr>
    </w:p>
    <w:p>
      <w:pPr>
        <w:jc w:val="both"/>
        <w:ind w:firstLine="1264"/>
        <w:spacing w:after="0" w:line="267" w:lineRule="auto"/>
        <w:tabs>
          <w:tab w:leader="none" w:pos="188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material liability of Borrower or any of its Subsidiaries, including any liability to the Pension Benefit Guaranty Corporation or its successors or any other Governmental Authority.</w:t>
      </w:r>
    </w:p>
    <w:p>
      <w:pPr>
        <w:spacing w:after="0" w:line="17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4.10 Full Disclosure. </w:t>
      </w:r>
      <w:r>
        <w:rPr>
          <w:rFonts w:ascii="Times New Roman" w:cs="Times New Roman" w:eastAsia="Times New Roman" w:hAnsi="Times New Roman"/>
          <w:sz w:val="17"/>
          <w:szCs w:val="17"/>
          <w:color w:val="auto"/>
        </w:rPr>
        <w:t>No written representation, warranty or other statement of Borrower or any of its Subsidiaries in any report, certificate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statement submitted to the 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4.11 Sanctions</w:t>
      </w:r>
      <w:r>
        <w:rPr>
          <w:rFonts w:ascii="Times New Roman" w:cs="Times New Roman" w:eastAsia="Times New Roman" w:hAnsi="Times New Roman"/>
          <w:sz w:val="17"/>
          <w:szCs w:val="17"/>
          <w:color w:val="auto"/>
        </w:rPr>
        <w:t>. Neither Borrower nor any of its Subsidiaries is: (a) in violation of any Sanctions; or (b) a Sanctioned Person. Neither Borrower nor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its Subsidiaries, or, to Borrower’s knowledge, its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69" w:lineRule="exact"/>
        <w:rPr>
          <w:sz w:val="20"/>
          <w:szCs w:val="20"/>
          <w:color w:val="auto"/>
        </w:rPr>
      </w:pPr>
    </w:p>
    <w:p>
      <w:pPr>
        <w:ind w:left="1260" w:hanging="311"/>
        <w:spacing w:after="0"/>
        <w:tabs>
          <w:tab w:leader="none" w:pos="126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AFFIRMATIVE COVENANTS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Borrower shall do all of the following:</w:t>
      </w:r>
    </w:p>
    <w:p>
      <w:pPr>
        <w:spacing w:after="0" w:line="209"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5.1 Use of Proceeds. </w:t>
      </w:r>
      <w:r>
        <w:rPr>
          <w:rFonts w:ascii="Times New Roman" w:cs="Times New Roman" w:eastAsia="Times New Roman" w:hAnsi="Times New Roman"/>
          <w:sz w:val="17"/>
          <w:szCs w:val="17"/>
          <w:color w:val="auto"/>
        </w:rPr>
        <w:t>Cause the proceeds of the Credit Extensions to be used solely as follows: (</w:t>
      </w:r>
      <w:r>
        <w:rPr>
          <w:rFonts w:ascii="Times New Roman" w:cs="Times New Roman" w:eastAsia="Times New Roman" w:hAnsi="Times New Roman"/>
          <w:sz w:val="17"/>
          <w:szCs w:val="17"/>
          <w:color w:val="FF0000"/>
          <w:strike w:val="1"/>
        </w:rPr>
        <w:t>a) for Credit Extensions that occur prior to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FF0000"/>
          <w:strike w:val="1"/>
        </w:rPr>
        <w:t>Amendment Effective Date, (i) as working capital, (ii) to fund its general business purposes, or (iii) repayment and payoff of Solar Capital and not for personal, family, household or agricultural purposes, and (b) for Credit Extensions that occur on or after the First Amendment Effective Date, (</w:t>
      </w:r>
      <w:r>
        <w:rPr>
          <w:rFonts w:ascii="Times New Roman" w:cs="Times New Roman" w:eastAsia="Times New Roman" w:hAnsi="Times New Roman"/>
          <w:sz w:val="17"/>
          <w:szCs w:val="17"/>
          <w:color w:val="000000"/>
          <w:strike w:val="1"/>
        </w:rPr>
        <w:t>x) as working capital, (y)</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0000"/>
          <w:strike w:val="1"/>
        </w:rPr>
        <w:t xml:space="preserve">to fund its general business purposes, or (z) repayment of all Obligations constituting Term Loan Advances (as defined in the Agreement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strike w:val="1"/>
        </w:rPr>
        <w:t>Third</w:t>
      </w:r>
      <w:r>
        <w:rPr>
          <w:rFonts w:ascii="Times New Roman" w:cs="Times New Roman" w:eastAsia="Times New Roman" w:hAnsi="Times New Roman"/>
          <w:sz w:val="17"/>
          <w:szCs w:val="17"/>
          <w:color w:val="000000"/>
          <w:strike w:val="1"/>
        </w:rPr>
        <w:t xml:space="preserve"> Amendment Effective Date) outstanding immediately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strike w:val="1"/>
        </w:rPr>
        <w:t>Third</w:t>
      </w:r>
      <w:r>
        <w:rPr>
          <w:rFonts w:ascii="Times New Roman" w:cs="Times New Roman" w:eastAsia="Times New Roman" w:hAnsi="Times New Roman"/>
          <w:sz w:val="17"/>
          <w:szCs w:val="17"/>
          <w:color w:val="000000"/>
          <w:strike w:val="1"/>
        </w:rPr>
        <w:t xml:space="preserve"> Amendment Effective Date.</w:t>
      </w:r>
    </w:p>
    <w:p>
      <w:pPr>
        <w:spacing w:after="0" w:line="16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5.2</w:t>
        <w:tab/>
        <w:t>Government Compliance.</w:t>
      </w:r>
    </w:p>
    <w:p>
      <w:pPr>
        <w:spacing w:after="0" w:line="226" w:lineRule="exact"/>
        <w:rPr>
          <w:sz w:val="20"/>
          <w:szCs w:val="20"/>
          <w:color w:val="auto"/>
        </w:rPr>
      </w:pPr>
    </w:p>
    <w:p>
      <w:pPr>
        <w:jc w:val="both"/>
        <w:ind w:firstLine="1264"/>
        <w:spacing w:after="0" w:line="270" w:lineRule="auto"/>
        <w:tabs>
          <w:tab w:leader="none" w:pos="188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material laws, ordinances and regulations to which it is subject.</w:t>
      </w:r>
    </w:p>
    <w:p>
      <w:pPr>
        <w:sectPr>
          <w:pgSz w:w="11900" w:h="16838" w:orient="portrait"/>
          <w:cols w:equalWidth="0" w:num="1">
            <w:col w:w="11240"/>
          </w:cols>
          <w:pgMar w:left="320" w:top="1380" w:right="339" w:bottom="1440" w:gutter="0" w:footer="0" w:header="0"/>
        </w:sectPr>
      </w:pPr>
    </w:p>
    <w:bookmarkStart w:id="110" w:name="page111"/>
    <w:bookmarkEnd w:id="110"/>
    <w:p>
      <w:pPr>
        <w:jc w:val="both"/>
        <w:ind w:left="-640" w:firstLine="1264"/>
        <w:spacing w:after="0" w:line="277" w:lineRule="auto"/>
        <w:tabs>
          <w:tab w:leader="none" w:pos="1242"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all of the Governmental Approvals necessary for the performance by Borrower and each of its Subsidiaries of their obligations under the Loan Documents to which it is a party, including any grant of a security interest in the Collateral to Bank. Borrower shall promptly provide copies of any such obtained Governmental Approvals to Bank upon Bank’s request.</w:t>
      </w:r>
    </w:p>
    <w:p>
      <w:pPr>
        <w:spacing w:after="0" w:line="16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5.3</w:t>
        <w:tab/>
        <w:t xml:space="preserve">Financial Statements, Reports. </w:t>
      </w:r>
      <w:r>
        <w:rPr>
          <w:rFonts w:ascii="Times New Roman" w:cs="Times New Roman" w:eastAsia="Times New Roman" w:hAnsi="Times New Roman"/>
          <w:sz w:val="17"/>
          <w:szCs w:val="17"/>
          <w:color w:val="auto"/>
        </w:rPr>
        <w:t>Deliver to Bank by submitting to the Financial Statement Repository:</w:t>
      </w:r>
    </w:p>
    <w:p>
      <w:pPr>
        <w:spacing w:after="0" w:line="226" w:lineRule="exact"/>
        <w:rPr>
          <w:sz w:val="20"/>
          <w:szCs w:val="20"/>
          <w:color w:val="auto"/>
        </w:rPr>
      </w:pPr>
    </w:p>
    <w:p>
      <w:pPr>
        <w:jc w:val="both"/>
        <w:ind w:left="-640" w:firstLine="1264"/>
        <w:spacing w:after="0" w:line="270" w:lineRule="auto"/>
        <w:tabs>
          <w:tab w:leader="none" w:pos="856" w:val="left"/>
        </w:tabs>
        <w:numPr>
          <w:ilvl w:val="0"/>
          <w:numId w:val="13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Borrowing Base Statement</w:t>
      </w:r>
      <w:r>
        <w:rPr>
          <w:rFonts w:ascii="Times New Roman" w:cs="Times New Roman" w:eastAsia="Times New Roman" w:hAnsi="Times New Roman"/>
          <w:sz w:val="17"/>
          <w:szCs w:val="17"/>
          <w:color w:val="FF0000"/>
          <w:strike w:val="1"/>
        </w:rPr>
        <w:t>. Only when Advances are outstanding or are being requested by Borrower, a Borrowing Base Statement (and</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any schedules related thereto and including any other information reasonably requested by Bank with respect to Borrower’s Accounts) (i) no later than Friday of each week when a Streamline Period is not in effect, (ii) within thirty (30) days after the end of each month when a Streamline Period is in effect, and (iii) with each request for an Advance;</w:t>
      </w:r>
    </w:p>
    <w:p>
      <w:pPr>
        <w:spacing w:after="0" w:line="169" w:lineRule="exact"/>
        <w:rPr>
          <w:rFonts w:ascii="Times New Roman" w:cs="Times New Roman" w:eastAsia="Times New Roman" w:hAnsi="Times New Roman"/>
          <w:sz w:val="17"/>
          <w:szCs w:val="17"/>
          <w:color w:val="FF0000"/>
          <w:strike w:val="1"/>
        </w:rPr>
      </w:pPr>
    </w:p>
    <w:p>
      <w:pPr>
        <w:jc w:val="both"/>
        <w:ind w:left="-640" w:firstLine="1264"/>
        <w:spacing w:after="0" w:line="270" w:lineRule="auto"/>
        <w:tabs>
          <w:tab w:leader="none" w:pos="866" w:val="left"/>
        </w:tabs>
        <w:numPr>
          <w:ilvl w:val="0"/>
          <w:numId w:val="13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Accounts Receivable Information</w:t>
      </w:r>
      <w:r>
        <w:rPr>
          <w:rFonts w:ascii="Times New Roman" w:cs="Times New Roman" w:eastAsia="Times New Roman" w:hAnsi="Times New Roman"/>
          <w:sz w:val="17"/>
          <w:szCs w:val="17"/>
          <w:color w:val="FF0000"/>
          <w:strike w:val="1"/>
        </w:rPr>
        <w:t>. Only when Advances are outstanding or are being requested by Borrower, within thirty (30) days after</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the end of each month, (i) monthly accounts receivable agings, aged by invoice date, (ii) monthly accounts payable agings, aged by invoice date, and outstanding or held check registers, if any, (iii) monthly reconciliations of accounts receivable agings (aged by invoice date), transaction reports, Deferred Revenue report, and general ledger;</w:t>
      </w:r>
    </w:p>
    <w:p>
      <w:pPr>
        <w:spacing w:after="0" w:line="169" w:lineRule="exact"/>
        <w:rPr>
          <w:sz w:val="20"/>
          <w:szCs w:val="20"/>
          <w:color w:val="auto"/>
        </w:rPr>
      </w:pPr>
    </w:p>
    <w:p>
      <w:pPr>
        <w:jc w:val="both"/>
        <w:ind w:left="-640" w:firstLine="1264"/>
        <w:spacing w:after="0" w:line="270" w:lineRule="auto"/>
        <w:tabs>
          <w:tab w:leader="none" w:pos="1245" w:val="left"/>
        </w:tabs>
        <w:numPr>
          <w:ilvl w:val="0"/>
          <w:numId w:val="13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(c)</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Quarterly Financial Statements</w:t>
      </w:r>
      <w:r>
        <w:rPr>
          <w:rFonts w:ascii="Times New Roman" w:cs="Times New Roman" w:eastAsia="Times New Roman" w:hAnsi="Times New Roman"/>
          <w:sz w:val="17"/>
          <w:szCs w:val="17"/>
          <w:color w:val="000000"/>
        </w:rPr>
        <w:t>. No later than forty-five (45) days after the last day of each of the first three fiscal quarters of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Borrower’s fiscal year, a company prepared consolidated and consolidating balance sheet and income statement covering Borrower’s and each of its Subsidiary’s operations for such quarter in a form reasonably acceptable to Bank (the “</w:t>
      </w:r>
      <w:r>
        <w:rPr>
          <w:rFonts w:ascii="Times New Roman" w:cs="Times New Roman" w:eastAsia="Times New Roman" w:hAnsi="Times New Roman"/>
          <w:sz w:val="17"/>
          <w:szCs w:val="17"/>
          <w:b w:val="1"/>
          <w:bCs w:val="1"/>
          <w:color w:val="000000"/>
        </w:rPr>
        <w:t>Quarterly Financial Statements</w:t>
      </w:r>
      <w:r>
        <w:rPr>
          <w:rFonts w:ascii="Times New Roman" w:cs="Times New Roman" w:eastAsia="Times New Roman" w:hAnsi="Times New Roman"/>
          <w:sz w:val="17"/>
          <w:szCs w:val="17"/>
          <w:color w:val="000000"/>
        </w:rPr>
        <w:t>”); provided that year-end Quarterly Financial Statements shall be delivered no later than ninety (90) days after the last day of each fiscal year of Borrower;</w:t>
      </w:r>
    </w:p>
    <w:p>
      <w:pPr>
        <w:spacing w:after="0" w:line="169" w:lineRule="exact"/>
        <w:rPr>
          <w:rFonts w:ascii="Times New Roman" w:cs="Times New Roman" w:eastAsia="Times New Roman" w:hAnsi="Times New Roman"/>
          <w:sz w:val="17"/>
          <w:szCs w:val="17"/>
          <w:u w:val="single" w:color="auto"/>
          <w:color w:val="0000FF"/>
        </w:rPr>
      </w:pPr>
    </w:p>
    <w:p>
      <w:pPr>
        <w:jc w:val="both"/>
        <w:ind w:left="-640" w:firstLine="1264"/>
        <w:spacing w:after="0" w:line="267" w:lineRule="auto"/>
        <w:tabs>
          <w:tab w:leader="none" w:pos="1242" w:val="left"/>
        </w:tabs>
        <w:numPr>
          <w:ilvl w:val="0"/>
          <w:numId w:val="13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Compliance Statement</w:t>
      </w:r>
      <w:r>
        <w:rPr>
          <w:rFonts w:ascii="Times New Roman" w:cs="Times New Roman" w:eastAsia="Times New Roman" w:hAnsi="Times New Roman"/>
          <w:sz w:val="17"/>
          <w:szCs w:val="17"/>
          <w:color w:val="000000"/>
        </w:rPr>
        <w:t>. Within forty-five (45) days after the last day of each of the first three fiscal quarters of Borrower (and no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later than ninety (90) days after the last day of each fiscal year of Borrower), together with the statements set forth in Section 5.3(c), a duly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except as noted therein;</w:t>
      </w:r>
    </w:p>
    <w:p>
      <w:pPr>
        <w:spacing w:after="0" w:line="171" w:lineRule="exact"/>
        <w:rPr>
          <w:rFonts w:ascii="Times New Roman" w:cs="Times New Roman" w:eastAsia="Times New Roman" w:hAnsi="Times New Roman"/>
          <w:sz w:val="17"/>
          <w:szCs w:val="17"/>
          <w:u w:val="single" w:color="auto"/>
          <w:color w:val="0000FF"/>
        </w:rPr>
      </w:pPr>
    </w:p>
    <w:p>
      <w:pPr>
        <w:jc w:val="both"/>
        <w:ind w:left="-640" w:firstLine="1264"/>
        <w:spacing w:after="0" w:line="267" w:lineRule="auto"/>
        <w:tabs>
          <w:tab w:leader="none" w:pos="1245" w:val="left"/>
        </w:tabs>
        <w:numPr>
          <w:ilvl w:val="0"/>
          <w:numId w:val="13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Annual Operating Budget and Financial Projections</w:t>
      </w:r>
      <w:r>
        <w:rPr>
          <w:rFonts w:ascii="Times New Roman" w:cs="Times New Roman" w:eastAsia="Times New Roman" w:hAnsi="Times New Roman"/>
          <w:sz w:val="17"/>
          <w:szCs w:val="17"/>
          <w:color w:val="000000"/>
        </w:rPr>
        <w:t>. Within thirty (30) days after the end of each fiscal year of Borrower, 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within thirty (30) days of any material updates or amendments thereto, (i) annual operating budgets (including income statements, balance sheets and cash flow statements, by month) for the then-current fiscal year of Borrower, and (ii) annual financial projections for the then-current fiscal year (on a quarterly basis), in each case as approved by the Board, together with any material related business forecasts </w:t>
      </w:r>
      <w:r>
        <w:rPr>
          <w:rFonts w:ascii="Times New Roman" w:cs="Times New Roman" w:eastAsia="Times New Roman" w:hAnsi="Times New Roman"/>
          <w:sz w:val="17"/>
          <w:szCs w:val="17"/>
          <w:u w:val="single" w:color="auto"/>
          <w:color w:val="0000FF"/>
        </w:rPr>
        <w:t>for the subsequent two (2) fiscal years which were</w:t>
      </w:r>
      <w:r>
        <w:rPr>
          <w:rFonts w:ascii="Times New Roman" w:cs="Times New Roman" w:eastAsia="Times New Roman" w:hAnsi="Times New Roman"/>
          <w:sz w:val="17"/>
          <w:szCs w:val="17"/>
          <w:color w:val="000000"/>
        </w:rPr>
        <w:t xml:space="preserve"> used in the preparation of such annual financial projections;</w:t>
      </w:r>
    </w:p>
    <w:p>
      <w:pPr>
        <w:spacing w:after="0" w:line="171" w:lineRule="exact"/>
        <w:rPr>
          <w:rFonts w:ascii="Times New Roman" w:cs="Times New Roman" w:eastAsia="Times New Roman" w:hAnsi="Times New Roman"/>
          <w:sz w:val="17"/>
          <w:szCs w:val="17"/>
          <w:u w:val="single" w:color="auto"/>
          <w:color w:val="0000FF"/>
        </w:rPr>
      </w:pPr>
    </w:p>
    <w:p>
      <w:pPr>
        <w:jc w:val="both"/>
        <w:ind w:left="-640" w:firstLine="1264"/>
        <w:spacing w:after="0" w:line="277" w:lineRule="auto"/>
        <w:tabs>
          <w:tab w:leader="none" w:pos="1242" w:val="left"/>
        </w:tabs>
        <w:numPr>
          <w:ilvl w:val="0"/>
          <w:numId w:val="13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Annual Audited Financial Statements</w:t>
      </w:r>
      <w:r>
        <w:rPr>
          <w:rFonts w:ascii="Times New Roman" w:cs="Times New Roman" w:eastAsia="Times New Roman" w:hAnsi="Times New Roman"/>
          <w:sz w:val="17"/>
          <w:szCs w:val="17"/>
          <w:color w:val="000000"/>
        </w:rPr>
        <w:t>. As soon as available, and in any event within one hundred and eighty (180) days following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the end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162" w:lineRule="exact"/>
        <w:rPr>
          <w:rFonts w:ascii="Times New Roman" w:cs="Times New Roman" w:eastAsia="Times New Roman" w:hAnsi="Times New Roman"/>
          <w:sz w:val="17"/>
          <w:szCs w:val="17"/>
          <w:u w:val="single" w:color="auto"/>
          <w:color w:val="0000FF"/>
        </w:rPr>
      </w:pPr>
    </w:p>
    <w:p>
      <w:pPr>
        <w:jc w:val="both"/>
        <w:ind w:left="-640" w:firstLine="1264"/>
        <w:spacing w:after="0" w:line="265" w:lineRule="auto"/>
        <w:tabs>
          <w:tab w:leader="none" w:pos="1245" w:val="left"/>
        </w:tabs>
        <w:numPr>
          <w:ilvl w:val="0"/>
          <w:numId w:val="133"/>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SEC Filings</w:t>
      </w:r>
      <w:r>
        <w:rPr>
          <w:rFonts w:ascii="Times New Roman" w:cs="Times New Roman" w:eastAsia="Times New Roman" w:hAnsi="Times New Roman"/>
          <w:sz w:val="17"/>
          <w:szCs w:val="17"/>
          <w:color w:val="000000"/>
        </w:rPr>
        <w:t>. In the event that Borrower or any of its Subsidiaries becomes subject to the reporting requirements under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Exchange Act within five (5) Business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w:t>
      </w:r>
    </w:p>
    <w:p>
      <w:pPr>
        <w:sectPr>
          <w:pgSz w:w="11900" w:h="16838" w:orient="portrait"/>
          <w:cols w:equalWidth="0" w:num="1">
            <w:col w:w="10600"/>
          </w:cols>
          <w:pgMar w:left="960" w:top="1380" w:right="339" w:bottom="1440" w:gutter="0" w:footer="0" w:header="0"/>
        </w:sectPr>
      </w:pPr>
    </w:p>
    <w:bookmarkStart w:id="111" w:name="page112"/>
    <w:bookmarkEnd w:id="111"/>
    <w:p>
      <w:pPr>
        <w:spacing w:after="0" w:line="297" w:lineRule="auto"/>
        <w:rPr>
          <w:sz w:val="20"/>
          <w:szCs w:val="20"/>
          <w:color w:val="auto"/>
        </w:rPr>
      </w:pPr>
      <w:r>
        <w:rPr>
          <w:rFonts w:ascii="Times New Roman" w:cs="Times New Roman" w:eastAsia="Times New Roman" w:hAnsi="Times New Roman"/>
          <w:sz w:val="17"/>
          <w:szCs w:val="17"/>
          <w:color w:val="auto"/>
        </w:rPr>
        <w:t>thereto, on Borrower’s or any of its Subsidiaries’ website on the internet at Borrower’s or any of its Subsidiaries’ website address; provided, however, Borrower shall notify Bank in writing within five (5) Business Days (which may be by electronic mail) of the posting of any such documents;</w:t>
      </w:r>
    </w:p>
    <w:p>
      <w:pPr>
        <w:spacing w:after="0" w:line="146" w:lineRule="exact"/>
        <w:rPr>
          <w:sz w:val="20"/>
          <w:szCs w:val="20"/>
          <w:color w:val="auto"/>
        </w:rPr>
      </w:pPr>
    </w:p>
    <w:p>
      <w:pPr>
        <w:jc w:val="both"/>
        <w:ind w:firstLine="1264"/>
        <w:spacing w:after="0" w:line="277" w:lineRule="auto"/>
        <w:tabs>
          <w:tab w:leader="none" w:pos="1879" w:val="left"/>
        </w:tabs>
        <w:numPr>
          <w:ilvl w:val="0"/>
          <w:numId w:val="134"/>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Security Holder and Subordinated Debt Holder Reports</w:t>
      </w:r>
      <w:r>
        <w:rPr>
          <w:rFonts w:ascii="Times New Roman" w:cs="Times New Roman" w:eastAsia="Times New Roman" w:hAnsi="Times New Roman"/>
          <w:sz w:val="17"/>
          <w:szCs w:val="17"/>
          <w:color w:val="000000"/>
        </w:rPr>
        <w:t>. Within five (5) Business Days of delivery, copies of all material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statements, reports and notices made generally available to Borrower’s security holders or to any holders of Subordinated Debt (solely in their capacities as security holders or holders of Subordinated Debt and not in any other role);</w:t>
      </w:r>
    </w:p>
    <w:p>
      <w:pPr>
        <w:spacing w:after="0" w:line="162" w:lineRule="exact"/>
        <w:rPr>
          <w:rFonts w:ascii="Times New Roman" w:cs="Times New Roman" w:eastAsia="Times New Roman" w:hAnsi="Times New Roman"/>
          <w:sz w:val="17"/>
          <w:szCs w:val="17"/>
          <w:u w:val="single" w:color="auto"/>
          <w:color w:val="0000FF"/>
        </w:rPr>
      </w:pPr>
    </w:p>
    <w:p>
      <w:pPr>
        <w:jc w:val="both"/>
        <w:ind w:firstLine="1264"/>
        <w:spacing w:after="0" w:line="277" w:lineRule="auto"/>
        <w:tabs>
          <w:tab w:leader="none" w:pos="1882" w:val="left"/>
        </w:tabs>
        <w:numPr>
          <w:ilvl w:val="0"/>
          <w:numId w:val="134"/>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(i)</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Beneficial Ownership Information</w:t>
      </w:r>
      <w:r>
        <w:rPr>
          <w:rFonts w:ascii="Times New Roman" w:cs="Times New Roman" w:eastAsia="Times New Roman" w:hAnsi="Times New Roman"/>
          <w:sz w:val="17"/>
          <w:szCs w:val="17"/>
          <w:color w:val="000000"/>
        </w:rPr>
        <w:t>. Prompt written notice of any changes to the beneficial ownership information set out in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62" w:lineRule="exact"/>
        <w:rPr>
          <w:rFonts w:ascii="Times New Roman" w:cs="Times New Roman" w:eastAsia="Times New Roman" w:hAnsi="Times New Roman"/>
          <w:sz w:val="17"/>
          <w:szCs w:val="17"/>
          <w:u w:val="single" w:color="auto"/>
          <w:color w:val="0000FF"/>
        </w:rPr>
      </w:pPr>
    </w:p>
    <w:p>
      <w:pPr>
        <w:jc w:val="both"/>
        <w:ind w:firstLine="1264"/>
        <w:spacing w:after="0" w:line="270" w:lineRule="auto"/>
        <w:tabs>
          <w:tab w:leader="none" w:pos="1882" w:val="left"/>
        </w:tabs>
        <w:numPr>
          <w:ilvl w:val="0"/>
          <w:numId w:val="134"/>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(j)</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Legal Action Notice</w:t>
      </w:r>
      <w:r>
        <w:rPr>
          <w:rFonts w:ascii="Times New Roman" w:cs="Times New Roman" w:eastAsia="Times New Roman" w:hAnsi="Times New Roman"/>
          <w:sz w:val="17"/>
          <w:szCs w:val="17"/>
          <w:color w:val="000000"/>
        </w:rPr>
        <w:t>. Prompt written notice upon becoming aware of any legal actions, investigations or proceedings pending or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threatened in writing against Borrower or any of its Subsidiaries (not otherwise already disclosed on the Perfection Certificate delivered around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000000"/>
        </w:rPr>
        <w:t xml:space="preserve"> Amendment Effective Date) that could reasonably be expected to result in damages or costs to Borrower or any of its Subsidiaries of, individually or in the aggregate, Seven Hundred Fifty Thousand Dollars ($750,000) or more;</w:t>
      </w:r>
    </w:p>
    <w:p>
      <w:pPr>
        <w:spacing w:after="0" w:line="169" w:lineRule="exact"/>
        <w:rPr>
          <w:rFonts w:ascii="Times New Roman" w:cs="Times New Roman" w:eastAsia="Times New Roman" w:hAnsi="Times New Roman"/>
          <w:sz w:val="17"/>
          <w:szCs w:val="17"/>
          <w:u w:val="single" w:color="auto"/>
          <w:color w:val="0000FF"/>
        </w:rPr>
      </w:pPr>
    </w:p>
    <w:p>
      <w:pPr>
        <w:jc w:val="both"/>
        <w:ind w:firstLine="1264"/>
        <w:spacing w:after="0" w:line="270" w:lineRule="auto"/>
        <w:tabs>
          <w:tab w:leader="none" w:pos="1883"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FF0000"/>
          <w:strike w:val="1"/>
        </w:rPr>
        <w:t>(k)</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Tort Claim Notice</w:t>
      </w:r>
      <w:r>
        <w:rPr>
          <w:rFonts w:ascii="Times New Roman" w:cs="Times New Roman" w:eastAsia="Times New Roman" w:hAnsi="Times New Roman"/>
          <w:sz w:val="17"/>
          <w:szCs w:val="17"/>
          <w:color w:val="000000"/>
        </w:rPr>
        <w:t>. If Borrower shall acquire a commercial tort claim with a value that could reasonably be expected to exceed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Five Hundred Thousand Dollars ($500,000), Borrower shall promptly notify Bank in a writing signed by Borrower of the general details thereof and, if so requested by Bank, grant to Bank in such writing a security interest therein and in the proceeds thereof, all upon the terms of this Agreement, with such writing to be in form and substance reasonably satisfactory to Bank;</w:t>
      </w:r>
    </w:p>
    <w:p>
      <w:pPr>
        <w:spacing w:after="0" w:line="169" w:lineRule="exact"/>
        <w:rPr>
          <w:rFonts w:ascii="Times New Roman" w:cs="Times New Roman" w:eastAsia="Times New Roman" w:hAnsi="Times New Roman"/>
          <w:sz w:val="17"/>
          <w:szCs w:val="17"/>
          <w:color w:val="auto"/>
        </w:rPr>
      </w:pPr>
    </w:p>
    <w:p>
      <w:pPr>
        <w:jc w:val="both"/>
        <w:ind w:left="1580" w:hanging="316"/>
        <w:spacing w:after="0" w:line="270" w:lineRule="auto"/>
        <w:tabs>
          <w:tab w:leader="none" w:pos="1574" w:val="left"/>
        </w:tabs>
        <w:numPr>
          <w:ilvl w:val="0"/>
          <w:numId w:val="134"/>
        </w:numPr>
        <w:rPr>
          <w:rFonts w:ascii="Times New Roman" w:cs="Times New Roman" w:eastAsia="Times New Roman" w:hAnsi="Times New Roman"/>
          <w:sz w:val="17"/>
          <w:szCs w:val="17"/>
          <w:color w:val="FF0000"/>
        </w:rPr>
      </w:pPr>
      <w:r>
        <w:rPr>
          <w:rFonts w:ascii="Times New Roman" w:cs="Times New Roman" w:eastAsia="Times New Roman" w:hAnsi="Times New Roman"/>
          <w:sz w:val="17"/>
          <w:szCs w:val="17"/>
          <w:u w:val="single" w:color="auto"/>
          <w:color w:val="FF0000"/>
          <w:strike w:val="1"/>
        </w:rPr>
        <w:t>(l)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Government Filings</w:t>
      </w:r>
      <w:r>
        <w:rPr>
          <w:rFonts w:ascii="Times New Roman" w:cs="Times New Roman" w:eastAsia="Times New Roman" w:hAnsi="Times New Roman"/>
          <w:sz w:val="17"/>
          <w:szCs w:val="17"/>
          <w:color w:val="000000"/>
        </w:rPr>
        <w:t>. Within five (5) Business Days after the same are sent by Borrower or received by Borrower, copies of all material</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correspondence, reports, documents and other filings by Borrower or any of its Subsidiaries with any Governmental Authority regarding compliance with or maintenance of Governmental Approvals or Applicable Law, in each case that could reasonably be expected to have a material effect on any of the Governmental Approvals material to the business of Borrower;</w:t>
      </w:r>
    </w:p>
    <w:p>
      <w:pPr>
        <w:spacing w:after="0" w:line="169" w:lineRule="exact"/>
        <w:rPr>
          <w:rFonts w:ascii="Times New Roman" w:cs="Times New Roman" w:eastAsia="Times New Roman" w:hAnsi="Times New Roman"/>
          <w:sz w:val="17"/>
          <w:szCs w:val="17"/>
          <w:color w:val="FF0000"/>
        </w:rPr>
      </w:pPr>
    </w:p>
    <w:p>
      <w:pPr>
        <w:ind w:left="1260" w:firstLine="4"/>
        <w:spacing w:after="0" w:line="297" w:lineRule="auto"/>
        <w:tabs>
          <w:tab w:leader="none" w:pos="1704" w:val="left"/>
        </w:tabs>
        <w:numPr>
          <w:ilvl w:val="0"/>
          <w:numId w:val="134"/>
        </w:numPr>
        <w:rPr>
          <w:rFonts w:ascii="Times New Roman" w:cs="Times New Roman" w:eastAsia="Times New Roman" w:hAnsi="Times New Roman"/>
          <w:sz w:val="17"/>
          <w:szCs w:val="17"/>
          <w:u w:val="single" w:color="auto"/>
          <w:color w:val="FF0000"/>
        </w:rPr>
      </w:pPr>
      <w:r>
        <w:rPr>
          <w:rFonts w:ascii="Times New Roman" w:cs="Times New Roman" w:eastAsia="Times New Roman" w:hAnsi="Times New Roman"/>
          <w:sz w:val="17"/>
          <w:szCs w:val="17"/>
          <w:u w:val="single" w:color="auto"/>
          <w:color w:val="FF0000"/>
          <w:strike w:val="1"/>
        </w:rPr>
        <w:t>(m)</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Registered Organization</w:t>
      </w:r>
      <w:r>
        <w:rPr>
          <w:rFonts w:ascii="Times New Roman" w:cs="Times New Roman" w:eastAsia="Times New Roman" w:hAnsi="Times New Roman"/>
          <w:sz w:val="17"/>
          <w:szCs w:val="17"/>
          <w:color w:val="000000"/>
        </w:rPr>
        <w:t>. If Borrower is not a Registered Organization as of the Effective Date but later becomes one, promptly</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notify Bank of such occurrence and provide Bank with Borrower’s organizational identification number;</w:t>
      </w:r>
    </w:p>
    <w:p>
      <w:pPr>
        <w:spacing w:after="0" w:line="145" w:lineRule="exact"/>
        <w:rPr>
          <w:rFonts w:ascii="Times New Roman" w:cs="Times New Roman" w:eastAsia="Times New Roman" w:hAnsi="Times New Roman"/>
          <w:sz w:val="17"/>
          <w:szCs w:val="17"/>
          <w:u w:val="single" w:color="auto"/>
          <w:color w:val="FF0000"/>
        </w:rPr>
      </w:pPr>
    </w:p>
    <w:p>
      <w:pPr>
        <w:ind w:left="1600" w:hanging="336"/>
        <w:spacing w:after="0"/>
        <w:tabs>
          <w:tab w:leader="none" w:pos="1600" w:val="left"/>
        </w:tabs>
        <w:numPr>
          <w:ilvl w:val="0"/>
          <w:numId w:val="134"/>
        </w:numPr>
        <w:rPr>
          <w:rFonts w:ascii="Times New Roman" w:cs="Times New Roman" w:eastAsia="Times New Roman" w:hAnsi="Times New Roman"/>
          <w:sz w:val="17"/>
          <w:szCs w:val="17"/>
          <w:u w:val="single" w:color="auto"/>
          <w:color w:val="FF0000"/>
        </w:rPr>
      </w:pPr>
      <w:r>
        <w:rPr>
          <w:rFonts w:ascii="Times New Roman" w:cs="Times New Roman" w:eastAsia="Times New Roman" w:hAnsi="Times New Roman"/>
          <w:sz w:val="17"/>
          <w:szCs w:val="17"/>
          <w:u w:val="single" w:color="auto"/>
          <w:color w:val="FF0000"/>
          <w:strike w:val="1"/>
        </w:rPr>
        <w:t>(n)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Default</w:t>
      </w:r>
      <w:r>
        <w:rPr>
          <w:rFonts w:ascii="Times New Roman" w:cs="Times New Roman" w:eastAsia="Times New Roman" w:hAnsi="Times New Roman"/>
          <w:sz w:val="17"/>
          <w:szCs w:val="17"/>
          <w:color w:val="000000"/>
        </w:rPr>
        <w:t>. Prompt written notice of the occurrence of a Default or Event of Default; and</w:t>
      </w:r>
    </w:p>
    <w:p>
      <w:pPr>
        <w:spacing w:after="0" w:line="224" w:lineRule="exact"/>
        <w:rPr>
          <w:rFonts w:ascii="Times New Roman" w:cs="Times New Roman" w:eastAsia="Times New Roman" w:hAnsi="Times New Roman"/>
          <w:sz w:val="17"/>
          <w:szCs w:val="17"/>
          <w:u w:val="single" w:color="auto"/>
          <w:color w:val="FF0000"/>
        </w:rPr>
      </w:pPr>
    </w:p>
    <w:p>
      <w:pPr>
        <w:ind w:firstLine="1264"/>
        <w:spacing w:after="0" w:line="297" w:lineRule="auto"/>
        <w:tabs>
          <w:tab w:leader="none" w:pos="187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FF0000"/>
          <w:strike w:val="1"/>
        </w:rPr>
        <w:t>(o)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Other Information</w:t>
      </w:r>
      <w:r>
        <w:rPr>
          <w:rFonts w:ascii="Times New Roman" w:cs="Times New Roman" w:eastAsia="Times New Roman" w:hAnsi="Times New Roman"/>
          <w:sz w:val="17"/>
          <w:szCs w:val="17"/>
          <w:color w:val="000000"/>
        </w:rPr>
        <w:t>. Promptly, from time to time, such other financial information regarding Borrower or any of its Subsidiaries or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compliance with the terms of any Loan Documents as reasonably requested by Bank.</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in all material respects, (ii) as of the end of the compliance period set forth in such submission, Borrower is in complete compliance with all required covenants except as noted in such Compliance Statement, or other financial statement, as applicable,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w:t>
      </w:r>
    </w:p>
    <w:p>
      <w:pPr>
        <w:sectPr>
          <w:pgSz w:w="11900" w:h="16838" w:orient="portrait"/>
          <w:cols w:equalWidth="0" w:num="1">
            <w:col w:w="11240"/>
          </w:cols>
          <w:pgMar w:left="320" w:top="1380" w:right="339" w:bottom="1440" w:gutter="0" w:footer="0" w:header="0"/>
        </w:sectPr>
      </w:pPr>
    </w:p>
    <w:bookmarkStart w:id="112" w:name="page113"/>
    <w:bookmarkEnd w:id="112"/>
    <w:p>
      <w:pPr>
        <w:jc w:val="both"/>
        <w:spacing w:after="0" w:line="267" w:lineRule="auto"/>
        <w:rPr>
          <w:sz w:val="20"/>
          <w:szCs w:val="20"/>
          <w:color w:val="auto"/>
        </w:rPr>
      </w:pPr>
      <w:r>
        <w:rPr>
          <w:rFonts w:ascii="Times New Roman" w:cs="Times New Roman" w:eastAsia="Times New Roman" w:hAnsi="Times New Roman"/>
          <w:sz w:val="17"/>
          <w:szCs w:val="17"/>
          <w:color w:val="auto"/>
        </w:rPr>
        <w:t>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4.9,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7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5.4</w:t>
      </w:r>
      <w:r>
        <w:rPr>
          <w:sz w:val="20"/>
          <w:szCs w:val="20"/>
          <w:color w:val="auto"/>
        </w:rPr>
        <w:tab/>
      </w:r>
      <w:r>
        <w:rPr>
          <w:rFonts w:ascii="Times New Roman" w:cs="Times New Roman" w:eastAsia="Times New Roman" w:hAnsi="Times New Roman"/>
          <w:sz w:val="17"/>
          <w:szCs w:val="17"/>
          <w:b w:val="1"/>
          <w:bCs w:val="1"/>
          <w:color w:val="FF0000"/>
          <w:strike w:val="1"/>
        </w:rPr>
        <w:t>Accounts Receivable</w:t>
      </w:r>
      <w:r>
        <w:rPr>
          <w:rFonts w:ascii="Times New Roman" w:cs="Times New Roman" w:eastAsia="Times New Roman" w:hAnsi="Times New Roman"/>
          <w:sz w:val="17"/>
          <w:szCs w:val="17"/>
          <w:b w:val="1"/>
          <w:bCs w:val="1"/>
          <w:u w:val="single" w:color="auto"/>
          <w:color w:val="0000FF"/>
          <w:strike w:val="1"/>
        </w:rPr>
        <w:t>Reserved</w:t>
      </w:r>
      <w:r>
        <w:rPr>
          <w:rFonts w:ascii="Times New Roman" w:cs="Times New Roman" w:eastAsia="Times New Roman" w:hAnsi="Times New Roman"/>
          <w:sz w:val="17"/>
          <w:szCs w:val="17"/>
          <w:b w:val="1"/>
          <w:bCs w:val="1"/>
          <w:color w:val="000000"/>
          <w:strike w:val="1"/>
        </w:rPr>
        <w:t>.</w:t>
      </w:r>
    </w:p>
    <w:p>
      <w:pPr>
        <w:spacing w:after="0" w:line="226" w:lineRule="exact"/>
        <w:rPr>
          <w:sz w:val="20"/>
          <w:szCs w:val="20"/>
          <w:color w:val="auto"/>
        </w:rPr>
      </w:pPr>
    </w:p>
    <w:p>
      <w:pPr>
        <w:jc w:val="both"/>
        <w:ind w:firstLine="1264"/>
        <w:spacing w:after="0" w:line="263" w:lineRule="auto"/>
        <w:tabs>
          <w:tab w:leader="none" w:pos="1496" w:val="left"/>
        </w:tabs>
        <w:numPr>
          <w:ilvl w:val="0"/>
          <w:numId w:val="135"/>
        </w:numPr>
        <w:rPr>
          <w:rFonts w:ascii="Times New Roman" w:cs="Times New Roman" w:eastAsia="Times New Roman" w:hAnsi="Times New Roman"/>
          <w:sz w:val="17"/>
          <w:szCs w:val="17"/>
          <w:u w:val="single" w:color="auto"/>
          <w:color w:val="FF0000"/>
          <w:strike w:val="1"/>
        </w:rPr>
      </w:pPr>
      <w:r>
        <w:rPr>
          <w:rFonts w:ascii="Times New Roman" w:cs="Times New Roman" w:eastAsia="Times New Roman" w:hAnsi="Times New Roman"/>
          <w:sz w:val="17"/>
          <w:szCs w:val="17"/>
          <w:u w:val="single" w:color="auto"/>
          <w:color w:val="FF0000"/>
          <w:strike w:val="1"/>
        </w:rPr>
        <w:t>Schedules and Documents Relating to Accounts</w:t>
      </w:r>
      <w:r>
        <w:rPr>
          <w:rFonts w:ascii="Times New Roman" w:cs="Times New Roman" w:eastAsia="Times New Roman" w:hAnsi="Times New Roman"/>
          <w:sz w:val="17"/>
          <w:szCs w:val="17"/>
          <w:color w:val="FF0000"/>
          <w:strike w:val="1"/>
        </w:rPr>
        <w:t>. Only when Advances are outstanding or are being requested by Borrower, Borrower shall</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deliver to Bank transaction reports and schedules of collections, as provided in Section 5.3(b),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174" w:lineRule="exact"/>
        <w:rPr>
          <w:rFonts w:ascii="Times New Roman" w:cs="Times New Roman" w:eastAsia="Times New Roman" w:hAnsi="Times New Roman"/>
          <w:sz w:val="17"/>
          <w:szCs w:val="17"/>
          <w:u w:val="single" w:color="auto"/>
          <w:color w:val="FF0000"/>
          <w:strike w:val="1"/>
        </w:rPr>
      </w:pPr>
    </w:p>
    <w:p>
      <w:pPr>
        <w:jc w:val="both"/>
        <w:ind w:firstLine="1264"/>
        <w:spacing w:after="0" w:line="256" w:lineRule="auto"/>
        <w:tabs>
          <w:tab w:leader="none" w:pos="1506" w:val="left"/>
        </w:tabs>
        <w:numPr>
          <w:ilvl w:val="0"/>
          <w:numId w:val="13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Disputes</w:t>
      </w:r>
      <w:r>
        <w:rPr>
          <w:rFonts w:ascii="Times New Roman" w:cs="Times New Roman" w:eastAsia="Times New Roman" w:hAnsi="Times New Roman"/>
          <w:sz w:val="17"/>
          <w:szCs w:val="17"/>
          <w:color w:val="FF0000"/>
          <w:strike w:val="1"/>
        </w:rPr>
        <w:t>. Borrower shall promptly notify Bank of all disputes or claims relating to Accounts that continue for more than thirty (30) days</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and are with respect to an amount in excess of Two Hundred Thousand Dollars ($200,000) in the aggregate at such time.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there shall not be an Overadvance after taking into account all such discounts, settlements and forgiveness.</w:t>
      </w:r>
    </w:p>
    <w:p>
      <w:pPr>
        <w:spacing w:after="0" w:line="373" w:lineRule="exact"/>
        <w:rPr>
          <w:rFonts w:ascii="Times New Roman" w:cs="Times New Roman" w:eastAsia="Times New Roman" w:hAnsi="Times New Roman"/>
          <w:sz w:val="17"/>
          <w:szCs w:val="17"/>
          <w:color w:val="FF0000"/>
          <w:strike w:val="1"/>
        </w:rPr>
      </w:pPr>
    </w:p>
    <w:p>
      <w:pPr>
        <w:jc w:val="both"/>
        <w:ind w:firstLine="1264"/>
        <w:spacing w:after="0" w:line="252" w:lineRule="auto"/>
        <w:tabs>
          <w:tab w:leader="none" w:pos="1496" w:val="left"/>
        </w:tabs>
        <w:numPr>
          <w:ilvl w:val="0"/>
          <w:numId w:val="13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Collection of Accounts</w:t>
      </w:r>
      <w:r>
        <w:rPr>
          <w:rFonts w:ascii="Times New Roman" w:cs="Times New Roman" w:eastAsia="Times New Roman" w:hAnsi="Times New Roman"/>
          <w:sz w:val="17"/>
          <w:szCs w:val="17"/>
          <w:color w:val="FF0000"/>
          <w:strike w:val="1"/>
        </w:rPr>
        <w:t>. Within sixty (60) days of the First Amendment Effective Date, Borrower shall direct Account Debtors to deliver</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or transmit all proceeds of Accounts into a lockbox account, or such other “blocked account” as specified by Bank (either such account, the “Cash Collateral Account”). Whether or not an Event of Default has occurred and is continuing, Borrower shall immediately deliver all payments on and proceeds of Accounts to the Cash Collateral Account. Subject to Bank’s right to maintain a reserve pursuant to Section 5.4(d),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transferred by Bank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377" w:lineRule="exact"/>
        <w:rPr>
          <w:rFonts w:ascii="Times New Roman" w:cs="Times New Roman" w:eastAsia="Times New Roman" w:hAnsi="Times New Roman"/>
          <w:sz w:val="17"/>
          <w:szCs w:val="17"/>
          <w:color w:val="FF0000"/>
          <w:strike w:val="1"/>
        </w:rPr>
      </w:pPr>
    </w:p>
    <w:p>
      <w:pPr>
        <w:jc w:val="both"/>
        <w:ind w:firstLine="1264"/>
        <w:spacing w:after="0" w:line="260" w:lineRule="auto"/>
        <w:tabs>
          <w:tab w:leader="none" w:pos="1506" w:val="left"/>
        </w:tabs>
        <w:numPr>
          <w:ilvl w:val="0"/>
          <w:numId w:val="13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Reserves</w:t>
      </w:r>
      <w:r>
        <w:rPr>
          <w:rFonts w:ascii="Times New Roman" w:cs="Times New Roman" w:eastAsia="Times New Roman" w:hAnsi="Times New Roman"/>
          <w:sz w:val="17"/>
          <w:szCs w:val="17"/>
          <w:color w:val="FF0000"/>
          <w:strike w:val="1"/>
        </w:rPr>
        <w:t>. Notwithstanding any terms in this Agreement to the contrary, at times when a Default or an Event of Default exists, Bank may</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hold any proceeds of the Accounts and any amounts in the Cash Collateral Account that are not applied to the Obligations pursuant to Section 5.4(c) above (including amounts otherwise required to be transferred to Borrower’s operating account with Bank) as a reserve to be applied to any Obligations regardless of whether such Obligations are then due and payable.</w:t>
      </w:r>
    </w:p>
    <w:p>
      <w:pPr>
        <w:spacing w:after="0" w:line="162" w:lineRule="exact"/>
        <w:rPr>
          <w:rFonts w:ascii="Times New Roman" w:cs="Times New Roman" w:eastAsia="Times New Roman" w:hAnsi="Times New Roman"/>
          <w:sz w:val="17"/>
          <w:szCs w:val="17"/>
          <w:color w:val="FF0000"/>
          <w:strike w:val="1"/>
        </w:rPr>
      </w:pPr>
    </w:p>
    <w:p>
      <w:pPr>
        <w:jc w:val="both"/>
        <w:ind w:firstLine="1264"/>
        <w:spacing w:after="0" w:line="260" w:lineRule="auto"/>
        <w:tabs>
          <w:tab w:leader="none" w:pos="1496" w:val="left"/>
        </w:tabs>
        <w:numPr>
          <w:ilvl w:val="0"/>
          <w:numId w:val="13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Returns</w:t>
      </w:r>
      <w:r>
        <w:rPr>
          <w:rFonts w:ascii="Times New Roman" w:cs="Times New Roman" w:eastAsia="Times New Roman" w:hAnsi="Times New Roman"/>
          <w:sz w:val="17"/>
          <w:szCs w:val="17"/>
          <w:color w:val="FF0000"/>
          <w:strike w:val="1"/>
        </w:rPr>
        <w:t>. Provided no Event of Default has occurred and is continuing, if any Account Debtor returns any Inventory to Borrower, Borrower</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shall promptly (i) determine the reason for such return, (ii) issue a credit memorandum to the Account Debtor in the appropriate amount in accordance with Borrower’s customary business practices, and (iii) provide a copy of such credit memorandum to Bank, upon request from Bank. In the event any attempted return occurs after the occurrence and during the continuance of any Event of Default,</w:t>
      </w:r>
    </w:p>
    <w:p>
      <w:pPr>
        <w:sectPr>
          <w:pgSz w:w="11900" w:h="16838" w:orient="portrait"/>
          <w:cols w:equalWidth="0" w:num="1">
            <w:col w:w="11240"/>
          </w:cols>
          <w:pgMar w:left="320" w:top="138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FF0000"/>
          <w:strike w:val="1"/>
        </w:rPr>
        <w:t>Borrower shall hold the returned Inventory in trust for Bank, and immediately notify Bank of the return of the Inventory.</w:t>
      </w:r>
    </w:p>
    <w:p>
      <w:pPr>
        <w:spacing w:after="0" w:line="211" w:lineRule="exact"/>
        <w:rPr>
          <w:sz w:val="20"/>
          <w:szCs w:val="20"/>
          <w:color w:val="auto"/>
        </w:rPr>
      </w:pPr>
    </w:p>
    <w:p>
      <w:pPr>
        <w:jc w:val="both"/>
        <w:ind w:firstLine="1264"/>
        <w:spacing w:after="0" w:line="260" w:lineRule="auto"/>
        <w:tabs>
          <w:tab w:leader="none" w:pos="1477" w:val="left"/>
        </w:tabs>
        <w:numPr>
          <w:ilvl w:val="0"/>
          <w:numId w:val="13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Verifications; Confirmations; Credit Quality; Notifications</w:t>
      </w:r>
      <w:r>
        <w:rPr>
          <w:rFonts w:ascii="Times New Roman" w:cs="Times New Roman" w:eastAsia="Times New Roman" w:hAnsi="Times New Roman"/>
          <w:sz w:val="17"/>
          <w:szCs w:val="17"/>
          <w:color w:val="FF0000"/>
          <w:strike w:val="1"/>
        </w:rPr>
        <w:t>. Bank may, from time to time, (i) verify and confirm directly with the respective</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w:t>
      </w:r>
    </w:p>
    <w:p>
      <w:pPr>
        <w:spacing w:after="0" w:line="175" w:lineRule="exact"/>
        <w:rPr>
          <w:rFonts w:ascii="Times New Roman" w:cs="Times New Roman" w:eastAsia="Times New Roman" w:hAnsi="Times New Roman"/>
          <w:sz w:val="17"/>
          <w:szCs w:val="17"/>
          <w:color w:val="FF0000"/>
          <w:strike w:val="1"/>
        </w:rPr>
      </w:pPr>
    </w:p>
    <w:p>
      <w:pPr>
        <w:jc w:val="both"/>
        <w:ind w:firstLine="1264"/>
        <w:spacing w:after="0" w:line="255" w:lineRule="auto"/>
        <w:tabs>
          <w:tab w:leader="none" w:pos="1506" w:val="left"/>
        </w:tabs>
        <w:numPr>
          <w:ilvl w:val="0"/>
          <w:numId w:val="13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u w:val="single" w:color="auto"/>
          <w:color w:val="FF0000"/>
          <w:strike w:val="1"/>
        </w:rPr>
        <w:t>No Liability</w:t>
      </w:r>
      <w:r>
        <w:rPr>
          <w:rFonts w:ascii="Times New Roman" w:cs="Times New Roman" w:eastAsia="Times New Roman" w:hAnsi="Times New Roman"/>
          <w:sz w:val="17"/>
          <w:szCs w:val="17"/>
          <w:color w:val="FF0000"/>
          <w:strike w:val="1"/>
        </w:rPr>
        <w:t>. Bank shall not be responsible or liable for any shortage or discrepancy in, damage to, or loss or destruction of, any goods, the</w:t>
      </w:r>
      <w:r>
        <w:rPr>
          <w:rFonts w:ascii="Times New Roman" w:cs="Times New Roman" w:eastAsia="Times New Roman" w:hAnsi="Times New Roman"/>
          <w:sz w:val="17"/>
          <w:szCs w:val="17"/>
          <w:u w:val="single" w:color="auto"/>
          <w:color w:val="FF0000"/>
          <w:strike w:val="1"/>
        </w:rPr>
        <w:t xml:space="preserve"> </w:t>
      </w:r>
      <w:r>
        <w:rPr>
          <w:rFonts w:ascii="Times New Roman" w:cs="Times New Roman" w:eastAsia="Times New Roman" w:hAnsi="Times New Roman"/>
          <w:sz w:val="17"/>
          <w:szCs w:val="17"/>
          <w:color w:val="FF0000"/>
          <w:strike w:val="1"/>
        </w:rPr>
        <w:t>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166"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5.5 </w:t>
      </w:r>
      <w:r>
        <w:rPr>
          <w:rFonts w:ascii="Times New Roman" w:cs="Times New Roman" w:eastAsia="Times New Roman" w:hAnsi="Times New Roman"/>
          <w:sz w:val="17"/>
          <w:szCs w:val="17"/>
          <w:b w:val="1"/>
          <w:bCs w:val="1"/>
          <w:color w:val="FF0000"/>
        </w:rPr>
        <w:t>Remittance of Proceeds.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FF0000"/>
        </w:rPr>
        <w:t>Except as otherwise provided in Section 5.4(c) and Section 7.1, deliver, in kind, all proceeds arising from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FF0000"/>
          <w:strike w:val="1"/>
        </w:rPr>
        <w:t>disposition of any Collateral to Bank in the original form in which received by Borrower not later than the following Business Day after receipt by Borrower, to be applied to the Obligations (a) prior to an Event of Default, pursuant to the terms of Section 5.4(c) hereof, and (b) after the occurrence and during the continuance of an Event of Default, pursuant to the terms of Section 8.4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One Hundred Thousand Dollars ($100,000)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Bank. Nothing in this Section 5.5 limits the restrictions on disposition of Collateral set forth elsewhere in this Agreement.</w:t>
      </w:r>
      <w:r>
        <w:rPr>
          <w:rFonts w:ascii="Times New Roman" w:cs="Times New Roman" w:eastAsia="Times New Roman" w:hAnsi="Times New Roman"/>
          <w:sz w:val="17"/>
          <w:szCs w:val="17"/>
          <w:b w:val="1"/>
          <w:bCs w:val="1"/>
          <w:u w:val="single" w:color="auto"/>
          <w:color w:val="0000FF"/>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-1016635</wp:posOffset>
            </wp:positionV>
            <wp:extent cx="659511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3">
                      <a:extLst>
                        <a:ext uri="{28A0092B-C50C-407E-A947-70E740481C1C}"/>
                      </a:extLst>
                    </a:blip>
                    <a:srcRect/>
                    <a:stretch>
                      <a:fillRect/>
                    </a:stretch>
                  </pic:blipFill>
                  <pic:spPr bwMode="auto">
                    <a:xfrm>
                      <a:off x="0" y="0"/>
                      <a:ext cx="6595110" cy="8255"/>
                    </a:xfrm>
                    <a:prstGeom prst="rect">
                      <a:avLst/>
                    </a:prstGeom>
                    <a:noFill/>
                  </pic:spPr>
                </pic:pic>
              </a:graphicData>
            </a:graphic>
          </wp:anchor>
        </w:drawing>
      </w:r>
    </w:p>
    <w:p>
      <w:pPr>
        <w:spacing w:after="0" w:line="364"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5.6</w:t>
        <w:tab/>
        <w:t>Taxes; Pensions.</w:t>
      </w:r>
    </w:p>
    <w:p>
      <w:pPr>
        <w:spacing w:after="0" w:line="226" w:lineRule="exact"/>
        <w:rPr>
          <w:sz w:val="20"/>
          <w:szCs w:val="20"/>
          <w:color w:val="auto"/>
        </w:rPr>
      </w:pPr>
    </w:p>
    <w:p>
      <w:pPr>
        <w:jc w:val="both"/>
        <w:ind w:firstLine="1264"/>
        <w:spacing w:after="0" w:line="267" w:lineRule="auto"/>
        <w:tabs>
          <w:tab w:leader="none" w:pos="188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file, and require each of its Subsidiaries to timely file (in each case, unless subject to a valid extension), all required tax returns and reports and timely pay, and require each of its Subsidiaries to timely pay, or file extensions for, all foreign, federal, state and local taxes, assessments, deposits and contributions owed by Borrower and each of its Subsidiaries, except for (deferred payment of any taxes contested pursuant to the terms of Section 4.9(a)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71" w:lineRule="exact"/>
        <w:rPr>
          <w:rFonts w:ascii="Times New Roman" w:cs="Times New Roman" w:eastAsia="Times New Roman" w:hAnsi="Times New Roman"/>
          <w:sz w:val="17"/>
          <w:szCs w:val="17"/>
          <w:color w:val="auto"/>
        </w:rPr>
      </w:pPr>
    </w:p>
    <w:p>
      <w:pPr>
        <w:jc w:val="both"/>
        <w:ind w:firstLine="1264"/>
        <w:spacing w:after="0" w:line="274" w:lineRule="auto"/>
        <w:tabs>
          <w:tab w:leader="none" w:pos="1882"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Borrower or any of its Subsidiaries defers payment of any contested taxes in excess of Fifty Thousand Dollars ($50,000),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37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5.7 Access to Collateral; Books and Records. </w:t>
      </w:r>
      <w:r>
        <w:rPr>
          <w:rFonts w:ascii="Times New Roman" w:cs="Times New Roman" w:eastAsia="Times New Roman" w:hAnsi="Times New Roman"/>
          <w:sz w:val="17"/>
          <w:szCs w:val="17"/>
          <w:color w:val="auto"/>
        </w:rPr>
        <w:t>At reasonable times, on five (5) Business Days’ notice (provided no notice is required if an Event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Default has occurred and is continuing), Bank, or its agents, shall have the right to inspect the Collateral and the right to audit and copy Borrower’s Books. </w:t>
      </w:r>
      <w:r>
        <w:rPr>
          <w:rFonts w:ascii="Times New Roman" w:cs="Times New Roman" w:eastAsia="Times New Roman" w:hAnsi="Times New Roman"/>
          <w:sz w:val="17"/>
          <w:szCs w:val="17"/>
          <w:color w:val="FF0000"/>
          <w:strike w:val="1"/>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Initial Audit shall be completed within ninety (90) days after the First Amendment Effective Date, and Borrower shall cooperate with Bank in order to timely complete same. Thereafter, (i) when Streamline Period is in effect, such</w:t>
      </w:r>
      <w:r>
        <w:rPr>
          <w:rFonts w:ascii="Times New Roman" w:cs="Times New Roman" w:eastAsia="Times New Roman" w:hAnsi="Times New Roman"/>
          <w:sz w:val="17"/>
          <w:szCs w:val="17"/>
          <w:u w:val="single" w:color="auto"/>
          <w:color w:val="0000FF"/>
          <w:strike w:val="1"/>
        </w:rPr>
        <w:t>Such</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0000"/>
          <w:strike w:val="1"/>
        </w:rPr>
        <w:t>inspections and audits shall be conducted no more often than once every twelve</w:t>
      </w:r>
    </w:p>
    <w:p>
      <w:pPr>
        <w:spacing w:after="0" w:line="2" w:lineRule="exact"/>
        <w:rPr>
          <w:sz w:val="20"/>
          <w:szCs w:val="20"/>
          <w:color w:val="auto"/>
        </w:rPr>
      </w:pPr>
    </w:p>
    <w:p>
      <w:pPr>
        <w:ind w:firstLine="5"/>
        <w:spacing w:after="0" w:line="275" w:lineRule="auto"/>
        <w:tabs>
          <w:tab w:leader="none" w:pos="33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w:t>
      </w:r>
      <w:r>
        <w:rPr>
          <w:rFonts w:ascii="Times New Roman" w:cs="Times New Roman" w:eastAsia="Times New Roman" w:hAnsi="Times New Roman"/>
          <w:sz w:val="17"/>
          <w:szCs w:val="17"/>
          <w:color w:val="FF0000"/>
          <w:strike w:val="1"/>
        </w:rPr>
        <w:t>, unless an Event of Default has occurred and is continuing, in which case such inspections and audits shall occur as often as Bank shall determine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necessary and (ii) when Streamline Period is not in effect, such inspections and audits shall be</w:t>
      </w:r>
    </w:p>
    <w:p>
      <w:pPr>
        <w:sectPr>
          <w:pgSz w:w="11900" w:h="16838" w:orient="portrait"/>
          <w:cols w:equalWidth="0" w:num="1">
            <w:col w:w="11240"/>
          </w:cols>
          <w:pgMar w:left="320" w:top="1380" w:right="339" w:bottom="1440" w:gutter="0" w:footer="0" w:header="0"/>
        </w:sectPr>
      </w:pPr>
    </w:p>
    <w:bookmarkStart w:id="114" w:name="page115"/>
    <w:bookmarkEnd w:id="114"/>
    <w:p>
      <w:pPr>
        <w:jc w:val="both"/>
        <w:spacing w:after="0" w:line="264" w:lineRule="auto"/>
        <w:rPr>
          <w:sz w:val="20"/>
          <w:szCs w:val="20"/>
          <w:color w:val="auto"/>
        </w:rPr>
      </w:pPr>
      <w:r>
        <w:rPr>
          <w:rFonts w:ascii="Times New Roman" w:cs="Times New Roman" w:eastAsia="Times New Roman" w:hAnsi="Times New Roman"/>
          <w:sz w:val="17"/>
          <w:szCs w:val="17"/>
          <w:color w:val="FF0000"/>
          <w:strike w:val="1"/>
        </w:rPr>
        <w:t>conducted no more often than once every six (6) months (or as frequently as Bank determines in its sole discretion that conditions warrant)</w:t>
      </w:r>
      <w:r>
        <w:rPr>
          <w:rFonts w:ascii="Times New Roman" w:cs="Times New Roman" w:eastAsia="Times New Roman" w:hAnsi="Times New Roman"/>
          <w:sz w:val="17"/>
          <w:szCs w:val="17"/>
          <w:color w:val="000000"/>
        </w:rPr>
        <w:t>, unless an Event of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spacing w:after="0" w:line="17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5.8</w:t>
        <w:tab/>
        <w:t>Insurance.</w:t>
      </w:r>
    </w:p>
    <w:p>
      <w:pPr>
        <w:spacing w:after="0" w:line="226" w:lineRule="exact"/>
        <w:rPr>
          <w:sz w:val="20"/>
          <w:szCs w:val="20"/>
          <w:color w:val="auto"/>
        </w:rPr>
      </w:pPr>
    </w:p>
    <w:p>
      <w:pPr>
        <w:jc w:val="both"/>
        <w:ind w:firstLine="1264"/>
        <w:spacing w:after="0" w:line="277" w:lineRule="auto"/>
        <w:tabs>
          <w:tab w:leader="none" w:pos="1885"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162"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62" w:lineRule="exact"/>
        <w:rPr>
          <w:rFonts w:ascii="Times New Roman" w:cs="Times New Roman" w:eastAsia="Times New Roman" w:hAnsi="Times New Roman"/>
          <w:sz w:val="17"/>
          <w:szCs w:val="17"/>
          <w:color w:val="auto"/>
        </w:rPr>
      </w:pPr>
    </w:p>
    <w:p>
      <w:pPr>
        <w:jc w:val="both"/>
        <w:ind w:firstLine="1264"/>
        <w:spacing w:after="0" w:line="264" w:lineRule="auto"/>
        <w:tabs>
          <w:tab w:leader="none" w:pos="1885"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Million Dollars ($1,000,000)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388" w:lineRule="exact"/>
        <w:rPr>
          <w:rFonts w:ascii="Times New Roman" w:cs="Times New Roman" w:eastAsia="Times New Roman" w:hAnsi="Times New Roman"/>
          <w:sz w:val="17"/>
          <w:szCs w:val="17"/>
          <w:color w:val="auto"/>
        </w:rPr>
      </w:pPr>
    </w:p>
    <w:p>
      <w:pPr>
        <w:jc w:val="both"/>
        <w:ind w:firstLine="1264"/>
        <w:spacing w:after="0" w:line="265" w:lineRule="auto"/>
        <w:tabs>
          <w:tab w:leader="none" w:pos="1882"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Bank’s request, Borrower shall deliver certified copies of insurance policies and evidence of all premium payments. Each provider of any such insurance required under this Section </w:t>
      </w:r>
      <w:r>
        <w:rPr>
          <w:rFonts w:ascii="Times New Roman" w:cs="Times New Roman" w:eastAsia="Times New Roman" w:hAnsi="Times New Roman"/>
          <w:sz w:val="17"/>
          <w:szCs w:val="17"/>
          <w:color w:val="auto"/>
          <w:strike w:val="1"/>
        </w:rPr>
        <w:t>5.8</w:t>
      </w:r>
      <w:r>
        <w:rPr>
          <w:rFonts w:ascii="Times New Roman" w:cs="Times New Roman" w:eastAsia="Times New Roman" w:hAnsi="Times New Roman"/>
          <w:sz w:val="17"/>
          <w:szCs w:val="17"/>
          <w:color w:val="auto"/>
        </w:rPr>
        <w:t>6.5 shall agree, by endorsement upon the policy or policies issued by it or by independent instruments furnished to Bank, that it will give Bank twenty (20) days (or ten (10) days’ prior written notice in the event of cancellation due to non-payment of premium) prior written notice before any such policy or policies shall be materially altered or canceled. If Borrower fails to obtain insurance as required under this Section 5.8 or to pay any amount or furnish any required proof of payment to third persons and Bank, Bank may make all or part of such payment or obtain such insurance policies required in this Section 5.8, and take any action under the policies Bank deems prudent.</w:t>
      </w:r>
    </w:p>
    <w:p>
      <w:pPr>
        <w:spacing w:after="0" w:line="17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5.9</w:t>
        <w:tab/>
        <w:t>Accounts.</w:t>
      </w:r>
    </w:p>
    <w:p>
      <w:pPr>
        <w:spacing w:after="0" w:line="226" w:lineRule="exact"/>
        <w:rPr>
          <w:sz w:val="20"/>
          <w:szCs w:val="20"/>
          <w:color w:val="auto"/>
        </w:rPr>
      </w:pPr>
    </w:p>
    <w:p>
      <w:pPr>
        <w:jc w:val="both"/>
        <w:ind w:firstLine="1264"/>
        <w:spacing w:after="0" w:line="263" w:lineRule="auto"/>
        <w:tabs>
          <w:tab w:leader="none" w:pos="188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Maintain </w:t>
      </w:r>
      <w:r>
        <w:rPr>
          <w:rFonts w:ascii="Times New Roman" w:cs="Times New Roman" w:eastAsia="Times New Roman" w:hAnsi="Times New Roman"/>
          <w:sz w:val="17"/>
          <w:szCs w:val="17"/>
          <w:color w:val="FF0000"/>
          <w:strike w:val="1"/>
        </w:rPr>
        <w:t>all of</w:t>
      </w:r>
      <w:r>
        <w:rPr>
          <w:rFonts w:ascii="Times New Roman" w:cs="Times New Roman" w:eastAsia="Times New Roman" w:hAnsi="Times New Roman"/>
          <w:sz w:val="17"/>
          <w:szCs w:val="17"/>
          <w:color w:val="auto"/>
        </w:rPr>
        <w:t xml:space="preserve"> Borrower’s , any of its Subsidiaries’, </w:t>
      </w:r>
      <w:r>
        <w:rPr>
          <w:rFonts w:ascii="Times New Roman" w:cs="Times New Roman" w:eastAsia="Times New Roman" w:hAnsi="Times New Roman"/>
          <w:sz w:val="17"/>
          <w:szCs w:val="17"/>
          <w:u w:val="single" w:color="auto"/>
          <w:color w:val="0000FF"/>
        </w:rPr>
        <w:t>and any Guarantor’s primary banking relationship (including primary operating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accounts) with Bank or Bank’s Affiliates such that consolidated account balances of Borrower and its Subsidiaries and Guarantors maintained with Bank or Bank’s Affiliates represent an amount equal to or greater than the greater of (i) fifty percent (50.0%) of the aggregate Dollar Equivalent value of all cash and Cash Equivalents of Borrower and its Subsidiaries and Guarantors, and (ii) the amount equal to one hundred and ten percent (110.0%) of the aggregate outstanding amount under the Term Loan (the minimum percentages set forth in clause (i) and (ii) of this Section 5.9(a) collectively referred to as the “</w:t>
      </w:r>
      <w:r>
        <w:rPr>
          <w:rFonts w:ascii="Times New Roman" w:cs="Times New Roman" w:eastAsia="Times New Roman" w:hAnsi="Times New Roman"/>
          <w:sz w:val="17"/>
          <w:szCs w:val="17"/>
          <w:b w:val="1"/>
          <w:bCs w:val="1"/>
          <w:u w:val="single" w:color="auto"/>
          <w:color w:val="0000FF"/>
        </w:rPr>
        <w:t>Minimum Banking Requirements</w:t>
      </w:r>
      <w:r>
        <w:rPr>
          <w:rFonts w:ascii="Times New Roman" w:cs="Times New Roman" w:eastAsia="Times New Roman" w:hAnsi="Times New Roman"/>
          <w:sz w:val="17"/>
          <w:szCs w:val="17"/>
          <w:u w:val="single" w:color="auto"/>
          <w:color w:val="0000FF"/>
        </w:rPr>
        <w:t xml:space="preserve">”); provided, however, and subject to the Minimum Banking Requirements, Borrower may maintain its other “primary” operating accounts with PNC Bank used </w:t>
      </w:r>
      <w:r>
        <w:rPr>
          <w:rFonts w:ascii="Times New Roman" w:cs="Times New Roman" w:eastAsia="Times New Roman" w:hAnsi="Times New Roman"/>
          <w:sz w:val="17"/>
          <w:szCs w:val="17"/>
          <w:u w:val="single" w:color="auto"/>
          <w:color w:val="008000"/>
        </w:rPr>
        <w:t>in the ordinary course of Borrower’s business</w:t>
      </w:r>
      <w:r>
        <w:rPr>
          <w:rFonts w:ascii="Times New Roman" w:cs="Times New Roman" w:eastAsia="Times New Roman" w:hAnsi="Times New Roman"/>
          <w:sz w:val="17"/>
          <w:szCs w:val="17"/>
          <w:u w:val="single" w:color="auto"/>
          <w:color w:val="0000FF"/>
        </w:rPr>
        <w:t xml:space="preserve"> and subject, at all times, to a Control Agreement in favor of Bank. Additionally, and </w:t>
      </w:r>
      <w:r>
        <w:rPr>
          <w:rFonts w:ascii="Times New Roman" w:cs="Times New Roman" w:eastAsia="Times New Roman" w:hAnsi="Times New Roman"/>
          <w:sz w:val="17"/>
          <w:szCs w:val="17"/>
          <w:u w:val="single" w:color="auto"/>
          <w:color w:val="008000"/>
        </w:rPr>
        <w:t>for the</w:t>
      </w:r>
    </w:p>
    <w:p>
      <w:pPr>
        <w:sectPr>
          <w:pgSz w:w="11900" w:h="16838" w:orient="portrait"/>
          <w:cols w:equalWidth="0" w:num="1">
            <w:col w:w="11240"/>
          </w:cols>
          <w:pgMar w:left="320" w:top="1380" w:right="339" w:bottom="1440" w:gutter="0" w:footer="0" w:header="0"/>
        </w:sectPr>
      </w:pPr>
    </w:p>
    <w:bookmarkStart w:id="115" w:name="page116"/>
    <w:bookmarkEnd w:id="115"/>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008000"/>
        </w:rPr>
        <w:t xml:space="preserve">avoidance of doubt, </w:t>
      </w:r>
      <w:r>
        <w:rPr>
          <w:rFonts w:ascii="Times New Roman" w:cs="Times New Roman" w:eastAsia="Times New Roman" w:hAnsi="Times New Roman"/>
          <w:sz w:val="17"/>
          <w:szCs w:val="17"/>
          <w:u w:val="single" w:color="auto"/>
          <w:color w:val="0000FF"/>
        </w:rPr>
        <w:t>so long as Borrower is in compliance with the Minimum Banking Requirements, Borrower may maintain other Collateral Accounts outside</w:t>
      </w:r>
      <w:r>
        <w:rPr>
          <w:rFonts w:ascii="Times New Roman" w:cs="Times New Roman" w:eastAsia="Times New Roman" w:hAnsi="Times New Roman"/>
          <w:sz w:val="17"/>
          <w:szCs w:val="17"/>
          <w:u w:val="single" w:color="auto"/>
          <w:color w:val="008000"/>
        </w:rPr>
        <w:t xml:space="preserve"> </w:t>
      </w:r>
      <w:r>
        <w:rPr>
          <w:rFonts w:ascii="Times New Roman" w:cs="Times New Roman" w:eastAsia="Times New Roman" w:hAnsi="Times New Roman"/>
          <w:sz w:val="17"/>
          <w:szCs w:val="17"/>
          <w:u w:val="single" w:color="auto"/>
          <w:color w:val="0000FF"/>
        </w:rPr>
        <w:t>of Bank, subject at all times to the Control Agreement requirements set forth in Section 5.9(c) hereof. Notwithstanding the foregoing, (x) if the aggregate amount of unrestricted and unencumbered cash held by Borrower is less than one hundred and ten percent (110.0%) of the aggregate outstanding amount under the Term Loan, Borrower shall maintain all of its, any of its Subsidiaries’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any Guarantor’s operating accounts, depository accounts and excess cash with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Bank or Bank’s Affiliates</w:t>
      </w:r>
      <w:r>
        <w:rPr>
          <w:rFonts w:ascii="Times New Roman" w:cs="Times New Roman" w:eastAsia="Times New Roman" w:hAnsi="Times New Roman"/>
          <w:sz w:val="17"/>
          <w:szCs w:val="17"/>
          <w:color w:val="FF0000"/>
          <w:strike w:val="1"/>
        </w:rPr>
        <w:t>, other than</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FF"/>
        </w:rPr>
        <w:t>other than de minimis amounts requisite to maintaining outside accounts in good standing, except that</w:t>
      </w:r>
      <w:r>
        <w:rPr>
          <w:rFonts w:ascii="Times New Roman" w:cs="Times New Roman" w:eastAsia="Times New Roman" w:hAnsi="Times New Roman"/>
          <w:sz w:val="17"/>
          <w:szCs w:val="17"/>
          <w:color w:val="000000"/>
        </w:rPr>
        <w:t xml:space="preserve"> Borrower’s Foreign Subsidiaries may maintain accounts with third parties other than Bank, provided the aggregate value of such accounts is subject to the terms of Section 6.11 (collectively the “</w:t>
      </w:r>
      <w:r>
        <w:rPr>
          <w:rFonts w:ascii="Times New Roman" w:cs="Times New Roman" w:eastAsia="Times New Roman" w:hAnsi="Times New Roman"/>
          <w:sz w:val="17"/>
          <w:szCs w:val="17"/>
          <w:b w:val="1"/>
          <w:bCs w:val="1"/>
          <w:color w:val="000000"/>
        </w:rPr>
        <w:t>Permitted Foreign Subsidiary Accounts</w:t>
      </w:r>
      <w:r>
        <w:rPr>
          <w:rFonts w:ascii="Times New Roman" w:cs="Times New Roman" w:eastAsia="Times New Roman" w:hAnsi="Times New Roman"/>
          <w:sz w:val="17"/>
          <w:szCs w:val="17"/>
          <w:color w:val="000000"/>
        </w:rPr>
        <w:t>”).</w:t>
      </w:r>
    </w:p>
    <w:p>
      <w:pPr>
        <w:spacing w:after="0" w:line="173" w:lineRule="exact"/>
        <w:rPr>
          <w:sz w:val="20"/>
          <w:szCs w:val="20"/>
          <w:color w:val="auto"/>
        </w:rPr>
      </w:pPr>
    </w:p>
    <w:p>
      <w:pPr>
        <w:jc w:val="both"/>
        <w:ind w:firstLine="1264"/>
        <w:spacing w:after="0" w:line="266" w:lineRule="auto"/>
        <w:tabs>
          <w:tab w:leader="none" w:pos="1882"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foregoing, Borrower, any Subsidiary of Borrower and any Guarantor, shall obtain any business credit card, Letter of Credit, FX Contract, and cash management services exclusively from Bank, except (i) third party credit cards, as permitted in the defined term “Permitted Indebtedness” part (</w:t>
      </w:r>
      <w:r>
        <w:rPr>
          <w:rFonts w:ascii="Times New Roman" w:cs="Times New Roman" w:eastAsia="Times New Roman" w:hAnsi="Times New Roman"/>
          <w:sz w:val="17"/>
          <w:szCs w:val="17"/>
          <w:color w:val="FF0000"/>
          <w:strike w:val="1"/>
        </w:rPr>
        <w:t>g</w:t>
      </w:r>
      <w:r>
        <w:rPr>
          <w:rFonts w:ascii="Times New Roman" w:cs="Times New Roman" w:eastAsia="Times New Roman" w:hAnsi="Times New Roman"/>
          <w:sz w:val="17"/>
          <w:szCs w:val="17"/>
          <w:u w:val="single" w:color="auto"/>
          <w:color w:val="0000FF"/>
        </w:rPr>
        <w:t>h</w:t>
      </w:r>
      <w:r>
        <w:rPr>
          <w:rFonts w:ascii="Times New Roman" w:cs="Times New Roman" w:eastAsia="Times New Roman" w:hAnsi="Times New Roman"/>
          <w:sz w:val="17"/>
          <w:szCs w:val="17"/>
          <w:color w:val="auto"/>
        </w:rPr>
        <w:t>); (ii) Borrower’s Foreign Subsidiaries may maintain the foregoing bank services with third parties other than Bank, (iii) to the extent that Bank does not have such services in foreign locations, Borrower and its Subsidiaries may maintain the foregoing foreign banking services with third parties other than Bank, and (iv) Borrower may maintain and permit to exist online payment processors used in the ordinary course of business with third parties other than Bank.</w:t>
      </w:r>
    </w:p>
    <w:p>
      <w:pPr>
        <w:spacing w:after="0" w:line="385" w:lineRule="exact"/>
        <w:rPr>
          <w:rFonts w:ascii="Times New Roman" w:cs="Times New Roman" w:eastAsia="Times New Roman" w:hAnsi="Times New Roman"/>
          <w:sz w:val="17"/>
          <w:szCs w:val="17"/>
          <w:color w:val="auto"/>
        </w:rPr>
      </w:pPr>
    </w:p>
    <w:p>
      <w:pPr>
        <w:jc w:val="both"/>
        <w:ind w:firstLine="1264"/>
        <w:spacing w:after="0" w:line="264" w:lineRule="auto"/>
        <w:tabs>
          <w:tab w:leader="none" w:pos="188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and (ii) the Permitted Foreign Subsidiary Accounts.</w:t>
      </w:r>
    </w:p>
    <w:p>
      <w:pPr>
        <w:spacing w:after="0" w:line="171" w:lineRule="exact"/>
        <w:rPr>
          <w:sz w:val="20"/>
          <w:szCs w:val="20"/>
          <w:color w:val="auto"/>
        </w:rPr>
      </w:pPr>
    </w:p>
    <w:p>
      <w:pPr>
        <w:jc w:val="both"/>
        <w:ind w:firstLine="62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5.10 Financial Covenant (Net Revenue). </w:t>
      </w:r>
      <w:r>
        <w:rPr>
          <w:rFonts w:ascii="Times New Roman" w:cs="Times New Roman" w:eastAsia="Times New Roman" w:hAnsi="Times New Roman"/>
          <w:sz w:val="17"/>
          <w:szCs w:val="17"/>
          <w:color w:val="FF0000"/>
          <w:strike w:val="1"/>
        </w:rPr>
        <w:t>When a Financial Covenant Measuring Period is in effect</w:t>
      </w:r>
      <w:r>
        <w:rPr>
          <w:rFonts w:ascii="Times New Roman" w:cs="Times New Roman" w:eastAsia="Times New Roman" w:hAnsi="Times New Roman"/>
          <w:sz w:val="17"/>
          <w:szCs w:val="17"/>
          <w:u w:val="single" w:color="auto"/>
          <w:color w:val="0000FF"/>
        </w:rPr>
        <w:t>Commencing on June 30, 2025</w:t>
      </w:r>
      <w:r>
        <w:rPr>
          <w:rFonts w:ascii="Times New Roman" w:cs="Times New Roman" w:eastAsia="Times New Roman" w:hAnsi="Times New Roman"/>
          <w:sz w:val="17"/>
          <w:szCs w:val="17"/>
          <w:color w:val="auto"/>
        </w:rPr>
        <w:t>, Borrower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achieve Net Revenue (measured in accordance with GAAP on a trailing six (6) month basis), tested quarterly on the last day of each calendar quarter, in an amount equal to or greater than the levels to be agreed upon between Borrower and Bank with respect to which Borrower hereby agrees: (i) shall be documented in an amendment to this Agreement, in form and substance acceptable to Bank, which amendment shall be executed no later than: (x) for the fiscal year ending on December 31, 2025, the earlier to occur of 1) the date when Borrower’s unrestricted cash and Cash Equivalent held with Bank and Bank’s Affiliates is equal to or falls below [***] Dollars, and 2) </w:t>
      </w:r>
      <w:r>
        <w:rPr>
          <w:rFonts w:ascii="Times New Roman" w:cs="Times New Roman" w:eastAsia="Times New Roman" w:hAnsi="Times New Roman"/>
          <w:sz w:val="17"/>
          <w:szCs w:val="17"/>
          <w:color w:val="FF0000"/>
          <w:strike w:val="1"/>
        </w:rPr>
        <w:t>May 31</w:t>
      </w:r>
      <w:r>
        <w:rPr>
          <w:rFonts w:ascii="Times New Roman" w:cs="Times New Roman" w:eastAsia="Times New Roman" w:hAnsi="Times New Roman"/>
          <w:sz w:val="17"/>
          <w:szCs w:val="17"/>
          <w:u w:val="single" w:color="auto"/>
          <w:color w:val="0000FF"/>
        </w:rPr>
        <w:t>September 30</w:t>
      </w:r>
      <w:r>
        <w:rPr>
          <w:rFonts w:ascii="Times New Roman" w:cs="Times New Roman" w:eastAsia="Times New Roman" w:hAnsi="Times New Roman"/>
          <w:sz w:val="17"/>
          <w:szCs w:val="17"/>
          <w:color w:val="auto"/>
        </w:rPr>
        <w:t>, 2025, with Borrower’s failure to enter into such amendment to this Agreement to reset such covenant levels on or prior to such date being an immediate and non-curable Event of Default hereunder; and (y) for the fiscal year ending on December 31, 2026 and any fiscal year after that, February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each year beginning with February 28, 2026, with Borrower’s failure to enter into such amendment to this Agreement to reset such covenant levels on or prior to February 28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each year being an immediate and non-curable Event of Default hereunder; (ii) shall be based on Borrower’s projections delivered to Bank in accordance with Section 5.3(e) hereof and acceptable to Bank in its commercially reasonable discretion with such projections for Borrower’s 2025 fiscal year showing a year-over-year growth satisfactory to Bank in its sole discretion. </w:t>
      </w:r>
      <w:r>
        <w:rPr>
          <w:rFonts w:ascii="Times New Roman" w:cs="Times New Roman" w:eastAsia="Times New Roman" w:hAnsi="Times New Roman"/>
          <w:sz w:val="17"/>
          <w:szCs w:val="17"/>
          <w:u w:val="single" w:color="auto"/>
          <w:color w:val="0000FF"/>
        </w:rPr>
        <w:t xml:space="preserve">Notwithstanding the foregoing, such Net Revenue covenant will not be tested for a certain calendar quarter if (1) </w:t>
      </w:r>
      <w:r>
        <w:rPr>
          <w:rFonts w:ascii="Times New Roman" w:cs="Times New Roman" w:eastAsia="Times New Roman" w:hAnsi="Times New Roman"/>
          <w:sz w:val="17"/>
          <w:szCs w:val="17"/>
          <w:u w:val="single" w:color="auto"/>
          <w:color w:val="008000"/>
        </w:rPr>
        <w:t>Borrower’s unrestricted and unencumbered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u w:val="single" w:color="auto"/>
          <w:color w:val="008000"/>
        </w:rPr>
        <w:t xml:space="preserve">(except for Liens in favor of Bank) cash and Cash Equivalents held at Bank and Bank’s Affiliates is </w:t>
      </w:r>
      <w:r>
        <w:rPr>
          <w:rFonts w:ascii="Times New Roman" w:cs="Times New Roman" w:eastAsia="Times New Roman" w:hAnsi="Times New Roman"/>
          <w:sz w:val="17"/>
          <w:szCs w:val="17"/>
          <w:u w:val="single" w:color="auto"/>
          <w:color w:val="0000FF"/>
        </w:rPr>
        <w:t>equal to or greater than [***] Dollars, or (2) Borrower</w:t>
      </w:r>
      <w:r>
        <w:rPr>
          <w:rFonts w:ascii="Times New Roman" w:cs="Times New Roman" w:eastAsia="Times New Roman" w:hAnsi="Times New Roman"/>
          <w:sz w:val="17"/>
          <w:szCs w:val="17"/>
          <w:u w:val="single" w:color="auto"/>
          <w:color w:val="008000"/>
        </w:rPr>
        <w:t xml:space="preserve"> </w:t>
      </w:r>
      <w:r>
        <w:rPr>
          <w:rFonts w:ascii="Times New Roman" w:cs="Times New Roman" w:eastAsia="Times New Roman" w:hAnsi="Times New Roman"/>
          <w:sz w:val="17"/>
          <w:szCs w:val="17"/>
          <w:u w:val="single" w:color="auto"/>
          <w:color w:val="0000FF"/>
        </w:rPr>
        <w:t>achieves Adjusted EBITDA (calculated on a trailing six (6) month basis) of equal to or greater than [***] Dollars.</w:t>
      </w:r>
    </w:p>
    <w:p>
      <w:pPr>
        <w:spacing w:after="0" w:line="189"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5.11</w:t>
        <w:tab/>
        <w:t>Protection of Intellectual Property Rights.</w:t>
      </w:r>
    </w:p>
    <w:p>
      <w:pPr>
        <w:spacing w:after="0" w:line="226" w:lineRule="exact"/>
        <w:rPr>
          <w:sz w:val="20"/>
          <w:szCs w:val="20"/>
          <w:color w:val="auto"/>
        </w:rPr>
      </w:pPr>
    </w:p>
    <w:p>
      <w:pPr>
        <w:jc w:val="both"/>
        <w:ind w:firstLine="1264"/>
        <w:spacing w:after="0" w:line="277" w:lineRule="auto"/>
        <w:tabs>
          <w:tab w:leader="none" w:pos="188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Use commercially reasonable efforts to protect, defend and maintain the validity and enforceability of Borrower’s and each Subsidiary’s Intellectual Property, except to the extent that such failure to do so would not reasonably be expected to have a material adverse effect on Borrower’s business or operations or that</w:t>
      </w:r>
    </w:p>
    <w:p>
      <w:pPr>
        <w:sectPr>
          <w:pgSz w:w="11900" w:h="16838" w:orient="portrait"/>
          <w:cols w:equalWidth="0" w:num="1">
            <w:col w:w="11240"/>
          </w:cols>
          <w:pgMar w:left="320" w:top="1380" w:right="339" w:bottom="1440" w:gutter="0" w:footer="0" w:header="0"/>
        </w:sectPr>
      </w:pPr>
    </w:p>
    <w:bookmarkStart w:id="116" w:name="page117"/>
    <w:bookmarkEnd w:id="116"/>
    <w:p>
      <w:pPr>
        <w:jc w:val="both"/>
        <w:spacing w:after="0" w:line="277" w:lineRule="auto"/>
        <w:rPr>
          <w:sz w:val="20"/>
          <w:szCs w:val="20"/>
          <w:color w:val="auto"/>
        </w:rPr>
      </w:pPr>
      <w:r>
        <w:rPr>
          <w:rFonts w:ascii="Times New Roman" w:cs="Times New Roman" w:eastAsia="Times New Roman" w:hAnsi="Times New Roman"/>
          <w:sz w:val="17"/>
          <w:szCs w:val="17"/>
          <w:color w:val="auto"/>
        </w:rPr>
        <w:t>such Intellectual Property does not have material value; (ii) promptly advise Bank in writing of infringements or any other event that could reasonably be expected to materially and adversely affect the value Borrower’s and each Subsidiary’s Intellectual Property that has material value; and (iii) not allow any Intellectual Property material to Borrower’s or any Subsidiary’s business to be abandoned, forfeited or dedicated to the public without Bank’s written consent.</w:t>
      </w:r>
    </w:p>
    <w:p>
      <w:pPr>
        <w:spacing w:after="0" w:line="162" w:lineRule="exact"/>
        <w:rPr>
          <w:sz w:val="20"/>
          <w:szCs w:val="20"/>
          <w:color w:val="auto"/>
        </w:rPr>
      </w:pPr>
    </w:p>
    <w:p>
      <w:pPr>
        <w:jc w:val="both"/>
        <w:ind w:firstLine="1264"/>
        <w:spacing w:after="0" w:line="265" w:lineRule="auto"/>
        <w:tabs>
          <w:tab w:leader="none" w:pos="188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72"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5.12 Litigation Cooperation. </w:t>
      </w:r>
      <w:r>
        <w:rPr>
          <w:rFonts w:ascii="Times New Roman" w:cs="Times New Roman" w:eastAsia="Times New Roman" w:hAnsi="Times New Roman"/>
          <w:sz w:val="17"/>
          <w:szCs w:val="17"/>
          <w:color w:val="auto"/>
        </w:rPr>
        <w:t>From the date hereof and continuing through the termination of this Agreement, make available to Bank,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60"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5.13</w:t>
        <w:tab/>
        <w:t>Reserved.</w:t>
      </w:r>
    </w:p>
    <w:p>
      <w:pPr>
        <w:spacing w:after="0" w:line="22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5.14 Formation or Acquisition of Subsidiaries. </w:t>
      </w:r>
      <w:r>
        <w:rPr>
          <w:rFonts w:ascii="Times New Roman" w:cs="Times New Roman" w:eastAsia="Times New Roman" w:hAnsi="Times New Roman"/>
          <w:sz w:val="17"/>
          <w:szCs w:val="17"/>
          <w:color w:val="auto"/>
        </w:rPr>
        <w:t>Notwithstanding and without limiting the negative covenants contained in Sections 6.3 and 6.7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at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that constitute Collateral), (b) provide to Bank appropriate certificates and powers and financing statements, pledging (i) all of the direct or beneficial ownership interest in such new Subsidiary, in form and substance reasonably satisfactory to Bank; and (c) provide to Bank all other documentation in form and substance reasonably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5.14 shall be a Loan Document.</w:t>
      </w:r>
    </w:p>
    <w:p>
      <w:pPr>
        <w:spacing w:after="0" w:line="387"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5.15 Inventory; Returns</w:t>
      </w:r>
      <w:r>
        <w:rPr>
          <w:rFonts w:ascii="Times New Roman" w:cs="Times New Roman" w:eastAsia="Times New Roman" w:hAnsi="Times New Roman"/>
          <w:sz w:val="17"/>
          <w:szCs w:val="17"/>
          <w:color w:val="auto"/>
        </w:rPr>
        <w:t>. Keep all Inventory in good and marketable condition, free from material defects. Returns and allowances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and its Account Debtors shall follow Borrower’s customary practices as they exist at the Effective Date. Borrower shall promptly notify Bank of all returns, recoveries, disputes and claims that involve more than Two Hundred Fifty Thousand Dollars ($250,000) (measured as to any single return, recovery, dispute or claim, and not in the aggregate at such time).</w:t>
      </w:r>
    </w:p>
    <w:p>
      <w:pPr>
        <w:spacing w:after="0" w:line="166"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5.16 Further Assurances. </w:t>
      </w:r>
      <w:r>
        <w:rPr>
          <w:rFonts w:ascii="Times New Roman" w:cs="Times New Roman" w:eastAsia="Times New Roman" w:hAnsi="Times New Roman"/>
          <w:sz w:val="17"/>
          <w:szCs w:val="17"/>
          <w:color w:val="auto"/>
        </w:rPr>
        <w:t>Execute any further instruments and take such further action as Bank reasonably requests to perfect, protect, ensure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priority of or continue Bank’s Lien on the Collateral or to affect the purposes of this Agreement.</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5.17 Sanctions</w:t>
      </w:r>
      <w:r>
        <w:rPr>
          <w:rFonts w:ascii="Times New Roman" w:cs="Times New Roman" w:eastAsia="Times New Roman" w:hAnsi="Times New Roman"/>
          <w:sz w:val="17"/>
          <w:szCs w:val="17"/>
          <w:color w:val="auto"/>
        </w:rPr>
        <w:t>. (a) Not, and not permit any of its Subsidiaries to, engage in any of the activities described in Section 4.11 in the future; (b) not,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Section 5.17. In addition, have implemented, and will consistently apply while this Agreement is in effect, reasonable procedures to ensure that the representations and warranties in Section 4.11 remain true and correct while this Agreement is in effect.</w:t>
      </w:r>
    </w:p>
    <w:p>
      <w:pPr>
        <w:sectPr>
          <w:pgSz w:w="11900" w:h="16838" w:orient="portrait"/>
          <w:cols w:equalWidth="0" w:num="1">
            <w:col w:w="11240"/>
          </w:cols>
          <w:pgMar w:left="320" w:top="1380" w:right="339" w:bottom="1440" w:gutter="0" w:footer="0" w:header="0"/>
        </w:sectPr>
      </w:pPr>
    </w:p>
    <w:bookmarkStart w:id="117" w:name="page118"/>
    <w:bookmarkEnd w:id="117"/>
    <w:p>
      <w:pPr>
        <w:ind w:left="640"/>
        <w:spacing w:after="0"/>
        <w:rPr>
          <w:sz w:val="20"/>
          <w:szCs w:val="20"/>
          <w:color w:val="auto"/>
        </w:rPr>
      </w:pPr>
      <w:r>
        <w:rPr>
          <w:rFonts w:ascii="Times New Roman" w:cs="Times New Roman" w:eastAsia="Times New Roman" w:hAnsi="Times New Roman"/>
          <w:sz w:val="17"/>
          <w:szCs w:val="17"/>
          <w:b w:val="1"/>
          <w:bCs w:val="1"/>
          <w:color w:val="FF0000"/>
          <w:strike w:val="1"/>
        </w:rPr>
        <w:t>5.18 Post-Closing Obligations</w:t>
      </w:r>
      <w:r>
        <w:rPr>
          <w:rFonts w:ascii="Times New Roman" w:cs="Times New Roman" w:eastAsia="Times New Roman" w:hAnsi="Times New Roman"/>
          <w:sz w:val="17"/>
          <w:szCs w:val="17"/>
          <w:color w:val="FF0000"/>
          <w:strike w:val="1"/>
        </w:rPr>
        <w:t>.</w:t>
      </w:r>
    </w:p>
    <w:p>
      <w:pPr>
        <w:spacing w:after="0" w:line="213" w:lineRule="exact"/>
        <w:rPr>
          <w:sz w:val="20"/>
          <w:szCs w:val="20"/>
          <w:color w:val="auto"/>
        </w:rPr>
      </w:pPr>
    </w:p>
    <w:p>
      <w:pPr>
        <w:jc w:val="both"/>
        <w:ind w:firstLine="1264"/>
        <w:spacing w:after="0" w:line="277" w:lineRule="auto"/>
        <w:tabs>
          <w:tab w:leader="none" w:pos="1509" w:val="left"/>
        </w:tabs>
        <w:numPr>
          <w:ilvl w:val="1"/>
          <w:numId w:val="14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As soon as possible, but in any event not later than the date that is thirty (30) days after the First Amendment Effective Date, Borrower shall deliver to Bank evidence satisfactory to Bank that the insurance policies and endorsements required by Section 5.8 hereof are in full force and effect, together with appropriate evidence showing lender loss payable and additional insured clauses or endorsements in favor of Bank.</w:t>
      </w:r>
    </w:p>
    <w:p>
      <w:pPr>
        <w:spacing w:after="0" w:line="162" w:lineRule="exact"/>
        <w:rPr>
          <w:rFonts w:ascii="Times New Roman" w:cs="Times New Roman" w:eastAsia="Times New Roman" w:hAnsi="Times New Roman"/>
          <w:sz w:val="17"/>
          <w:szCs w:val="17"/>
          <w:color w:val="FF0000"/>
          <w:strike w:val="1"/>
        </w:rPr>
      </w:pPr>
    </w:p>
    <w:p>
      <w:pPr>
        <w:ind w:firstLine="1264"/>
        <w:spacing w:after="0" w:line="297" w:lineRule="auto"/>
        <w:tabs>
          <w:tab w:leader="none" w:pos="1511" w:val="left"/>
        </w:tabs>
        <w:numPr>
          <w:ilvl w:val="1"/>
          <w:numId w:val="14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As soon as possible, but in any event not later than the date that is five (5) days after the First Amendment Effective Date, Borrower shall deliver to Bank a duly executed Control Agreement with U.S. Bank.</w:t>
      </w:r>
    </w:p>
    <w:p>
      <w:pPr>
        <w:spacing w:after="0" w:line="143" w:lineRule="exact"/>
        <w:rPr>
          <w:rFonts w:ascii="Times New Roman" w:cs="Times New Roman" w:eastAsia="Times New Roman" w:hAnsi="Times New Roman"/>
          <w:sz w:val="17"/>
          <w:szCs w:val="17"/>
          <w:color w:val="FF0000"/>
          <w:strike w:val="1"/>
        </w:rPr>
      </w:pPr>
    </w:p>
    <w:p>
      <w:pPr>
        <w:ind w:left="940" w:hanging="306"/>
        <w:spacing w:after="0"/>
        <w:tabs>
          <w:tab w:leader="none" w:pos="94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NEGATIVE COVENANTS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Borrower shall not do any of the following without Bank’s prior written consent:</w:t>
      </w:r>
    </w:p>
    <w:p>
      <w:pPr>
        <w:spacing w:after="0" w:line="22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6.1 Dispositions. </w:t>
      </w:r>
      <w:r>
        <w:rPr>
          <w:rFonts w:ascii="Times New Roman" w:cs="Times New Roman" w:eastAsia="Times New Roman" w:hAnsi="Times New Roman"/>
          <w:sz w:val="17"/>
          <w:szCs w:val="17"/>
          <w:color w:val="auto"/>
        </w:rPr>
        <w:t>Convey, sell, lease, transfer, assign, or otherwise dispose of (including, without limitation, pursuant to a Division) (collectively,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or permit any of its Subsidiaries to 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including without limitation cash returns or refunds of customer payments; (f) of non-exclusive licenses for the use of the property of Borrower or its Subsidiaries in the ordinary course of business, and other licenses permitted pursuant to part (h) of the defined Permitted Liens; (g) other Transfers not to exceed One Hundred Thousand Dollars ($100,000) in any twelve (12) month period; and (h) other Transfers in which Borrower will receive cash proceeds in an amount equal to no less than seventy-five percent (75%) of such other Transfer consideration (fixed or contingent) paid or payable to Borrower or its Subsidiary.</w:t>
      </w:r>
    </w:p>
    <w:p>
      <w:pPr>
        <w:spacing w:after="0" w:line="38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For the avoidance of doubt, none of (a) the sale of any Permitted Convertible Indebtedness, (b) the sale of any Warrant Transaction, (c) the purchase of any Bond Hedge Transaction or (d) the performance by Borrower of its obligations under any Permitted Convertible Indebtedness, any Warrant Transaction or any Bond Hedge Transaction (including the settlement or termination of any Bond Hedge Transaction or Warrant Transaction) shall constitute a Transfer.</w:t>
      </w:r>
    </w:p>
    <w:p>
      <w:pPr>
        <w:spacing w:after="0" w:line="187"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6.2 Changes in Business, Management, Control, or Business Locations. </w:t>
      </w:r>
      <w:r>
        <w:rPr>
          <w:rFonts w:ascii="Times New Roman" w:cs="Times New Roman" w:eastAsia="Times New Roman" w:hAnsi="Times New Roman"/>
          <w:sz w:val="17"/>
          <w:szCs w:val="17"/>
          <w:color w:val="auto"/>
        </w:rPr>
        <w:t>(a) Engage in or permit any of its Subsidiaries to engage in any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the businesses currently engaged in by Borrower and such Subsidiary, as applicable, or reasonably related thereto; (b) liquidate or dissolve or permit any of its Subsidiaries to liquidate or dissolve (unless such Subsidiary’s assets are transferred to Borrower); (c) fail to provide notice to Bank of any Key Person departing from or ceasing to be employed by Borrower within seven (7) Business Days after such Key Person’s departure from Borrower; (d) permit, allow or suffer to occur any Change in Control; (e) without at least ten (10) days prior written notice to Bank, (i) add any new offices or business locations, including warehouses (unless such new offices or business locations contain less than Two Hundred Thousand Dollars ($200,000) in Borrower’s assets or property) or deliver any portion of the Collateral valued, individually or in the aggregate, in excess of Two Hundred Thousand Dollars ($200,000) to a bailee at a location other than to a bailee and at a location already disclosed in the Perfection Certificate, or (f) without at least twenty (20) days prior written notice to Bank (i) change its jurisdiction of organization, (ii) change its organizational structure or type, (iii) change its legal name, or, (iv) change any organizational number (if any) assigned by its jurisdiction of organization. If Borrower intends to add any new offices or business locations, including warehouses, containing in excess of Two Hundred Thousand Dollars ($200,000) of Borrower’s assets or property, then Borrower will cause the landlord of any such new offices or business locations, including warehouses, to execute and deliver a landlord consent in form and substance reasonably satisfactory to Bank. If Borrower intends to deliver any portion of the Collateral valued, individually or in the aggregate, in excess of Two Hundred Thousand Dollars ($200,000) to a bailee, and Bank and</w:t>
      </w:r>
    </w:p>
    <w:p>
      <w:pPr>
        <w:sectPr>
          <w:pgSz w:w="11900" w:h="16838" w:orient="portrait"/>
          <w:cols w:equalWidth="0" w:num="1">
            <w:col w:w="11240"/>
          </w:cols>
          <w:pgMar w:left="320" w:top="1378" w:right="339" w:bottom="1440" w:gutter="0" w:footer="0" w:header="0"/>
        </w:sectPr>
      </w:pPr>
    </w:p>
    <w:bookmarkStart w:id="118" w:name="page119"/>
    <w:bookmarkEnd w:id="118"/>
    <w:p>
      <w:pPr>
        <w:jc w:val="both"/>
        <w:spacing w:after="0" w:line="277" w:lineRule="auto"/>
        <w:rPr>
          <w:sz w:val="20"/>
          <w:szCs w:val="20"/>
          <w:color w:val="auto"/>
        </w:rPr>
      </w:pPr>
      <w:r>
        <w:rPr>
          <w:rFonts w:ascii="Times New Roman" w:cs="Times New Roman" w:eastAsia="Times New Roman" w:hAnsi="Times New Roman"/>
          <w:sz w:val="17"/>
          <w:szCs w:val="17"/>
          <w:color w:val="auto"/>
        </w:rPr>
        <w:t>such bailee are not already parties to a bailee agreement governing both the Collateral and the location to which Borrower intends to deliver the Collateral, then Borrower will cause such bailee to execute and deliver a bailee agreement in form and substance reasonably satisfactory to Bank. For the avoidance of doubt, no landlord or bailee waivers shall be required for or with respect to any foreign locations of Borrower or its Subsidiaries.</w:t>
      </w:r>
    </w:p>
    <w:p>
      <w:pPr>
        <w:spacing w:after="0" w:line="160"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6.3 Mergers or Acquisitions. </w:t>
      </w:r>
      <w:r>
        <w:rPr>
          <w:rFonts w:ascii="Times New Roman" w:cs="Times New Roman" w:eastAsia="Times New Roman" w:hAnsi="Times New Roman"/>
          <w:sz w:val="17"/>
          <w:szCs w:val="17"/>
          <w:color w:val="auto"/>
        </w:rPr>
        <w:t>Merge or consolidate, or permit any of its Subsidiaries to merge or consolidate, with any other Person, or acquire,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any of its Subsidiaries to acquire, all or substantially all of the stock, partnership, membership, or other ownership interest or other equity securities or property of another Person (including, without limitation, by the formation of any Subsidiary or pursuant to a Division), except (i) if (a) Borrower has complied with the notice requirements applicable to prepayments hereunder, and (b) prior to or contemporaneously with the closing of such transaction, all Obligations are paid in full in cash, and all of Bank’s obligations to lend to Borrower under this Agreement are terminated, and/or (iii) Permitted Acquisitions. A Subsidiary may merge or consolidate into another Subsidiary or into Borrower.</w:t>
      </w:r>
    </w:p>
    <w:p>
      <w:pPr>
        <w:spacing w:after="0" w:line="16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6.4</w:t>
        <w:tab/>
        <w:t xml:space="preserve">Indebtedness. </w:t>
      </w:r>
      <w:r>
        <w:rPr>
          <w:rFonts w:ascii="Times New Roman" w:cs="Times New Roman" w:eastAsia="Times New Roman" w:hAnsi="Times New Roman"/>
          <w:sz w:val="17"/>
          <w:szCs w:val="17"/>
          <w:color w:val="auto"/>
        </w:rPr>
        <w:t>Create, incur, assume, or be liable for any Indebtedness, or permit any Subsidiary to do so, other than Permitted Indebtedness.</w:t>
      </w:r>
    </w:p>
    <w:p>
      <w:pPr>
        <w:spacing w:after="0" w:line="224"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6.5 Encumbrance. </w:t>
      </w:r>
      <w:r>
        <w:rPr>
          <w:rFonts w:ascii="Times New Roman" w:cs="Times New Roman" w:eastAsia="Times New Roman" w:hAnsi="Times New Roman"/>
          <w:sz w:val="17"/>
          <w:szCs w:val="17"/>
          <w:color w:val="auto"/>
        </w:rPr>
        <w:t>Create, incur, allow, or suffer to exist any Lien on any of its property, or assign or convey any right to receive income,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sale of any Accounts, or permit any of its Subsidiaries to do so, in each case as to the foregoing except for Permitted Liens, permit any Collateral not to be subject to the first priority security interest granted herein, other than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spacing w:after="0" w:line="16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6.6</w:t>
        <w:tab/>
        <w:t xml:space="preserve">Maintenance of Collateral Accounts. </w:t>
      </w:r>
      <w:r>
        <w:rPr>
          <w:rFonts w:ascii="Times New Roman" w:cs="Times New Roman" w:eastAsia="Times New Roman" w:hAnsi="Times New Roman"/>
          <w:sz w:val="17"/>
          <w:szCs w:val="17"/>
          <w:color w:val="auto"/>
        </w:rPr>
        <w:t>Maintain any Collateral Account except pursuant to the terms of Section 5.9(c).</w:t>
      </w:r>
    </w:p>
    <w:p>
      <w:pPr>
        <w:spacing w:after="0" w:line="22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6.7 Distributions; Investments. </w:t>
      </w:r>
      <w:r>
        <w:rPr>
          <w:rFonts w:ascii="Times New Roman" w:cs="Times New Roman" w:eastAsia="Times New Roman" w:hAnsi="Times New Roman"/>
          <w:sz w:val="17"/>
          <w:szCs w:val="17"/>
          <w:color w:val="auto"/>
        </w:rPr>
        <w:t>(a) Pay any dividends or make any distribution or payment or redeem, retire or purchase any stock, partnership,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membership, or other ownership interest or other equity securities, provided that Borrower may (i) convert any of its convertible securities into other securities pursuant to the terms of such convertible securities or otherwise in exchange thereof, (ii) pay dividends solely in common stock or equity interests, (iii) repurchase the stock of former employees, officers, directors or consultants pursuant to stock repurchase agreements or termination of employment or service or repurchases pursuant to rights of first refusal in Borrower’s bylaws, so long as an Event of Default does not exist at the time of any such repurchase and would not exist after giving effect to any such repurchase; provided the aggregate amount of all such repurchases shall not exceed Five Hundred Thousand Dollars ($500,000) per fiscal year, (iv) pay cash distributions in lieu of issuing fractional shares; provided the aggregate amount of all such payments shall not exceed Two Hundred Thousand Dollars ($200,000) per fiscal year , (v) distribute equity securities to former or current employees, officers, consultants or directors pursuant to the exercise of employee stock options approved by the Board, (vi) pay, in connection with any Permitted Acquisition by Borrower or any of its Subsidiaries, (A) the receipt or acceptance of the return to Borrower or any of its Subsidiaries of stock or equity interests of Borrower constituting a portion of the purchase price consideration in settlement of indemnification claims, or as a result of a purchase price adjustment (including earn-outs or similar obligations) and (B) payments or distributions to equity holders pursuant to appraisal rights required under requirements of law; (vii) the distribution of rights pursuant to any shareholder rights plan or the redemption of such rights for nominal consideration in accordance with the terms of any shareholder rights plan, and (viii) for the avoidance of doubt, Subsidiaries of Borrower shall be permitted to, directly or indirectly, pay dividends or make distributions to other Subsidiaries or to Borrower, or (b) directly or indirectly make any Investment (including, without limitation, by the formation of any Subsidiary) other than Permitted Investments, or permit any of its Subsidiaries to do so.</w:t>
      </w:r>
    </w:p>
    <w:p>
      <w:pPr>
        <w:spacing w:after="0" w:line="39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Notwithstanding the foregoing, or anything to the contrary herein, and for the avoidance of doubt, this Section 6.7 shall not prohibit (i) the conversion by holders of (including any cash payment upon conversion), or required</w:t>
      </w:r>
    </w:p>
    <w:p>
      <w:pPr>
        <w:sectPr>
          <w:pgSz w:w="11900" w:h="16838" w:orient="portrait"/>
          <w:cols w:equalWidth="0" w:num="1">
            <w:col w:w="11240"/>
          </w:cols>
          <w:pgMar w:left="320" w:top="1380" w:right="339" w:bottom="1440" w:gutter="0" w:footer="0" w:header="0"/>
        </w:sectPr>
      </w:pPr>
    </w:p>
    <w:bookmarkStart w:id="119" w:name="page120"/>
    <w:bookmarkEnd w:id="119"/>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payment of any principal or premium on, or required payment of any interest with respect to, any Permitted Convertible Debt, in each case, in accordance with the terms of the indenture governing such Permitted Convertible Debt;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preceding sentence shall only allow principal payments with respect to any repurchase in connection with the redemption of Permitted Convertible Debt upon satisfaction of a condition related to the stock price of the Borrower’s common stock if the Redemption Conditions are satisfied in respect of such redemption;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to the extent both (a) the aggregate amount of cash payable upon conversion or redemption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redemption does not trigger or correspond to an exercise or early unwind or settlement of a corresponding portion of the Bond Hedge Transactions constituting Permitted Call Spread Agreements relating to such Permitted Convertible Debt (including, for the avoidance of doubt, the case where there is no Bond Hedge Transaction constituting a Permitted Call Spread Agreement relating to such Permitted Convertible Debt), the payment of such excess cash (any such payment, a “</w:t>
      </w:r>
      <w:r>
        <w:rPr>
          <w:rFonts w:ascii="Times New Roman" w:cs="Times New Roman" w:eastAsia="Times New Roman" w:hAnsi="Times New Roman"/>
          <w:sz w:val="17"/>
          <w:szCs w:val="17"/>
          <w:b w:val="1"/>
          <w:bCs w:val="1"/>
          <w:color w:val="auto"/>
        </w:rPr>
        <w:t>Cash Excess Payment</w:t>
      </w:r>
      <w:r>
        <w:rPr>
          <w:rFonts w:ascii="Times New Roman" w:cs="Times New Roman" w:eastAsia="Times New Roman" w:hAnsi="Times New Roman"/>
          <w:sz w:val="17"/>
          <w:szCs w:val="17"/>
          <w:color w:val="auto"/>
        </w:rPr>
        <w:t xml:space="preserve">”) shall not be permitted by this clause (i); and (ii) any required payment with respect to (including, for the avoidance of doubt, the payment of the relevant premium for the purchase thereof), or required early unwind or settlement of, any Permitted Call Spread Agreement, in each case, in accordance with the terms of the agreement governing such Permitted Call Spread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 Notwithstanding the foregoing, the Borrower may repurchase, exchange or induce the conversion of Permitted Convertible Debt by delivery of shares of the Borrower’s common stock and/or a different series of Permitted Convertible Debt (which series (I) matures after, and does not require any scheduled amortization or other scheduled payments of principal prior to, the analogous date under the indenture governing the Permitted Convertible Debt that are so repurchased, exchanged or converted and (II) has terms, conditions and covenants that are commercially reasonable to the Borrower (as determined by the Borrower in good faith) (any such series of Permitted Convertible Debt, “</w:t>
      </w:r>
      <w:r>
        <w:rPr>
          <w:rFonts w:ascii="Times New Roman" w:cs="Times New Roman" w:eastAsia="Times New Roman" w:hAnsi="Times New Roman"/>
          <w:sz w:val="17"/>
          <w:szCs w:val="17"/>
          <w:b w:val="1"/>
          <w:bCs w:val="1"/>
          <w:color w:val="auto"/>
        </w:rPr>
        <w:t>Refinancing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Convertible Debt</w:t>
      </w:r>
      <w:r>
        <w:rPr>
          <w:rFonts w:ascii="Times New Roman" w:cs="Times New Roman" w:eastAsia="Times New Roman" w:hAnsi="Times New Roman"/>
          <w:sz w:val="17"/>
          <w:szCs w:val="17"/>
          <w:color w:val="auto"/>
        </w:rPr>
        <w:t>”) and/or by payment of cash (x) in lieu of any fractional shares, (y) in respect of accrued and unpaid interest of such Permitted Convertible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Debt that is so repurchased, exchanged or converted.</w:t>
      </w:r>
    </w:p>
    <w:p>
      <w:pPr>
        <w:spacing w:after="0" w:line="200" w:lineRule="exact"/>
        <w:rPr>
          <w:sz w:val="20"/>
          <w:szCs w:val="20"/>
          <w:color w:val="auto"/>
        </w:rPr>
      </w:pPr>
    </w:p>
    <w:p>
      <w:pPr>
        <w:spacing w:after="0" w:line="21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6.8 Transactions with Affiliates. </w:t>
      </w:r>
      <w:r>
        <w:rPr>
          <w:rFonts w:ascii="Times New Roman" w:cs="Times New Roman" w:eastAsia="Times New Roman" w:hAnsi="Times New Roman"/>
          <w:sz w:val="17"/>
          <w:szCs w:val="17"/>
          <w:color w:val="auto"/>
        </w:rPr>
        <w:t>Directly or indirectly enter into or permit to exist any material transaction with any Affiliate of Borrower, except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(a) transactions that are in the ordinary course of Borrower’s business, upon fair and reasonable terms that are no less favorable to Borrower than would be obtained in an arm’s length transaction with a non-affiliated Person; (b) sales of Borrower’s equity securities to the then-existing investors of Borrower in connection with a bona fide equity financing by the Board so long as such sale shall not result in a violation of the Change of Control provision in Section 6.2,</w:t>
      </w:r>
    </w:p>
    <w:p>
      <w:pPr>
        <w:spacing w:after="0" w:line="2" w:lineRule="exact"/>
        <w:rPr>
          <w:sz w:val="20"/>
          <w:szCs w:val="20"/>
          <w:color w:val="auto"/>
        </w:rPr>
      </w:pPr>
    </w:p>
    <w:p>
      <w:pPr>
        <w:jc w:val="both"/>
        <w:ind w:firstLine="5"/>
        <w:spacing w:after="0" w:line="263" w:lineRule="auto"/>
        <w:tabs>
          <w:tab w:leader="none" w:pos="244"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financings from Borrower’s investors so long as all such Indebtedness shall constitute Subordinated Debt, (d) reasonable and customary compensation arrangements and benefit plans for officers, and other employees of Borrower approved by the Board, (e) reasonable and customary compensation arrangements for fees and costs paid to members of the Board in the ordinary course of business, and (f) Investments of the type described in and permitted under clauses (g) and/or (h) of the definition of “Permitted Investments” herein.</w:t>
      </w:r>
    </w:p>
    <w:p>
      <w:pPr>
        <w:spacing w:after="0" w:line="172"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6.9 Subordinated Debt. </w:t>
      </w:r>
      <w:r>
        <w:rPr>
          <w:rFonts w:ascii="Times New Roman" w:cs="Times New Roman" w:eastAsia="Times New Roman" w:hAnsi="Times New Roman"/>
          <w:sz w:val="17"/>
          <w:szCs w:val="17"/>
          <w:color w:val="auto"/>
        </w:rPr>
        <w:t>Except as expressly permitted under the terms of the subordination, intercreditor, or other similar agreement to which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Subordinated Debt is subject: (a) make or permit any payment on such Subordinated Debt; (b) amend any provision in any document relating to such Subordinated Debt which would increase the amount thereof, or (c) provide for earlier or greater principal, interest, or other payments thereon,</w:t>
      </w:r>
    </w:p>
    <w:p>
      <w:pPr>
        <w:sectPr>
          <w:pgSz w:w="11900" w:h="16838" w:orient="portrait"/>
          <w:cols w:equalWidth="0" w:num="1">
            <w:col w:w="11240"/>
          </w:cols>
          <w:pgMar w:left="320" w:top="1380" w:right="339" w:bottom="1440" w:gutter="0" w:footer="0" w:header="0"/>
        </w:sectPr>
      </w:pPr>
    </w:p>
    <w:bookmarkStart w:id="120" w:name="page121"/>
    <w:bookmarkEnd w:id="120"/>
    <w:p>
      <w:pPr>
        <w:jc w:val="both"/>
        <w:spacing w:after="0" w:line="297" w:lineRule="auto"/>
        <w:rPr>
          <w:sz w:val="20"/>
          <w:szCs w:val="20"/>
          <w:color w:val="auto"/>
        </w:rPr>
      </w:pPr>
      <w:r>
        <w:rPr>
          <w:rFonts w:ascii="Times New Roman" w:cs="Times New Roman" w:eastAsia="Times New Roman" w:hAnsi="Times New Roman"/>
          <w:sz w:val="17"/>
          <w:szCs w:val="17"/>
          <w:color w:val="auto"/>
        </w:rPr>
        <w:t>or adversely affect the subordination thereof to Obligations owed to Bank in contravention of the terms of such the subordination, intercreditor, or other similar agreement.</w:t>
      </w:r>
    </w:p>
    <w:p>
      <w:pPr>
        <w:spacing w:after="0" w:line="14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6.10 Compliance. </w:t>
      </w:r>
      <w:r>
        <w:rPr>
          <w:rFonts w:ascii="Times New Roman" w:cs="Times New Roman" w:eastAsia="Times New Roman" w:hAnsi="Times New Roman"/>
          <w:sz w:val="17"/>
          <w:szCs w:val="17"/>
          <w:color w:val="auto"/>
        </w:rPr>
        <w:t>(a) Become an “investment company” or a company controlled by an “investment company”, under the Investment Company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Borrower, including any material liability to the Pension Benefit Guaranty Corporation or its successors or any other Governmental Authority.</w:t>
      </w:r>
    </w:p>
    <w:p>
      <w:pPr>
        <w:spacing w:after="0" w:line="178"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6.11 Cash and Cash Equivalents held by Foreign Subsidiaries</w:t>
      </w:r>
      <w:r>
        <w:rPr>
          <w:rFonts w:ascii="Times New Roman" w:cs="Times New Roman" w:eastAsia="Times New Roman" w:hAnsi="Times New Roman"/>
          <w:sz w:val="17"/>
          <w:szCs w:val="17"/>
          <w:color w:val="auto"/>
        </w:rPr>
        <w:t>. The aggregate value of cash and Cash Equivalents held by all Foreign Subsidiaries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Borrower to exceed Two Million Five Hundred Thousand Dollars ($2,500,000) for more than five (5) Business Days in each calendar month.</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6.12 Value of Assets held by Foreign Subsidiaries. </w:t>
      </w:r>
      <w:r>
        <w:rPr>
          <w:rFonts w:ascii="Times New Roman" w:cs="Times New Roman" w:eastAsia="Times New Roman" w:hAnsi="Times New Roman"/>
          <w:sz w:val="17"/>
          <w:szCs w:val="17"/>
          <w:color w:val="auto"/>
        </w:rPr>
        <w:t>The aggregate value of the assets owned by the Foreign Subsidiaries of Borrower shall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exceed twenty percent (20%) of the aggregate value of all assets owned by the Borrower and its Subsidiaries.</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6.13 Redemption of Permitted Convertible Debt. </w:t>
      </w:r>
      <w:r>
        <w:rPr>
          <w:rFonts w:ascii="Times New Roman" w:cs="Times New Roman" w:eastAsia="Times New Roman" w:hAnsi="Times New Roman"/>
          <w:sz w:val="17"/>
          <w:szCs w:val="17"/>
          <w:color w:val="auto"/>
        </w:rPr>
        <w:t>Exercise any redemption right with respect to any Permitted Convertible Debt upon satisfaction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 condition related to the stock price of the Borrower’s common stock, unless the Redemption Conditions are satisfied in respect of such redemption.</w:t>
      </w:r>
    </w:p>
    <w:p>
      <w:pPr>
        <w:spacing w:after="0" w:line="142" w:lineRule="exact"/>
        <w:rPr>
          <w:sz w:val="20"/>
          <w:szCs w:val="20"/>
          <w:color w:val="auto"/>
        </w:rPr>
      </w:pPr>
    </w:p>
    <w:p>
      <w:pPr>
        <w:ind w:left="980" w:hanging="346"/>
        <w:spacing w:after="0"/>
        <w:tabs>
          <w:tab w:leader="none" w:pos="98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EVENTS OF DEFAULT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Any one of the following shall constitute an event of default (an “</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under this Agreement:</w:t>
      </w:r>
    </w:p>
    <w:p>
      <w:pPr>
        <w:spacing w:after="0" w:line="211"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7.1 Payment Default. </w:t>
      </w:r>
      <w:r>
        <w:rPr>
          <w:rFonts w:ascii="Times New Roman" w:cs="Times New Roman" w:eastAsia="Times New Roman" w:hAnsi="Times New Roman"/>
          <w:sz w:val="17"/>
          <w:szCs w:val="17"/>
          <w:color w:val="auto"/>
        </w:rPr>
        <w:t>Borrower fails to (a) make any payment of principal or interest on any Credit Extension on its due date, or (b) pay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Obligations within three (3) Business Days after such Obligations are due and payable (which three (3) Business Day cure period shall not apply to payments due on the </w:t>
      </w:r>
      <w:r>
        <w:rPr>
          <w:rFonts w:ascii="Times New Roman" w:cs="Times New Roman" w:eastAsia="Times New Roman" w:hAnsi="Times New Roman"/>
          <w:sz w:val="17"/>
          <w:szCs w:val="17"/>
          <w:color w:val="FF0000"/>
          <w:strike w:val="1"/>
        </w:rPr>
        <w:t>Revolving Line Maturity Date or</w:t>
      </w:r>
      <w:r>
        <w:rPr>
          <w:rFonts w:ascii="Times New Roman" w:cs="Times New Roman" w:eastAsia="Times New Roman" w:hAnsi="Times New Roman"/>
          <w:sz w:val="17"/>
          <w:szCs w:val="17"/>
          <w:color w:val="auto"/>
        </w:rPr>
        <w:t xml:space="preserve"> Term Loan Maturity Date), in each unless such late payment is due to Bank’s failure to auto-debit such payment when sufficient funds were contained in the Designated Deposit Account (or if insufficient funds are contained therein, or if an Event of Default has occurred and is continuing, any of Borrower’s other accounts at Bank). During the cure period, the failure to make or pay any payment specified under clause (b) hereunder is not an Event of Default (but no Credit Extension will be made during the cure period);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7.2 Covenant Default.</w:t>
      </w:r>
    </w:p>
    <w:p>
      <w:pPr>
        <w:spacing w:after="0" w:line="226" w:lineRule="exact"/>
        <w:rPr>
          <w:sz w:val="20"/>
          <w:szCs w:val="20"/>
          <w:color w:val="auto"/>
        </w:rPr>
      </w:pPr>
    </w:p>
    <w:p>
      <w:pPr>
        <w:ind w:firstLine="1264"/>
        <w:spacing w:after="0" w:line="297" w:lineRule="auto"/>
        <w:tabs>
          <w:tab w:leader="none" w:pos="188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fails or neglects to perform any obligation in Section 5 (other than Sections 5.2 (Government Compliance), 5.12 (Litigation Cooperation), 5.15 (Inventory; Returns) and 5.16 (Further Assurances)) or violates any covenant in Section 6; or</w:t>
      </w:r>
    </w:p>
    <w:p>
      <w:pPr>
        <w:spacing w:after="0" w:line="145"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w:t>
      </w:r>
    </w:p>
    <w:p>
      <w:pPr>
        <w:sectPr>
          <w:pgSz w:w="11900" w:h="16838" w:orient="portrait"/>
          <w:cols w:equalWidth="0" w:num="1">
            <w:col w:w="11240"/>
          </w:cols>
          <w:pgMar w:left="320" w:top="1380" w:right="339" w:bottom="1440" w:gutter="0" w:footer="0" w:header="0"/>
        </w:sectPr>
      </w:pPr>
    </w:p>
    <w:bookmarkStart w:id="121" w:name="page122"/>
    <w:bookmarkEnd w:id="121"/>
    <w:p>
      <w:pPr>
        <w:jc w:val="both"/>
        <w:spacing w:after="0" w:line="269" w:lineRule="auto"/>
        <w:rPr>
          <w:sz w:val="20"/>
          <w:szCs w:val="20"/>
          <w:color w:val="auto"/>
        </w:rPr>
      </w:pPr>
      <w:r>
        <w:rPr>
          <w:rFonts w:ascii="Times New Roman" w:cs="Times New Roman" w:eastAsia="Times New Roman" w:hAnsi="Times New Roman"/>
          <w:sz w:val="17"/>
          <w:szCs w:val="17"/>
          <w:color w:val="auto"/>
        </w:rPr>
        <w:t>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spacing w:after="0" w:line="38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7.3</w:t>
        <w:tab/>
        <w:t xml:space="preserve">Material Adverse Change. </w:t>
      </w:r>
      <w:r>
        <w:rPr>
          <w:rFonts w:ascii="Times New Roman" w:cs="Times New Roman" w:eastAsia="Times New Roman" w:hAnsi="Times New Roman"/>
          <w:sz w:val="17"/>
          <w:szCs w:val="17"/>
          <w:color w:val="auto"/>
        </w:rPr>
        <w:t>A Material Adverse Change occurs;</w:t>
      </w:r>
    </w:p>
    <w:p>
      <w:pPr>
        <w:spacing w:after="0" w:line="224"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7.4</w:t>
        <w:tab/>
        <w:t>Attachment; Levy; Restraint on Business.</w:t>
      </w:r>
    </w:p>
    <w:p>
      <w:pPr>
        <w:spacing w:after="0" w:line="226" w:lineRule="exact"/>
        <w:rPr>
          <w:sz w:val="20"/>
          <w:szCs w:val="20"/>
          <w:color w:val="auto"/>
        </w:rPr>
      </w:pPr>
    </w:p>
    <w:p>
      <w:pPr>
        <w:jc w:val="both"/>
        <w:ind w:firstLine="1264"/>
        <w:spacing w:after="0" w:line="267" w:lineRule="auto"/>
        <w:tabs>
          <w:tab w:leader="none" w:pos="188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service of process seeking to attach, by trustee or similar process, any funds of Borrower or any Subsidiary with a value in excess of Two Hundred Thousand Dollars ($200,000), or (ii) a notice of lien or levy in an amount in excess of Two Hundred Thousand Dollars ($200,000), is filed against any of Borrower’s or any of its Subsidiaries’ assets by any Governmental Authority, and the same under subclauses (i) and (ii) hereof are not, within fifteen (15) days after the occurrence thereof, discharged or stayed (whether through the posting of a bond or otherwise); provided, however, no Credit Extensions shall be made during any fifteen (15) day cure period; or</w:t>
      </w:r>
    </w:p>
    <w:p>
      <w:pPr>
        <w:spacing w:after="0" w:line="171"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material portion of Borrower’s or any of its Subsidiaries’ assets with a value in excess of Two Hundred Thousand Dollars ($200,000), is attached, seized, levied on, or comes into possession of a trustee or receiver, or (ii) any court order enjoins, restrains, or prevents Borrower or any of its Subsidiaries from conducting all or any material part of its business;</w:t>
      </w:r>
    </w:p>
    <w:p>
      <w:pPr>
        <w:spacing w:after="0" w:line="160"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7.5 Insolvency. </w:t>
      </w:r>
      <w:r>
        <w:rPr>
          <w:rFonts w:ascii="Times New Roman" w:cs="Times New Roman" w:eastAsia="Times New Roman" w:hAnsi="Times New Roman"/>
          <w:sz w:val="17"/>
          <w:szCs w:val="17"/>
          <w:color w:val="auto"/>
        </w:rPr>
        <w:t>(a) Borrower or Borrower and of its Subsidiaries (taken as a whole) is unable to pay its debts (including trade debts) as they become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due or otherwise becomes 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66"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7.6 Other Agreements. </w:t>
      </w:r>
      <w:r>
        <w:rPr>
          <w:rFonts w:ascii="Times New Roman" w:cs="Times New Roman" w:eastAsia="Times New Roman" w:hAnsi="Times New Roman"/>
          <w:sz w:val="17"/>
          <w:szCs w:val="17"/>
          <w:color w:val="auto"/>
        </w:rPr>
        <w:t>There is, under any agreement to which Borrower, any of Borrower’s Subsidiaries, or any Guarantor is a party with a third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party or parties, (a) any default by Borrower (after applicable grace and/or cure periods) resulting in a right by such third party or parties, whether or not exercised, to accelerate the maturity of any Indebtedness in an amount individually or in the aggregate in excess of Five Hundred Thousand Dollars ($500,000); or (b) any breach or default by Borrower, any of Borrower’s Subsidiaries, or Guarantor the result of which could reasonably be expected to have a material adverse effect on Borrower’s, any of Borrower’s Subsidiaries’, or any Guarantor’s business or operations (taken as a whole)</w:t>
      </w:r>
    </w:p>
    <w:p>
      <w:pPr>
        <w:spacing w:after="0" w:line="16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7.7 Judgments; Penalties. </w:t>
      </w:r>
      <w:r>
        <w:rPr>
          <w:rFonts w:ascii="Times New Roman" w:cs="Times New Roman" w:eastAsia="Times New Roman" w:hAnsi="Times New Roman"/>
          <w:sz w:val="17"/>
          <w:szCs w:val="17"/>
          <w:color w:val="auto"/>
        </w:rPr>
        <w:t>One or more fines, penalties or final judgments, orders or decrees for the payment of money in an amount, individually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aggregate, of at least Five Hundred Thousand Dollars ($500,000)(not covered by independent third-party insurance as to which liability has been accepted by such insurance carrier) shall be rendered against Borrower or any of its Subsidiaries by any Governmental Authority, and the same are not, within ten (10) days after the entry, assessment or issuance thereof, discharged, satisfied or paid, or after execution thereof, or stayed pending appeal, or such judgments are not discharged, satisfied or paid prior to the expiration of any such stay (provided that no Credit Extensions will be made prior to the discharge, satisfaction, payment, or stay of such fine, penalty, judgment, order or decree);</w:t>
      </w:r>
    </w:p>
    <w:p>
      <w:pPr>
        <w:spacing w:after="0" w:line="169"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7.8 Misrepresentations. </w:t>
      </w:r>
      <w:r>
        <w:rPr>
          <w:rFonts w:ascii="Times New Roman" w:cs="Times New Roman" w:eastAsia="Times New Roman" w:hAnsi="Times New Roman"/>
          <w:sz w:val="17"/>
          <w:szCs w:val="17"/>
          <w:color w:val="auto"/>
        </w:rPr>
        <w:t>Borrower or any of its Subsidiaries or any Responsible Person acting for Borrower or any of its Subsidiaries knowingly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w:t>
      </w:r>
    </w:p>
    <w:p>
      <w:pPr>
        <w:sectPr>
          <w:pgSz w:w="11900" w:h="16838" w:orient="portrait"/>
          <w:cols w:equalWidth="0" w:num="1">
            <w:col w:w="11240"/>
          </w:cols>
          <w:pgMar w:left="320" w:top="138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that actual results during the period or periods covered by such projections and forecasts may differ from the projected or forecasted results);</w:t>
      </w:r>
    </w:p>
    <w:p>
      <w:pPr>
        <w:spacing w:after="0" w:line="22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7.9 Subordinated Debt. </w:t>
      </w:r>
      <w:r>
        <w:rPr>
          <w:rFonts w:ascii="Times New Roman" w:cs="Times New Roman" w:eastAsia="Times New Roman" w:hAnsi="Times New Roman"/>
          <w:sz w:val="17"/>
          <w:szCs w:val="17"/>
          <w:color w:val="auto"/>
        </w:rPr>
        <w:t>If: (a) any document, instrument, or agreement evidencing any Subordinated Debt shall for any reason be revoked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invalidated or otherwise cease to be in full force and effect (other than in accordance with the terms of such document, instrument or agreement)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the applicable subordination or intercreditor agreement;</w:t>
      </w:r>
    </w:p>
    <w:p>
      <w:pPr>
        <w:spacing w:after="0" w:line="16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7.10 Lien Priority</w:t>
      </w:r>
      <w:r>
        <w:rPr>
          <w:rFonts w:ascii="Times New Roman" w:cs="Times New Roman" w:eastAsia="Times New Roman" w:hAnsi="Times New Roman"/>
          <w:sz w:val="17"/>
          <w:szCs w:val="17"/>
          <w:color w:val="auto"/>
        </w:rPr>
        <w:t>. There is a material impairment in the perfection or priority of Bank’s security interest in the Collateral (unless such failure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caused by Bank’s gross negligence or willful misconduct);</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7.11 Guaranty. </w:t>
      </w:r>
      <w:r>
        <w:rPr>
          <w:rFonts w:ascii="Times New Roman" w:cs="Times New Roman" w:eastAsia="Times New Roman" w:hAnsi="Times New Roman"/>
          <w:sz w:val="17"/>
          <w:szCs w:val="17"/>
          <w:color w:val="auto"/>
        </w:rPr>
        <w:t>(a) Any guaranty of any Obligations terminates or ceases for any reason to be in full force and effect (except due to termination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 terms of such guaranty); (b) any Guarantor does not perform any material obligation or covenant under any guaranty of the Obligations; (c) any circumstance described in Sections 7.3, 7.4, 7.5, 7.6, 7.7, or 7.8 of this Agreement occurs with respect to any Guarantor (subject to the applicable cure and grace periods herein), (d) the death, liquidation, winding up, or termination of existence of any Guarantor; or (e)a material impairment in the perfection or priority of Bank’s Lien in the collateral provided by Guarantor or in the value of such collateral ; or</w:t>
      </w:r>
    </w:p>
    <w:p>
      <w:pPr>
        <w:spacing w:after="0" w:line="167"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7.12 Governmental Approvals. </w:t>
      </w:r>
      <w:r>
        <w:rPr>
          <w:rFonts w:ascii="Times New Roman" w:cs="Times New Roman" w:eastAsia="Times New Roman" w:hAnsi="Times New Roman"/>
          <w:sz w:val="17"/>
          <w:szCs w:val="17"/>
          <w:color w:val="auto"/>
        </w:rPr>
        <w:t>Any Governmental Approval shall have been (a) revoked, rescinded, suspended, modified in an adverse manner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w:t>
      </w:r>
    </w:p>
    <w:p>
      <w:pPr>
        <w:spacing w:after="0" w:line="2" w:lineRule="exact"/>
        <w:rPr>
          <w:sz w:val="20"/>
          <w:szCs w:val="20"/>
          <w:color w:val="auto"/>
        </w:rPr>
      </w:pPr>
    </w:p>
    <w:p>
      <w:pPr>
        <w:jc w:val="both"/>
        <w:ind w:firstLine="5"/>
        <w:spacing w:after="0" w:line="261" w:lineRule="auto"/>
        <w:tabs>
          <w:tab w:leader="none" w:pos="254"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that is material to the operation of Borrower’s business.</w:t>
      </w:r>
    </w:p>
    <w:p>
      <w:pPr>
        <w:spacing w:after="0" w:line="176"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BANK’S RIGHTS AND REMEDIES</w:t>
      </w:r>
    </w:p>
    <w:p>
      <w:pPr>
        <w:spacing w:after="0" w:line="224" w:lineRule="exact"/>
        <w:rPr>
          <w:sz w:val="20"/>
          <w:szCs w:val="20"/>
          <w:color w:val="auto"/>
        </w:rPr>
      </w:pPr>
    </w:p>
    <w:p>
      <w:pPr>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8.1 Rights and Remedies. </w:t>
      </w:r>
      <w:r>
        <w:rPr>
          <w:rFonts w:ascii="Times New Roman" w:cs="Times New Roman" w:eastAsia="Times New Roman" w:hAnsi="Times New Roman"/>
          <w:sz w:val="17"/>
          <w:szCs w:val="17"/>
          <w:color w:val="auto"/>
        </w:rPr>
        <w:t>Upon the occurrence and during the continuance of an Event of Default, Bank may, without notice or demand, do any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of the following:</w:t>
      </w:r>
    </w:p>
    <w:p>
      <w:pPr>
        <w:spacing w:after="0" w:line="144" w:lineRule="exact"/>
        <w:rPr>
          <w:sz w:val="20"/>
          <w:szCs w:val="20"/>
          <w:color w:val="auto"/>
        </w:rPr>
      </w:pPr>
    </w:p>
    <w:p>
      <w:pPr>
        <w:ind w:firstLine="1264"/>
        <w:spacing w:after="0" w:line="297" w:lineRule="auto"/>
        <w:tabs>
          <w:tab w:leader="none" w:pos="188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all Obligations immediately due and payable (but if an Event of Default described in Section 7.5 occurs all Obligations are immediately due and payable without any action by Bank);</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advancing money or extending credit for Borrower’s benefit under this Agreement or under any other agreement between</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and Bank;</w:t>
      </w:r>
    </w:p>
    <w:p>
      <w:pPr>
        <w:spacing w:after="0" w:line="206" w:lineRule="exact"/>
        <w:rPr>
          <w:rFonts w:ascii="Times New Roman" w:cs="Times New Roman" w:eastAsia="Times New Roman" w:hAnsi="Times New Roman"/>
          <w:sz w:val="17"/>
          <w:szCs w:val="17"/>
          <w:color w:val="auto"/>
        </w:rPr>
      </w:pPr>
    </w:p>
    <w:p>
      <w:pPr>
        <w:jc w:val="both"/>
        <w:ind w:firstLine="1264"/>
        <w:spacing w:after="0" w:line="265" w:lineRule="auto"/>
        <w:tabs>
          <w:tab w:leader="none" w:pos="188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that Borrower (i) deposit cash with Bank in an amount equal to at least (A) one hundred and five percent (105.0%) of the aggregate face amount of any Letters of Credit denominated in Dollars remaining undrawn, and (B) one hundred and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ectPr>
          <w:pgSz w:w="11900" w:h="16838" w:orient="portrait"/>
          <w:cols w:equalWidth="0" w:num="1">
            <w:col w:w="11240"/>
          </w:cols>
          <w:pgMar w:left="320" w:top="1380" w:right="339" w:bottom="1440" w:gutter="0" w:footer="0" w:header="0"/>
        </w:sectPr>
      </w:pPr>
    </w:p>
    <w:bookmarkStart w:id="123" w:name="page124"/>
    <w:bookmarkEnd w:id="123"/>
    <w:p>
      <w:pPr>
        <w:jc w:val="both"/>
        <w:ind w:firstLine="1264"/>
        <w:spacing w:after="0" w:line="267" w:lineRule="auto"/>
        <w:tabs>
          <w:tab w:leader="none" w:pos="1882"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71"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62"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79"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71"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 to the Obligations any (i) balances and deposits of Borrower it holds, or (ii) amount held by Bank owing to or for the credit or</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 of Borrower;</w:t>
      </w:r>
    </w:p>
    <w:p>
      <w:pPr>
        <w:spacing w:after="0" w:line="206"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71" w:lineRule="exact"/>
        <w:rPr>
          <w:rFonts w:ascii="Times New Roman" w:cs="Times New Roman" w:eastAsia="Times New Roman" w:hAnsi="Times New Roman"/>
          <w:sz w:val="17"/>
          <w:szCs w:val="17"/>
          <w:color w:val="auto"/>
        </w:rPr>
      </w:pPr>
    </w:p>
    <w:p>
      <w:pPr>
        <w:ind w:firstLine="1264"/>
        <w:spacing w:after="0" w:line="297" w:lineRule="auto"/>
        <w:tabs>
          <w:tab w:leader="none" w:pos="1883"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and receive possession of Borrower’s Books; and</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4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8.2 Power of Attorney. </w:t>
      </w:r>
      <w:r>
        <w:rPr>
          <w:rFonts w:ascii="Times New Roman" w:cs="Times New Roman" w:eastAsia="Times New Roman" w:hAnsi="Times New Roman"/>
          <w:sz w:val="17"/>
          <w:szCs w:val="17"/>
          <w:color w:val="auto"/>
        </w:rPr>
        <w:t>Borrower hereby irrevocably appoints Bank as its true and lawful attorney-in-fact, (a) exercisable only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occurrence 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w:t>
      </w:r>
    </w:p>
    <w:p>
      <w:pPr>
        <w:sectPr>
          <w:pgSz w:w="11900" w:h="16838" w:orient="portrait"/>
          <w:cols w:equalWidth="0" w:num="1">
            <w:col w:w="11240"/>
          </w:cols>
          <w:pgMar w:left="320" w:top="1380" w:right="339" w:bottom="1440" w:gutter="0" w:footer="0" w:header="0"/>
        </w:sectPr>
      </w:pPr>
    </w:p>
    <w:bookmarkStart w:id="124" w:name="page125"/>
    <w:bookmarkEnd w:id="124"/>
    <w:p>
      <w:pPr>
        <w:jc w:val="both"/>
        <w:spacing w:after="0" w:line="277" w:lineRule="auto"/>
        <w:rPr>
          <w:sz w:val="20"/>
          <w:szCs w:val="20"/>
          <w:color w:val="auto"/>
        </w:rPr>
      </w:pPr>
      <w:r>
        <w:rPr>
          <w:rFonts w:ascii="Times New Roman" w:cs="Times New Roman" w:eastAsia="Times New Roman" w:hAnsi="Times New Roman"/>
          <w:sz w:val="17"/>
          <w:szCs w:val="17"/>
          <w:color w:val="auto"/>
        </w:rPr>
        <w:t>Bank’s rights and powers, coupled with an interest, are irrevocable until such time as all Obligations (other than inchoate indemnity obligations) have been paid in full in cash,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60"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8.3 Protective Payments. </w:t>
      </w:r>
      <w:r>
        <w:rPr>
          <w:rFonts w:ascii="Times New Roman" w:cs="Times New Roman" w:eastAsia="Times New Roman" w:hAnsi="Times New Roman"/>
          <w:sz w:val="17"/>
          <w:szCs w:val="17"/>
          <w:color w:val="auto"/>
        </w:rPr>
        <w:t>If Borrower fails to obtain the insurance called for by Section 5.8 or fails to pay any premium thereon or fails to pay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69"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8.4 Application of Payments and Proceeds. </w:t>
      </w:r>
      <w:r>
        <w:rPr>
          <w:rFonts w:ascii="Times New Roman" w:cs="Times New Roman" w:eastAsia="Times New Roman" w:hAnsi="Times New Roman"/>
          <w:sz w:val="17"/>
          <w:szCs w:val="17"/>
          <w:color w:val="auto"/>
        </w:rPr>
        <w:t>If an Event of Default has occurred and is continuing, Bank shall have the right to apply in any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Following the occurrence and during the continuation of an Event of Default,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73"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8.5 Bank’s Liability for Collateral. </w:t>
      </w:r>
      <w:r>
        <w:rPr>
          <w:rFonts w:ascii="Times New Roman" w:cs="Times New Roman" w:eastAsia="Times New Roman" w:hAnsi="Times New Roman"/>
          <w:sz w:val="17"/>
          <w:szCs w:val="17"/>
          <w:color w:val="auto"/>
        </w:rPr>
        <w:t>Bank’s sole duty with respect to the custody, safekeeping and physical preservation of the Collateral in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6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8.6 No Waiver; Remedies Cumulative. </w:t>
      </w:r>
      <w:r>
        <w:rPr>
          <w:rFonts w:ascii="Times New Roman" w:cs="Times New Roman" w:eastAsia="Times New Roman" w:hAnsi="Times New Roman"/>
          <w:sz w:val="17"/>
          <w:szCs w:val="17"/>
          <w:color w:val="auto"/>
        </w:rPr>
        <w:t>Bank’s failure, at any time or times, to require strict performance by Borrower of any provision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3"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8.7 Demand Waiver. </w:t>
      </w:r>
      <w:r>
        <w:rPr>
          <w:rFonts w:ascii="Times New Roman" w:cs="Times New Roman" w:eastAsia="Times New Roman" w:hAnsi="Times New Roman"/>
          <w:sz w:val="17"/>
          <w:szCs w:val="17"/>
          <w:color w:val="auto"/>
        </w:rPr>
        <w:t>Borrower waives demand, notice of default or dishonor, notice of payment and nonpayment, notice of any default, nonpayment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maturity, release, compromise, settlement, extension, or renewal of accounts, documents, instruments, chattel paper, and guarantees held by Bank on which Borrower is liable.</w:t>
      </w:r>
    </w:p>
    <w:p>
      <w:pPr>
        <w:spacing w:after="0" w:line="160" w:lineRule="exact"/>
        <w:rPr>
          <w:sz w:val="20"/>
          <w:szCs w:val="20"/>
          <w:color w:val="auto"/>
        </w:rPr>
      </w:pPr>
    </w:p>
    <w:p>
      <w:pPr>
        <w:ind w:left="940" w:hanging="306"/>
        <w:spacing w:after="0"/>
        <w:tabs>
          <w:tab w:leader="none" w:pos="94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NOTICES</w:t>
      </w:r>
    </w:p>
    <w:p>
      <w:pPr>
        <w:spacing w:after="0" w:line="226"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w:t>
      </w:r>
    </w:p>
    <w:p>
      <w:pPr>
        <w:ind w:firstLine="5"/>
        <w:spacing w:after="0" w:line="256" w:lineRule="auto"/>
        <w:tabs>
          <w:tab w:leader="none" w:pos="242"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Business Day after deposit with a reputable overnight courier with all charges prepaid; or (d) when delivered, if hand-delivered by messenger, all of which shall be addressed to the party to be</w:t>
      </w:r>
    </w:p>
    <w:p>
      <w:pPr>
        <w:sectPr>
          <w:pgSz w:w="11900" w:h="16838" w:orient="portrait"/>
          <w:cols w:equalWidth="0" w:num="1">
            <w:col w:w="11240"/>
          </w:cols>
          <w:pgMar w:left="320" w:top="1380" w:right="339" w:bottom="1440" w:gutter="0" w:footer="0" w:header="0"/>
        </w:sectPr>
      </w:pPr>
    </w:p>
    <w:bookmarkStart w:id="125" w:name="page126"/>
    <w:bookmarkEnd w:id="125"/>
    <w:p>
      <w:pPr>
        <w:jc w:val="both"/>
        <w:spacing w:after="0" w:line="260" w:lineRule="auto"/>
        <w:rPr>
          <w:sz w:val="20"/>
          <w:szCs w:val="20"/>
          <w:color w:val="auto"/>
        </w:rPr>
      </w:pPr>
      <w:r>
        <w:rPr>
          <w:rFonts w:ascii="Times New Roman" w:cs="Times New Roman" w:eastAsia="Times New Roman" w:hAnsi="Times New Roman"/>
          <w:sz w:val="17"/>
          <w:szCs w:val="17"/>
          <w:color w:val="auto"/>
        </w:rPr>
        <w:t>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pacing w:after="0" w:line="163" w:lineRule="exact"/>
        <w:rPr>
          <w:sz w:val="20"/>
          <w:szCs w:val="20"/>
          <w:color w:val="auto"/>
        </w:rPr>
      </w:pPr>
    </w:p>
    <w:p>
      <w:pPr>
        <w:ind w:left="1260"/>
        <w:spacing w:after="0"/>
        <w:tabs>
          <w:tab w:leader="none" w:pos="2480" w:val="left"/>
        </w:tabs>
        <w:rPr>
          <w:sz w:val="20"/>
          <w:szCs w:val="20"/>
          <w:color w:val="auto"/>
        </w:rPr>
      </w:pPr>
      <w:r>
        <w:rPr>
          <w:rFonts w:ascii="Times New Roman" w:cs="Times New Roman" w:eastAsia="Times New Roman" w:hAnsi="Times New Roman"/>
          <w:sz w:val="17"/>
          <w:szCs w:val="17"/>
          <w:color w:val="auto"/>
        </w:rPr>
        <w:t>If to Borrower:</w:t>
        <w:tab/>
        <w:t>SI-Bone, Inc.</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471 El Camino Real, Suite 101</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Santa Clara, CA 95050</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Attn: Laura Francis, CEO; and</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Anshul Maheshwari, CFO</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Email: lfrancis@si-bone.com; and</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Anshul.Maheshwari@si-bone.com</w:t>
      </w:r>
    </w:p>
    <w:p>
      <w:pPr>
        <w:spacing w:after="0" w:line="10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2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Cooley LLP</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FF0000"/>
          <w:strike w:val="1"/>
        </w:rPr>
        <w:t>55 Hudson Yards</w:t>
      </w:r>
      <w:r>
        <w:rPr>
          <w:rFonts w:ascii="Times New Roman" w:cs="Times New Roman" w:eastAsia="Times New Roman" w:hAnsi="Times New Roman"/>
          <w:sz w:val="17"/>
          <w:szCs w:val="17"/>
          <w:u w:val="single" w:color="auto"/>
          <w:color w:val="0000FF"/>
          <w:strike w:val="1"/>
        </w:rPr>
        <w:t>3175 Hanover Street</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FF0000"/>
          <w:strike w:val="1"/>
        </w:rPr>
        <w:t>New York, New York, 10001-2157</w:t>
      </w:r>
      <w:r>
        <w:rPr>
          <w:rFonts w:ascii="Times New Roman" w:cs="Times New Roman" w:eastAsia="Times New Roman" w:hAnsi="Times New Roman"/>
          <w:sz w:val="17"/>
          <w:szCs w:val="17"/>
          <w:u w:val="single" w:color="auto"/>
          <w:color w:val="0000FF"/>
          <w:strike w:val="1"/>
        </w:rPr>
        <w:t>Palo Alto, CA 94304</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Attn: </w:t>
      </w:r>
      <w:r>
        <w:rPr>
          <w:rFonts w:ascii="Times New Roman" w:cs="Times New Roman" w:eastAsia="Times New Roman" w:hAnsi="Times New Roman"/>
          <w:sz w:val="17"/>
          <w:szCs w:val="17"/>
          <w:color w:val="FF0000"/>
          <w:strike w:val="1"/>
        </w:rPr>
        <w:t>Patrick Flanagan</w:t>
      </w:r>
      <w:r>
        <w:rPr>
          <w:rFonts w:ascii="Times New Roman" w:cs="Times New Roman" w:eastAsia="Times New Roman" w:hAnsi="Times New Roman"/>
          <w:sz w:val="17"/>
          <w:szCs w:val="17"/>
          <w:u w:val="single" w:color="auto"/>
          <w:color w:val="0000FF"/>
        </w:rPr>
        <w:t>Matthew Hemington</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color w:val="FF0000"/>
          <w:strike w:val="1"/>
        </w:rPr>
        <w:t>pflanagan</w:t>
      </w:r>
      <w:r>
        <w:rPr>
          <w:rFonts w:ascii="Times New Roman" w:cs="Times New Roman" w:eastAsia="Times New Roman" w:hAnsi="Times New Roman"/>
          <w:sz w:val="17"/>
          <w:szCs w:val="17"/>
          <w:u w:val="single" w:color="auto"/>
          <w:color w:val="0000FF"/>
        </w:rPr>
        <w:t>mhemington</w:t>
      </w:r>
      <w:r>
        <w:rPr>
          <w:rFonts w:ascii="Times New Roman" w:cs="Times New Roman" w:eastAsia="Times New Roman" w:hAnsi="Times New Roman"/>
          <w:sz w:val="17"/>
          <w:szCs w:val="17"/>
          <w:color w:val="auto"/>
        </w:rPr>
        <w:t>@cooley.com</w:t>
      </w:r>
    </w:p>
    <w:p>
      <w:pPr>
        <w:spacing w:after="0" w:line="232" w:lineRule="exact"/>
        <w:rPr>
          <w:sz w:val="20"/>
          <w:szCs w:val="20"/>
          <w:color w:val="auto"/>
        </w:rPr>
      </w:pPr>
    </w:p>
    <w:p>
      <w:pPr>
        <w:ind w:left="2060" w:right="3340" w:hanging="174"/>
        <w:spacing w:after="0" w:line="253" w:lineRule="auto"/>
        <w:rPr>
          <w:sz w:val="20"/>
          <w:szCs w:val="20"/>
          <w:color w:val="auto"/>
        </w:rPr>
      </w:pPr>
      <w:r>
        <w:rPr>
          <w:rFonts w:ascii="Times New Roman" w:cs="Times New Roman" w:eastAsia="Times New Roman" w:hAnsi="Times New Roman"/>
          <w:sz w:val="17"/>
          <w:szCs w:val="17"/>
          <w:color w:val="auto"/>
        </w:rPr>
        <w:t>If to Bank:</w:t>
      </w:r>
      <w:r>
        <w:rPr>
          <w:sz w:val="20"/>
          <w:szCs w:val="20"/>
          <w:color w:val="auto"/>
        </w:rPr>
        <w:t xml:space="preserve"> </w:t>
      </w:r>
      <w:r>
        <w:rPr>
          <w:rFonts w:ascii="Times New Roman" w:cs="Times New Roman" w:eastAsia="Times New Roman" w:hAnsi="Times New Roman"/>
          <w:sz w:val="17"/>
          <w:szCs w:val="17"/>
          <w:color w:val="auto"/>
        </w:rPr>
        <w:t>Silicon Valley Bank</w:t>
      </w:r>
      <w:r>
        <w:rPr>
          <w:rFonts w:ascii="Times New Roman" w:cs="Times New Roman" w:eastAsia="Times New Roman" w:hAnsi="Times New Roman"/>
          <w:sz w:val="17"/>
          <w:szCs w:val="17"/>
          <w:u w:val="single" w:color="auto"/>
          <w:color w:val="0000FF"/>
        </w:rPr>
        <w:t>, a division of First-Citizens Bank &amp; Trust Company</w:t>
      </w:r>
      <w:r>
        <w:rPr>
          <w:rFonts w:ascii="Times New Roman" w:cs="Times New Roman" w:eastAsia="Times New Roman" w:hAnsi="Times New Roman"/>
          <w:sz w:val="17"/>
          <w:szCs w:val="17"/>
          <w:color w:val="auto"/>
        </w:rPr>
        <w:t xml:space="preserve"> 505 Howard Street, Floor 3</w:t>
      </w:r>
    </w:p>
    <w:p>
      <w:pPr>
        <w:spacing w:after="0" w:line="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color w:val="auto"/>
        </w:rPr>
        <w:t>San Francisco, CA 94105</w:t>
      </w:r>
    </w:p>
    <w:p>
      <w:pPr>
        <w:spacing w:after="0" w:line="1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color w:val="auto"/>
        </w:rPr>
        <w:t>Attn: Mark Davis</w:t>
      </w:r>
    </w:p>
    <w:p>
      <w:pPr>
        <w:spacing w:after="0" w:line="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color w:val="auto"/>
        </w:rPr>
        <w:t>Email: mdavis@svb.com</w:t>
      </w:r>
    </w:p>
    <w:p>
      <w:pPr>
        <w:spacing w:after="0" w:line="19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with a copy to (which shall not constitute notice):</w:t>
      </w:r>
    </w:p>
    <w:p>
      <w:pPr>
        <w:spacing w:after="0" w:line="2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DLA Piper LLP (US)</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FF0000"/>
          <w:strike w:val="1"/>
        </w:rPr>
        <w:t>401 B Street,</w:t>
      </w:r>
      <w:r>
        <w:rPr>
          <w:rFonts w:ascii="Times New Roman" w:cs="Times New Roman" w:eastAsia="Times New Roman" w:hAnsi="Times New Roman"/>
          <w:sz w:val="17"/>
          <w:szCs w:val="17"/>
          <w:u w:val="single" w:color="auto"/>
          <w:color w:val="0000FF"/>
        </w:rPr>
        <w:t>4365 Executive Drive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Suite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1700</w:t>
      </w:r>
      <w:r>
        <w:rPr>
          <w:rFonts w:ascii="Times New Roman" w:cs="Times New Roman" w:eastAsia="Times New Roman" w:hAnsi="Times New Roman"/>
          <w:sz w:val="17"/>
          <w:szCs w:val="17"/>
          <w:u w:val="single" w:color="auto"/>
          <w:color w:val="0000FF"/>
        </w:rPr>
        <w:t>1100</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San Diego</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California </w:t>
      </w:r>
      <w:r>
        <w:rPr>
          <w:rFonts w:ascii="Times New Roman" w:cs="Times New Roman" w:eastAsia="Times New Roman" w:hAnsi="Times New Roman"/>
          <w:sz w:val="17"/>
          <w:szCs w:val="17"/>
          <w:color w:val="FF0000"/>
          <w:strike w:val="1"/>
        </w:rPr>
        <w:t>92101</w:t>
      </w:r>
      <w:r>
        <w:rPr>
          <w:rFonts w:ascii="Times New Roman" w:cs="Times New Roman" w:eastAsia="Times New Roman" w:hAnsi="Times New Roman"/>
          <w:sz w:val="17"/>
          <w:szCs w:val="17"/>
          <w:u w:val="single" w:color="auto"/>
          <w:color w:val="0000FF"/>
        </w:rPr>
        <w:t>92121-2133</w:t>
      </w:r>
    </w:p>
    <w:p>
      <w:pPr>
        <w:spacing w:after="0" w:line="1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Attn: </w:t>
      </w:r>
      <w:r>
        <w:rPr>
          <w:rFonts w:ascii="Times New Roman" w:cs="Times New Roman" w:eastAsia="Times New Roman" w:hAnsi="Times New Roman"/>
          <w:sz w:val="17"/>
          <w:szCs w:val="17"/>
          <w:color w:val="FF0000"/>
          <w:strike w:val="1"/>
        </w:rPr>
        <w:t>Matt Schwartz</w:t>
      </w:r>
      <w:r>
        <w:rPr>
          <w:rFonts w:ascii="Times New Roman" w:cs="Times New Roman" w:eastAsia="Times New Roman" w:hAnsi="Times New Roman"/>
          <w:sz w:val="17"/>
          <w:szCs w:val="17"/>
          <w:u w:val="single" w:color="auto"/>
          <w:color w:val="0000FF"/>
        </w:rPr>
        <w:t>Parker Zangoei</w:t>
      </w:r>
      <w:r>
        <w:rPr>
          <w:rFonts w:ascii="Times New Roman" w:cs="Times New Roman" w:eastAsia="Times New Roman" w:hAnsi="Times New Roman"/>
          <w:sz w:val="17"/>
          <w:szCs w:val="17"/>
          <w:color w:val="auto"/>
        </w:rPr>
        <w:t>, Esq.</w:t>
      </w:r>
    </w:p>
    <w:p>
      <w:pPr>
        <w:spacing w:after="0" w:line="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FF0000"/>
          <w:strike w:val="1"/>
        </w:rPr>
        <w:t>matt.schwartz@us.dlapiper.com</w:t>
      </w:r>
      <w:r>
        <w:rPr>
          <w:rFonts w:ascii="Times New Roman" w:cs="Times New Roman" w:eastAsia="Times New Roman" w:hAnsi="Times New Roman"/>
          <w:sz w:val="17"/>
          <w:szCs w:val="17"/>
          <w:u w:val="single" w:color="auto"/>
          <w:color w:val="0000FF"/>
        </w:rPr>
        <w:t>parker.zangoei@us.dlapiper.com</w:t>
      </w:r>
    </w:p>
    <w:p>
      <w:pPr>
        <w:spacing w:after="0" w:line="200" w:lineRule="exact"/>
        <w:rPr>
          <w:sz w:val="20"/>
          <w:szCs w:val="20"/>
          <w:color w:val="auto"/>
        </w:rPr>
      </w:pPr>
    </w:p>
    <w:p>
      <w:pPr>
        <w:spacing w:after="0" w:line="214" w:lineRule="exact"/>
        <w:rPr>
          <w:sz w:val="20"/>
          <w:szCs w:val="20"/>
          <w:color w:val="auto"/>
        </w:rPr>
      </w:pPr>
    </w:p>
    <w:p>
      <w:pPr>
        <w:ind w:left="1020" w:hanging="386"/>
        <w:spacing w:after="0"/>
        <w:tabs>
          <w:tab w:leader="none" w:pos="102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CHOICE OF LAW, VENUE AND JURY TRIAL WAIVER; JUDICIAL REFERENCE</w:t>
      </w:r>
    </w:p>
    <w:p>
      <w:pPr>
        <w:spacing w:after="0" w:line="226"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17"/>
          <w:szCs w:val="17"/>
          <w:color w:val="auto"/>
        </w:rPr>
        <w:t>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Santa Clara County, California;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w:t>
      </w:r>
    </w:p>
    <w:p>
      <w:pPr>
        <w:sectPr>
          <w:pgSz w:w="11900" w:h="16838" w:orient="portrait"/>
          <w:cols w:equalWidth="0" w:num="1">
            <w:col w:w="11240"/>
          </w:cols>
          <w:pgMar w:left="320" w:top="1380" w:right="339" w:bottom="1440" w:gutter="0" w:footer="0" w:header="0"/>
        </w:sectPr>
      </w:pPr>
    </w:p>
    <w:bookmarkStart w:id="126" w:name="page127"/>
    <w:bookmarkEnd w:id="126"/>
    <w:p>
      <w:pPr>
        <w:jc w:val="both"/>
        <w:spacing w:after="0" w:line="269" w:lineRule="auto"/>
        <w:rPr>
          <w:sz w:val="20"/>
          <w:szCs w:val="20"/>
          <w:color w:val="auto"/>
        </w:rPr>
      </w:pPr>
      <w:r>
        <w:rPr>
          <w:rFonts w:ascii="Times New Roman" w:cs="Times New Roman" w:eastAsia="Times New Roman" w:hAnsi="Times New Roman"/>
          <w:sz w:val="17"/>
          <w:szCs w:val="17"/>
          <w:color w:val="auto"/>
        </w:rPr>
        <w:t>mail addressed to Borrower at the address set forth in, or subsequently provided by Borrower in accordance with, Section 9 of this Agreement and that service so made shall be deemed completed upon the earlier to occur of Borrower’s actual receipt thereof or three (3) days after deposit in the U.S. mails, proper postage prepaid.</w:t>
      </w:r>
    </w:p>
    <w:p>
      <w:pPr>
        <w:spacing w:after="0" w:line="15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17"/>
          <w:szCs w:val="17"/>
          <w:b w:val="1"/>
          <w:bCs w:val="1"/>
          <w:color w:val="auto"/>
        </w:rPr>
        <w:t>TO THE FULLEST EXTENT PERMITTED BY APPLICABLE LAW, BORROWER AND BANK EACH WAIVES ITS RIGHT TO A JURY TRIAL OF ANY CLAIM OR CAUSE OF ACTION ARISING OUT OF OR BASED UPON THIS AGREEMENT, THE LOAN DOCUMENTS OR ANY CONTEMPLATED TRANSACTION UNDER THIS AGREEMENT, INCLUDING CONTRACT, TORT, BREACH OF DUTY AND ALL OTHER CLAIMS. THIS WAIVER IS A MATERIAL INDUCEMENT FOR THE PARTIES HERETO TO ENTER INTO THIS AGREEMENT. EACH PARTY HERETO HAS REVIEWED THIS WAIVER WITH ITS COUNSEL.</w:t>
      </w:r>
    </w:p>
    <w:p>
      <w:pPr>
        <w:spacing w:after="0" w:line="179"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3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Section 10 shall survive the termination of this Agreement and the repayment of all Obligations.</w:t>
      </w:r>
    </w:p>
    <w:p>
      <w:pPr>
        <w:spacing w:after="0" w:line="209" w:lineRule="exact"/>
        <w:rPr>
          <w:sz w:val="20"/>
          <w:szCs w:val="20"/>
          <w:color w:val="auto"/>
        </w:rPr>
      </w:pPr>
    </w:p>
    <w:p>
      <w:pPr>
        <w:ind w:left="1020" w:hanging="386"/>
        <w:spacing w:after="0"/>
        <w:tabs>
          <w:tab w:leader="none" w:pos="102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22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11.1 Termination Prior to </w:t>
      </w:r>
      <w:r>
        <w:rPr>
          <w:rFonts w:ascii="Times New Roman" w:cs="Times New Roman" w:eastAsia="Times New Roman" w:hAnsi="Times New Roman"/>
          <w:sz w:val="17"/>
          <w:szCs w:val="17"/>
          <w:b w:val="1"/>
          <w:bCs w:val="1"/>
          <w:color w:val="FF0000"/>
          <w:strike w:val="1"/>
        </w:rPr>
        <w:t>Revolving Line Maturity Date or</w:t>
      </w:r>
      <w:r>
        <w:rPr>
          <w:rFonts w:ascii="Times New Roman" w:cs="Times New Roman" w:eastAsia="Times New Roman" w:hAnsi="Times New Roman"/>
          <w:sz w:val="17"/>
          <w:szCs w:val="17"/>
          <w:b w:val="1"/>
          <w:bCs w:val="1"/>
          <w:color w:val="auto"/>
        </w:rPr>
        <w:t xml:space="preserve"> Term Loan Maturity Date; Survival. </w:t>
      </w:r>
      <w:r>
        <w:rPr>
          <w:rFonts w:ascii="Times New Roman" w:cs="Times New Roman" w:eastAsia="Times New Roman" w:hAnsi="Times New Roman"/>
          <w:sz w:val="17"/>
          <w:szCs w:val="17"/>
          <w:color w:val="auto"/>
        </w:rPr>
        <w:t>All covenants, representations and warranties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3.1 of this Agreement), this Agreement may be terminated prior to the </w:t>
      </w:r>
      <w:r>
        <w:rPr>
          <w:rFonts w:ascii="Times New Roman" w:cs="Times New Roman" w:eastAsia="Times New Roman" w:hAnsi="Times New Roman"/>
          <w:sz w:val="17"/>
          <w:szCs w:val="17"/>
          <w:color w:val="FF0000"/>
          <w:strike w:val="1"/>
        </w:rPr>
        <w:t>Revolving Line Maturity Date and the</w:t>
      </w:r>
      <w:r>
        <w:rPr>
          <w:rFonts w:ascii="Times New Roman" w:cs="Times New Roman" w:eastAsia="Times New Roman" w:hAnsi="Times New Roman"/>
          <w:sz w:val="17"/>
          <w:szCs w:val="17"/>
          <w:color w:val="auto"/>
        </w:rPr>
        <w:t xml:space="preserve"> Term Loan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75"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11.2 Successors and Assigns. </w:t>
      </w:r>
      <w:r>
        <w:rPr>
          <w:rFonts w:ascii="Times New Roman" w:cs="Times New Roman" w:eastAsia="Times New Roman" w:hAnsi="Times New Roman"/>
          <w:sz w:val="17"/>
          <w:szCs w:val="17"/>
          <w:color w:val="auto"/>
        </w:rPr>
        <w:t>This Agreement binds and is for the benefit of the successors and permitted assigns of each party. Borrower may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 or transfer this Agreement or any rights or obligations</w:t>
      </w:r>
    </w:p>
    <w:p>
      <w:pPr>
        <w:sectPr>
          <w:pgSz w:w="11900" w:h="16838" w:orient="portrait"/>
          <w:cols w:equalWidth="0" w:num="1">
            <w:col w:w="11240"/>
          </w:cols>
          <w:pgMar w:left="320" w:top="1380" w:right="339" w:bottom="1440" w:gutter="0" w:footer="0" w:header="0"/>
        </w:sectPr>
      </w:pPr>
    </w:p>
    <w:bookmarkStart w:id="127" w:name="page128"/>
    <w:bookmarkEnd w:id="127"/>
    <w:p>
      <w:pPr>
        <w:jc w:val="both"/>
        <w:spacing w:after="0" w:line="265" w:lineRule="auto"/>
        <w:rPr>
          <w:sz w:val="20"/>
          <w:szCs w:val="20"/>
          <w:color w:val="auto"/>
        </w:rPr>
      </w:pPr>
      <w:r>
        <w:rPr>
          <w:rFonts w:ascii="Times New Roman" w:cs="Times New Roman" w:eastAsia="Times New Roman" w:hAnsi="Times New Roman"/>
          <w:sz w:val="17"/>
          <w:szCs w:val="17"/>
          <w:color w:val="auto"/>
        </w:rPr>
        <w:t>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or anything to the contrary herein, so long as no Event of Default shall have occurred and is continuing, Bank shall not assign its interest in the Loan Documents to any Person who is (a) a competitor of Borrower, whether as an operating company or direct or indirect parent with voting control over such operating company, or (b) a vulture fund or distressed debt fund.</w:t>
      </w:r>
    </w:p>
    <w:p>
      <w:pPr>
        <w:spacing w:after="0" w:line="172"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11.3</w:t>
        <w:tab/>
        <w:t>Indemnification.</w:t>
      </w:r>
    </w:p>
    <w:p>
      <w:pPr>
        <w:spacing w:after="0" w:line="226" w:lineRule="exact"/>
        <w:rPr>
          <w:sz w:val="20"/>
          <w:szCs w:val="20"/>
          <w:color w:val="auto"/>
        </w:rPr>
      </w:pPr>
    </w:p>
    <w:p>
      <w:pPr>
        <w:jc w:val="both"/>
        <w:ind w:firstLine="1264"/>
        <w:spacing w:after="0" w:line="261" w:lineRule="auto"/>
        <w:tabs>
          <w:tab w:leader="none" w:pos="188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Indemnification</w:t>
      </w:r>
      <w:r>
        <w:rPr>
          <w:rFonts w:ascii="Times New Roman" w:cs="Times New Roman" w:eastAsia="Times New Roman" w:hAnsi="Times New Roman"/>
          <w:sz w:val="17"/>
          <w:szCs w:val="17"/>
          <w:color w:val="auto"/>
        </w:rPr>
        <w:t>. Borrower shall indemnify, defend and hold Bank and its Affiliates and the partners, directors, officers, employees, agents, trustees, administrators, managers, advisors and representatives of Bank and its Affiliates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harmless against: all losses, claims, damages, liabilities and related expenses (including Bank Expenses and the reasonable fees, charges and disbursements of any counsel for any Indemnified Person)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386" w:lineRule="exact"/>
        <w:rPr>
          <w:rFonts w:ascii="Times New Roman" w:cs="Times New Roman" w:eastAsia="Times New Roman" w:hAnsi="Times New Roman"/>
          <w:sz w:val="17"/>
          <w:szCs w:val="17"/>
          <w:color w:val="auto"/>
        </w:rPr>
      </w:pPr>
    </w:p>
    <w:p>
      <w:pPr>
        <w:jc w:val="both"/>
        <w:ind w:firstLine="1264"/>
        <w:spacing w:after="0" w:line="264" w:lineRule="auto"/>
        <w:tabs>
          <w:tab w:leader="none" w:pos="1882"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Consequential Damages, Etc.</w:t>
      </w:r>
      <w:r>
        <w:rPr>
          <w:rFonts w:ascii="Times New Roman" w:cs="Times New Roman" w:eastAsia="Times New Roman" w:hAnsi="Times New Roman"/>
          <w:sz w:val="17"/>
          <w:szCs w:val="17"/>
          <w:color w:val="auto"/>
        </w:rPr>
        <w:t xml:space="preserve">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388" w:lineRule="exact"/>
        <w:rPr>
          <w:sz w:val="20"/>
          <w:szCs w:val="20"/>
          <w:color w:val="auto"/>
        </w:rPr>
      </w:pPr>
    </w:p>
    <w:p>
      <w:pPr>
        <w:jc w:val="both"/>
        <w:ind w:firstLine="629"/>
        <w:spacing w:after="0" w:line="281" w:lineRule="auto"/>
        <w:rPr>
          <w:sz w:val="20"/>
          <w:szCs w:val="20"/>
          <w:color w:val="auto"/>
        </w:rPr>
      </w:pPr>
      <w:r>
        <w:rPr>
          <w:rFonts w:ascii="Times New Roman" w:cs="Times New Roman" w:eastAsia="Times New Roman" w:hAnsi="Times New Roman"/>
          <w:sz w:val="17"/>
          <w:szCs w:val="17"/>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57"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11.4</w:t>
        <w:tab/>
        <w:t xml:space="preserve">Time of Essence. </w:t>
      </w:r>
      <w:r>
        <w:rPr>
          <w:rFonts w:ascii="Times New Roman" w:cs="Times New Roman" w:eastAsia="Times New Roman" w:hAnsi="Times New Roman"/>
          <w:sz w:val="17"/>
          <w:szCs w:val="17"/>
          <w:color w:val="auto"/>
        </w:rPr>
        <w:t>Time is of the essence for the performance of all Obligations in this Agreement.</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11.5 Severability of Provisions. </w:t>
      </w:r>
      <w:r>
        <w:rPr>
          <w:rFonts w:ascii="Times New Roman" w:cs="Times New Roman" w:eastAsia="Times New Roman" w:hAnsi="Times New Roman"/>
          <w:sz w:val="17"/>
          <w:szCs w:val="17"/>
          <w:color w:val="auto"/>
        </w:rPr>
        <w:t>Each provision of this Agreement is severable from every other provision in determining the enforceability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11.6 Amendments in Writing; Waiver; Integration. </w:t>
      </w:r>
      <w:r>
        <w:rPr>
          <w:rFonts w:ascii="Times New Roman" w:cs="Times New Roman" w:eastAsia="Times New Roman" w:hAnsi="Times New Roman"/>
          <w:sz w:val="17"/>
          <w:szCs w:val="17"/>
          <w:color w:val="auto"/>
        </w:rPr>
        <w:t>No purported amendment or modification of any Loan Document, or waiver, discharge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termination of any obligation under any Loan 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w:t>
      </w:r>
    </w:p>
    <w:p>
      <w:pPr>
        <w:sectPr>
          <w:pgSz w:w="11900" w:h="16838" w:orient="portrait"/>
          <w:cols w:equalWidth="0" w:num="1">
            <w:col w:w="11240"/>
          </w:cols>
          <w:pgMar w:left="320" w:top="1380" w:right="339" w:bottom="1440" w:gutter="0" w:footer="0" w:header="0"/>
        </w:sectPr>
      </w:pPr>
    </w:p>
    <w:bookmarkStart w:id="128" w:name="page129"/>
    <w:bookmarkEnd w:id="128"/>
    <w:p>
      <w:pPr>
        <w:jc w:val="both"/>
        <w:spacing w:after="0" w:line="277" w:lineRule="auto"/>
        <w:rPr>
          <w:sz w:val="20"/>
          <w:szCs w:val="20"/>
          <w:color w:val="auto"/>
        </w:rPr>
      </w:pPr>
      <w:r>
        <w:rPr>
          <w:rFonts w:ascii="Times New Roman" w:cs="Times New Roman" w:eastAsia="Times New Roman" w:hAnsi="Times New Roman"/>
          <w:sz w:val="17"/>
          <w:szCs w:val="17"/>
          <w:color w:val="auto"/>
        </w:rPr>
        <w:t>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60"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11.7 Counterparts. </w:t>
      </w:r>
      <w:r>
        <w:rPr>
          <w:rFonts w:ascii="Times New Roman" w:cs="Times New Roman" w:eastAsia="Times New Roman" w:hAnsi="Times New Roman"/>
          <w:sz w:val="17"/>
          <w:szCs w:val="17"/>
          <w:color w:val="auto"/>
        </w:rPr>
        <w:t>This Agreement may be executed in any number of counterparts and by different parties on separate counterparts, each 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60"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11.8 Confidentiality. </w:t>
      </w:r>
      <w:r>
        <w:rPr>
          <w:rFonts w:ascii="Times New Roman" w:cs="Times New Roman" w:eastAsia="Times New Roman" w:hAnsi="Times New Roman"/>
          <w:sz w:val="17"/>
          <w:szCs w:val="17"/>
          <w:color w:val="auto"/>
        </w:rPr>
        <w:t>Bank agrees to maintain the confidentiality of Information (as defined below), except that Information may be disclosed (a)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Bank’s Subsidiaries and Affiliates and their respective employees, directors, agents, attorneys, accountants and other professional advisors (collectively,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and, together with Bank, collectively, “</w:t>
      </w:r>
      <w:r>
        <w:rPr>
          <w:rFonts w:ascii="Times New Roman" w:cs="Times New Roman" w:eastAsia="Times New Roman" w:hAnsi="Times New Roman"/>
          <w:sz w:val="17"/>
          <w:szCs w:val="17"/>
          <w:b w:val="1"/>
          <w:bCs w:val="1"/>
          <w:color w:val="auto"/>
        </w:rPr>
        <w:t>Bank Entities</w:t>
      </w:r>
      <w:r>
        <w:rPr>
          <w:rFonts w:ascii="Times New Roman" w:cs="Times New Roman" w:eastAsia="Times New Roman" w:hAnsi="Times New Roman"/>
          <w:sz w:val="17"/>
          <w:szCs w:val="17"/>
          <w:color w:val="auto"/>
        </w:rPr>
        <w:t>”), provided that such Bank Entities are subject to the same confidentiality provisions herein; (b) to prospective transferees, assignees, credit providers or purchasers of Bank’s interests under or in connection with this Agreement and their Representatives (provided, however, Bank shall use obtain any such prospective transferee’s, assignee’s, credit provider’s, purchaser’s or their Representatives’ agreement to the terms of this provision or substantially similar terms);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means all information received from Borrower and its agents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74"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11.9 Electronic Execution of Documents. </w:t>
      </w:r>
      <w:r>
        <w:rPr>
          <w:rFonts w:ascii="Times New Roman" w:cs="Times New Roman" w:eastAsia="Times New Roman" w:hAnsi="Times New Roman"/>
          <w:sz w:val="17"/>
          <w:szCs w:val="17"/>
          <w:color w:val="auto"/>
        </w:rPr>
        <w:t>The words “execution,” “signed,” “signature” and words of like import in any Loan Document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11.10 Right of Setoff. </w:t>
      </w:r>
      <w:r>
        <w:rPr>
          <w:rFonts w:ascii="Times New Roman" w:cs="Times New Roman" w:eastAsia="Times New Roman" w:hAnsi="Times New Roman"/>
          <w:sz w:val="17"/>
          <w:szCs w:val="17"/>
          <w:color w:val="auto"/>
        </w:rPr>
        <w:t>Borrower hereby grants to Bank a Lien and a right of setoff as security for all Obligations to Bank, whether now existing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6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11.11 Captions and Section References. </w:t>
      </w:r>
      <w:r>
        <w:rPr>
          <w:rFonts w:ascii="Times New Roman" w:cs="Times New Roman" w:eastAsia="Times New Roman" w:hAnsi="Times New Roman"/>
          <w:sz w:val="17"/>
          <w:szCs w:val="17"/>
          <w:color w:val="auto"/>
        </w:rPr>
        <w:t>The headings used in this Agreement are for convenience only and shall not affect the interpretation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Unless indicated otherwise, section references herein are to sections of this Agreement.</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11.12 Construction of Agreement. </w:t>
      </w:r>
      <w:r>
        <w:rPr>
          <w:rFonts w:ascii="Times New Roman" w:cs="Times New Roman" w:eastAsia="Times New Roman" w:hAnsi="Times New Roman"/>
          <w:sz w:val="17"/>
          <w:szCs w:val="17"/>
          <w:color w:val="auto"/>
        </w:rPr>
        <w:t>The parties hereto mutually acknowledge that they and their attorneys have participated in the preparation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negotiation of this Agreement. In cases of uncertainty this Agreement shall be construed without regard to which of the parties caused the uncertainty to exist.</w:t>
      </w:r>
    </w:p>
    <w:p>
      <w:pPr>
        <w:sectPr>
          <w:pgSz w:w="11900" w:h="16838" w:orient="portrait"/>
          <w:cols w:equalWidth="0" w:num="1">
            <w:col w:w="11240"/>
          </w:cols>
          <w:pgMar w:left="320" w:top="1380" w:right="339" w:bottom="1440" w:gutter="0" w:footer="0" w:header="0"/>
        </w:sectPr>
      </w:pPr>
    </w:p>
    <w:bookmarkStart w:id="129" w:name="page130"/>
    <w:bookmarkEnd w:id="129"/>
    <w:p>
      <w:pPr>
        <w:jc w:val="both"/>
        <w:ind w:firstLine="6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11.13 Relationship. </w:t>
      </w:r>
      <w:r>
        <w:rPr>
          <w:rFonts w:ascii="Times New Roman" w:cs="Times New Roman" w:eastAsia="Times New Roman" w:hAnsi="Times New Roman"/>
          <w:sz w:val="17"/>
          <w:szCs w:val="17"/>
          <w:color w:val="auto"/>
        </w:rPr>
        <w:t>The relationship of the parties to this Agreement is determined solely by the provisions of this Agreement. The parties do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 to create any agency, partnership, joint venture, trust, fiduciary or other relationship with duties or incidents different from those of parties to an arm’s-length contract.</w:t>
      </w:r>
    </w:p>
    <w:p>
      <w:pPr>
        <w:spacing w:after="0" w:line="365"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11.14 Third Parties. </w:t>
      </w:r>
      <w:r>
        <w:rPr>
          <w:rFonts w:ascii="Times New Roman" w:cs="Times New Roman" w:eastAsia="Times New Roman" w:hAnsi="Times New Roman"/>
          <w:sz w:val="17"/>
          <w:szCs w:val="17"/>
          <w:color w:val="auto"/>
        </w:rPr>
        <w:t>Nothing in this Agreement, whether express or implied, is intended to: (a) confer any benefits, rights or remedies under or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66"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11.15 Anti-Terrorism Law. </w:t>
      </w:r>
      <w:r>
        <w:rPr>
          <w:rFonts w:ascii="Times New Roman" w:cs="Times New Roman" w:eastAsia="Times New Roman" w:hAnsi="Times New Roman"/>
          <w:sz w:val="17"/>
          <w:szCs w:val="17"/>
          <w:color w:val="auto"/>
        </w:rPr>
        <w:t>Bank hereby notifies Borrower that, pursuant to the requirements of Anti-Terrorism Law, Bank may be required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66" w:lineRule="exact"/>
        <w:rPr>
          <w:sz w:val="20"/>
          <w:szCs w:val="20"/>
          <w:color w:val="auto"/>
        </w:rPr>
      </w:pPr>
    </w:p>
    <w:p>
      <w:pPr>
        <w:ind w:left="640" w:right="6040" w:hanging="6"/>
        <w:spacing w:after="0" w:line="516" w:lineRule="auto"/>
        <w:tabs>
          <w:tab w:leader="none" w:pos="1033" w:val="left"/>
        </w:tabs>
        <w:numPr>
          <w:ilvl w:val="0"/>
          <w:numId w:val="1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ACCOUNTING TERMS AND OTHER DEFINITIONS </w:t>
      </w:r>
      <w:r>
        <w:rPr>
          <w:rFonts w:ascii="Times New Roman" w:cs="Times New Roman" w:eastAsia="Times New Roman" w:hAnsi="Times New Roman"/>
          <w:sz w:val="17"/>
          <w:szCs w:val="17"/>
          <w:b w:val="1"/>
          <w:bCs w:val="1"/>
          <w:color w:val="auto"/>
        </w:rPr>
        <w:t>12.1 Accounting and Other Terms.</w:t>
      </w:r>
    </w:p>
    <w:p>
      <w:pPr>
        <w:jc w:val="both"/>
        <w:ind w:firstLine="1264"/>
        <w:spacing w:after="0" w:line="263" w:lineRule="auto"/>
        <w:tabs>
          <w:tab w:leader="none" w:pos="1885"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terms not defined in this Agreement shall be construed following GAAP, except for non-compliance with FAS 123R with respect to monthly financial statements. Calculations and determinations must be made following GAAP (except for (a) non-compliance with FAS 123R with respect to monthly financial statement),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4" w:lineRule="exact"/>
        <w:rPr>
          <w:rFonts w:ascii="Times New Roman" w:cs="Times New Roman" w:eastAsia="Times New Roman" w:hAnsi="Times New Roman"/>
          <w:sz w:val="17"/>
          <w:szCs w:val="17"/>
          <w:color w:val="auto"/>
        </w:rPr>
      </w:pPr>
    </w:p>
    <w:p>
      <w:pPr>
        <w:jc w:val="both"/>
        <w:ind w:firstLine="1264"/>
        <w:spacing w:after="0" w:line="267" w:lineRule="auto"/>
        <w:tabs>
          <w:tab w:leader="none" w:pos="1882"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70"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12.2 Definitions. </w:t>
      </w:r>
      <w:r>
        <w:rPr>
          <w:rFonts w:ascii="Times New Roman" w:cs="Times New Roman" w:eastAsia="Times New Roman" w:hAnsi="Times New Roman"/>
          <w:sz w:val="17"/>
          <w:szCs w:val="17"/>
          <w:color w:val="auto"/>
        </w:rPr>
        <w:t>Capitalized terms not otherwise defined in this Agreement shall have the meanings set forth in this Section 12.2. All other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contained in this Agreement, unless otherwise indicated, shall have the meaning provided by the Code to the extent such terms are defined therein. As used in this Agreement, the following capitalized terms have the following meanings:</w:t>
      </w:r>
    </w:p>
    <w:p>
      <w:pPr>
        <w:spacing w:after="0" w:line="160"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w:t>
      </w:r>
      <w:r>
        <w:rPr>
          <w:rFonts w:ascii="Times New Roman" w:cs="Times New Roman" w:eastAsia="Times New Roman" w:hAnsi="Times New Roman"/>
          <w:sz w:val="17"/>
          <w:szCs w:val="17"/>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Account Debtor</w:t>
      </w:r>
      <w:r>
        <w:rPr>
          <w:rFonts w:ascii="Times New Roman" w:cs="Times New Roman" w:eastAsia="Times New Roman" w:hAnsi="Times New Roman"/>
          <w:sz w:val="17"/>
          <w:szCs w:val="17"/>
          <w:color w:val="auto"/>
        </w:rPr>
        <w:t>” is any “account debtor” as defined in the Code with such additions to such term as may hereafter be made.</w:t>
      </w:r>
    </w:p>
    <w:p>
      <w:pPr>
        <w:spacing w:after="0" w:line="211"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7"/>
          <w:szCs w:val="17"/>
          <w:color w:val="auto"/>
        </w:rPr>
        <w:t xml:space="preserve">” shall mean, for Borrower and its Subsidiaries, with respect to any period, the sum of (a) Net Income,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to the extent deducted or added to the calculation of Net Income, (i) Interest income,</w:t>
      </w:r>
    </w:p>
    <w:p>
      <w:pPr>
        <w:sectPr>
          <w:pgSz w:w="11900" w:h="16838" w:orient="portrait"/>
          <w:cols w:equalWidth="0" w:num="1">
            <w:col w:w="11240"/>
          </w:cols>
          <w:pgMar w:left="320" w:top="1378" w:right="339" w:bottom="1440" w:gutter="0" w:footer="0" w:header="0"/>
        </w:sectPr>
      </w:pPr>
    </w:p>
    <w:bookmarkStart w:id="130" w:name="page131"/>
    <w:bookmarkEnd w:id="130"/>
    <w:p>
      <w:pPr>
        <w:spacing w:after="0" w:line="281" w:lineRule="auto"/>
        <w:rPr>
          <w:sz w:val="20"/>
          <w:szCs w:val="20"/>
          <w:color w:val="auto"/>
        </w:rPr>
      </w:pPr>
      <w:r>
        <w:rPr>
          <w:rFonts w:ascii="Times New Roman" w:cs="Times New Roman" w:eastAsia="Times New Roman" w:hAnsi="Times New Roman"/>
          <w:sz w:val="17"/>
          <w:szCs w:val="17"/>
          <w:color w:val="auto"/>
        </w:rPr>
        <w:t>Interest Expenses, (ii) depreciation expense and amortization expense, (iii) income tax expense, (iv) non-cash stock compensation, and (v) any other one-time restructuring or non-cash charges.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Adjusted Quick Ratio</w:t>
      </w:r>
      <w:r>
        <w:rPr>
          <w:rFonts w:ascii="Times New Roman" w:cs="Times New Roman" w:eastAsia="Times New Roman" w:hAnsi="Times New Roman"/>
          <w:sz w:val="17"/>
          <w:szCs w:val="17"/>
          <w:color w:val="FF0000"/>
          <w:strike w:val="1"/>
        </w:rPr>
        <w:t>” is the ratio of (a) Quick Assets to (b) the sum of (i) Current Liabilities minus (ii) the current portion of Deferred Revenue.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is an individual that is named:</w:t>
      </w:r>
    </w:p>
    <w:p>
      <w:pPr>
        <w:spacing w:after="0" w:line="226" w:lineRule="exact"/>
        <w:rPr>
          <w:sz w:val="20"/>
          <w:szCs w:val="20"/>
          <w:color w:val="auto"/>
        </w:rPr>
      </w:pPr>
    </w:p>
    <w:p>
      <w:pPr>
        <w:ind w:left="640" w:firstLine="624"/>
        <w:spacing w:after="0" w:line="297" w:lineRule="auto"/>
        <w:tabs>
          <w:tab w:leader="none" w:pos="183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“Administrator” in the “SVB Online Services” form completed by Borrower with the authority to determine who will be authorized to use SVB Online Services (as defined in Bank’s Online Banking Agreement as in effect from time to time) on behalf of Borrower; and</w:t>
      </w:r>
    </w:p>
    <w:p>
      <w:pPr>
        <w:spacing w:after="0" w:line="145" w:lineRule="exact"/>
        <w:rPr>
          <w:rFonts w:ascii="Times New Roman" w:cs="Times New Roman" w:eastAsia="Times New Roman" w:hAnsi="Times New Roman"/>
          <w:sz w:val="17"/>
          <w:szCs w:val="17"/>
          <w:color w:val="auto"/>
        </w:rPr>
      </w:pPr>
    </w:p>
    <w:p>
      <w:pPr>
        <w:ind w:left="1680" w:hanging="416"/>
        <w:spacing w:after="0"/>
        <w:tabs>
          <w:tab w:leader="none" w:pos="16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Authorized Signer of Borrower in an approval by the Board.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Advance</w:t>
      </w:r>
      <w:r>
        <w:rPr>
          <w:rFonts w:ascii="Times New Roman" w:cs="Times New Roman" w:eastAsia="Times New Roman" w:hAnsi="Times New Roman"/>
          <w:sz w:val="17"/>
          <w:szCs w:val="17"/>
          <w:color w:val="FF0000"/>
          <w:strike w:val="1"/>
        </w:rPr>
        <w:t>” or “</w:t>
      </w:r>
      <w:r>
        <w:rPr>
          <w:rFonts w:ascii="Times New Roman" w:cs="Times New Roman" w:eastAsia="Times New Roman" w:hAnsi="Times New Roman"/>
          <w:sz w:val="17"/>
          <w:szCs w:val="17"/>
          <w:b w:val="1"/>
          <w:bCs w:val="1"/>
          <w:color w:val="FF0000"/>
          <w:strike w:val="1"/>
        </w:rPr>
        <w:t>Advances</w:t>
      </w:r>
      <w:r>
        <w:rPr>
          <w:rFonts w:ascii="Times New Roman" w:cs="Times New Roman" w:eastAsia="Times New Roman" w:hAnsi="Times New Roman"/>
          <w:sz w:val="17"/>
          <w:szCs w:val="17"/>
          <w:color w:val="FF0000"/>
          <w:strike w:val="1"/>
        </w:rPr>
        <w:t>” means a revolving credit loan (or revolving credit loans) under the Revolving Line.</w:t>
      </w:r>
    </w:p>
    <w:p>
      <w:pPr>
        <w:spacing w:after="0" w:line="22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defined in the preamble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Anti-Terrorism Law</w:t>
      </w:r>
      <w:r>
        <w:rPr>
          <w:rFonts w:ascii="Times New Roman" w:cs="Times New Roman" w:eastAsia="Times New Roman" w:hAnsi="Times New Roman"/>
          <w:sz w:val="17"/>
          <w:szCs w:val="17"/>
          <w:color w:val="auto"/>
        </w:rPr>
        <w:t>” means any law relating to terrorism or money-laundering, including Executive Order No. 13224 and the USA Patriot Act.</w:t>
      </w:r>
    </w:p>
    <w:p>
      <w:pPr>
        <w:spacing w:after="0" w:line="211"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29"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Authorized Signer</w:t>
      </w:r>
      <w:r>
        <w:rPr>
          <w:rFonts w:ascii="Times New Roman" w:cs="Times New Roman" w:eastAsia="Times New Roman" w:hAnsi="Times New Roman"/>
          <w:sz w:val="17"/>
          <w:szCs w:val="17"/>
          <w:color w:val="auto"/>
        </w:rPr>
        <w:t>” means any individual listed in Borrower’s Borrowing Resolution who is authorized to execute the Loan Documents, including making (and executing if applicable) any Credit Extension request, on behalf of Borrower.</w:t>
      </w:r>
    </w:p>
    <w:p>
      <w:pPr>
        <w:spacing w:after="0" w:line="155"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Availability Amount</w:t>
      </w:r>
      <w:r>
        <w:rPr>
          <w:rFonts w:ascii="Times New Roman" w:cs="Times New Roman" w:eastAsia="Times New Roman" w:hAnsi="Times New Roman"/>
          <w:sz w:val="17"/>
          <w:szCs w:val="17"/>
          <w:color w:val="FF0000"/>
          <w:strike w:val="1"/>
        </w:rPr>
        <w:t>” is the lesser of (a) the Revolving Line or (b) the Borrowing Base, minus the sum of all outstanding principal amounts of any Advances.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is defined in the preamble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Entities</w:t>
      </w:r>
      <w:r>
        <w:rPr>
          <w:rFonts w:ascii="Times New Roman" w:cs="Times New Roman" w:eastAsia="Times New Roman" w:hAnsi="Times New Roman"/>
          <w:sz w:val="17"/>
          <w:szCs w:val="17"/>
          <w:color w:val="auto"/>
        </w:rPr>
        <w:t>” is defined in Section 11.8.</w:t>
      </w:r>
    </w:p>
    <w:p>
      <w:pPr>
        <w:spacing w:after="0" w:line="211"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Expenses</w:t>
      </w:r>
      <w:r>
        <w:rPr>
          <w:rFonts w:ascii="Times New Roman" w:cs="Times New Roman" w:eastAsia="Times New Roman" w:hAnsi="Times New Roman"/>
          <w:sz w:val="17"/>
          <w:szCs w:val="17"/>
          <w:color w:val="auto"/>
        </w:rPr>
        <w:t>” are all reasonable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53"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Services</w:t>
      </w:r>
      <w:r>
        <w:rPr>
          <w:rFonts w:ascii="Times New Roman" w:cs="Times New Roman" w:eastAsia="Times New Roman" w:hAnsi="Times New Roman"/>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7"/>
          <w:szCs w:val="17"/>
          <w:b w:val="1"/>
          <w:bCs w:val="1"/>
          <w:color w:val="auto"/>
        </w:rPr>
        <w:t>Bank Services Agreement</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Services Agreement</w:t>
      </w:r>
      <w:r>
        <w:rPr>
          <w:rFonts w:ascii="Times New Roman" w:cs="Times New Roman" w:eastAsia="Times New Roman" w:hAnsi="Times New Roman"/>
          <w:sz w:val="17"/>
          <w:szCs w:val="17"/>
          <w:color w:val="auto"/>
        </w:rPr>
        <w:t>” is defined in the definition of Bank Services.</w:t>
      </w:r>
    </w:p>
    <w:p>
      <w:pPr>
        <w:sectPr>
          <w:pgSz w:w="11900" w:h="16838" w:orient="portrait"/>
          <w:cols w:equalWidth="0" w:num="1">
            <w:col w:w="11240"/>
          </w:cols>
          <w:pgMar w:left="320" w:top="1380" w:right="339" w:bottom="1440" w:gutter="0" w:footer="0" w:header="0"/>
        </w:sectPr>
      </w:pPr>
    </w:p>
    <w:bookmarkStart w:id="131" w:name="page132"/>
    <w:bookmarkEnd w:id="131"/>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is Borrower’s board of directors or equivalent governing body.</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is set forth on Schedule I hereto.</w:t>
      </w:r>
    </w:p>
    <w:p>
      <w:pPr>
        <w:spacing w:after="0" w:line="224"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Borrower’s Books</w:t>
      </w:r>
      <w:r>
        <w:rPr>
          <w:rFonts w:ascii="Times New Roman" w:cs="Times New Roman" w:eastAsia="Times New Roman" w:hAnsi="Times New Roman"/>
          <w:sz w:val="17"/>
          <w:szCs w:val="17"/>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42"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Borrowing Base</w:t>
      </w:r>
      <w:r>
        <w:rPr>
          <w:rFonts w:ascii="Times New Roman" w:cs="Times New Roman" w:eastAsia="Times New Roman" w:hAnsi="Times New Roman"/>
          <w:sz w:val="17"/>
          <w:szCs w:val="17"/>
          <w:color w:val="FF0000"/>
          <w:strike w:val="1"/>
        </w:rPr>
        <w:t>” is eighty percent (80%) of Eligible Accounts, as determined by Bank from Borrower’s most recent Borrowing Base Statement; provided, however, that Bank has the right to decrease the foregoing percentages in its commercially reasonable discretion to mitigate the impact of events, conditions, contingencies, or risks which would reasonably be expected to adversely affect the Collateral or its value, following thirty (30) days prior written notice to Borrower.</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Borrowing Base Statement</w:t>
      </w:r>
      <w:r>
        <w:rPr>
          <w:rFonts w:ascii="Times New Roman" w:cs="Times New Roman" w:eastAsia="Times New Roman" w:hAnsi="Times New Roman"/>
          <w:sz w:val="17"/>
          <w:szCs w:val="17"/>
          <w:color w:val="FF0000"/>
          <w:strike w:val="1"/>
        </w:rPr>
        <w:t>” is that certain statement of the value of certain Collateral in the form specified by Bank to Borrower from time to time.</w:t>
      </w:r>
    </w:p>
    <w:p>
      <w:pPr>
        <w:spacing w:after="0" w:line="22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Borrowing Resolutions</w:t>
      </w:r>
      <w:r>
        <w:rPr>
          <w:rFonts w:ascii="Times New Roman" w:cs="Times New Roman" w:eastAsia="Times New Roman" w:hAnsi="Times New Roman"/>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applicable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is a day other than a Saturday, Sunday or other day on which commercial banks in the State of California are authorized or required by law to close, except that if any determination of a “Business Day” shall relate to an FX Contract, the term “Business Day” shall be a FX Business Day.</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Cash Collateral Account</w:t>
      </w:r>
      <w:r>
        <w:rPr>
          <w:rFonts w:ascii="Times New Roman" w:cs="Times New Roman" w:eastAsia="Times New Roman" w:hAnsi="Times New Roman"/>
          <w:sz w:val="17"/>
          <w:szCs w:val="17"/>
          <w:color w:val="FF0000"/>
          <w:strike w:val="1"/>
        </w:rPr>
        <w:t>” is defined in Section 5.4(c).</w:t>
      </w:r>
    </w:p>
    <w:p>
      <w:pPr>
        <w:spacing w:after="0" w:line="22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Equivalents</w:t>
      </w:r>
      <w:r>
        <w:rPr>
          <w:rFonts w:ascii="Times New Roman" w:cs="Times New Roman" w:eastAsia="Times New Roman" w:hAnsi="Times New Roman"/>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(d) long-term securities having a rating minimum of A-/A3 from either Standard &amp; Poor’s Ratings Group or Moody’s Investors Service, Inc.; and (e) money market funds at least ninety-five percent (95.0%) of the assets of which constitute Cash Equivalents of the kinds described in clauses (a) through (d) of this definition.</w:t>
      </w:r>
    </w:p>
    <w:p>
      <w:pPr>
        <w:spacing w:after="0" w:line="165"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w:t>
      </w:r>
    </w:p>
    <w:p>
      <w:pPr>
        <w:sectPr>
          <w:pgSz w:w="11900" w:h="16838" w:orient="portrait"/>
          <w:cols w:equalWidth="0" w:num="1">
            <w:col w:w="11240"/>
          </w:cols>
          <w:pgMar w:left="320" w:top="137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the first (1st) day of such period, (ii) whose election or nomination to that board or equivalent governing body was approved by individuals referred to in clause</w:t>
      </w:r>
    </w:p>
    <w:p>
      <w:pPr>
        <w:spacing w:after="0" w:line="21" w:lineRule="exact"/>
        <w:rPr>
          <w:sz w:val="20"/>
          <w:szCs w:val="20"/>
          <w:color w:val="auto"/>
        </w:rPr>
      </w:pPr>
    </w:p>
    <w:p>
      <w:pPr>
        <w:jc w:val="both"/>
        <w:ind w:firstLine="5"/>
        <w:spacing w:after="0" w:line="250" w:lineRule="auto"/>
        <w:tabs>
          <w:tab w:leader="none" w:pos="23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 and except dissolutions or transfers permitted pursuant to Sections 6.2 and 6.3 of this Agreement).</w:t>
      </w:r>
    </w:p>
    <w:p>
      <w:pPr>
        <w:spacing w:after="0" w:line="17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Law</w:t>
      </w:r>
      <w:r>
        <w:rPr>
          <w:rFonts w:ascii="Times New Roman" w:cs="Times New Roman" w:eastAsia="Times New Roman" w:hAnsi="Times New Roman"/>
          <w:sz w:val="17"/>
          <w:szCs w:val="17"/>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is defined in Section 11.3.</w:t>
      </w:r>
    </w:p>
    <w:p>
      <w:pPr>
        <w:spacing w:after="0" w:line="211"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3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consists of all of Borrower’s right, title and interest in and to the following personal property:</w:t>
      </w:r>
    </w:p>
    <w:p>
      <w:pPr>
        <w:spacing w:after="0" w:line="226" w:lineRule="exact"/>
        <w:rPr>
          <w:sz w:val="20"/>
          <w:szCs w:val="20"/>
          <w:color w:val="auto"/>
        </w:rPr>
      </w:pPr>
    </w:p>
    <w:p>
      <w:pPr>
        <w:jc w:val="both"/>
        <w:ind w:firstLine="1264"/>
        <w:spacing w:after="0" w:line="264" w:lineRule="auto"/>
        <w:tabs>
          <w:tab w:leader="none" w:pos="188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73"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Collateral does not include any of the following (now existing or hereafter arising, owned or</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created):</w:t>
      </w:r>
    </w:p>
    <w:p>
      <w:pPr>
        <w:spacing w:after="0" w:line="206" w:lineRule="exact"/>
        <w:rPr>
          <w:rFonts w:ascii="Times New Roman" w:cs="Times New Roman" w:eastAsia="Times New Roman" w:hAnsi="Times New Roman"/>
          <w:sz w:val="17"/>
          <w:szCs w:val="17"/>
          <w:color w:val="auto"/>
        </w:rPr>
      </w:pPr>
    </w:p>
    <w:p>
      <w:pPr>
        <w:jc w:val="both"/>
        <w:ind w:left="1260" w:firstLine="633"/>
        <w:spacing w:after="0" w:line="269" w:lineRule="auto"/>
        <w:tabs>
          <w:tab w:leader="none" w:pos="2253"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w:t>
      </w:r>
    </w:p>
    <w:p>
      <w:pPr>
        <w:sectPr>
          <w:pgSz w:w="11900" w:h="16838" w:orient="portrait"/>
          <w:cols w:equalWidth="0" w:num="1">
            <w:col w:w="11240"/>
          </w:cols>
          <w:pgMar w:left="320" w:top="1380" w:right="339" w:bottom="1440" w:gutter="0" w:footer="0" w:header="0"/>
        </w:sectPr>
      </w:pPr>
    </w:p>
    <w:bookmarkStart w:id="133" w:name="page134"/>
    <w:bookmarkEnd w:id="133"/>
    <w:p>
      <w:pPr>
        <w:ind w:left="1260"/>
        <w:spacing w:after="0"/>
        <w:rPr>
          <w:sz w:val="20"/>
          <w:szCs w:val="20"/>
          <w:color w:val="auto"/>
        </w:rPr>
      </w:pPr>
      <w:r>
        <w:rPr>
          <w:rFonts w:ascii="Times New Roman" w:cs="Times New Roman" w:eastAsia="Times New Roman" w:hAnsi="Times New Roman"/>
          <w:sz w:val="17"/>
          <w:szCs w:val="17"/>
          <w:color w:val="auto"/>
        </w:rPr>
        <w:t>interest in such Accounts and such other property of Borrower that are proceeds of the Intellectual Property; and</w:t>
      </w:r>
    </w:p>
    <w:p>
      <w:pPr>
        <w:spacing w:after="0" w:line="224" w:lineRule="exact"/>
        <w:rPr>
          <w:sz w:val="20"/>
          <w:szCs w:val="20"/>
          <w:color w:val="auto"/>
        </w:rPr>
      </w:pPr>
    </w:p>
    <w:p>
      <w:pPr>
        <w:jc w:val="both"/>
        <w:ind w:left="1260" w:firstLine="633"/>
        <w:spacing w:after="0" w:line="256" w:lineRule="auto"/>
        <w:tabs>
          <w:tab w:leader="none" w:pos="232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w:t>
      </w:r>
    </w:p>
    <w:p>
      <w:pPr>
        <w:spacing w:after="0" w:line="385"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a certain negative pledge arrangement with Bank, Borrower has agreed not to encumber any of its Intellectual Property in contravention of the terms of such pledge agreement without Bank’s prior written consent.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 Account</w:t>
      </w:r>
      <w:r>
        <w:rPr>
          <w:rFonts w:ascii="Times New Roman" w:cs="Times New Roman" w:eastAsia="Times New Roman" w:hAnsi="Times New Roman"/>
          <w:sz w:val="17"/>
          <w:szCs w:val="17"/>
          <w:color w:val="auto"/>
        </w:rPr>
        <w:t>” is any Deposit Account, Securities Account, or Commodity Account.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Commodity Account</w:t>
      </w:r>
      <w:r>
        <w:rPr>
          <w:rFonts w:ascii="Times New Roman" w:cs="Times New Roman" w:eastAsia="Times New Roman" w:hAnsi="Times New Roman"/>
          <w:sz w:val="17"/>
          <w:szCs w:val="17"/>
          <w:color w:val="auto"/>
        </w:rPr>
        <w:t>” is any “commodity account” as defined in the Code with such additions to such term as may hereafter be made.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Compliance Statement</w:t>
      </w:r>
      <w:r>
        <w:rPr>
          <w:rFonts w:ascii="Times New Roman" w:cs="Times New Roman" w:eastAsia="Times New Roman" w:hAnsi="Times New Roman"/>
          <w:sz w:val="17"/>
          <w:szCs w:val="17"/>
          <w:color w:val="auto"/>
        </w:rPr>
        <w:t>” is that certain statement in the form attached hereto as Exhibit A.</w:t>
      </w:r>
    </w:p>
    <w:p>
      <w:pPr>
        <w:spacing w:after="0" w:line="224"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Connection Income Taxes</w:t>
      </w:r>
      <w:r>
        <w:rPr>
          <w:rFonts w:ascii="Times New Roman" w:cs="Times New Roman" w:eastAsia="Times New Roman" w:hAnsi="Times New Roman"/>
          <w:sz w:val="17"/>
          <w:szCs w:val="17"/>
          <w:color w:val="auto"/>
        </w:rPr>
        <w:t>” means Other Connection Taxes that are imposed on or measured by net income (however denominated) or that are franchise Taxes or branch profits Taxes.</w:t>
      </w:r>
    </w:p>
    <w:p>
      <w:pPr>
        <w:spacing w:after="0" w:line="14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Contingent Obligation</w:t>
      </w:r>
      <w:r>
        <w:rPr>
          <w:rFonts w:ascii="Times New Roman" w:cs="Times New Roman" w:eastAsia="Times New Roman" w:hAnsi="Times New Roman"/>
          <w:sz w:val="17"/>
          <w:szCs w:val="17"/>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or any Permitted Call Spread Agreement(s).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1"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 Agreement</w:t>
      </w:r>
      <w:r>
        <w:rPr>
          <w:rFonts w:ascii="Times New Roman" w:cs="Times New Roman" w:eastAsia="Times New Roman" w:hAnsi="Times New Roman"/>
          <w:sz w:val="17"/>
          <w:szCs w:val="17"/>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53"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Copyrights</w:t>
      </w:r>
      <w:r>
        <w:rPr>
          <w:rFonts w:ascii="Times New Roman" w:cs="Times New Roman" w:eastAsia="Times New Roman" w:hAnsi="Times New Roman"/>
          <w:sz w:val="17"/>
          <w:szCs w:val="17"/>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29"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Credit Extension</w:t>
      </w:r>
      <w:r>
        <w:rPr>
          <w:rFonts w:ascii="Times New Roman" w:cs="Times New Roman" w:eastAsia="Times New Roman" w:hAnsi="Times New Roman"/>
          <w:sz w:val="17"/>
          <w:szCs w:val="17"/>
          <w:color w:val="auto"/>
        </w:rPr>
        <w:t xml:space="preserve">” is any </w:t>
      </w:r>
      <w:r>
        <w:rPr>
          <w:rFonts w:ascii="Times New Roman" w:cs="Times New Roman" w:eastAsia="Times New Roman" w:hAnsi="Times New Roman"/>
          <w:sz w:val="17"/>
          <w:szCs w:val="17"/>
          <w:color w:val="FF0000"/>
          <w:strike w:val="1"/>
        </w:rPr>
        <w:t>Advance, Overadvance,</w:t>
      </w:r>
      <w:r>
        <w:rPr>
          <w:rFonts w:ascii="Times New Roman" w:cs="Times New Roman" w:eastAsia="Times New Roman" w:hAnsi="Times New Roman"/>
          <w:sz w:val="17"/>
          <w:szCs w:val="17"/>
          <w:color w:val="auto"/>
        </w:rPr>
        <w:t xml:space="preserve"> Letter of Credit, FX Contract, amount utilized for cash management services, Term Loan Advance, or any other extension of credit under the Loan Documents by Bank for Borrower’s benefit.</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Currency</w:t>
      </w:r>
      <w:r>
        <w:rPr>
          <w:rFonts w:ascii="Times New Roman" w:cs="Times New Roman" w:eastAsia="Times New Roman" w:hAnsi="Times New Roman"/>
          <w:sz w:val="17"/>
          <w:szCs w:val="17"/>
          <w:color w:val="auto"/>
        </w:rPr>
        <w:t>” is coined money and such other banknotes or other paper money as are authorized by law and circulate as a medium of exchange.</w:t>
      </w:r>
    </w:p>
    <w:p>
      <w:pPr>
        <w:sectPr>
          <w:pgSz w:w="11900" w:h="16838" w:orient="portrait"/>
          <w:cols w:equalWidth="0" w:num="1">
            <w:col w:w="11240"/>
          </w:cols>
          <w:pgMar w:left="320" w:top="1380" w:right="339" w:bottom="1440" w:gutter="0" w:footer="0" w:header="0"/>
        </w:sectPr>
      </w:pPr>
    </w:p>
    <w:bookmarkStart w:id="134" w:name="page135"/>
    <w:bookmarkEnd w:id="134"/>
    <w:p>
      <w:pPr>
        <w:jc w:val="both"/>
        <w:ind w:firstLine="629"/>
        <w:spacing w:after="0" w:line="278"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Current Liabilities</w:t>
      </w:r>
      <w:r>
        <w:rPr>
          <w:rFonts w:ascii="Times New Roman" w:cs="Times New Roman" w:eastAsia="Times New Roman" w:hAnsi="Times New Roman"/>
          <w:sz w:val="17"/>
          <w:szCs w:val="17"/>
          <w:color w:val="FF0000"/>
          <w:strike w:val="1"/>
        </w:rPr>
        <w:t>” are (a) all obligations and liabilities of Borrower to Bank, plus (b) without duplication of (a) the aggregate amount of Borrower’s Total Liabilities that mature within one (1) year (including, for the avoidance of doubt, all Obligations of Borrower to Bank under the Term Loan Advances that mature within one year and Revolving Advances that mature within one year).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w:t>
      </w:r>
      <w:r>
        <w:rPr>
          <w:rFonts w:ascii="Times New Roman" w:cs="Times New Roman" w:eastAsia="Times New Roman" w:hAnsi="Times New Roman"/>
          <w:sz w:val="17"/>
          <w:szCs w:val="17"/>
          <w:color w:val="auto"/>
        </w:rPr>
        <w:t>” means any event which with notice or passage of time or both, would constitute an Event of Default.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 Rate</w:t>
      </w:r>
      <w:r>
        <w:rPr>
          <w:rFonts w:ascii="Times New Roman" w:cs="Times New Roman" w:eastAsia="Times New Roman" w:hAnsi="Times New Roman"/>
          <w:sz w:val="17"/>
          <w:szCs w:val="17"/>
          <w:color w:val="auto"/>
        </w:rPr>
        <w:t>” is defined in Section 1.2(c).</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Deferred Revenue</w:t>
      </w:r>
      <w:r>
        <w:rPr>
          <w:rFonts w:ascii="Times New Roman" w:cs="Times New Roman" w:eastAsia="Times New Roman" w:hAnsi="Times New Roman"/>
          <w:sz w:val="17"/>
          <w:szCs w:val="17"/>
          <w:color w:val="FF0000"/>
          <w:strike w:val="1"/>
        </w:rPr>
        <w:t>” is all amounts received or invoiced in advance of performance under contracts and not yet recognized as revenue.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Deposit Account</w:t>
      </w:r>
      <w:r>
        <w:rPr>
          <w:rFonts w:ascii="Times New Roman" w:cs="Times New Roman" w:eastAsia="Times New Roman" w:hAnsi="Times New Roman"/>
          <w:sz w:val="17"/>
          <w:szCs w:val="17"/>
          <w:color w:val="auto"/>
        </w:rPr>
        <w:t>” is any “</w:t>
      </w:r>
      <w:r>
        <w:rPr>
          <w:rFonts w:ascii="Times New Roman" w:cs="Times New Roman" w:eastAsia="Times New Roman" w:hAnsi="Times New Roman"/>
          <w:sz w:val="17"/>
          <w:szCs w:val="17"/>
          <w:b w:val="1"/>
          <w:bCs w:val="1"/>
          <w:color w:val="auto"/>
        </w:rPr>
        <w:t>deposit account</w:t>
      </w:r>
      <w:r>
        <w:rPr>
          <w:rFonts w:ascii="Times New Roman" w:cs="Times New Roman" w:eastAsia="Times New Roman" w:hAnsi="Times New Roman"/>
          <w:sz w:val="17"/>
          <w:szCs w:val="17"/>
          <w:color w:val="auto"/>
        </w:rPr>
        <w:t>” as defined in the Code with such additions to such term as may hereafter be made.</w:t>
      </w:r>
    </w:p>
    <w:p>
      <w:pPr>
        <w:spacing w:after="0" w:line="211"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Designated Deposit Account</w:t>
      </w:r>
      <w:r>
        <w:rPr>
          <w:rFonts w:ascii="Times New Roman" w:cs="Times New Roman" w:eastAsia="Times New Roman" w:hAnsi="Times New Roman"/>
          <w:sz w:val="17"/>
          <w:szCs w:val="17"/>
          <w:color w:val="auto"/>
        </w:rPr>
        <w:t>” is the deposit account with account number xxx-xxxx-9905, established by Borrower with Bank for purposes of receiving Credit Extensions.</w:t>
      </w:r>
    </w:p>
    <w:p>
      <w:pPr>
        <w:spacing w:after="0" w:line="155"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Division</w:t>
      </w:r>
      <w:r>
        <w:rPr>
          <w:rFonts w:ascii="Times New Roman" w:cs="Times New Roman" w:eastAsia="Times New Roman" w:hAnsi="Times New Roman"/>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6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 Equivalent</w:t>
      </w:r>
      <w:r>
        <w:rPr>
          <w:rFonts w:ascii="Times New Roman" w:cs="Times New Roman" w:eastAsia="Times New Roman" w:hAnsi="Times New Roman"/>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3"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dollars</w:t>
      </w:r>
      <w:r>
        <w:rPr>
          <w:rFonts w:ascii="Times New Roman" w:cs="Times New Roman" w:eastAsia="Times New Roman" w:hAnsi="Times New Roman"/>
          <w:sz w:val="17"/>
          <w:szCs w:val="17"/>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set forth on Schedule I hereto.</w:t>
      </w:r>
    </w:p>
    <w:p>
      <w:pPr>
        <w:spacing w:after="0" w:line="211"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Eligible Accounts</w:t>
      </w:r>
      <w:r>
        <w:rPr>
          <w:rFonts w:ascii="Times New Roman" w:cs="Times New Roman" w:eastAsia="Times New Roman" w:hAnsi="Times New Roman"/>
          <w:sz w:val="17"/>
          <w:szCs w:val="17"/>
          <w:color w:val="FF0000"/>
          <w:strike w:val="1"/>
        </w:rPr>
        <w:t xml:space="preserve">” means Accounts owing to Borrower which arise </w:t>
      </w:r>
      <w:r>
        <w:rPr>
          <w:rFonts w:ascii="Times New Roman" w:cs="Times New Roman" w:eastAsia="Times New Roman" w:hAnsi="Times New Roman"/>
          <w:sz w:val="17"/>
          <w:szCs w:val="17"/>
          <w:color w:val="008000"/>
          <w:strike w:val="1"/>
        </w:rPr>
        <w:t>in the ordinary course of Borrower’s business</w:t>
      </w:r>
      <w:r>
        <w:rPr>
          <w:rFonts w:ascii="Times New Roman" w:cs="Times New Roman" w:eastAsia="Times New Roman" w:hAnsi="Times New Roman"/>
          <w:sz w:val="17"/>
          <w:szCs w:val="17"/>
          <w:color w:val="FF0000"/>
          <w:strike w:val="1"/>
        </w:rPr>
        <w:t xml:space="preserve"> that meet all Borrower’s representations and warranties in Section 4.3, that have been, at the option of Bank, confirmed in accordance with Section 5.4(f) of this Agreement, and are due and owing from Account Debtors deemed creditworthy by Bank in its commercially reasonable discretion. Bank reserves the right, at any time after the First Amendment Effective Date, in its commercially reasonable discretion in each instance, to adjust any of the criteria set forth below and to establish new criteria, following thirty (30) days prior written notice to Borrower. Unless Bank otherwise agrees in writing, Eligible Accounts shall not include:</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FF0000"/>
          <w:strike w:val="1"/>
        </w:rPr>
        <w:t>(a) Accounts (i) for which the Account Debtor is Borrower’s Affiliate, officer, employee, investor, or agent, or (ii) that are intercompany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Accounts;</w:t>
      </w:r>
    </w:p>
    <w:p>
      <w:pPr>
        <w:spacing w:after="0" w:line="206" w:lineRule="exact"/>
        <w:rPr>
          <w:sz w:val="20"/>
          <w:szCs w:val="20"/>
          <w:color w:val="auto"/>
        </w:rPr>
      </w:pPr>
    </w:p>
    <w:p>
      <w:pPr>
        <w:ind w:left="1520" w:hanging="256"/>
        <w:spacing w:after="0"/>
        <w:tabs>
          <w:tab w:leader="none" w:pos="1520" w:val="left"/>
        </w:tabs>
        <w:numPr>
          <w:ilvl w:val="0"/>
          <w:numId w:val="16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that the Account Debtor has not paid within ninety (90) days of invoice date regardless of invoice payment period terms;</w:t>
      </w:r>
    </w:p>
    <w:p>
      <w:pPr>
        <w:spacing w:after="0" w:line="224" w:lineRule="exact"/>
        <w:rPr>
          <w:rFonts w:ascii="Times New Roman" w:cs="Times New Roman" w:eastAsia="Times New Roman" w:hAnsi="Times New Roman"/>
          <w:sz w:val="17"/>
          <w:szCs w:val="17"/>
          <w:color w:val="FF0000"/>
          <w:strike w:val="1"/>
        </w:rPr>
      </w:pPr>
    </w:p>
    <w:p>
      <w:pPr>
        <w:ind w:left="1500" w:hanging="236"/>
        <w:spacing w:after="0"/>
        <w:tabs>
          <w:tab w:leader="none" w:pos="1500" w:val="left"/>
        </w:tabs>
        <w:numPr>
          <w:ilvl w:val="0"/>
          <w:numId w:val="16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with credit balances over ninety (90) days from invoice date, to the extent of such credit balances;</w:t>
      </w:r>
    </w:p>
    <w:p>
      <w:pPr>
        <w:sectPr>
          <w:pgSz w:w="11900" w:h="16838" w:orient="portrait"/>
          <w:cols w:equalWidth="0" w:num="1">
            <w:col w:w="11240"/>
          </w:cols>
          <w:pgMar w:left="320" w:top="1378" w:right="339" w:bottom="1440" w:gutter="0" w:footer="0" w:header="0"/>
        </w:sectPr>
      </w:pPr>
    </w:p>
    <w:bookmarkStart w:id="135" w:name="page136"/>
    <w:bookmarkEnd w:id="135"/>
    <w:p>
      <w:pPr>
        <w:ind w:left="-1120" w:firstLine="1264"/>
        <w:spacing w:after="0" w:line="297" w:lineRule="auto"/>
        <w:tabs>
          <w:tab w:leader="none" w:pos="389"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that exceed Two Hundred Fifty Thousand Dollars ($250,000) if fifty percent (50.0%) or more of the Accounts owing from such Account Debtor have not been paid within ninety (90) days of invoice date;</w:t>
      </w:r>
    </w:p>
    <w:p>
      <w:pPr>
        <w:spacing w:after="0" w:line="145" w:lineRule="exact"/>
        <w:rPr>
          <w:rFonts w:ascii="Times New Roman" w:cs="Times New Roman" w:eastAsia="Times New Roman" w:hAnsi="Times New Roman"/>
          <w:sz w:val="17"/>
          <w:szCs w:val="17"/>
          <w:color w:val="FF0000"/>
          <w:strike w:val="1"/>
        </w:rPr>
      </w:pPr>
    </w:p>
    <w:p>
      <w:pPr>
        <w:jc w:val="both"/>
        <w:ind w:left="-1120" w:firstLine="1264"/>
        <w:spacing w:after="0" w:line="274" w:lineRule="auto"/>
        <w:tabs>
          <w:tab w:leader="none" w:pos="384"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(i) which does not have its principal place of business in the United States or (ii) whose billing address (as set forth in the applicable invoice for such Account) is not in the United States, unless in the case of both (i) and (ii) such Accounts are otherwise approved by Bank in writing, provided, however, that Bank hereby approves the Accounts relating to Device Technologies Belrose which is located in Australia;</w:t>
      </w:r>
    </w:p>
    <w:p>
      <w:pPr>
        <w:spacing w:after="0" w:line="379" w:lineRule="exact"/>
        <w:rPr>
          <w:rFonts w:ascii="Times New Roman" w:cs="Times New Roman" w:eastAsia="Times New Roman" w:hAnsi="Times New Roman"/>
          <w:sz w:val="17"/>
          <w:szCs w:val="17"/>
          <w:color w:val="FF0000"/>
          <w:strike w:val="1"/>
        </w:rPr>
      </w:pPr>
    </w:p>
    <w:p>
      <w:pPr>
        <w:ind w:left="360" w:hanging="216"/>
        <w:spacing w:after="0"/>
        <w:tabs>
          <w:tab w:leader="none" w:pos="360"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billed from and/or payable to Borrower outside of the United States (sometimes called foreign invoiced accounts);</w:t>
      </w:r>
    </w:p>
    <w:p>
      <w:pPr>
        <w:spacing w:after="0" w:line="224" w:lineRule="exact"/>
        <w:rPr>
          <w:rFonts w:ascii="Times New Roman" w:cs="Times New Roman" w:eastAsia="Times New Roman" w:hAnsi="Times New Roman"/>
          <w:sz w:val="17"/>
          <w:szCs w:val="17"/>
          <w:color w:val="FF0000"/>
          <w:strike w:val="1"/>
        </w:rPr>
      </w:pPr>
    </w:p>
    <w:p>
      <w:pPr>
        <w:jc w:val="both"/>
        <w:ind w:left="-1120" w:firstLine="1264"/>
        <w:spacing w:after="0" w:line="277" w:lineRule="auto"/>
        <w:tabs>
          <w:tab w:leader="none" w:pos="434"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in which Bank does not have a first priority, perfected security interest under all Applicable Law, other than Device Technologies Belrose which is located in Australia (solely relative to any failure to obtain a first priority, perfected security interest in any foreign jurisdiction, including Australia);</w:t>
      </w:r>
    </w:p>
    <w:p>
      <w:pPr>
        <w:spacing w:after="0" w:line="162" w:lineRule="exact"/>
        <w:rPr>
          <w:rFonts w:ascii="Times New Roman" w:cs="Times New Roman" w:eastAsia="Times New Roman" w:hAnsi="Times New Roman"/>
          <w:sz w:val="17"/>
          <w:szCs w:val="17"/>
          <w:color w:val="FF0000"/>
          <w:strike w:val="1"/>
        </w:rPr>
      </w:pPr>
    </w:p>
    <w:p>
      <w:pPr>
        <w:ind w:left="400" w:hanging="256"/>
        <w:spacing w:after="0"/>
        <w:tabs>
          <w:tab w:leader="none" w:pos="400"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billed and/or payable in a Currency other than Dollars;</w:t>
      </w:r>
    </w:p>
    <w:p>
      <w:pPr>
        <w:spacing w:after="0" w:line="224" w:lineRule="exact"/>
        <w:rPr>
          <w:rFonts w:ascii="Times New Roman" w:cs="Times New Roman" w:eastAsia="Times New Roman" w:hAnsi="Times New Roman"/>
          <w:sz w:val="17"/>
          <w:szCs w:val="17"/>
          <w:color w:val="FF0000"/>
          <w:strike w:val="1"/>
        </w:rPr>
      </w:pPr>
    </w:p>
    <w:p>
      <w:pPr>
        <w:jc w:val="both"/>
        <w:ind w:left="-1120" w:firstLine="1264"/>
        <w:spacing w:after="0" w:line="277" w:lineRule="auto"/>
        <w:tabs>
          <w:tab w:leader="none" w:pos="363"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to the extent that Borrower is indebted or obligated in any manner to the Account Debtor (as creditor, lessor, supplier or otherwise - sometimes called “contra” accounts, accounts payable, customer deposits or credit accounts), but only to the extent of such Indebtedness or obligations;</w:t>
      </w:r>
    </w:p>
    <w:p>
      <w:pPr>
        <w:spacing w:after="0" w:line="162" w:lineRule="exact"/>
        <w:rPr>
          <w:rFonts w:ascii="Times New Roman" w:cs="Times New Roman" w:eastAsia="Times New Roman" w:hAnsi="Times New Roman"/>
          <w:sz w:val="17"/>
          <w:szCs w:val="17"/>
          <w:color w:val="FF0000"/>
          <w:strike w:val="1"/>
        </w:rPr>
      </w:pPr>
    </w:p>
    <w:p>
      <w:pPr>
        <w:ind w:left="-1120" w:firstLine="1264"/>
        <w:spacing w:after="0" w:line="297" w:lineRule="auto"/>
        <w:tabs>
          <w:tab w:leader="none" w:pos="366"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with or in respect of accruals for marketing allowances, incentive rebates, price protection, cooperative advertising and other similar marketing credits, unless otherwise approved by Bank in writing, but only to the extent of such credits;</w:t>
      </w:r>
    </w:p>
    <w:p>
      <w:pPr>
        <w:spacing w:after="0" w:line="145" w:lineRule="exact"/>
        <w:rPr>
          <w:rFonts w:ascii="Times New Roman" w:cs="Times New Roman" w:eastAsia="Times New Roman" w:hAnsi="Times New Roman"/>
          <w:sz w:val="17"/>
          <w:szCs w:val="17"/>
          <w:color w:val="FF0000"/>
          <w:strike w:val="1"/>
        </w:rPr>
      </w:pPr>
    </w:p>
    <w:p>
      <w:pPr>
        <w:jc w:val="both"/>
        <w:ind w:left="-1120" w:firstLine="1264"/>
        <w:spacing w:after="0" w:line="277" w:lineRule="auto"/>
        <w:tabs>
          <w:tab w:leader="none" w:pos="387"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162" w:lineRule="exact"/>
        <w:rPr>
          <w:rFonts w:ascii="Times New Roman" w:cs="Times New Roman" w:eastAsia="Times New Roman" w:hAnsi="Times New Roman"/>
          <w:sz w:val="17"/>
          <w:szCs w:val="17"/>
          <w:color w:val="FF0000"/>
          <w:strike w:val="1"/>
        </w:rPr>
      </w:pPr>
    </w:p>
    <w:p>
      <w:pPr>
        <w:ind w:left="-1120" w:firstLine="1264"/>
        <w:spacing w:after="0" w:line="297" w:lineRule="auto"/>
        <w:tabs>
          <w:tab w:leader="none" w:pos="356"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with customer deposits and/or with respect to which Borrower has received an upfront payment, to the extent of such customer deposit and/or upfront payment;</w:t>
      </w:r>
    </w:p>
    <w:p>
      <w:pPr>
        <w:spacing w:after="0" w:line="145" w:lineRule="exact"/>
        <w:rPr>
          <w:rFonts w:ascii="Times New Roman" w:cs="Times New Roman" w:eastAsia="Times New Roman" w:hAnsi="Times New Roman"/>
          <w:sz w:val="17"/>
          <w:szCs w:val="17"/>
          <w:color w:val="FF0000"/>
          <w:strike w:val="1"/>
        </w:rPr>
      </w:pPr>
    </w:p>
    <w:p>
      <w:pPr>
        <w:ind w:left="-1120" w:firstLine="1264"/>
        <w:spacing w:after="0" w:line="297" w:lineRule="auto"/>
        <w:tabs>
          <w:tab w:leader="none" w:pos="440"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for demonstration or promotional equipment, or in which goods are consigned, or sold on a “sale guaranteed”, “sale or return”, “sale on approval”, or other terms if Account Debtor’s payment may be conditional;</w:t>
      </w:r>
    </w:p>
    <w:p>
      <w:pPr>
        <w:spacing w:after="0" w:line="145" w:lineRule="exact"/>
        <w:rPr>
          <w:rFonts w:ascii="Times New Roman" w:cs="Times New Roman" w:eastAsia="Times New Roman" w:hAnsi="Times New Roman"/>
          <w:sz w:val="17"/>
          <w:szCs w:val="17"/>
          <w:color w:val="FF0000"/>
          <w:strike w:val="1"/>
        </w:rPr>
      </w:pPr>
    </w:p>
    <w:p>
      <w:pPr>
        <w:ind w:left="-1120" w:firstLine="1264"/>
        <w:spacing w:after="0" w:line="297" w:lineRule="auto"/>
        <w:tabs>
          <w:tab w:leader="none" w:pos="399"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where goods or services have not yet been rendered to the Account Debtor (sometimes called memo billings or pre-billings);</w:t>
      </w:r>
    </w:p>
    <w:p>
      <w:pPr>
        <w:spacing w:after="0" w:line="145" w:lineRule="exact"/>
        <w:rPr>
          <w:rFonts w:ascii="Times New Roman" w:cs="Times New Roman" w:eastAsia="Times New Roman" w:hAnsi="Times New Roman"/>
          <w:sz w:val="17"/>
          <w:szCs w:val="17"/>
          <w:color w:val="FF0000"/>
          <w:strike w:val="1"/>
        </w:rPr>
      </w:pPr>
    </w:p>
    <w:p>
      <w:pPr>
        <w:jc w:val="both"/>
        <w:ind w:left="-1120" w:firstLine="1264"/>
        <w:spacing w:after="0" w:line="289" w:lineRule="auto"/>
        <w:tabs>
          <w:tab w:leader="none" w:pos="416"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368" w:lineRule="exact"/>
        <w:rPr>
          <w:rFonts w:ascii="Times New Roman" w:cs="Times New Roman" w:eastAsia="Times New Roman" w:hAnsi="Times New Roman"/>
          <w:sz w:val="17"/>
          <w:szCs w:val="17"/>
          <w:color w:val="FF0000"/>
          <w:strike w:val="1"/>
        </w:rPr>
      </w:pPr>
    </w:p>
    <w:p>
      <w:pPr>
        <w:ind w:left="-1120" w:firstLine="1264"/>
        <w:spacing w:after="0" w:line="297" w:lineRule="auto"/>
        <w:tabs>
          <w:tab w:leader="none" w:pos="393"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145" w:lineRule="exact"/>
        <w:rPr>
          <w:rFonts w:ascii="Times New Roman" w:cs="Times New Roman" w:eastAsia="Times New Roman" w:hAnsi="Times New Roman"/>
          <w:sz w:val="17"/>
          <w:szCs w:val="17"/>
          <w:color w:val="FF0000"/>
          <w:strike w:val="1"/>
        </w:rPr>
      </w:pPr>
    </w:p>
    <w:p>
      <w:pPr>
        <w:ind w:left="400" w:hanging="256"/>
        <w:spacing w:after="0"/>
        <w:tabs>
          <w:tab w:leader="none" w:pos="400"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subject to trust provisions, subrogation rights of a bonding company, or a statutory trust;</w:t>
      </w:r>
    </w:p>
    <w:p>
      <w:pPr>
        <w:spacing w:after="0" w:line="224" w:lineRule="exact"/>
        <w:rPr>
          <w:rFonts w:ascii="Times New Roman" w:cs="Times New Roman" w:eastAsia="Times New Roman" w:hAnsi="Times New Roman"/>
          <w:sz w:val="17"/>
          <w:szCs w:val="17"/>
          <w:color w:val="FF0000"/>
          <w:strike w:val="1"/>
        </w:rPr>
      </w:pPr>
    </w:p>
    <w:p>
      <w:pPr>
        <w:ind w:left="-1120" w:firstLine="1264"/>
        <w:spacing w:after="0" w:line="297" w:lineRule="auto"/>
        <w:tabs>
          <w:tab w:leader="none" w:pos="362" w:val="left"/>
        </w:tabs>
        <w:numPr>
          <w:ilvl w:val="0"/>
          <w:numId w:val="165"/>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that has been invoiced for goods that have not been shipped to the Account Debtor unless Bank, Borrower, and the Account Debtor have entered into an agreement</w:t>
      </w:r>
    </w:p>
    <w:p>
      <w:pPr>
        <w:sectPr>
          <w:pgSz w:w="11900" w:h="16838" w:orient="portrait"/>
          <w:cols w:equalWidth="0" w:num="1">
            <w:col w:w="10120"/>
          </w:cols>
          <w:pgMar w:left="1440" w:top="1380" w:right="339" w:bottom="1440" w:gutter="0" w:footer="0" w:header="0"/>
        </w:sectPr>
      </w:pPr>
    </w:p>
    <w:bookmarkStart w:id="136" w:name="page137"/>
    <w:bookmarkEnd w:id="136"/>
    <w:p>
      <w:pPr>
        <w:spacing w:after="0" w:line="297" w:lineRule="auto"/>
        <w:rPr>
          <w:sz w:val="20"/>
          <w:szCs w:val="20"/>
          <w:color w:val="auto"/>
        </w:rPr>
      </w:pPr>
      <w:r>
        <w:rPr>
          <w:rFonts w:ascii="Times New Roman" w:cs="Times New Roman" w:eastAsia="Times New Roman" w:hAnsi="Times New Roman"/>
          <w:sz w:val="17"/>
          <w:szCs w:val="17"/>
          <w:color w:val="FF0000"/>
          <w:strike w:val="1"/>
        </w:rPr>
        <w:t>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46" w:lineRule="exact"/>
        <w:rPr>
          <w:sz w:val="20"/>
          <w:szCs w:val="20"/>
          <w:color w:val="auto"/>
        </w:rPr>
      </w:pPr>
    </w:p>
    <w:p>
      <w:pPr>
        <w:ind w:left="1500" w:hanging="236"/>
        <w:spacing w:after="0"/>
        <w:tabs>
          <w:tab w:leader="none" w:pos="1500"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for which the Account Debtor has not been invoiced;</w:t>
      </w:r>
    </w:p>
    <w:p>
      <w:pPr>
        <w:spacing w:after="0" w:line="224" w:lineRule="exact"/>
        <w:rPr>
          <w:rFonts w:ascii="Times New Roman" w:cs="Times New Roman" w:eastAsia="Times New Roman" w:hAnsi="Times New Roman"/>
          <w:sz w:val="17"/>
          <w:szCs w:val="17"/>
          <w:color w:val="FF0000"/>
          <w:strike w:val="1"/>
        </w:rPr>
      </w:pPr>
    </w:p>
    <w:p>
      <w:pPr>
        <w:ind w:left="1480" w:hanging="216"/>
        <w:spacing w:after="0"/>
        <w:tabs>
          <w:tab w:leader="none" w:pos="1480"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that represent non-trade receivables or that are derived by means other than in the ordinary course of Borrower’s business;</w:t>
      </w:r>
    </w:p>
    <w:p>
      <w:pPr>
        <w:spacing w:after="0" w:line="224" w:lineRule="exact"/>
        <w:rPr>
          <w:rFonts w:ascii="Times New Roman" w:cs="Times New Roman" w:eastAsia="Times New Roman" w:hAnsi="Times New Roman"/>
          <w:sz w:val="17"/>
          <w:szCs w:val="17"/>
          <w:color w:val="FF0000"/>
          <w:strike w:val="1"/>
        </w:rPr>
      </w:pPr>
    </w:p>
    <w:p>
      <w:pPr>
        <w:ind w:firstLine="1264"/>
        <w:spacing w:after="0" w:line="297" w:lineRule="auto"/>
        <w:tabs>
          <w:tab w:leader="none" w:pos="1508"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for which Borrower has permitted Account Debtor’s payment to extend beyond ninety (90) days (including Accounts with a due date that is more than ninety (90) days from invoice date);</w:t>
      </w:r>
    </w:p>
    <w:p>
      <w:pPr>
        <w:spacing w:after="0" w:line="145" w:lineRule="exact"/>
        <w:rPr>
          <w:rFonts w:ascii="Times New Roman" w:cs="Times New Roman" w:eastAsia="Times New Roman" w:hAnsi="Times New Roman"/>
          <w:sz w:val="17"/>
          <w:szCs w:val="17"/>
          <w:color w:val="FF0000"/>
          <w:strike w:val="1"/>
        </w:rPr>
      </w:pPr>
    </w:p>
    <w:p>
      <w:pPr>
        <w:ind w:left="1520" w:hanging="256"/>
        <w:spacing w:after="0"/>
        <w:tabs>
          <w:tab w:leader="none" w:pos="1520"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arising from chargebacks, debit memos or other payment deductions taken by an Account Debtor;</w:t>
      </w:r>
    </w:p>
    <w:p>
      <w:pPr>
        <w:spacing w:after="0" w:line="224" w:lineRule="exact"/>
        <w:rPr>
          <w:rFonts w:ascii="Times New Roman" w:cs="Times New Roman" w:eastAsia="Times New Roman" w:hAnsi="Times New Roman"/>
          <w:sz w:val="17"/>
          <w:szCs w:val="17"/>
          <w:color w:val="FF0000"/>
          <w:strike w:val="1"/>
        </w:rPr>
      </w:pPr>
    </w:p>
    <w:p>
      <w:pPr>
        <w:ind w:left="1560" w:hanging="296"/>
        <w:spacing w:after="0"/>
        <w:tabs>
          <w:tab w:leader="none" w:pos="1560"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arising from product returns and/or exchanges (sometimes called “warranty” or “RMA” accounts);</w:t>
      </w:r>
    </w:p>
    <w:p>
      <w:pPr>
        <w:spacing w:after="0" w:line="224" w:lineRule="exact"/>
        <w:rPr>
          <w:rFonts w:ascii="Times New Roman" w:cs="Times New Roman" w:eastAsia="Times New Roman" w:hAnsi="Times New Roman"/>
          <w:sz w:val="17"/>
          <w:szCs w:val="17"/>
          <w:color w:val="FF0000"/>
          <w:strike w:val="1"/>
        </w:rPr>
      </w:pPr>
    </w:p>
    <w:p>
      <w:pPr>
        <w:ind w:firstLine="1264"/>
        <w:spacing w:after="0" w:line="297" w:lineRule="auto"/>
        <w:tabs>
          <w:tab w:leader="none" w:pos="1521"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spacing w:after="0" w:line="145" w:lineRule="exact"/>
        <w:rPr>
          <w:rFonts w:ascii="Times New Roman" w:cs="Times New Roman" w:eastAsia="Times New Roman" w:hAnsi="Times New Roman"/>
          <w:sz w:val="17"/>
          <w:szCs w:val="17"/>
          <w:color w:val="FF0000"/>
          <w:strike w:val="1"/>
        </w:rPr>
      </w:pPr>
    </w:p>
    <w:p>
      <w:pPr>
        <w:ind w:firstLine="1264"/>
        <w:spacing w:after="0" w:line="297" w:lineRule="auto"/>
        <w:tabs>
          <w:tab w:leader="none" w:pos="1515"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owing from an Account Debtor, whose total obligations to Borrower exceed twenty-five percent (25.0%) of all Accounts, only for the amounts that exceed that percentage, unless Bank approves in writing; and</w:t>
      </w:r>
    </w:p>
    <w:p>
      <w:pPr>
        <w:spacing w:after="0" w:line="145" w:lineRule="exact"/>
        <w:rPr>
          <w:rFonts w:ascii="Times New Roman" w:cs="Times New Roman" w:eastAsia="Times New Roman" w:hAnsi="Times New Roman"/>
          <w:sz w:val="17"/>
          <w:szCs w:val="17"/>
          <w:color w:val="FF0000"/>
          <w:strike w:val="1"/>
        </w:rPr>
      </w:pPr>
    </w:p>
    <w:p>
      <w:pPr>
        <w:ind w:firstLine="1264"/>
        <w:spacing w:after="0" w:line="297" w:lineRule="auto"/>
        <w:tabs>
          <w:tab w:leader="none" w:pos="1500" w:val="left"/>
        </w:tabs>
        <w:numPr>
          <w:ilvl w:val="0"/>
          <w:numId w:val="166"/>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Accounts for which Bank in its sole discretion determines collection to be doubtful, including, without limitation, accounts represented by “refreshed” or “recycled” invoices.</w:t>
      </w:r>
    </w:p>
    <w:p>
      <w:pPr>
        <w:spacing w:after="0" w:line="14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53"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Equipment</w:t>
      </w:r>
      <w:r>
        <w:rPr>
          <w:rFonts w:ascii="Times New Roman" w:cs="Times New Roman" w:eastAsia="Times New Roman" w:hAnsi="Times New Roman"/>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is the Employee Retirement Income Security Act of 1974, as amended, and its regulations.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is defined in Section 7.</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is the Securities Exchange Act of 1934, as amended.</w:t>
      </w:r>
    </w:p>
    <w:p>
      <w:pPr>
        <w:spacing w:after="0" w:line="22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Taxes</w:t>
      </w:r>
      <w:r>
        <w:rPr>
          <w:rFonts w:ascii="Times New Roman" w:cs="Times New Roman" w:eastAsia="Times New Roman" w:hAnsi="Times New Roman"/>
          <w:sz w:val="17"/>
          <w:szCs w:val="17"/>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w:t>
      </w:r>
    </w:p>
    <w:p>
      <w:pPr>
        <w:sectPr>
          <w:pgSz w:w="11900" w:h="16838" w:orient="portrait"/>
          <w:cols w:equalWidth="0" w:num="1">
            <w:col w:w="11240"/>
          </w:cols>
          <w:pgMar w:left="320" w:top="138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color w:val="auto"/>
        </w:rPr>
        <w:t>with Section 1.6(e) and/or any reporting and delivery requirements, and (d) any withholding Taxes imposed under FATCA.</w:t>
      </w:r>
    </w:p>
    <w:p>
      <w:pPr>
        <w:spacing w:after="0" w:line="209"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76" w:lineRule="exact"/>
        <w:rPr>
          <w:sz w:val="20"/>
          <w:szCs w:val="20"/>
          <w:color w:val="auto"/>
        </w:rPr>
      </w:pPr>
    </w:p>
    <w:p>
      <w:pPr>
        <w:jc w:val="both"/>
        <w:ind w:firstLine="629"/>
        <w:spacing w:after="0" w:line="269"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Final Payment</w:t>
      </w:r>
      <w:r>
        <w:rPr>
          <w:rFonts w:ascii="Times New Roman" w:cs="Times New Roman" w:eastAsia="Times New Roman" w:hAnsi="Times New Roman"/>
          <w:sz w:val="17"/>
          <w:szCs w:val="17"/>
          <w:color w:val="FF0000"/>
          <w:strike w:val="1"/>
        </w:rPr>
        <w:t>” is a payment (in addition to and not a substitution for the regular monthly payments of principal plus accrued interest) due on the earliest to occur of (a) the Term Loan Maturity Date, (b) the repayment of the Term Loan Advance in full, (c) as required pursuant to Section 1.1(c) or 1.1(d), or</w:t>
      </w:r>
    </w:p>
    <w:p>
      <w:pPr>
        <w:spacing w:after="0" w:line="1" w:lineRule="exact"/>
        <w:rPr>
          <w:sz w:val="20"/>
          <w:szCs w:val="20"/>
          <w:color w:val="auto"/>
        </w:rPr>
      </w:pPr>
    </w:p>
    <w:p>
      <w:pPr>
        <w:ind w:firstLine="5"/>
        <w:spacing w:after="0" w:line="275" w:lineRule="auto"/>
        <w:tabs>
          <w:tab w:leader="none" w:pos="251" w:val="left"/>
        </w:tabs>
        <w:numPr>
          <w:ilvl w:val="0"/>
          <w:numId w:val="167"/>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 xml:space="preserve">the termination of this Agreement, in an amount equal to the original aggregate principle </w:t>
      </w:r>
      <w:r>
        <w:rPr>
          <w:rFonts w:ascii="Times New Roman" w:cs="Times New Roman" w:eastAsia="Times New Roman" w:hAnsi="Times New Roman"/>
          <w:sz w:val="17"/>
          <w:szCs w:val="17"/>
          <w:color w:val="008000"/>
          <w:strike w:val="1"/>
        </w:rPr>
        <w:t>amount of the Term Loan Advance</w:t>
      </w:r>
      <w:r>
        <w:rPr>
          <w:rFonts w:ascii="Times New Roman" w:cs="Times New Roman" w:eastAsia="Times New Roman" w:hAnsi="Times New Roman"/>
          <w:sz w:val="17"/>
          <w:szCs w:val="17"/>
          <w:color w:val="FF0000"/>
          <w:strike w:val="1"/>
        </w:rPr>
        <w:t xml:space="preserve"> extended by Bank to Borrower multiplied by two percent (2.0%).</w:t>
      </w:r>
    </w:p>
    <w:p>
      <w:pPr>
        <w:spacing w:after="0" w:line="162"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Financial Covenant Measuring Period</w:t>
      </w:r>
      <w:r>
        <w:rPr>
          <w:rFonts w:ascii="Times New Roman" w:cs="Times New Roman" w:eastAsia="Times New Roman" w:hAnsi="Times New Roman"/>
          <w:sz w:val="17"/>
          <w:szCs w:val="17"/>
          <w:color w:val="FF0000"/>
          <w:strike w:val="1"/>
        </w:rPr>
        <w:t>” is any period of time (a) commencing on the later to occur of (i) the date on which the aggregate value of the Borrower’s unrestricted and unencumbered (except for Liens in favor of Bank) cash and Cash Equivalents held at Bank and Bank’s Affiliates falls below</w:t>
      </w:r>
    </w:p>
    <w:p>
      <w:pPr>
        <w:jc w:val="both"/>
        <w:ind w:firstLine="5"/>
        <w:spacing w:after="0" w:line="249" w:lineRule="auto"/>
        <w:tabs>
          <w:tab w:leader="none" w:pos="440" w:val="left"/>
        </w:tabs>
        <w:numPr>
          <w:ilvl w:val="0"/>
          <w:numId w:val="168"/>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Dollars, and (ii) January 1, 2025 and (b) terminating on the date on which Borrower has achieved two (2) consecutive quarters of Adjusted EBITDA greater than [***] Dollars. After the termination of a Financial Covenant Measuring Period, if both (X) Borrower’s Adjusted EBITDA is equal to or less than</w:t>
      </w:r>
    </w:p>
    <w:p>
      <w:pPr>
        <w:jc w:val="both"/>
        <w:ind w:firstLine="5"/>
        <w:spacing w:after="0" w:line="257" w:lineRule="auto"/>
        <w:tabs>
          <w:tab w:leader="none" w:pos="423" w:val="left"/>
        </w:tabs>
        <w:numPr>
          <w:ilvl w:val="0"/>
          <w:numId w:val="168"/>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 xml:space="preserve">Dollars any such fiscal quarter and (Y) the aggregate value of the </w:t>
      </w:r>
      <w:r>
        <w:rPr>
          <w:rFonts w:ascii="Times New Roman" w:cs="Times New Roman" w:eastAsia="Times New Roman" w:hAnsi="Times New Roman"/>
          <w:sz w:val="17"/>
          <w:szCs w:val="17"/>
          <w:color w:val="008000"/>
          <w:strike w:val="1"/>
        </w:rPr>
        <w:t>Borrower’s unrestricted and unencumbered (except for Liens in favor of Bank) cash and</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color w:val="008000"/>
          <w:strike w:val="1"/>
        </w:rPr>
        <w:t xml:space="preserve">Cash Equivalents held at Bank and Bank’s Affiliates is </w:t>
      </w:r>
      <w:r>
        <w:rPr>
          <w:rFonts w:ascii="Times New Roman" w:cs="Times New Roman" w:eastAsia="Times New Roman" w:hAnsi="Times New Roman"/>
          <w:sz w:val="17"/>
          <w:szCs w:val="17"/>
          <w:color w:val="FF0000"/>
          <w:strike w:val="1"/>
        </w:rPr>
        <w:t>less than [***] Dollars, then a new Financial Covenant Measuring Period shall start and shall not</w:t>
      </w:r>
      <w:r>
        <w:rPr>
          <w:rFonts w:ascii="Times New Roman" w:cs="Times New Roman" w:eastAsia="Times New Roman" w:hAnsi="Times New Roman"/>
          <w:sz w:val="17"/>
          <w:szCs w:val="17"/>
          <w:color w:val="008000"/>
          <w:strike w:val="1"/>
        </w:rPr>
        <w:t xml:space="preserve"> </w:t>
      </w:r>
      <w:r>
        <w:rPr>
          <w:rFonts w:ascii="Times New Roman" w:cs="Times New Roman" w:eastAsia="Times New Roman" w:hAnsi="Times New Roman"/>
          <w:sz w:val="17"/>
          <w:szCs w:val="17"/>
          <w:color w:val="FF0000"/>
          <w:strike w:val="1"/>
        </w:rPr>
        <w:t>terminate until Borrower again achieves Adjusted EBITDA Balance greater than [***] Dollars for two (2) new consecutive quarters.</w:t>
      </w:r>
    </w:p>
    <w:p>
      <w:pPr>
        <w:spacing w:after="0" w:line="163"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Statement Repository</w:t>
      </w:r>
      <w:r>
        <w:rPr>
          <w:rFonts w:ascii="Times New Roman" w:cs="Times New Roman" w:eastAsia="Times New Roman" w:hAnsi="Times New Roman"/>
          <w:sz w:val="17"/>
          <w:szCs w:val="17"/>
          <w:color w:val="auto"/>
        </w:rPr>
        <w:t>” is L43f1c@svb.com or such other means of collecting information approved and designated by Bank after providing notice thereof to Borrower from time to time.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Amendment Effective Date</w:t>
      </w:r>
      <w:r>
        <w:rPr>
          <w:rFonts w:ascii="Times New Roman" w:cs="Times New Roman" w:eastAsia="Times New Roman" w:hAnsi="Times New Roman"/>
          <w:sz w:val="17"/>
          <w:szCs w:val="17"/>
          <w:color w:val="auto"/>
        </w:rPr>
        <w:t>” means January 6, 2023.</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Foreign Currency</w:t>
      </w:r>
      <w:r>
        <w:rPr>
          <w:rFonts w:ascii="Times New Roman" w:cs="Times New Roman" w:eastAsia="Times New Roman" w:hAnsi="Times New Roman"/>
          <w:sz w:val="17"/>
          <w:szCs w:val="17"/>
          <w:color w:val="auto"/>
        </w:rPr>
        <w:t>” is the lawful money of a country other than the United States.</w:t>
      </w:r>
    </w:p>
    <w:p>
      <w:pPr>
        <w:spacing w:after="0" w:line="211" w:lineRule="exact"/>
        <w:rPr>
          <w:sz w:val="20"/>
          <w:szCs w:val="20"/>
          <w:color w:val="auto"/>
        </w:rPr>
      </w:pPr>
    </w:p>
    <w:p>
      <w:pPr>
        <w:ind w:right="500"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Foreign Subsidiary</w:t>
      </w:r>
      <w:r>
        <w:rPr>
          <w:rFonts w:ascii="Times New Roman" w:cs="Times New Roman" w:eastAsia="Times New Roman" w:hAnsi="Times New Roman"/>
          <w:sz w:val="17"/>
          <w:szCs w:val="17"/>
          <w:color w:val="auto"/>
        </w:rPr>
        <w:t>” is a Subsidiary that is not an entity organized under the laws of the United States or any territory thereof or the District of Columbia.</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Funding Date</w:t>
      </w:r>
      <w:r>
        <w:rPr>
          <w:rFonts w:ascii="Times New Roman" w:cs="Times New Roman" w:eastAsia="Times New Roman" w:hAnsi="Times New Roman"/>
          <w:sz w:val="17"/>
          <w:szCs w:val="17"/>
          <w:color w:val="auto"/>
        </w:rPr>
        <w:t>” is any date on which a Credit Extension is made to or for the account of Borrower which shall be a Business Day.</w:t>
      </w:r>
    </w:p>
    <w:p>
      <w:pPr>
        <w:spacing w:after="0" w:line="224"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FX Business Day</w:t>
      </w:r>
      <w:r>
        <w:rPr>
          <w:rFonts w:ascii="Times New Roman" w:cs="Times New Roman" w:eastAsia="Times New Roman" w:hAnsi="Times New Roman"/>
          <w:sz w:val="17"/>
          <w:szCs w:val="17"/>
          <w:color w:val="auto"/>
        </w:rPr>
        <w:t>” is any day when (a) Bank’s Foreign Exchange Department is conducting its normal business and (b) the Foreign Currency being purchased or sold by Borrower is available to Bank from the entity from which Bank shall buy or sell such Foreign Currency.</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FX Contract</w:t>
      </w:r>
      <w:r>
        <w:rPr>
          <w:rFonts w:ascii="Times New Roman" w:cs="Times New Roman" w:eastAsia="Times New Roman" w:hAnsi="Times New Roman"/>
          <w:sz w:val="17"/>
          <w:szCs w:val="17"/>
          <w:color w:val="auto"/>
        </w:rPr>
        <w:t>” is any foreign exchange contract by and between Borrower and Bank under which Borrower commits to purchase from or sell to Bank a specific amount of Foreign Currency at a set price or on a specified date.</w:t>
      </w:r>
    </w:p>
    <w:p>
      <w:pPr>
        <w:spacing w:after="0" w:line="129"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(except for with respect to unaudited financial statements for the absence of footnotes and subject to year-end audit adjustments).</w:t>
      </w:r>
    </w:p>
    <w:p>
      <w:pPr>
        <w:sectPr>
          <w:pgSz w:w="11900" w:h="16838" w:orient="portrait"/>
          <w:cols w:equalWidth="0" w:num="1">
            <w:col w:w="11240"/>
          </w:cols>
          <w:pgMar w:left="320" w:top="1380" w:right="339" w:bottom="1440" w:gutter="0" w:footer="0" w:header="0"/>
        </w:sectPr>
      </w:pPr>
    </w:p>
    <w:bookmarkStart w:id="138" w:name="page139"/>
    <w:bookmarkEnd w:id="138"/>
    <w:p>
      <w:pPr>
        <w:jc w:val="both"/>
        <w:ind w:firstLine="62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General Intangibles</w:t>
      </w:r>
      <w:r>
        <w:rPr>
          <w:rFonts w:ascii="Times New Roman" w:cs="Times New Roman" w:eastAsia="Times New Roman" w:hAnsi="Times New Roman"/>
          <w:sz w:val="17"/>
          <w:szCs w:val="17"/>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Faith Deposit</w:t>
      </w:r>
      <w:r>
        <w:rPr>
          <w:rFonts w:ascii="Times New Roman" w:cs="Times New Roman" w:eastAsia="Times New Roman" w:hAnsi="Times New Roman"/>
          <w:sz w:val="17"/>
          <w:szCs w:val="17"/>
          <w:color w:val="auto"/>
        </w:rPr>
        <w:t>” is defined in Section 1.3.</w:t>
      </w:r>
    </w:p>
    <w:p>
      <w:pPr>
        <w:spacing w:after="0" w:line="211"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Approval</w:t>
      </w:r>
      <w:r>
        <w:rPr>
          <w:rFonts w:ascii="Times New Roman" w:cs="Times New Roman" w:eastAsia="Times New Roman" w:hAnsi="Times New Roman"/>
          <w:sz w:val="17"/>
          <w:szCs w:val="17"/>
          <w:color w:val="auto"/>
        </w:rPr>
        <w:t>” is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is any Person providing a Guaranty in favor of Bank with respect to the Obligations.</w:t>
      </w:r>
    </w:p>
    <w:p>
      <w:pPr>
        <w:spacing w:after="0" w:line="211"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Guaranty</w:t>
      </w:r>
      <w:r>
        <w:rPr>
          <w:rFonts w:ascii="Times New Roman" w:cs="Times New Roman" w:eastAsia="Times New Roman" w:hAnsi="Times New Roman"/>
          <w:sz w:val="17"/>
          <w:szCs w:val="17"/>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 provided, however, that in no event shall obligations under any Permitted Call Spread Agreement constitute Indebtedness.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is defined in Section 11.3.</w:t>
      </w:r>
    </w:p>
    <w:p>
      <w:pPr>
        <w:spacing w:after="0" w:line="211"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is defined in Section 11.8.</w:t>
      </w:r>
    </w:p>
    <w:p>
      <w:pPr>
        <w:spacing w:after="0" w:line="211" w:lineRule="exact"/>
        <w:rPr>
          <w:sz w:val="20"/>
          <w:szCs w:val="20"/>
          <w:color w:val="auto"/>
        </w:rPr>
      </w:pPr>
    </w:p>
    <w:p>
      <w:pPr>
        <w:jc w:val="both"/>
        <w:ind w:firstLine="629"/>
        <w:spacing w:after="0" w:line="269"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Initial Audit</w:t>
      </w:r>
      <w:r>
        <w:rPr>
          <w:rFonts w:ascii="Times New Roman" w:cs="Times New Roman" w:eastAsia="Times New Roman" w:hAnsi="Times New Roman"/>
          <w:sz w:val="17"/>
          <w:szCs w:val="17"/>
          <w:color w:val="FF0000"/>
          <w:strike w:val="1"/>
        </w:rPr>
        <w:t>” is Bank’s inspection of Borrower’s Accounts, the Collateral, and Borrower’s Books, with results satisfactory to Bank in its sole discretion.</w:t>
      </w:r>
    </w:p>
    <w:p>
      <w:pPr>
        <w:spacing w:after="0" w:line="200" w:lineRule="exact"/>
        <w:rPr>
          <w:sz w:val="20"/>
          <w:szCs w:val="20"/>
          <w:color w:val="auto"/>
        </w:rPr>
      </w:pPr>
    </w:p>
    <w:p>
      <w:pPr>
        <w:spacing w:after="0" w:line="2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Insolvency Proceeding</w:t>
      </w:r>
      <w:r>
        <w:rPr>
          <w:rFonts w:ascii="Times New Roman" w:cs="Times New Roman" w:eastAsia="Times New Roman" w:hAnsi="Times New Roman"/>
          <w:sz w:val="17"/>
          <w:szCs w:val="17"/>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53"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with respect to any Person, all of such Person’s right, title, and interest in and to the following, whether now owned or hereafter acquired or created:</w:t>
      </w:r>
    </w:p>
    <w:p>
      <w:pPr>
        <w:spacing w:after="0" w:line="131" w:lineRule="exact"/>
        <w:rPr>
          <w:sz w:val="20"/>
          <w:szCs w:val="20"/>
          <w:color w:val="auto"/>
        </w:rPr>
      </w:pPr>
    </w:p>
    <w:p>
      <w:pPr>
        <w:ind w:left="1900" w:hanging="636"/>
        <w:spacing w:after="0"/>
        <w:tabs>
          <w:tab w:leader="none" w:pos="190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Copyrights, Trademarks and Patents;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trade secrets and trade secret rights, including, without limitation, any rights to unpatented inventions, know-how and</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manuals;</w:t>
      </w:r>
    </w:p>
    <w:p>
      <w:pPr>
        <w:spacing w:after="0" w:line="206"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any and all source code;</w:t>
      </w:r>
    </w:p>
    <w:p>
      <w:pPr>
        <w:sectPr>
          <w:pgSz w:w="11900" w:h="16838" w:orient="portrait"/>
          <w:cols w:equalWidth="0" w:num="1">
            <w:col w:w="11240"/>
          </w:cols>
          <w:pgMar w:left="320" w:top="1378" w:right="339" w:bottom="1440" w:gutter="0" w:footer="0" w:header="0"/>
        </w:sectPr>
      </w:pPr>
    </w:p>
    <w:bookmarkStart w:id="139" w:name="page140"/>
    <w:bookmarkEnd w:id="139"/>
    <w:p>
      <w:pPr>
        <w:ind w:left="1880" w:hanging="616"/>
        <w:spacing w:after="0"/>
        <w:tabs>
          <w:tab w:leader="none" w:pos="18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design rights which may be available to such Person;</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amendments, renewals and extensions of any of the Copyrights, Trademarks or Patents.</w:t>
      </w:r>
    </w:p>
    <w:p>
      <w:pPr>
        <w:spacing w:after="0" w:line="222"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and its Subsidiaries,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77"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Internal Revenue Code</w:t>
      </w:r>
      <w:r>
        <w:rPr>
          <w:rFonts w:ascii="Times New Roman" w:cs="Times New Roman" w:eastAsia="Times New Roman" w:hAnsi="Times New Roman"/>
          <w:sz w:val="17"/>
          <w:szCs w:val="17"/>
          <w:color w:val="auto"/>
        </w:rPr>
        <w:t>” means the U.S. Internal Revenue Code of 1986, and the rules and regulations promulgated thereunder, each as amended or modified from time to time.</w:t>
      </w:r>
    </w:p>
    <w:p>
      <w:pPr>
        <w:spacing w:after="0" w:line="142"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Inventory</w:t>
      </w:r>
      <w:r>
        <w:rPr>
          <w:rFonts w:ascii="Times New Roman" w:cs="Times New Roman" w:eastAsia="Times New Roman" w:hAnsi="Times New Roman"/>
          <w:sz w:val="17"/>
          <w:szCs w:val="17"/>
          <w:color w:val="auto"/>
        </w:rPr>
        <w:t>” is all “</w:t>
      </w:r>
      <w:r>
        <w:rPr>
          <w:rFonts w:ascii="Times New Roman" w:cs="Times New Roman" w:eastAsia="Times New Roman" w:hAnsi="Times New Roman"/>
          <w:sz w:val="17"/>
          <w:szCs w:val="17"/>
          <w:b w:val="1"/>
          <w:bCs w:val="1"/>
          <w:color w:val="auto"/>
        </w:rPr>
        <w:t>inventory</w:t>
      </w:r>
      <w:r>
        <w:rPr>
          <w:rFonts w:ascii="Times New Roman" w:cs="Times New Roman" w:eastAsia="Times New Roman" w:hAnsi="Times New Roman"/>
          <w:sz w:val="17"/>
          <w:szCs w:val="17"/>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76"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w:t>
      </w:r>
      <w:r>
        <w:rPr>
          <w:rFonts w:ascii="Times New Roman" w:cs="Times New Roman" w:eastAsia="Times New Roman" w:hAnsi="Times New Roman"/>
          <w:sz w:val="17"/>
          <w:szCs w:val="17"/>
          <w:color w:val="auto"/>
        </w:rPr>
        <w:t>” is any beneficial ownership interest in any Person (including stock, partnership, membership, or other ownership interest or other equity securities), and any loan, advance or capital contribution to any Person.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Key Person</w:t>
      </w:r>
      <w:r>
        <w:rPr>
          <w:rFonts w:ascii="Times New Roman" w:cs="Times New Roman" w:eastAsia="Times New Roman" w:hAnsi="Times New Roman"/>
          <w:sz w:val="17"/>
          <w:szCs w:val="17"/>
          <w:color w:val="auto"/>
        </w:rPr>
        <w:t>” is each of Borrower’s (i) Chief Executive Officer, and (ii) Chief Financial Officer, as of the Effective Date.</w:t>
      </w:r>
    </w:p>
    <w:p>
      <w:pPr>
        <w:spacing w:after="0" w:line="224"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w:t>
      </w:r>
      <w:r>
        <w:rPr>
          <w:rFonts w:ascii="Times New Roman" w:cs="Times New Roman" w:eastAsia="Times New Roman" w:hAnsi="Times New Roman"/>
          <w:sz w:val="17"/>
          <w:szCs w:val="17"/>
          <w:color w:val="auto"/>
        </w:rPr>
        <w:t>” is a standby or commercial letter of credit issued by Bank upon request of Borrower based upon an application, guarantee, indemnity, or similar agreement.</w:t>
      </w:r>
    </w:p>
    <w:p>
      <w:pPr>
        <w:spacing w:after="0" w:line="142"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w:t>
      </w:r>
      <w:r>
        <w:rPr>
          <w:rFonts w:ascii="Times New Roman" w:cs="Times New Roman" w:eastAsia="Times New Roman" w:hAnsi="Times New Roman"/>
          <w:sz w:val="17"/>
          <w:szCs w:val="17"/>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29"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 are, collectively, this Agreement and any schedules, exhibits, certificates, notices, and any other documents related to this Agreement, the Perfection Certificate, the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spacing w:after="0" w:line="17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Change</w:t>
      </w:r>
      <w:r>
        <w:rPr>
          <w:rFonts w:ascii="Times New Roman" w:cs="Times New Roman" w:eastAsia="Times New Roman" w:hAnsi="Times New Roman"/>
          <w:sz w:val="17"/>
          <w:szCs w:val="17"/>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 when such Obligations are due.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b w:val="1"/>
          <w:bCs w:val="1"/>
          <w:u w:val="single" w:color="auto"/>
          <w:color w:val="0000FF"/>
        </w:rPr>
        <w:t>Minimum Banking Requirements</w:t>
      </w:r>
      <w:r>
        <w:rPr>
          <w:rFonts w:ascii="Times New Roman" w:cs="Times New Roman" w:eastAsia="Times New Roman" w:hAnsi="Times New Roman"/>
          <w:sz w:val="17"/>
          <w:szCs w:val="17"/>
          <w:u w:val="single" w:color="auto"/>
          <w:color w:val="0000FF"/>
        </w:rPr>
        <w:t>” is defined in Section 5.9(a).</w:t>
      </w:r>
    </w:p>
    <w:p>
      <w:pPr>
        <w:spacing w:after="0" w:line="211"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17"/>
          <w:szCs w:val="17"/>
          <w:color w:val="auto"/>
        </w:rPr>
        <w:t>” means, as calculated on a consolidated basis for Borrower and its Subsidiaries for any period as at any date of determination, the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profit (or loss), after provision for taxes, of Borrower and its Subsidiaries for such period taken as a single accounting period.</w:t>
      </w:r>
    </w:p>
    <w:p>
      <w:pPr>
        <w:sectPr>
          <w:pgSz w:w="11900" w:h="16838" w:orient="portrait"/>
          <w:cols w:equalWidth="0" w:num="1">
            <w:col w:w="11240"/>
          </w:cols>
          <w:pgMar w:left="320" w:top="1380" w:right="339" w:bottom="1440" w:gutter="0" w:footer="0" w:header="0"/>
        </w:sectPr>
      </w:pPr>
    </w:p>
    <w:bookmarkStart w:id="140" w:name="page141"/>
    <w:bookmarkEnd w:id="140"/>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Revenue</w:t>
      </w:r>
      <w:r>
        <w:rPr>
          <w:rFonts w:ascii="Times New Roman" w:cs="Times New Roman" w:eastAsia="Times New Roman" w:hAnsi="Times New Roman"/>
          <w:sz w:val="17"/>
          <w:szCs w:val="17"/>
          <w:color w:val="auto"/>
        </w:rPr>
        <w:t>” means, for any period as of any date of determination, Borrower’s net revenue calculated in accordance with GAAP.</w:t>
      </w:r>
    </w:p>
    <w:p>
      <w:pPr>
        <w:spacing w:after="0" w:line="211"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xml:space="preserve">” are Borrower’s obligations to pay when due any debts, principal, interest, fees, Bank Expenses, the </w:t>
      </w:r>
      <w:r>
        <w:rPr>
          <w:rFonts w:ascii="Times New Roman" w:cs="Times New Roman" w:eastAsia="Times New Roman" w:hAnsi="Times New Roman"/>
          <w:sz w:val="17"/>
          <w:szCs w:val="17"/>
          <w:color w:val="FF0000"/>
          <w:strike w:val="1"/>
        </w:rPr>
        <w:t>Termination Fee (if applicable),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Revolving Line Commitment Fee,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Prepayment Fee (if applicable), the Final Payment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FF"/>
        </w:rPr>
        <w:t>(if applicable)</w:t>
      </w:r>
      <w:r>
        <w:rPr>
          <w:rFonts w:ascii="Times New Roman" w:cs="Times New Roman" w:eastAsia="Times New Roman" w:hAnsi="Times New Roman"/>
          <w:sz w:val="17"/>
          <w:szCs w:val="17"/>
          <w:color w:val="000000"/>
        </w:rPr>
        <w:t>, and other amounts Borrower owes Bank now or later,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whether under this Agreement, or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 (but in all cases excluding any equity interests of Bank and/or its Affiliates in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-417195</wp:posOffset>
            </wp:positionV>
            <wp:extent cx="6616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4">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is the Office of Foreign Assets Control of the United States Department of the Treasury and any successor thereto.</w:t>
      </w:r>
    </w:p>
    <w:p>
      <w:pPr>
        <w:spacing w:after="0" w:line="21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Operating Documents</w:t>
      </w:r>
      <w:r>
        <w:rPr>
          <w:rFonts w:ascii="Times New Roman" w:cs="Times New Roman" w:eastAsia="Times New Roman" w:hAnsi="Times New Roman"/>
          <w:sz w:val="17"/>
          <w:szCs w:val="17"/>
          <w:color w:val="auto"/>
        </w:rPr>
        <w:t xml:space="preserve">” are, for any Person, such Person’s formation documents, as certified by the Secretary of State (or equivalent agency) of such Person’s jurisdiction of organization on a date that is no earlier than thirty (30) days prior to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firstLine="5"/>
        <w:spacing w:after="0" w:line="272" w:lineRule="auto"/>
        <w:tabs>
          <w:tab w:leader="none" w:pos="269"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Person is a partnership or limited partnership, its partnership agreement or limited partnership agreement (or similar agreement), each of the foregoing with all current amendments or modifications thereto.</w:t>
      </w:r>
    </w:p>
    <w:p>
      <w:pPr>
        <w:spacing w:after="0" w:line="151"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Connection Taxes</w:t>
      </w:r>
      <w:r>
        <w:rPr>
          <w:rFonts w:ascii="Times New Roman" w:cs="Times New Roman" w:eastAsia="Times New Roman" w:hAnsi="Times New Roman"/>
          <w:sz w:val="17"/>
          <w:szCs w:val="17"/>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66"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Taxes</w:t>
      </w:r>
      <w:r>
        <w:rPr>
          <w:rFonts w:ascii="Times New Roman" w:cs="Times New Roman" w:eastAsia="Times New Roman" w:hAnsi="Times New Roman"/>
          <w:sz w:val="17"/>
          <w:szCs w:val="17"/>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Overadvance</w:t>
      </w:r>
      <w:r>
        <w:rPr>
          <w:rFonts w:ascii="Times New Roman" w:cs="Times New Roman" w:eastAsia="Times New Roman" w:hAnsi="Times New Roman"/>
          <w:sz w:val="17"/>
          <w:szCs w:val="17"/>
          <w:color w:val="FF0000"/>
          <w:strike w:val="1"/>
        </w:rPr>
        <w:t>” is defined in Section 1.1.B.</w:t>
      </w:r>
    </w:p>
    <w:p>
      <w:pPr>
        <w:spacing w:after="0" w:line="224"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Patents</w:t>
      </w:r>
      <w:r>
        <w:rPr>
          <w:rFonts w:ascii="Times New Roman" w:cs="Times New Roman" w:eastAsia="Times New Roman" w:hAnsi="Times New Roman"/>
          <w:sz w:val="17"/>
          <w:szCs w:val="17"/>
          <w:color w:val="auto"/>
        </w:rPr>
        <w:t>” means all patents, patent applications and like protections including without limitation improvements, divisions, continuations, renewals, reissues, extensions and continuations-in-part of the same.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Payment/Advance Form</w:t>
      </w:r>
      <w:r>
        <w:rPr>
          <w:rFonts w:ascii="Times New Roman" w:cs="Times New Roman" w:eastAsia="Times New Roman" w:hAnsi="Times New Roman"/>
          <w:sz w:val="17"/>
          <w:szCs w:val="17"/>
          <w:color w:val="auto"/>
        </w:rPr>
        <w:t>” is that certain form in the form attached hereto as Exhibit B.</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 Date</w:t>
      </w:r>
      <w:r>
        <w:rPr>
          <w:rFonts w:ascii="Times New Roman" w:cs="Times New Roman" w:eastAsia="Times New Roman" w:hAnsi="Times New Roman"/>
          <w:sz w:val="17"/>
          <w:szCs w:val="17"/>
          <w:color w:val="auto"/>
        </w:rPr>
        <w:t>” is set forth on Schedule I hereto.</w:t>
      </w:r>
    </w:p>
    <w:p>
      <w:pPr>
        <w:spacing w:after="0" w:line="211"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Perfection Certificate</w:t>
      </w:r>
      <w:r>
        <w:rPr>
          <w:rFonts w:ascii="Times New Roman" w:cs="Times New Roman" w:eastAsia="Times New Roman" w:hAnsi="Times New Roman"/>
          <w:sz w:val="17"/>
          <w:szCs w:val="17"/>
          <w:color w:val="auto"/>
        </w:rPr>
        <w:t xml:space="preserve">” is the updated Perfection Certificate delivered by Borrower on or around the </w:t>
      </w:r>
      <w:r>
        <w:rPr>
          <w:rFonts w:ascii="Times New Roman" w:cs="Times New Roman" w:eastAsia="Times New Roman" w:hAnsi="Times New Roman"/>
          <w:sz w:val="17"/>
          <w:szCs w:val="17"/>
          <w:color w:val="FF0000"/>
          <w:strike w:val="1"/>
        </w:rPr>
        <w:t>First</w:t>
      </w:r>
      <w:r>
        <w:rPr>
          <w:rFonts w:ascii="Times New Roman" w:cs="Times New Roman" w:eastAsia="Times New Roman" w:hAnsi="Times New Roman"/>
          <w:sz w:val="17"/>
          <w:szCs w:val="17"/>
          <w:u w:val="single" w:color="auto"/>
          <w:color w:val="0000FF"/>
        </w:rPr>
        <w:t>Third</w:t>
      </w:r>
      <w:r>
        <w:rPr>
          <w:rFonts w:ascii="Times New Roman" w:cs="Times New Roman" w:eastAsia="Times New Roman" w:hAnsi="Times New Roman"/>
          <w:sz w:val="17"/>
          <w:szCs w:val="17"/>
          <w:color w:val="auto"/>
        </w:rPr>
        <w:t xml:space="preserve"> Amendment Effective Date in connection with this Agreement.</w:t>
      </w:r>
    </w:p>
    <w:p>
      <w:pPr>
        <w:spacing w:after="0" w:line="129"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b w:val="1"/>
          <w:bCs w:val="1"/>
          <w:u w:val="single" w:color="auto"/>
          <w:color w:val="0000FF"/>
        </w:rPr>
        <w:t>Performance Milestone</w:t>
      </w:r>
      <w:r>
        <w:rPr>
          <w:rFonts w:ascii="Times New Roman" w:cs="Times New Roman" w:eastAsia="Times New Roman" w:hAnsi="Times New Roman"/>
          <w:sz w:val="17"/>
          <w:szCs w:val="17"/>
          <w:u w:val="single" w:color="auto"/>
          <w:color w:val="0000FF"/>
        </w:rPr>
        <w:t xml:space="preserve">” means Borrower’s delivery to Bank of evidence reasonably satisfactory to </w:t>
      </w:r>
      <w:r>
        <w:rPr>
          <w:rFonts w:ascii="Times New Roman" w:cs="Times New Roman" w:eastAsia="Times New Roman" w:hAnsi="Times New Roman"/>
          <w:sz w:val="17"/>
          <w:szCs w:val="17"/>
          <w:u w:val="single" w:color="auto"/>
          <w:color w:val="008000"/>
        </w:rPr>
        <w:t>Bank in its commercially reasonable discretion,</w:t>
      </w:r>
      <w:r>
        <w:rPr>
          <w:rFonts w:ascii="Times New Roman" w:cs="Times New Roman" w:eastAsia="Times New Roman" w:hAnsi="Times New Roman"/>
          <w:sz w:val="17"/>
          <w:szCs w:val="17"/>
          <w:u w:val="single" w:color="auto"/>
          <w:color w:val="0000FF"/>
        </w:rPr>
        <w:t xml:space="preserve"> confirming that Borrower has achieved Adjusted EBITDA of at least [***] Dollars for the trailing six (6) month period ending on June 30, 2027.</w:t>
      </w:r>
    </w:p>
    <w:p>
      <w:pPr>
        <w:spacing w:after="0" w:line="142"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b w:val="1"/>
          <w:bCs w:val="1"/>
          <w:color w:val="auto"/>
        </w:rPr>
        <w:t>“Permitted Acquisition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Permitted Acquisitions</w:t>
      </w:r>
      <w:r>
        <w:rPr>
          <w:rFonts w:ascii="Times New Roman" w:cs="Times New Roman" w:eastAsia="Times New Roman" w:hAnsi="Times New Roman"/>
          <w:sz w:val="17"/>
          <w:szCs w:val="17"/>
          <w:color w:val="auto"/>
        </w:rPr>
        <w:t>” means an acquisition by Borrower or any Subsidiary of any Intellectual Property or all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substantially all of the assets of, all of the ownership interests in, or a business line, product line (including rights in respect of any medical device) or unit or division of another Person (including any foreign corporations) for cash consideration (including any purchase price adjustments, indemnity payments and earn-out obligations in connection therewith) up to Ten Million Dollars ($10,000,000) in any fiscal year (or such greater amount as may be agreed with the prior written consent of Bank);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w:t>
      </w:r>
    </w:p>
    <w:p>
      <w:pPr>
        <w:sectPr>
          <w:pgSz w:w="11900" w:h="16838" w:orient="portrait"/>
          <w:cols w:equalWidth="0" w:num="1">
            <w:col w:w="11240"/>
          </w:cols>
          <w:pgMar w:left="320" w:top="137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color w:val="auto"/>
        </w:rPr>
        <w:t>each such acquisition, each of the following conditions shall have been satisfied (or waived by Bank, acting in its commercially reasonable discretion):</w:t>
      </w:r>
    </w:p>
    <w:p>
      <w:pPr>
        <w:spacing w:after="0" w:line="250" w:lineRule="exact"/>
        <w:rPr>
          <w:sz w:val="20"/>
          <w:szCs w:val="20"/>
          <w:color w:val="auto"/>
        </w:rPr>
      </w:pPr>
    </w:p>
    <w:p>
      <w:pPr>
        <w:jc w:val="both"/>
        <w:ind w:firstLine="1264"/>
        <w:spacing w:after="0" w:line="289" w:lineRule="auto"/>
        <w:tabs>
          <w:tab w:leader="none" w:pos="188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shall have occurred and be continuing or would result from the consummation of the proposed acquisition and Bank has received evidence that Borrower is in compliance with all terms and conditions of this Agreement on a pro forma basis after giving effect to such acquisition,</w:t>
      </w:r>
    </w:p>
    <w:p>
      <w:pPr>
        <w:spacing w:after="0" w:line="368"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acquired Person or assets shall be in a similar line of business as is conducted by Borrower as of the Effective Date (or a line of business reasonably related thereto),</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shall not cause the focus or locations of Borrower’s and its Subsidiaries’ operations (when taken as a whole) to be located outside of the United States,</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shall not constitute a hostile acquisition,</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acquired as a result of such acquisition shall become a secured Guarantor (or co-borrower) subject to the terms herein, within fifteen (15) Business Days of the consummation of such acquisition,</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79"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such acquisition, neither Borrower nor any of its subsidiaries (including for this purpose, the target of the acquisition) shall acquire or be subject to any Indebtedness or Liens that are not otherwise permitted hereunder;</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provide Bank with written notice of the proposed acquisition at least five (5) Business Days prior to the anticipated signing, commitment, or closing date of the proposed acquisition, whichever occurs first;</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provide to the Bank not later than five (5) Business Days after the execution thereof, a copy of the executed purchase agreement or similar agreement with respect to any such acquisition;</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has been approved by the board of directors (or other equivalent legally governing body) of the Person to be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w:t>
      </w:r>
    </w:p>
    <w:p>
      <w:pPr>
        <w:spacing w:after="0" w:line="206" w:lineRule="exact"/>
        <w:rPr>
          <w:rFonts w:ascii="Times New Roman" w:cs="Times New Roman" w:eastAsia="Times New Roman" w:hAnsi="Times New Roman"/>
          <w:sz w:val="17"/>
          <w:szCs w:val="17"/>
          <w:color w:val="auto"/>
        </w:rPr>
      </w:pPr>
    </w:p>
    <w:p>
      <w:pPr>
        <w:ind w:firstLine="1264"/>
        <w:spacing w:after="0" w:line="297" w:lineRule="auto"/>
        <w:tabs>
          <w:tab w:leader="none" w:pos="188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or assets to be acquired in such acquisition shall not be subject to any Lien other (x) the first priority Liens granted in favor of Bank and (y) Permitted Liens;</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transactions related to such acquisition shall be consummated in all material respects in accordance with applicable law; and</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provide to the Bank as soon as available but in any event not later than five (5) Business Days after the execution thereof, a copy of the executed purchase agreement or similar agreement with respect to any such acquisition.</w:t>
      </w:r>
    </w:p>
    <w:p>
      <w:pPr>
        <w:spacing w:after="0" w:line="14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Borrower shall provide to the Bank as soon as available but in any event not later than five (5) Business Days after the execution thereof a certificate of a Responsible Officer of Borrower, in form and substance reasonably satisfactory to Bank, certifying that all of the requirements set forth in this definition have been satisfied or will be satisfied on or prior to the consummation of such acquisition. Notwithstanding the foregoing and for the avoidance of doubt, in no event shall Borrower or any of its Subsidiaries assume any liabilities with respect to any acquisition, including without limitation, any Permitted Indebtedness, in excess of Fifteen Million Dollars ($15,000,000) in aggregate outstanding at any time for such Permitted Acquisitions.</w:t>
      </w:r>
    </w:p>
    <w:p>
      <w:pPr>
        <w:spacing w:after="0" w:line="196"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Call Spread Agreements</w:t>
      </w:r>
      <w:r>
        <w:rPr>
          <w:rFonts w:ascii="Times New Roman" w:cs="Times New Roman" w:eastAsia="Times New Roman" w:hAnsi="Times New Roman"/>
          <w:sz w:val="17"/>
          <w:szCs w:val="17"/>
          <w:color w:val="auto"/>
        </w:rPr>
        <w:t>” 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w:t>
      </w:r>
    </w:p>
    <w:p>
      <w:pPr>
        <w:sectPr>
          <w:pgSz w:w="11900" w:h="16838" w:orient="portrait"/>
          <w:cols w:equalWidth="0" w:num="1">
            <w:col w:w="11240"/>
          </w:cols>
          <w:pgMar w:left="320" w:top="1380" w:right="339" w:bottom="1440" w:gutter="0" w:footer="0" w:header="0"/>
        </w:sectPr>
      </w:pPr>
    </w:p>
    <w:bookmarkStart w:id="142" w:name="page143"/>
    <w:bookmarkEnd w:id="142"/>
    <w:p>
      <w:pPr>
        <w:jc w:val="both"/>
        <w:spacing w:after="0" w:line="261" w:lineRule="auto"/>
        <w:rPr>
          <w:sz w:val="20"/>
          <w:szCs w:val="20"/>
          <w:color w:val="auto"/>
        </w:rPr>
      </w:pPr>
      <w:r>
        <w:rPr>
          <w:rFonts w:ascii="Times New Roman" w:cs="Times New Roman" w:eastAsia="Times New Roman" w:hAnsi="Times New Roman"/>
          <w:sz w:val="17"/>
          <w:szCs w:val="17"/>
          <w:color w:val="auto"/>
        </w:rPr>
        <w:t>property following a merger event or other change of the common stock of the Borrower), the cash value thereof or a combination thereof from time to time upon exercise of such option entered into by the Borrower in connection with the issuance of Permitted Convertible Debt (such transaction, a “</w:t>
      </w:r>
      <w:r>
        <w:rPr>
          <w:rFonts w:ascii="Times New Roman" w:cs="Times New Roman" w:eastAsia="Times New Roman" w:hAnsi="Times New Roman"/>
          <w:sz w:val="17"/>
          <w:szCs w:val="17"/>
          <w:b w:val="1"/>
          <w:bCs w:val="1"/>
          <w:color w:val="auto"/>
        </w:rPr>
        <w:t>Bond Hedge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and (b) any issued warrants to acquire common stock of the Borrower (or other securities or property following a merger event or other 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common stock of the Borrower) (whether such warrant is settled in shares, cash or a combination thereof) issued by the Borrower in connection with the issuance of Permitted Convertible Debt and sold by Borrower substantially concurrently with any purchase by Borrower of a Bond Hedge Transaction and settled in (such transaction, a “</w:t>
      </w:r>
      <w:r>
        <w:rPr>
          <w:rFonts w:ascii="Times New Roman" w:cs="Times New Roman" w:eastAsia="Times New Roman" w:hAnsi="Times New Roman"/>
          <w:sz w:val="17"/>
          <w:szCs w:val="17"/>
          <w:b w:val="1"/>
          <w:bCs w:val="1"/>
          <w:color w:val="auto"/>
        </w:rPr>
        <w:t>Warrant Transaction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terms, conditions and covenants of each such call option transaction are customary for agreements of such type, as determined by the Board (or a committee thereof) in good faith, (ii) the purchase price for such Bond Hedge Transaction, less the proceeds received by the Borrower from the sale of any related Warrant Transaction, does not exceed the net proceeds received by the Borrower from the issuance of the related Permitted Convertible Indebtedness at the time of such purchase, and (iii) in the case of clause (b) above, such warrants would be classified as an equity instrument in accordance with GAAP.</w:t>
      </w:r>
    </w:p>
    <w:p>
      <w:pPr>
        <w:spacing w:after="0" w:line="206" w:lineRule="exact"/>
        <w:rPr>
          <w:sz w:val="20"/>
          <w:szCs w:val="20"/>
          <w:color w:val="auto"/>
        </w:rPr>
      </w:pPr>
    </w:p>
    <w:p>
      <w:pPr>
        <w:jc w:val="both"/>
        <w:ind w:right="160" w:firstLine="62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Convertible Debt</w:t>
      </w:r>
      <w:r>
        <w:rPr>
          <w:rFonts w:ascii="Times New Roman" w:cs="Times New Roman" w:eastAsia="Times New Roman" w:hAnsi="Times New Roman"/>
          <w:sz w:val="17"/>
          <w:szCs w:val="17"/>
          <w:color w:val="auto"/>
        </w:rPr>
        <w:t xml:space="preserve">” means any unsecured notes issued by the Borrower that are convertible into a fixed number (subject to customary anti-dilution adjustments, “make-whole” increases and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Indebtedness must satisfy each of the following conditions: (i) both immediately prior to and after giving effect (including pro forma effect) to the issuance thereof, no Default or Event of Default shall exist or result therefrom, (ii) such Indebtedness matures after, and does not require any scheduled amortization or other scheduled or otherwise required payments of principal prior to, or have a scheduled maturity date earlier than, the date that is ninety one (91) calendar days after the Term Loan Maturity Date and prior to that date, does not provide for or require any payments of principal or any other payments with the exception of semi-annual interest payments, obligations to settle conversions, redemption rights (which, for the avoidance of doubt, will be subject to Section 6.7) and customary obligations to offer to repurchase the notes upon the occurrence of a “fundamental change”,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 w:cs="Times New Roman" w:eastAsia="Times New Roman" w:hAnsi="Times New Roman"/>
          <w:sz w:val="17"/>
          <w:szCs w:val="17"/>
          <w:b w:val="1"/>
          <w:bCs w:val="1"/>
          <w:color w:val="auto"/>
        </w:rPr>
        <w:t>Cross-Default Reference Obligation</w:t>
      </w:r>
      <w:r>
        <w:rPr>
          <w:rFonts w:ascii="Times New Roman" w:cs="Times New Roman" w:eastAsia="Times New Roman" w:hAnsi="Times New Roman"/>
          <w:sz w:val="17"/>
          <w:szCs w:val="17"/>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(other than pricing terms determined through a customary marketing process) of such Indebtedness must be customary for convertible Indebtedness of such type at the time of issuance (as determined by the Board, or a committee thereof, in good faith) and, (v) such Indebtedness is not guaranteed by any Subsidiary of the Borrower unless the Obligations are guaranteed by such Subsidiary on a secured basis. For the avoidance of doubt, and without limitation of the foregoing, Permitted Convertible Debt shall at all times be valued at the full stated principle amount thereof and shall not include any reduction or appreciation in value of the shares deliverable upon conversion thereof.</w:t>
      </w:r>
    </w:p>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Foreign Subsidiary Accounts</w:t>
      </w:r>
      <w:r>
        <w:rPr>
          <w:rFonts w:ascii="Times New Roman" w:cs="Times New Roman" w:eastAsia="Times New Roman" w:hAnsi="Times New Roman"/>
          <w:sz w:val="17"/>
          <w:szCs w:val="17"/>
          <w:color w:val="auto"/>
        </w:rPr>
        <w:t>” is defined in Section 5.9(a).</w:t>
      </w:r>
    </w:p>
    <w:p>
      <w:pPr>
        <w:spacing w:after="0" w:line="211"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Hedging Agreement</w:t>
      </w:r>
      <w:r>
        <w:rPr>
          <w:rFonts w:ascii="Times New Roman" w:cs="Times New Roman" w:eastAsia="Times New Roman" w:hAnsi="Times New Roman"/>
          <w:sz w:val="17"/>
          <w:szCs w:val="17"/>
          <w:color w:val="auto"/>
        </w:rPr>
        <w:t xml:space="preserve">” means any currency agreement, all rate swap transactions or other contract or arrangement designed solely to protect a Person against fluctuations in currency exchange rates and interest rate risk, and any confirmation executed in connection with any such agreement, contract, or arrangement, in each case, entered into by Borrower or any of its Subsidiaries solely to hedge or mitigate the risks of foreign exchange rate fluctuations and interest rate risk and not for any speculative or other purposes;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agreement, contract or arrangement shall comply in all respects with the hedging policies or guidelines as are approved by the Board or as are approved by Bank (such approval not to be unreasonably withheld, delayed or conditioned);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all accrued and reasonably expected liabilities of Borrower or its Subsidiaries arising under Permitted Hedging Agreements shall not exceed One Million Dollars ($1,000,000) in the aggregate at</w:t>
      </w:r>
    </w:p>
    <w:p>
      <w:pPr>
        <w:sectPr>
          <w:pgSz w:w="11900" w:h="16838" w:orient="portrait"/>
          <w:cols w:equalWidth="0" w:num="1">
            <w:col w:w="11240"/>
          </w:cols>
          <w:pgMar w:left="320" w:top="138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color w:val="auto"/>
        </w:rPr>
        <w:t>any time. For the avoidance of doubt, no Permitted Call Spread Agreement shall constitute a Permitted Hedging Agreement.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Indebtedness</w:t>
      </w:r>
      <w:r>
        <w:rPr>
          <w:rFonts w:ascii="Times New Roman" w:cs="Times New Roman" w:eastAsia="Times New Roman" w:hAnsi="Times New Roman"/>
          <w:sz w:val="17"/>
          <w:szCs w:val="17"/>
          <w:color w:val="auto"/>
        </w:rPr>
        <w:t>” is:</w:t>
      </w:r>
    </w:p>
    <w:p>
      <w:pPr>
        <w:spacing w:after="0" w:line="213" w:lineRule="exact"/>
        <w:rPr>
          <w:sz w:val="20"/>
          <w:szCs w:val="20"/>
          <w:color w:val="auto"/>
        </w:rPr>
      </w:pPr>
    </w:p>
    <w:p>
      <w:pPr>
        <w:ind w:left="1900" w:hanging="636"/>
        <w:spacing w:after="0"/>
        <w:tabs>
          <w:tab w:leader="none" w:pos="190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Indebtedness to Bank under this Agreement, the other Loan Documents and under any other agreement with Bank;</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existing on the Effective Date which is shown on the Perfection Certificate;</w:t>
      </w:r>
    </w:p>
    <w:p>
      <w:pPr>
        <w:spacing w:after="0" w:line="224"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Subordinated Debt;</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Indebtedness to trade creditors incurred in the ordinary course of business;</w:t>
      </w:r>
    </w:p>
    <w:p>
      <w:pPr>
        <w:spacing w:after="0" w:line="224" w:lineRule="exact"/>
        <w:rPr>
          <w:rFonts w:ascii="Times New Roman" w:cs="Times New Roman" w:eastAsia="Times New Roman" w:hAnsi="Times New Roman"/>
          <w:sz w:val="17"/>
          <w:szCs w:val="17"/>
          <w:color w:val="auto"/>
        </w:rPr>
      </w:pPr>
    </w:p>
    <w:p>
      <w:pPr>
        <w:ind w:left="1900" w:hanging="636"/>
        <w:spacing w:after="0"/>
        <w:tabs>
          <w:tab w:leader="none" w:pos="190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incurred as a result of endorsing negotiable instruments received in the ordinary course of business;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secured by Liens permitted under clauses (a) and (c) of the definition of “Permitted Liens” hereunder;</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unsecured Indebtedness not otherwise permitted by Section 6.4 not exceeding Two Hundred Fifty Thousand Dollars ($250,000.00) in the aggregate outstanding at any time;</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with respect to credit cards maintained with American Express, not to exceed Five Hundred Thousand Dollars ($500,000) outstanding at any time;</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Hedging Agreements;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Indebtedness by and among Borrower and its Subsidiaries (subject to “Permitted Investments” part (g)(i);</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letters of credit, bank guarantees and similar instruments issued for the account of Borrower and/or its Subsidiaries in the ordinary course of business not to exceed Seven Hundred Fifty Thousand Dollars ($750,000) outstanding at any time;</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advances or deposits received in the ordinary course of business from customers or vendors;</w:t>
      </w:r>
    </w:p>
    <w:p>
      <w:pPr>
        <w:spacing w:after="0" w:line="224"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7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 Indebtedness arising in connection with automated clearing house transfer of funds or the use of other payment processing services;</w:t>
      </w:r>
    </w:p>
    <w:p>
      <w:pPr>
        <w:spacing w:after="0" w:line="162"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in connection with the financing of insurance premiums in the ordinary course of business not to exceed Seven Hundred Fifty Thousand Dollars ($750,000) outstanding at any time;</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performance bonds, bid bonds, appeal bonds, surety bonds, completion guarantees and similar obligations arising in the ordinary course of business not to exceed Seven Hundred Fifty Thousand Dollars ($750,000) in the aggregate outstanding at any time;</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Indebtedness in connection with Permitted Acquisitions, not to exceed Fifteen Million Dollars ($15,000,000) in aggregate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at any time;</w:t>
      </w:r>
    </w:p>
    <w:p>
      <w:pPr>
        <w:sectPr>
          <w:pgSz w:w="11900" w:h="16838" w:orient="portrait"/>
          <w:cols w:equalWidth="0" w:num="1">
            <w:col w:w="11240"/>
          </w:cols>
          <w:pgMar w:left="320" w:top="1380" w:right="339" w:bottom="1440" w:gutter="0" w:footer="0" w:header="0"/>
        </w:sectPr>
      </w:pPr>
    </w:p>
    <w:bookmarkStart w:id="144" w:name="page145"/>
    <w:bookmarkEnd w:id="144"/>
    <w:p>
      <w:pPr>
        <w:ind w:left="-640" w:firstLine="1264"/>
        <w:spacing w:after="0" w:line="297" w:lineRule="auto"/>
        <w:tabs>
          <w:tab w:leader="none" w:pos="1242"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Convertible Debt in aggregate principal amount not to exceed Two Hundred Fifty Million Dollars ($250,000,000) in principal amount at any time outstanding;</w:t>
      </w:r>
    </w:p>
    <w:p>
      <w:pPr>
        <w:spacing w:after="0" w:line="145" w:lineRule="exact"/>
        <w:rPr>
          <w:rFonts w:ascii="Times New Roman" w:cs="Times New Roman" w:eastAsia="Times New Roman" w:hAnsi="Times New Roman"/>
          <w:sz w:val="17"/>
          <w:szCs w:val="17"/>
          <w:color w:val="auto"/>
        </w:rPr>
      </w:pPr>
    </w:p>
    <w:p>
      <w:pPr>
        <w:ind w:left="-640" w:firstLine="1264"/>
        <w:spacing w:after="0" w:line="297" w:lineRule="auto"/>
        <w:tabs>
          <w:tab w:leader="none" w:pos="1239"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Borrower’s Subsidiaries in connection with the sale of Inventory by Borrower to its Subsidiaries in the ordinary course of business, which may from time to time be forgiven by Borrower;</w:t>
      </w:r>
    </w:p>
    <w:p>
      <w:pPr>
        <w:spacing w:after="0" w:line="145" w:lineRule="exact"/>
        <w:rPr>
          <w:rFonts w:ascii="Times New Roman" w:cs="Times New Roman" w:eastAsia="Times New Roman" w:hAnsi="Times New Roman"/>
          <w:sz w:val="17"/>
          <w:szCs w:val="17"/>
          <w:color w:val="auto"/>
        </w:rPr>
      </w:pPr>
    </w:p>
    <w:p>
      <w:pPr>
        <w:ind w:left="-640" w:firstLine="1264"/>
        <w:spacing w:after="0" w:line="297" w:lineRule="auto"/>
        <w:tabs>
          <w:tab w:leader="none" w:pos="123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price adjustments, indemnity payments and earn-out obligations in connection with any Permitted Acquisition (to the extent not in excess of the consideration limitations set forth in the definition thereof); and</w:t>
      </w:r>
    </w:p>
    <w:p>
      <w:pPr>
        <w:spacing w:after="0" w:line="145" w:lineRule="exact"/>
        <w:rPr>
          <w:rFonts w:ascii="Times New Roman" w:cs="Times New Roman" w:eastAsia="Times New Roman" w:hAnsi="Times New Roman"/>
          <w:sz w:val="17"/>
          <w:szCs w:val="17"/>
          <w:color w:val="auto"/>
        </w:rPr>
      </w:pPr>
    </w:p>
    <w:p>
      <w:pPr>
        <w:jc w:val="both"/>
        <w:ind w:left="-640" w:firstLine="1264"/>
        <w:spacing w:after="0" w:line="277" w:lineRule="auto"/>
        <w:tabs>
          <w:tab w:leader="none" w:pos="1243"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extensions, refinancings, modifications, amendments and restatements of any items of Permitted Indebtedness (a) through (s) above, provided that the principal amount thereof is not increased or the terms thereof are not modified to impose more burdensome terms upon Borrower or its Subsidiary, as the case may be.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Investments</w:t>
      </w:r>
      <w:r>
        <w:rPr>
          <w:rFonts w:ascii="Times New Roman" w:cs="Times New Roman" w:eastAsia="Times New Roman" w:hAnsi="Times New Roman"/>
          <w:sz w:val="17"/>
          <w:szCs w:val="17"/>
          <w:color w:val="auto"/>
        </w:rPr>
        <w:t>” are:</w:t>
      </w:r>
    </w:p>
    <w:p>
      <w:pPr>
        <w:spacing w:after="0" w:line="213" w:lineRule="exact"/>
        <w:rPr>
          <w:sz w:val="20"/>
          <w:szCs w:val="20"/>
          <w:color w:val="auto"/>
        </w:rPr>
      </w:pPr>
    </w:p>
    <w:p>
      <w:pPr>
        <w:ind w:left="1160" w:hanging="536"/>
        <w:spacing w:after="0"/>
        <w:tabs>
          <w:tab w:leader="none" w:pos="116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without limitation, Subsidiaries) existing on the Effective Date which are shown on the Perfection Certificate;</w:t>
      </w:r>
    </w:p>
    <w:p>
      <w:pPr>
        <w:spacing w:after="0" w:line="224" w:lineRule="exact"/>
        <w:rPr>
          <w:rFonts w:ascii="Times New Roman" w:cs="Times New Roman" w:eastAsia="Times New Roman" w:hAnsi="Times New Roman"/>
          <w:sz w:val="17"/>
          <w:szCs w:val="17"/>
          <w:color w:val="auto"/>
        </w:rPr>
      </w:pPr>
    </w:p>
    <w:p>
      <w:pPr>
        <w:jc w:val="both"/>
        <w:ind w:left="-640" w:firstLine="1264"/>
        <w:spacing w:after="0" w:line="277" w:lineRule="auto"/>
        <w:tabs>
          <w:tab w:leader="none" w:pos="1242"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Investments consisting of cash and Cash Equivalents, and (ii) any other Investments permitted by Borrower’s investment policy, as amended from time to time, provided that such investment policy (and any such amendment thereto) has been approved in writing by Bank, further provided that Bank hereby confirms approval of such investment policy delivered to Bank around the Effective Date;</w:t>
      </w:r>
    </w:p>
    <w:p>
      <w:pPr>
        <w:spacing w:after="0" w:line="162" w:lineRule="exact"/>
        <w:rPr>
          <w:rFonts w:ascii="Times New Roman" w:cs="Times New Roman" w:eastAsia="Times New Roman" w:hAnsi="Times New Roman"/>
          <w:sz w:val="17"/>
          <w:szCs w:val="17"/>
          <w:color w:val="auto"/>
        </w:rPr>
      </w:pPr>
    </w:p>
    <w:p>
      <w:pPr>
        <w:ind w:left="-640" w:firstLine="1264"/>
        <w:spacing w:after="0" w:line="297" w:lineRule="auto"/>
        <w:tabs>
          <w:tab w:leader="none" w:pos="1245"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the endorsement of negotiable instruments for deposit or collection or similar transactions in the ordinary course of Borrower’s business;</w:t>
      </w:r>
    </w:p>
    <w:p>
      <w:pPr>
        <w:spacing w:after="0" w:line="145" w:lineRule="exact"/>
        <w:rPr>
          <w:rFonts w:ascii="Times New Roman" w:cs="Times New Roman" w:eastAsia="Times New Roman" w:hAnsi="Times New Roman"/>
          <w:sz w:val="17"/>
          <w:szCs w:val="17"/>
          <w:color w:val="auto"/>
        </w:rPr>
      </w:pPr>
    </w:p>
    <w:p>
      <w:pPr>
        <w:jc w:val="both"/>
        <w:ind w:left="-640" w:firstLine="1264"/>
        <w:spacing w:after="0" w:line="277" w:lineRule="auto"/>
        <w:tabs>
          <w:tab w:leader="none" w:pos="1242"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deposit and securities accounts (but only to the extent that Borrower or its Subsidiaries is permitted to maintain such accounts pursuant to Section 5.9 of this Agreement) in which Bank has a first priority perfected security interest (only if and to the extent required pursuant to Section 5.9 of this Agreement);</w:t>
      </w:r>
    </w:p>
    <w:p>
      <w:pPr>
        <w:spacing w:after="0" w:line="162" w:lineRule="exact"/>
        <w:rPr>
          <w:rFonts w:ascii="Times New Roman" w:cs="Times New Roman" w:eastAsia="Times New Roman" w:hAnsi="Times New Roman"/>
          <w:sz w:val="17"/>
          <w:szCs w:val="17"/>
          <w:color w:val="auto"/>
        </w:rPr>
      </w:pPr>
    </w:p>
    <w:p>
      <w:pPr>
        <w:ind w:left="1260" w:hanging="636"/>
        <w:spacing w:after="0"/>
        <w:tabs>
          <w:tab w:leader="none" w:pos="126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accepted in connection with Transfers permitted by Section 6.1;</w:t>
      </w:r>
    </w:p>
    <w:p>
      <w:pPr>
        <w:spacing w:after="0" w:line="224" w:lineRule="exact"/>
        <w:rPr>
          <w:rFonts w:ascii="Times New Roman" w:cs="Times New Roman" w:eastAsia="Times New Roman" w:hAnsi="Times New Roman"/>
          <w:sz w:val="17"/>
          <w:szCs w:val="17"/>
          <w:color w:val="auto"/>
        </w:rPr>
      </w:pPr>
    </w:p>
    <w:p>
      <w:pPr>
        <w:ind w:left="-640" w:firstLine="1264"/>
        <w:spacing w:after="0" w:line="297" w:lineRule="auto"/>
        <w:tabs>
          <w:tab w:leader="none" w:pos="123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the creation of a Subsidiary for the purpose of consummating a merger transactions and Permitted Acquisitions permitted by Section 6.3 of this Agreement, which is otherwise a Permitted Investment;</w:t>
      </w:r>
    </w:p>
    <w:p>
      <w:pPr>
        <w:spacing w:after="0" w:line="145" w:lineRule="exact"/>
        <w:rPr>
          <w:rFonts w:ascii="Times New Roman" w:cs="Times New Roman" w:eastAsia="Times New Roman" w:hAnsi="Times New Roman"/>
          <w:sz w:val="17"/>
          <w:szCs w:val="17"/>
          <w:color w:val="auto"/>
        </w:rPr>
      </w:pPr>
    </w:p>
    <w:p>
      <w:pPr>
        <w:jc w:val="both"/>
        <w:ind w:left="-640" w:firstLine="1264"/>
        <w:spacing w:after="0" w:line="270" w:lineRule="auto"/>
        <w:tabs>
          <w:tab w:leader="none" w:pos="1242"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Borrower in Subsidiaries that are not borrowers hereunder (or Guarantors), not to exceed (i) (x) Seven Million Five Hundred Thousand Dollars ($7,500,000) in the aggregate in any fiscal year; and (y) Three Million Dollars ($3,000,000) in any fiscal quarter, plus (ii) the ongoing day-to-day operations of such Subsidiaries in the ordinary course of business, so long as such (part (ii)) Investments are (A) made on a cost-plus basis, or (B) otherwise in accordance with transfer pricing arrangements, or (C) are otherwise approved in advance in writing by Bank;</w:t>
      </w:r>
    </w:p>
    <w:p>
      <w:pPr>
        <w:spacing w:after="0" w:line="169"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Borrower in any other co-borrower under this Agreement or Guarantor;</w:t>
      </w:r>
    </w:p>
    <w:p>
      <w:pPr>
        <w:spacing w:after="0" w:line="224" w:lineRule="exact"/>
        <w:rPr>
          <w:rFonts w:ascii="Times New Roman" w:cs="Times New Roman" w:eastAsia="Times New Roman" w:hAnsi="Times New Roman"/>
          <w:sz w:val="17"/>
          <w:szCs w:val="17"/>
          <w:color w:val="auto"/>
        </w:rPr>
      </w:pPr>
    </w:p>
    <w:p>
      <w:pPr>
        <w:jc w:val="both"/>
        <w:ind w:left="-640" w:firstLine="1264"/>
        <w:spacing w:after="0" w:line="277" w:lineRule="auto"/>
        <w:tabs>
          <w:tab w:leader="none" w:pos="1243"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ectPr>
          <w:pgSz w:w="11900" w:h="16838" w:orient="portrait"/>
          <w:cols w:equalWidth="0" w:num="1">
            <w:col w:w="10600"/>
          </w:cols>
          <w:pgMar w:left="960" w:top="1380" w:right="339" w:bottom="1440" w:gutter="0" w:footer="0" w:header="0"/>
        </w:sectPr>
      </w:pPr>
    </w:p>
    <w:bookmarkStart w:id="145" w:name="page146"/>
    <w:bookmarkEnd w:id="145"/>
    <w:p>
      <w:pPr>
        <w:ind w:firstLine="1264"/>
        <w:spacing w:after="0" w:line="297" w:lineRule="auto"/>
        <w:tabs>
          <w:tab w:leader="none" w:pos="1883"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3"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Cash investments of up to One Million Dollars ($1,000,000) per fiscal year,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non-cash Investments in joint ventures or strategic alliances in the ordinary course of Borrower’s business consisting of the non-exclusive licensing of technology, the development of technology or the providing of technical support;</w:t>
      </w:r>
    </w:p>
    <w:p>
      <w:pPr>
        <w:spacing w:after="0" w:line="162"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Permitted Call Spread Agreements;</w:t>
      </w:r>
    </w:p>
    <w:p>
      <w:pPr>
        <w:spacing w:after="0" w:line="224"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Acquisitions;</w:t>
      </w:r>
    </w:p>
    <w:p>
      <w:pPr>
        <w:spacing w:after="0" w:line="224"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not to exceed Five Million Dollars ($5,000,000) per fiscal year to fund the expansion of Borrower and/or its Subsidiaries in (i) Japan, and/or (ii) any other jurisdiction as may be agreed by Bank (in its commercially reasonable discretion) and Borrower; and</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Investments not otherwise enumerated in this defined term “Permitted Investments” not exceeding Five Hundred Thousand Dollars ($500,000) in the aggregate during any fiscal year.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are:</w:t>
      </w:r>
    </w:p>
    <w:p>
      <w:pPr>
        <w:spacing w:after="0" w:line="213" w:lineRule="exact"/>
        <w:rPr>
          <w:sz w:val="20"/>
          <w:szCs w:val="20"/>
          <w:color w:val="auto"/>
        </w:rPr>
      </w:pPr>
    </w:p>
    <w:p>
      <w:pPr>
        <w:ind w:left="1900" w:hanging="636"/>
        <w:spacing w:after="0"/>
        <w:tabs>
          <w:tab w:leader="none" w:pos="190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existing on the Effective Date which are shown on the Perfection Certificate or arising under this Agreement or the other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w:t>
      </w:r>
    </w:p>
    <w:p>
      <w:pPr>
        <w:spacing w:after="0" w:line="206" w:lineRule="exact"/>
        <w:rPr>
          <w:sz w:val="20"/>
          <w:szCs w:val="20"/>
          <w:color w:val="auto"/>
        </w:rPr>
      </w:pPr>
    </w:p>
    <w:p>
      <w:pPr>
        <w:jc w:val="both"/>
        <w:ind w:firstLine="1264"/>
        <w:spacing w:after="0" w:line="277" w:lineRule="auto"/>
        <w:tabs>
          <w:tab w:leader="none" w:pos="1882"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62"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money Liens and equipment liens (i) on Equipment or software acquired or held by Borrower incurred for financing the acquisition of the Equipment or software securing no more than One Million Dollars ($1,000,000) in the aggregate amount outstanding, or (ii) existing on Equipment or software when acquired, if the Lien is confined to the property and improvements and the proceeds of the Equipment or software;</w:t>
      </w:r>
    </w:p>
    <w:p>
      <w:pPr>
        <w:spacing w:after="0" w:line="162" w:lineRule="exact"/>
        <w:rPr>
          <w:rFonts w:ascii="Times New Roman" w:cs="Times New Roman" w:eastAsia="Times New Roman" w:hAnsi="Times New Roman"/>
          <w:sz w:val="17"/>
          <w:szCs w:val="17"/>
          <w:color w:val="auto"/>
        </w:rPr>
      </w:pPr>
    </w:p>
    <w:p>
      <w:pPr>
        <w:jc w:val="both"/>
        <w:ind w:firstLine="1264"/>
        <w:spacing w:after="0" w:line="270" w:lineRule="auto"/>
        <w:tabs>
          <w:tab w:leader="none" w:pos="1882"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69" w:lineRule="exact"/>
        <w:rPr>
          <w:rFonts w:ascii="Times New Roman" w:cs="Times New Roman" w:eastAsia="Times New Roman" w:hAnsi="Times New Roman"/>
          <w:sz w:val="17"/>
          <w:szCs w:val="17"/>
          <w:color w:val="auto"/>
        </w:rPr>
      </w:pPr>
    </w:p>
    <w:p>
      <w:pPr>
        <w:ind w:firstLine="1264"/>
        <w:spacing w:after="0" w:line="297" w:lineRule="auto"/>
        <w:tabs>
          <w:tab w:leader="none" w:pos="188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79"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62"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2"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w:t>
      </w:r>
    </w:p>
    <w:p>
      <w:pPr>
        <w:sectPr>
          <w:pgSz w:w="11900" w:h="16838" w:orient="portrait"/>
          <w:cols w:equalWidth="0" w:num="1">
            <w:col w:w="11240"/>
          </w:cols>
          <w:pgMar w:left="320" w:top="1380" w:right="339" w:bottom="1440" w:gutter="0" w:footer="0" w:header="0"/>
        </w:sectPr>
      </w:pPr>
    </w:p>
    <w:bookmarkStart w:id="146" w:name="page147"/>
    <w:bookmarkEnd w:id="146"/>
    <w:p>
      <w:pPr>
        <w:spacing w:after="0" w:line="297" w:lineRule="auto"/>
        <w:rPr>
          <w:sz w:val="20"/>
          <w:szCs w:val="20"/>
          <w:color w:val="auto"/>
        </w:rPr>
      </w:pPr>
      <w:r>
        <w:rPr>
          <w:rFonts w:ascii="Times New Roman" w:cs="Times New Roman" w:eastAsia="Times New Roman" w:hAnsi="Times New Roman"/>
          <w:sz w:val="17"/>
          <w:szCs w:val="17"/>
          <w:color w:val="auto"/>
        </w:rPr>
        <w:t>course of Borrower’s business (or, if referring to another Person, in the ordinary course of such Person’s business), if the leases, subleases, licenses and sublicenses do not prohibit granting Bank a security interest therein;</w:t>
      </w:r>
    </w:p>
    <w:p>
      <w:pPr>
        <w:spacing w:after="0" w:line="146" w:lineRule="exact"/>
        <w:rPr>
          <w:sz w:val="20"/>
          <w:szCs w:val="20"/>
          <w:color w:val="auto"/>
        </w:rPr>
      </w:pPr>
    </w:p>
    <w:p>
      <w:pPr>
        <w:jc w:val="both"/>
        <w:ind w:firstLine="1264"/>
        <w:spacing w:after="0" w:line="274" w:lineRule="auto"/>
        <w:tabs>
          <w:tab w:leader="none" w:pos="188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non-exclusive licenses of Intellectual Property granted to third parties in the ordinary course of business, (ii) licenses of Intellectual Property that could not reasonably be expected to result in a legal transfer of title of the licensed property that may be exclusive in respects of territory (as to discreet geographical areas inside and outside of the United States), and (iii) licenses existing on the Effective Date and disclosed on the Perfection Certificate;</w:t>
      </w:r>
    </w:p>
    <w:p>
      <w:pPr>
        <w:spacing w:after="0" w:line="379"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3"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Liens of any bank in connection with statutory, common law and contractual rights of setoff and recoupment with respect to any deposit account or securities account of Borrower, provided that (i) Bank has a first priority perfected security interest in such account (if perfection is required pursuant to Section 5.9 of this Agreement), and (ii) such account is permitted to be maintained pursuant to Section 5.9 of this Agreement;</w:t>
      </w:r>
    </w:p>
    <w:p>
      <w:pPr>
        <w:spacing w:after="0" w:line="162"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from attachments or judgments, orders, or decrees in circumstances not constituting an Event of Default under Sections</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7.7;</w:t>
      </w:r>
    </w:p>
    <w:p>
      <w:pPr>
        <w:spacing w:after="0" w:line="206"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deposits under real property leases that are made in the ordinary course of business not to exceed Seven Hundred Fifty Thousand Dollars ($750,000) at any time;</w:t>
      </w:r>
    </w:p>
    <w:p>
      <w:pPr>
        <w:spacing w:after="0" w:line="145" w:lineRule="exact"/>
        <w:rPr>
          <w:rFonts w:ascii="Times New Roman" w:cs="Times New Roman" w:eastAsia="Times New Roman" w:hAnsi="Times New Roman"/>
          <w:sz w:val="17"/>
          <w:szCs w:val="17"/>
          <w:color w:val="auto"/>
        </w:rPr>
      </w:pPr>
    </w:p>
    <w:p>
      <w:pPr>
        <w:jc w:val="both"/>
        <w:ind w:firstLine="1264"/>
        <w:spacing w:after="0" w:line="277" w:lineRule="auto"/>
        <w:tabs>
          <w:tab w:leader="none" w:pos="1883"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62" w:lineRule="exact"/>
        <w:rPr>
          <w:rFonts w:ascii="Times New Roman" w:cs="Times New Roman" w:eastAsia="Times New Roman" w:hAnsi="Times New Roman"/>
          <w:sz w:val="17"/>
          <w:szCs w:val="17"/>
          <w:color w:val="auto"/>
        </w:rPr>
      </w:pPr>
    </w:p>
    <w:p>
      <w:pPr>
        <w:ind w:firstLine="1264"/>
        <w:spacing w:after="0" w:line="297" w:lineRule="auto"/>
        <w:tabs>
          <w:tab w:leader="none" w:pos="1878"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Liens (not otherwise enumerated in this defined term) not exceeding One Hundred Thousand Dollars ($100,000) in the aggregate outstanding at any time;</w:t>
      </w:r>
    </w:p>
    <w:p>
      <w:pPr>
        <w:spacing w:after="0" w:line="145" w:lineRule="exact"/>
        <w:rPr>
          <w:rFonts w:ascii="Times New Roman" w:cs="Times New Roman" w:eastAsia="Times New Roman" w:hAnsi="Times New Roman"/>
          <w:sz w:val="17"/>
          <w:szCs w:val="17"/>
          <w:color w:val="auto"/>
        </w:rPr>
      </w:pPr>
    </w:p>
    <w:p>
      <w:pPr>
        <w:ind w:firstLine="1264"/>
        <w:spacing w:after="0" w:line="297" w:lineRule="auto"/>
        <w:tabs>
          <w:tab w:leader="none" w:pos="1882"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respect of performance bonds, bid bonds, appeal bonds, surety bonds, completion guarantees and similar obligations arising in the ordinary course of business not to exceed Seven Hundred Fifty Thousand Dollars ($750,000) in the aggregate outstanding at any time; and</w:t>
      </w:r>
    </w:p>
    <w:p>
      <w:pPr>
        <w:spacing w:after="0" w:line="145" w:lineRule="exact"/>
        <w:rPr>
          <w:rFonts w:ascii="Times New Roman" w:cs="Times New Roman" w:eastAsia="Times New Roman" w:hAnsi="Times New Roman"/>
          <w:sz w:val="17"/>
          <w:szCs w:val="17"/>
          <w:color w:val="auto"/>
        </w:rPr>
      </w:pPr>
    </w:p>
    <w:p>
      <w:pPr>
        <w:ind w:left="1880" w:hanging="616"/>
        <w:spacing w:after="0"/>
        <w:tabs>
          <w:tab w:leader="none" w:pos="18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cash and Cash Equivalents securing obligations under Permitted Hedging Agreements.</w:t>
      </w:r>
    </w:p>
    <w:p>
      <w:pPr>
        <w:spacing w:after="0" w:line="222" w:lineRule="exact"/>
        <w:rPr>
          <w:sz w:val="20"/>
          <w:szCs w:val="20"/>
          <w:color w:val="auto"/>
        </w:rPr>
      </w:pPr>
    </w:p>
    <w:p>
      <w:pPr>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Prepayment Fee</w:t>
      </w:r>
      <w:r>
        <w:rPr>
          <w:rFonts w:ascii="Times New Roman" w:cs="Times New Roman" w:eastAsia="Times New Roman" w:hAnsi="Times New Roman"/>
          <w:sz w:val="17"/>
          <w:szCs w:val="17"/>
          <w:color w:val="auto"/>
        </w:rPr>
        <w:t xml:space="preserve">” is a fee due upon prepayment (whether voluntary or otherwise) of the Term Loan Advance in full </w:t>
      </w:r>
      <w:r>
        <w:rPr>
          <w:rFonts w:ascii="Times New Roman" w:cs="Times New Roman" w:eastAsia="Times New Roman" w:hAnsi="Times New Roman"/>
          <w:sz w:val="17"/>
          <w:szCs w:val="17"/>
          <w:u w:val="single" w:color="auto"/>
          <w:color w:val="0000FF"/>
        </w:rPr>
        <w:t>equal to (i) one and a half percent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 xml:space="preserve">(1.50%) of the aggregate original </w:t>
      </w:r>
      <w:r>
        <w:rPr>
          <w:rFonts w:ascii="Times New Roman" w:cs="Times New Roman" w:eastAsia="Times New Roman" w:hAnsi="Times New Roman"/>
          <w:sz w:val="17"/>
          <w:szCs w:val="17"/>
          <w:u w:val="single" w:color="auto"/>
          <w:color w:val="008000"/>
        </w:rPr>
        <w:t>principal amount of the Term Loan Advance</w:t>
      </w:r>
      <w:r>
        <w:rPr>
          <w:rFonts w:ascii="Times New Roman" w:cs="Times New Roman" w:eastAsia="Times New Roman" w:hAnsi="Times New Roman"/>
          <w:sz w:val="17"/>
          <w:szCs w:val="17"/>
          <w:u w:val="single" w:color="auto"/>
          <w:color w:val="0000FF"/>
        </w:rPr>
        <w:t xml:space="preserve"> made by Bank to Borrower hereunder, if such prepayment occurs within eighteen</w:t>
      </w:r>
    </w:p>
    <w:p>
      <w:pPr>
        <w:spacing w:after="0" w:line="1" w:lineRule="exact"/>
        <w:rPr>
          <w:sz w:val="20"/>
          <w:szCs w:val="20"/>
          <w:color w:val="auto"/>
        </w:rPr>
      </w:pPr>
    </w:p>
    <w:p>
      <w:pPr>
        <w:jc w:val="both"/>
        <w:ind w:firstLine="5"/>
        <w:spacing w:after="0" w:line="261" w:lineRule="auto"/>
        <w:tabs>
          <w:tab w:leader="none" w:pos="342" w:val="left"/>
        </w:tabs>
        <w:numPr>
          <w:ilvl w:val="0"/>
          <w:numId w:val="180"/>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 xml:space="preserve">months of the Third Amendment Effective Date, (ii) zero percent (0.00%) of the aggregate original principal </w:t>
      </w:r>
      <w:r>
        <w:rPr>
          <w:rFonts w:ascii="Times New Roman" w:cs="Times New Roman" w:eastAsia="Times New Roman" w:hAnsi="Times New Roman"/>
          <w:sz w:val="17"/>
          <w:szCs w:val="17"/>
          <w:u w:val="single" w:color="auto"/>
          <w:color w:val="008000"/>
        </w:rPr>
        <w:t>amount of the Term Loan Advance</w:t>
      </w:r>
      <w:r>
        <w:rPr>
          <w:rFonts w:ascii="Times New Roman" w:cs="Times New Roman" w:eastAsia="Times New Roman" w:hAnsi="Times New Roman"/>
          <w:sz w:val="17"/>
          <w:szCs w:val="17"/>
          <w:u w:val="single" w:color="auto"/>
          <w:color w:val="0000FF"/>
        </w:rPr>
        <w:t xml:space="preserve"> made by Bank to Borrower hereunder if such prepayment occurs on or at any time after the date that is eighteen (18) months after the Third Amendment Effective Date but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prior to the Term Loan Maturity Date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equal to two percent (2.00%) of the aggregate 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8000"/>
          <w:strike w:val="1"/>
        </w:rPr>
        <w:t>principal amount of the Term Loan Advance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being prepaid on such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date, provided, however, that no such Prepayment Fee is accrued or payable to Bank, and such Prepayment Fee is waived by Bank (i) with respect to the Term Loan Advance (as defined in the Agreement prior to the First Amendment Effective Date) prepaid on or around the First Amendment Effective Date, and (ii) if any such prepaid Term Loan Advance is refinanced through a new credit facility provided by Bank.</w:t>
      </w:r>
      <w:r>
        <w:rPr>
          <w:rFonts w:ascii="Times New Roman" w:cs="Times New Roman" w:eastAsia="Times New Roman" w:hAnsi="Times New Roman"/>
          <w:sz w:val="17"/>
          <w:szCs w:val="17"/>
          <w:u w:val="single" w:color="auto"/>
          <w:color w:val="0000FF"/>
          <w:strike w:val="1"/>
        </w:rPr>
        <w: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w:t>
      </w:r>
      <w:r>
        <w:rPr>
          <w:rFonts w:ascii="Times New Roman" w:cs="Times New Roman" w:eastAsia="Times New Roman" w:hAnsi="Times New Roman"/>
          <w:sz w:val="17"/>
          <w:szCs w:val="17"/>
          <w:color w:val="auto"/>
        </w:rPr>
        <w:t>” is set forth on Schedule I hereto.</w:t>
      </w:r>
    </w:p>
    <w:p>
      <w:pPr>
        <w:sectPr>
          <w:pgSz w:w="11900" w:h="16838" w:orient="portrait"/>
          <w:cols w:equalWidth="0" w:num="1">
            <w:col w:w="11240"/>
          </w:cols>
          <w:pgMar w:left="320" w:top="1380" w:right="339" w:bottom="1440" w:gutter="0" w:footer="0" w:header="0"/>
        </w:sectPr>
      </w:pPr>
    </w:p>
    <w:bookmarkStart w:id="147" w:name="page148"/>
    <w:bookmarkEnd w:id="147"/>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 Margin</w:t>
      </w:r>
      <w:r>
        <w:rPr>
          <w:rFonts w:ascii="Times New Roman" w:cs="Times New Roman" w:eastAsia="Times New Roman" w:hAnsi="Times New Roman"/>
          <w:sz w:val="17"/>
          <w:szCs w:val="17"/>
          <w:color w:val="auto"/>
        </w:rPr>
        <w:t>” is set forth on Schedule I hereto.</w:t>
      </w:r>
    </w:p>
    <w:p>
      <w:pPr>
        <w:spacing w:after="0" w:line="211"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Cash</w:t>
      </w:r>
      <w:r>
        <w:rPr>
          <w:rFonts w:ascii="Times New Roman" w:cs="Times New Roman" w:eastAsia="Times New Roman" w:hAnsi="Times New Roman"/>
          <w:sz w:val="17"/>
          <w:szCs w:val="17"/>
          <w:color w:val="auto"/>
        </w:rPr>
        <w:t>” means the amount of the Borrower and its Subsidiaries cash and Cash Equivalents held with Bank and/or Banks’ Affiliates and/or in accounts subject to a Control Agreement in favor of Bank;</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Quarterly Financial Statements</w:t>
      </w:r>
      <w:r>
        <w:rPr>
          <w:rFonts w:ascii="Times New Roman" w:cs="Times New Roman" w:eastAsia="Times New Roman" w:hAnsi="Times New Roman"/>
          <w:sz w:val="17"/>
          <w:szCs w:val="17"/>
          <w:color w:val="auto"/>
        </w:rPr>
        <w:t>” is defined in Section 5.3(c).</w:t>
      </w:r>
    </w:p>
    <w:p>
      <w:pPr>
        <w:spacing w:after="0" w:line="224"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Quick Assets</w:t>
      </w:r>
      <w:r>
        <w:rPr>
          <w:rFonts w:ascii="Times New Roman" w:cs="Times New Roman" w:eastAsia="Times New Roman" w:hAnsi="Times New Roman"/>
          <w:sz w:val="17"/>
          <w:szCs w:val="17"/>
          <w:color w:val="FF0000"/>
          <w:strike w:val="1"/>
        </w:rPr>
        <w:t>” is, on any date, Borrower’s unrestricted and unencumbered cash and Cash Equivalents, including, for the avoidance of doubt, balances in the Cash Collateral Account, and Eligible Accounts.</w:t>
      </w:r>
    </w:p>
    <w:p>
      <w:pPr>
        <w:spacing w:after="0" w:line="142"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Conditions</w:t>
      </w:r>
      <w:r>
        <w:rPr>
          <w:rFonts w:ascii="Times New Roman" w:cs="Times New Roman" w:eastAsia="Times New Roman" w:hAnsi="Times New Roman"/>
          <w:sz w:val="17"/>
          <w:szCs w:val="17"/>
          <w:color w:val="auto"/>
        </w:rPr>
        <w:t xml:space="preserve">” means, with respect to any redemption by the Borrower of any Permitted Convertible Debt, satisfaction of each of the following events: (a) no Event of Default shall exist or result therefrom, (b) both immediately before and after such redemption, Borrower’s Qualified Cash shall be no less than the amount required to prepay the outstanding Obligations in full at the time of such redemption, including all outstanding principal of the Term Loans, the accrued and unpaid interest thereon, </w:t>
      </w:r>
      <w:r>
        <w:rPr>
          <w:rFonts w:ascii="Times New Roman" w:cs="Times New Roman" w:eastAsia="Times New Roman" w:hAnsi="Times New Roman"/>
          <w:sz w:val="17"/>
          <w:szCs w:val="17"/>
          <w:color w:val="FF0000"/>
          <w:strike w:val="1"/>
        </w:rPr>
        <w:t>the Final Payment,</w:t>
      </w:r>
      <w:r>
        <w:rPr>
          <w:rFonts w:ascii="Times New Roman" w:cs="Times New Roman" w:eastAsia="Times New Roman" w:hAnsi="Times New Roman"/>
          <w:sz w:val="17"/>
          <w:szCs w:val="17"/>
          <w:color w:val="auto"/>
        </w:rPr>
        <w:t xml:space="preserve"> and the Prepayment Fee (provided, however, for the avoidance of doubt no such prepayment is required at such time), and (c) both immediately before and after such redemption, Borrower’s Remaining Months Liquidity shall be no less than twelve (12).</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Registered Organization</w:t>
      </w:r>
      <w:r>
        <w:rPr>
          <w:rFonts w:ascii="Times New Roman" w:cs="Times New Roman" w:eastAsia="Times New Roman" w:hAnsi="Times New Roman"/>
          <w:sz w:val="17"/>
          <w:szCs w:val="17"/>
          <w:color w:val="auto"/>
        </w:rPr>
        <w:t>” is any “registered organization” as defined in the Code with such additions to such term as may hereafter be made.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Remaining Months Liquidity</w:t>
      </w:r>
      <w:r>
        <w:rPr>
          <w:rFonts w:ascii="Times New Roman" w:cs="Times New Roman" w:eastAsia="Times New Roman" w:hAnsi="Times New Roman"/>
          <w:sz w:val="17"/>
          <w:szCs w:val="17"/>
          <w:color w:val="auto"/>
        </w:rPr>
        <w:t>” means Qualified Cash divided by Adjusted EBITDA (measured on a trailing twelve (12) month basis).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is defined in Section 11.8.</w:t>
      </w:r>
    </w:p>
    <w:p>
      <w:pPr>
        <w:spacing w:after="0" w:line="22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Reserves</w:t>
      </w:r>
      <w:r>
        <w:rPr>
          <w:rFonts w:ascii="Times New Roman" w:cs="Times New Roman" w:eastAsia="Times New Roman" w:hAnsi="Times New Roman"/>
          <w:sz w:val="17"/>
          <w:szCs w:val="17"/>
          <w:color w:val="FF0000"/>
          <w:strike w:val="1"/>
        </w:rPr>
        <w:t xml:space="preserve">” means, as of any date of determination, such amounts as Bank may from time to time establish and revise in its commercially reasonable discretion, reducing the amount of Advances and other financial accommodations which would otherwise be available to Borrower (a) to reflect events, conditions, contingencies or risks which, as determined by </w:t>
      </w:r>
      <w:r>
        <w:rPr>
          <w:rFonts w:ascii="Times New Roman" w:cs="Times New Roman" w:eastAsia="Times New Roman" w:hAnsi="Times New Roman"/>
          <w:sz w:val="17"/>
          <w:szCs w:val="17"/>
          <w:color w:val="008000"/>
          <w:strike w:val="1"/>
        </w:rPr>
        <w:t>Bank in its commercially reasonable discretion,</w:t>
      </w:r>
      <w:r>
        <w:rPr>
          <w:rFonts w:ascii="Times New Roman" w:cs="Times New Roman" w:eastAsia="Times New Roman" w:hAnsi="Times New Roman"/>
          <w:sz w:val="17"/>
          <w:szCs w:val="17"/>
          <w:color w:val="FF0000"/>
          <w:strike w:val="1"/>
        </w:rPr>
        <w:t xml:space="preserve">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determines in its commercially reasonable discretion constitutes a Default or an Event of Default.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is any of the Chief Executive Officer, President, Chief Financial Officer, Chief Legal Officer, and Controller of Borrower.</w:t>
      </w:r>
    </w:p>
    <w:p>
      <w:pPr>
        <w:spacing w:after="0" w:line="211"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License</w:t>
      </w:r>
      <w:r>
        <w:rPr>
          <w:rFonts w:ascii="Times New Roman" w:cs="Times New Roman" w:eastAsia="Times New Roman" w:hAnsi="Times New Roman"/>
          <w:sz w:val="17"/>
          <w:szCs w:val="17"/>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material Collateral.</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Revolving Line</w:t>
      </w:r>
      <w:r>
        <w:rPr>
          <w:rFonts w:ascii="Times New Roman" w:cs="Times New Roman" w:eastAsia="Times New Roman" w:hAnsi="Times New Roman"/>
          <w:sz w:val="17"/>
          <w:szCs w:val="17"/>
          <w:color w:val="FF0000"/>
          <w:strike w:val="1"/>
        </w:rPr>
        <w:t>” is set forth on Schedule I hereto.</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Revolving Line Maturity Date</w:t>
      </w:r>
      <w:r>
        <w:rPr>
          <w:rFonts w:ascii="Times New Roman" w:cs="Times New Roman" w:eastAsia="Times New Roman" w:hAnsi="Times New Roman"/>
          <w:sz w:val="17"/>
          <w:szCs w:val="17"/>
          <w:color w:val="FF0000"/>
          <w:strike w:val="1"/>
        </w:rPr>
        <w:t>” is set forth on Schedule I hereto.</w:t>
      </w:r>
    </w:p>
    <w:p>
      <w:pPr>
        <w:spacing w:after="0" w:line="224"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w:t>
      </w:r>
    </w:p>
    <w:p>
      <w:pPr>
        <w:sectPr>
          <w:pgSz w:w="11900" w:h="16838" w:orient="portrait"/>
          <w:cols w:equalWidth="0" w:num="1">
            <w:col w:w="11240"/>
          </w:cols>
          <w:pgMar w:left="320" w:top="137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t>fifty percent (50.0%) or more owned or controlled by one (1) or more Persons described in clauses (a) and (b) hereof.</w:t>
      </w:r>
    </w:p>
    <w:p>
      <w:pPr>
        <w:spacing w:after="0" w:line="22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is the Securities and Exchange Commission, any successor thereto, and any analogous Governmental Authority.</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Account</w:t>
      </w:r>
      <w:r>
        <w:rPr>
          <w:rFonts w:ascii="Times New Roman" w:cs="Times New Roman" w:eastAsia="Times New Roman" w:hAnsi="Times New Roman"/>
          <w:sz w:val="17"/>
          <w:szCs w:val="17"/>
          <w:color w:val="auto"/>
        </w:rPr>
        <w:t>” is any “securities account” as defined in the Code with such additions to such term as may hereafter be made.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Streamline Balance</w:t>
      </w:r>
      <w:r>
        <w:rPr>
          <w:rFonts w:ascii="Times New Roman" w:cs="Times New Roman" w:eastAsia="Times New Roman" w:hAnsi="Times New Roman"/>
          <w:sz w:val="17"/>
          <w:szCs w:val="17"/>
          <w:color w:val="FF0000"/>
          <w:strike w:val="1"/>
        </w:rPr>
        <w:t>” is defined in the definition of Streamline Period.</w:t>
      </w:r>
    </w:p>
    <w:p>
      <w:pPr>
        <w:spacing w:after="0" w:line="22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Streamline Period</w:t>
      </w:r>
      <w:r>
        <w:rPr>
          <w:rFonts w:ascii="Times New Roman" w:cs="Times New Roman" w:eastAsia="Times New Roman" w:hAnsi="Times New Roman"/>
          <w:sz w:val="17"/>
          <w:szCs w:val="17"/>
          <w:color w:val="FF0000"/>
          <w:strike w:val="1"/>
        </w:rPr>
        <w:t>” is, on and after the First Amendment Effective Date, provided no Event of Default has occurred and is continuing, the period (a) commencing on the first (1st) day of the month following the day that Borrower provides to Bank a written report that Borrower has, for the immediately preceding month, measured at month-end (only when Advances are outstanding or are being requested by Borrower), as determined by Bank in its commercially reasonable discretion, an Adjusted Quick Ratio in an amount as of such measurement date of greater than or equal to 1.50 to 1.00 (the “</w:t>
      </w:r>
      <w:r>
        <w:rPr>
          <w:rFonts w:ascii="Times New Roman" w:cs="Times New Roman" w:eastAsia="Times New Roman" w:hAnsi="Times New Roman"/>
          <w:sz w:val="17"/>
          <w:szCs w:val="17"/>
          <w:b w:val="1"/>
          <w:bCs w:val="1"/>
          <w:color w:val="FF0000"/>
          <w:strike w:val="1"/>
        </w:rPr>
        <w:t>Streamline Balance</w:t>
      </w:r>
      <w:r>
        <w:rPr>
          <w:rFonts w:ascii="Times New Roman" w:cs="Times New Roman" w:eastAsia="Times New Roman" w:hAnsi="Times New Roman"/>
          <w:sz w:val="17"/>
          <w:szCs w:val="17"/>
          <w:color w:val="FF0000"/>
          <w:strike w:val="1"/>
        </w:rPr>
        <w:t>”); and (b) terminating on the earlier to occur of (i) the occurrence of an Event of Default, and (ii) the first month-end measured thereafter in which Borrower fails to maintain the Streamline Balance, as determined by Bank in its commercially reasonable discretion. Upon the termination of a Streamline Period, Borrower shall maintain the Streamline Balance each month end for one (1) fiscal quarter, as determined by Bank in its commercially reasonable discretion, prior to entering into a subsequent Streamline Period. Borrower shall give Bank prior written notice of Borrower’s election to enter into any such Streamline Period, and each such Streamline Period shall commence on the first (1st) day of the monthly period following the date Bank determines, in its commercially reasonable discretion, that the Streamline Balance has been achieved.</w:t>
      </w:r>
    </w:p>
    <w:p>
      <w:pPr>
        <w:spacing w:after="0" w:line="17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Subordinated Debt</w:t>
      </w:r>
      <w:r>
        <w:rPr>
          <w:rFonts w:ascii="Times New Roman" w:cs="Times New Roman" w:eastAsia="Times New Roman" w:hAnsi="Times New Roman"/>
          <w:sz w:val="17"/>
          <w:szCs w:val="17"/>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For the avoidance of doubt, Permitted Convertible Debt shall not constitute Subordinated Debt.</w:t>
      </w:r>
    </w:p>
    <w:p>
      <w:pPr>
        <w:spacing w:after="0" w:line="36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65" w:lineRule="exact"/>
        <w:rPr>
          <w:sz w:val="20"/>
          <w:szCs w:val="20"/>
          <w:color w:val="auto"/>
        </w:rPr>
      </w:pPr>
    </w:p>
    <w:p>
      <w:pPr>
        <w:jc w:val="both"/>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Advance</w:t>
      </w:r>
      <w:r>
        <w:rPr>
          <w:rFonts w:ascii="Times New Roman" w:cs="Times New Roman" w:eastAsia="Times New Roman" w:hAnsi="Times New Roman"/>
          <w:sz w:val="17"/>
          <w:szCs w:val="17"/>
          <w:color w:val="auto"/>
        </w:rPr>
        <w:t>” is defined in Section 1.1(a) of this Agreement.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Amortization Date</w:t>
      </w:r>
      <w:r>
        <w:rPr>
          <w:rFonts w:ascii="Times New Roman" w:cs="Times New Roman" w:eastAsia="Times New Roman" w:hAnsi="Times New Roman"/>
          <w:sz w:val="17"/>
          <w:szCs w:val="17"/>
          <w:color w:val="auto"/>
        </w:rPr>
        <w:t>” is set forth on Schedule I hereto.</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Availability Amount</w:t>
      </w:r>
      <w:r>
        <w:rPr>
          <w:rFonts w:ascii="Times New Roman" w:cs="Times New Roman" w:eastAsia="Times New Roman" w:hAnsi="Times New Roman"/>
          <w:sz w:val="17"/>
          <w:szCs w:val="17"/>
          <w:color w:val="auto"/>
        </w:rPr>
        <w:t>” is set forth on Schedule I hereto.</w:t>
      </w:r>
    </w:p>
    <w:p>
      <w:pPr>
        <w:sectPr>
          <w:pgSz w:w="11900" w:h="16838" w:orient="portrait"/>
          <w:cols w:equalWidth="0" w:num="1">
            <w:col w:w="11240"/>
          </w:cols>
          <w:pgMar w:left="320" w:top="1380" w:right="339" w:bottom="1440" w:gutter="0" w:footer="0" w:header="0"/>
        </w:sectPr>
      </w:pPr>
    </w:p>
    <w:bookmarkStart w:id="149" w:name="page150"/>
    <w:bookmarkEnd w:id="149"/>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Maturity Date</w:t>
      </w:r>
      <w:r>
        <w:rPr>
          <w:rFonts w:ascii="Times New Roman" w:cs="Times New Roman" w:eastAsia="Times New Roman" w:hAnsi="Times New Roman"/>
          <w:sz w:val="17"/>
          <w:szCs w:val="17"/>
          <w:color w:val="auto"/>
        </w:rPr>
        <w:t>” is set forth on Schedule I hereto.</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b w:val="1"/>
          <w:bCs w:val="1"/>
          <w:u w:val="single" w:color="auto"/>
          <w:color w:val="0000FF"/>
        </w:rPr>
        <w:t>Third Amendment Effective Date</w:t>
      </w:r>
      <w:r>
        <w:rPr>
          <w:rFonts w:ascii="Times New Roman" w:cs="Times New Roman" w:eastAsia="Times New Roman" w:hAnsi="Times New Roman"/>
          <w:sz w:val="17"/>
          <w:szCs w:val="17"/>
          <w:u w:val="single" w:color="auto"/>
          <w:color w:val="0000FF"/>
        </w:rPr>
        <w:t>” means November 8, 2024.</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Termination Fee</w:t>
      </w:r>
      <w:r>
        <w:rPr>
          <w:rFonts w:ascii="Times New Roman" w:cs="Times New Roman" w:eastAsia="Times New Roman" w:hAnsi="Times New Roman"/>
          <w:sz w:val="17"/>
          <w:szCs w:val="17"/>
          <w:color w:val="FF0000"/>
          <w:strike w:val="1"/>
        </w:rPr>
        <w:t>” is defined in Section 1.3(c).</w:t>
      </w:r>
    </w:p>
    <w:p>
      <w:pPr>
        <w:spacing w:after="0" w:line="224" w:lineRule="exact"/>
        <w:rPr>
          <w:sz w:val="20"/>
          <w:szCs w:val="20"/>
          <w:color w:val="auto"/>
        </w:rPr>
      </w:pPr>
    </w:p>
    <w:p>
      <w:pPr>
        <w:ind w:firstLine="629"/>
        <w:spacing w:after="0" w:line="299"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Total Liabilities</w:t>
      </w:r>
      <w:r>
        <w:rPr>
          <w:rFonts w:ascii="Times New Roman" w:cs="Times New Roman" w:eastAsia="Times New Roman" w:hAnsi="Times New Roman"/>
          <w:sz w:val="17"/>
          <w:szCs w:val="17"/>
          <w:color w:val="FF0000"/>
          <w:strike w:val="1"/>
        </w:rPr>
        <w:t>” is on any day, obligations that should, under GAAP, be classified as liabilities on Borrower’s consolidated balance sheet, including all Indebtedness, but excluding all Subordinated Debt.</w:t>
      </w:r>
    </w:p>
    <w:p>
      <w:pPr>
        <w:spacing w:after="0" w:line="142" w:lineRule="exact"/>
        <w:rPr>
          <w:sz w:val="20"/>
          <w:szCs w:val="20"/>
          <w:color w:val="auto"/>
        </w:rPr>
      </w:pPr>
    </w:p>
    <w:p>
      <w:pPr>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is defined in Section 6.1.</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Uncommitted Accordion</w:t>
      </w:r>
      <w:r>
        <w:rPr>
          <w:rFonts w:ascii="Times New Roman" w:cs="Times New Roman" w:eastAsia="Times New Roman" w:hAnsi="Times New Roman"/>
          <w:sz w:val="17"/>
          <w:szCs w:val="17"/>
          <w:color w:val="FF0000"/>
          <w:strike w:val="1"/>
        </w:rPr>
        <w:t>” is defined in Section 1.1(a) of this Agreement.</w:t>
      </w:r>
    </w:p>
    <w:p>
      <w:pPr>
        <w:spacing w:after="0" w:line="224" w:lineRule="exact"/>
        <w:rPr>
          <w:sz w:val="20"/>
          <w:szCs w:val="20"/>
          <w:color w:val="auto"/>
        </w:rPr>
      </w:pPr>
    </w:p>
    <w:p>
      <w:pPr>
        <w:ind w:firstLine="629"/>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USA Patriot Act</w:t>
      </w:r>
      <w:r>
        <w:rPr>
          <w:rFonts w:ascii="Times New Roman" w:cs="Times New Roman" w:eastAsia="Times New Roman" w:hAnsi="Times New Roman"/>
          <w:sz w:val="17"/>
          <w:szCs w:val="17"/>
          <w:color w:val="auto"/>
        </w:rPr>
        <w:t>” means the “Uniting and Strengthening America by Providing Appropriate Tools Required to Intercept and Obstruct Terrorism Act of 2001” (Public Law 107-56, signed into law on October 26, 2001), as amended from time to time.</w:t>
      </w:r>
    </w:p>
    <w:p>
      <w:pPr>
        <w:spacing w:after="0" w:line="14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378"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ectPr>
          <w:pgSz w:w="11900" w:h="16838" w:orient="portrait"/>
          <w:cols w:equalWidth="0" w:num="1">
            <w:col w:w="9499"/>
          </w:cols>
          <w:pgMar w:left="960" w:top="1378" w:right="1440" w:bottom="1440" w:gutter="0" w:footer="0" w:header="0"/>
        </w:sectPr>
      </w:pPr>
    </w:p>
    <w:p>
      <w:pPr>
        <w:spacing w:after="0" w:line="21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BORROWER:</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SI-BONE, INC.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By: __________________</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Anshul Maheshwari</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BANK:</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SILICON VALLEY BANK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By: __________________________</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FF0000"/>
          <w:strike w:val="1"/>
        </w:rPr>
        <w:t>Mark Davis</w:t>
      </w:r>
      <w:r>
        <w:rPr>
          <w:rFonts w:ascii="Times New Roman" w:cs="Times New Roman" w:eastAsia="Times New Roman" w:hAnsi="Times New Roman"/>
          <w:sz w:val="17"/>
          <w:szCs w:val="17"/>
          <w:u w:val="single" w:color="auto"/>
          <w:color w:val="0000FF"/>
        </w:rPr>
        <w:t>Matt Perry</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FF0000"/>
          <w:strike w:val="1"/>
        </w:rPr>
        <w:t>Vice President</w:t>
      </w:r>
      <w:r>
        <w:rPr>
          <w:rFonts w:ascii="Times New Roman" w:cs="Times New Roman" w:eastAsia="Times New Roman" w:hAnsi="Times New Roman"/>
          <w:sz w:val="17"/>
          <w:szCs w:val="17"/>
          <w:u w:val="single" w:color="auto"/>
          <w:color w:val="0000FF"/>
        </w:rPr>
        <w:t>Managing Director</w:t>
      </w:r>
    </w:p>
    <w:p>
      <w:pPr>
        <w:sectPr>
          <w:pgSz w:w="11900" w:h="16838" w:orient="portrait"/>
          <w:cols w:equalWidth="0" w:num="1">
            <w:col w:w="9499"/>
          </w:cols>
          <w:pgMar w:left="960" w:top="1378" w:right="1440" w:bottom="1440" w:gutter="0" w:footer="0" w:header="0"/>
          <w:type w:val="continuous"/>
        </w:sectPr>
      </w:pPr>
    </w:p>
    <w:bookmarkStart w:id="151" w:name="page152"/>
    <w:bookmarkEnd w:id="151"/>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gridSpan w:val="23"/>
          </w:tcPr>
          <w:p>
            <w:pPr>
              <w:jc w:val="right"/>
              <w:ind w:right="4980"/>
              <w:spacing w:after="0"/>
              <w:rPr>
                <w:sz w:val="20"/>
                <w:szCs w:val="20"/>
                <w:color w:val="auto"/>
              </w:rPr>
            </w:pPr>
            <w:r>
              <w:rPr>
                <w:rFonts w:ascii="Times New Roman" w:cs="Times New Roman" w:eastAsia="Times New Roman" w:hAnsi="Times New Roman"/>
                <w:sz w:val="17"/>
                <w:szCs w:val="17"/>
                <w:b w:val="1"/>
                <w:bCs w:val="1"/>
                <w:color w:val="auto"/>
              </w:rPr>
              <w:t>SCHEDULE I</w:t>
            </w: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7"/>
                <w:szCs w:val="17"/>
                <w:b w:val="1"/>
                <w:bCs w:val="1"/>
                <w:color w:val="auto"/>
              </w:rPr>
              <w:t>LSA PROVISIONS</w:t>
            </w:r>
          </w:p>
        </w:tc>
        <w:tc>
          <w:tcPr>
            <w:tcW w:w="4780" w:type="dxa"/>
            <w:vAlign w:val="bottom"/>
            <w:gridSpan w:val="14"/>
          </w:tcPr>
          <w:p>
            <w:pPr>
              <w:spacing w:after="0"/>
              <w:rPr>
                <w:sz w:val="24"/>
                <w:szCs w:val="24"/>
                <w:color w:val="auto"/>
              </w:rPr>
            </w:pPr>
          </w:p>
        </w:tc>
      </w:tr>
      <w:tr>
        <w:trPr>
          <w:trHeight w:val="701"/>
        </w:trPr>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77"/>
        </w:trPr>
        <w:tc>
          <w:tcPr>
            <w:tcW w:w="376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7"/>
                <w:szCs w:val="17"/>
                <w:b w:val="1"/>
                <w:bCs w:val="1"/>
                <w:color w:val="auto"/>
              </w:rPr>
              <w:t>LSA Section</w:t>
            </w:r>
          </w:p>
        </w:tc>
        <w:tc>
          <w:tcPr>
            <w:tcW w:w="20" w:type="dxa"/>
            <w:vAlign w:val="bottom"/>
          </w:tcPr>
          <w:p>
            <w:pPr>
              <w:spacing w:after="0"/>
              <w:rPr>
                <w:sz w:val="15"/>
                <w:szCs w:val="15"/>
                <w:color w:val="auto"/>
              </w:rPr>
            </w:pPr>
          </w:p>
        </w:tc>
        <w:tc>
          <w:tcPr>
            <w:tcW w:w="7360" w:type="dxa"/>
            <w:vAlign w:val="bottom"/>
            <w:tcBorders>
              <w:right w:val="single" w:sz="8" w:color="auto"/>
            </w:tcBorders>
            <w:gridSpan w:val="29"/>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LSA Provision</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40" w:type="dxa"/>
            <w:vAlign w:val="bottom"/>
            <w:tcBorders>
              <w:left w:val="single" w:sz="8" w:color="auto"/>
            </w:tcBorders>
            <w:shd w:val="clear" w:color="auto" w:fill="FFDEAD"/>
          </w:tcPr>
          <w:p>
            <w:pPr>
              <w:spacing w:after="0"/>
              <w:rPr>
                <w:sz w:val="14"/>
                <w:szCs w:val="14"/>
                <w:color w:val="auto"/>
              </w:rPr>
            </w:pPr>
          </w:p>
        </w:tc>
        <w:tc>
          <w:tcPr>
            <w:tcW w:w="3720" w:type="dxa"/>
            <w:vAlign w:val="bottom"/>
            <w:tcBorders>
              <w:right w:val="single" w:sz="8" w:color="auto"/>
            </w:tcBorders>
            <w:gridSpan w:val="2"/>
            <w:shd w:val="clear" w:color="auto" w:fill="FFDEAD"/>
          </w:tcPr>
          <w:p>
            <w:pPr>
              <w:ind w:left="40"/>
              <w:spacing w:after="0" w:line="163" w:lineRule="exact"/>
              <w:rPr>
                <w:sz w:val="20"/>
                <w:szCs w:val="20"/>
                <w:color w:val="auto"/>
              </w:rPr>
            </w:pPr>
            <w:r>
              <w:rPr>
                <w:rFonts w:ascii="Times New Roman" w:cs="Times New Roman" w:eastAsia="Times New Roman" w:hAnsi="Times New Roman"/>
                <w:sz w:val="17"/>
                <w:szCs w:val="17"/>
                <w:color w:val="FF0000"/>
                <w:strike w:val="1"/>
              </w:rPr>
              <w:t>1.1A(a) – Revolving Line - Availability</w:t>
            </w:r>
          </w:p>
        </w:tc>
        <w:tc>
          <w:tcPr>
            <w:tcW w:w="20" w:type="dxa"/>
            <w:vAlign w:val="bottom"/>
            <w:shd w:val="clear" w:color="auto" w:fill="FFDEAD"/>
          </w:tcPr>
          <w:p>
            <w:pPr>
              <w:spacing w:after="0"/>
              <w:rPr>
                <w:sz w:val="14"/>
                <w:szCs w:val="14"/>
                <w:color w:val="auto"/>
              </w:rPr>
            </w:pPr>
          </w:p>
        </w:tc>
        <w:tc>
          <w:tcPr>
            <w:tcW w:w="7360" w:type="dxa"/>
            <w:vAlign w:val="bottom"/>
            <w:tcBorders>
              <w:right w:val="single" w:sz="8" w:color="auto"/>
            </w:tcBorders>
            <w:gridSpan w:val="29"/>
            <w:shd w:val="clear" w:color="auto" w:fill="FFDEAD"/>
          </w:tcPr>
          <w:p>
            <w:pPr>
              <w:spacing w:after="0" w:line="163" w:lineRule="exact"/>
              <w:rPr>
                <w:sz w:val="20"/>
                <w:szCs w:val="20"/>
                <w:color w:val="auto"/>
              </w:rPr>
            </w:pPr>
            <w:r>
              <w:rPr>
                <w:rFonts w:ascii="Times New Roman" w:cs="Times New Roman" w:eastAsia="Times New Roman" w:hAnsi="Times New Roman"/>
                <w:sz w:val="17"/>
                <w:szCs w:val="17"/>
                <w:color w:val="FF0000"/>
                <w:strike w:val="1"/>
              </w:rPr>
              <w:t>Amounts borrowed under the Revolving Line may be prepaid or repaid and, prior to the Revolving Line</w:t>
            </w:r>
          </w:p>
        </w:tc>
      </w:tr>
      <w:tr>
        <w:trPr>
          <w:trHeight w:val="178"/>
        </w:trPr>
        <w:tc>
          <w:tcPr>
            <w:tcW w:w="40" w:type="dxa"/>
            <w:vAlign w:val="bottom"/>
            <w:tcBorders>
              <w:left w:val="single" w:sz="8" w:color="auto"/>
            </w:tcBorders>
            <w:shd w:val="clear" w:color="auto" w:fill="FFDEAD"/>
          </w:tcPr>
          <w:p>
            <w:pPr>
              <w:spacing w:after="0"/>
              <w:rPr>
                <w:sz w:val="15"/>
                <w:szCs w:val="15"/>
                <w:color w:val="auto"/>
              </w:rPr>
            </w:pPr>
          </w:p>
        </w:tc>
        <w:tc>
          <w:tcPr>
            <w:tcW w:w="920" w:type="dxa"/>
            <w:vAlign w:val="bottom"/>
            <w:shd w:val="clear" w:color="auto" w:fill="FFDEAD"/>
          </w:tcPr>
          <w:p>
            <w:pPr>
              <w:spacing w:after="0"/>
              <w:rPr>
                <w:sz w:val="15"/>
                <w:szCs w:val="15"/>
                <w:color w:val="auto"/>
              </w:rPr>
            </w:pPr>
          </w:p>
        </w:tc>
        <w:tc>
          <w:tcPr>
            <w:tcW w:w="2800" w:type="dxa"/>
            <w:vAlign w:val="bottom"/>
            <w:tcBorders>
              <w:right w:val="single" w:sz="8" w:color="auto"/>
            </w:tcBorders>
            <w:shd w:val="clear" w:color="auto" w:fill="FFDEAD"/>
          </w:tcPr>
          <w:p>
            <w:pPr>
              <w:spacing w:after="0"/>
              <w:rPr>
                <w:sz w:val="15"/>
                <w:szCs w:val="15"/>
                <w:color w:val="auto"/>
              </w:rPr>
            </w:pPr>
          </w:p>
        </w:tc>
        <w:tc>
          <w:tcPr>
            <w:tcW w:w="20" w:type="dxa"/>
            <w:vAlign w:val="bottom"/>
            <w:shd w:val="clear" w:color="auto" w:fill="FFDEAD"/>
          </w:tcPr>
          <w:p>
            <w:pPr>
              <w:spacing w:after="0"/>
              <w:rPr>
                <w:sz w:val="15"/>
                <w:szCs w:val="15"/>
                <w:color w:val="auto"/>
              </w:rPr>
            </w:pPr>
          </w:p>
        </w:tc>
        <w:tc>
          <w:tcPr>
            <w:tcW w:w="7360" w:type="dxa"/>
            <w:vAlign w:val="bottom"/>
            <w:tcBorders>
              <w:right w:val="single" w:sz="8" w:color="auto"/>
            </w:tcBorders>
            <w:gridSpan w:val="29"/>
            <w:shd w:val="clear" w:color="auto" w:fill="FFDEAD"/>
          </w:tcPr>
          <w:p>
            <w:pPr>
              <w:spacing w:after="0" w:line="178" w:lineRule="exact"/>
              <w:rPr>
                <w:sz w:val="20"/>
                <w:szCs w:val="20"/>
                <w:color w:val="auto"/>
              </w:rPr>
            </w:pPr>
            <w:r>
              <w:rPr>
                <w:rFonts w:ascii="Times New Roman" w:cs="Times New Roman" w:eastAsia="Times New Roman" w:hAnsi="Times New Roman"/>
                <w:sz w:val="17"/>
                <w:szCs w:val="17"/>
                <w:color w:val="FF0000"/>
                <w:strike w:val="1"/>
              </w:rPr>
              <w:t>Maturity Date, reborrowed, subject to the applicable terms and conditions precedent herein, without</w:t>
            </w:r>
          </w:p>
        </w:tc>
      </w:tr>
      <w:tr>
        <w:trPr>
          <w:trHeight w:val="228"/>
        </w:trPr>
        <w:tc>
          <w:tcPr>
            <w:tcW w:w="40" w:type="dxa"/>
            <w:vAlign w:val="bottom"/>
            <w:tcBorders>
              <w:left w:val="single" w:sz="8" w:color="auto"/>
              <w:bottom w:val="single" w:sz="8" w:color="auto"/>
            </w:tcBorders>
            <w:shd w:val="clear" w:color="auto" w:fill="FFDEAD"/>
          </w:tcPr>
          <w:p>
            <w:pPr>
              <w:spacing w:after="0"/>
              <w:rPr>
                <w:sz w:val="19"/>
                <w:szCs w:val="19"/>
                <w:color w:val="auto"/>
              </w:rPr>
            </w:pPr>
          </w:p>
        </w:tc>
        <w:tc>
          <w:tcPr>
            <w:tcW w:w="920" w:type="dxa"/>
            <w:vAlign w:val="bottom"/>
            <w:tcBorders>
              <w:bottom w:val="single" w:sz="8" w:color="auto"/>
            </w:tcBorders>
            <w:shd w:val="clear" w:color="auto" w:fill="FFDEAD"/>
          </w:tcPr>
          <w:p>
            <w:pPr>
              <w:spacing w:after="0"/>
              <w:rPr>
                <w:sz w:val="19"/>
                <w:szCs w:val="19"/>
                <w:color w:val="auto"/>
              </w:rPr>
            </w:pPr>
          </w:p>
        </w:tc>
        <w:tc>
          <w:tcPr>
            <w:tcW w:w="2800" w:type="dxa"/>
            <w:vAlign w:val="bottom"/>
            <w:tcBorders>
              <w:bottom w:val="single" w:sz="8" w:color="auto"/>
              <w:right w:val="single" w:sz="8" w:color="auto"/>
            </w:tcBorders>
            <w:shd w:val="clear" w:color="auto" w:fill="FFDEAD"/>
          </w:tcPr>
          <w:p>
            <w:pPr>
              <w:spacing w:after="0"/>
              <w:rPr>
                <w:sz w:val="19"/>
                <w:szCs w:val="19"/>
                <w:color w:val="auto"/>
              </w:rPr>
            </w:pPr>
          </w:p>
        </w:tc>
        <w:tc>
          <w:tcPr>
            <w:tcW w:w="20" w:type="dxa"/>
            <w:vAlign w:val="bottom"/>
            <w:tcBorders>
              <w:bottom w:val="single" w:sz="8" w:color="auto"/>
            </w:tcBorders>
            <w:shd w:val="clear" w:color="auto" w:fill="FFDEAD"/>
          </w:tcPr>
          <w:p>
            <w:pPr>
              <w:spacing w:after="0"/>
              <w:rPr>
                <w:sz w:val="19"/>
                <w:szCs w:val="19"/>
                <w:color w:val="auto"/>
              </w:rPr>
            </w:pPr>
          </w:p>
        </w:tc>
        <w:tc>
          <w:tcPr>
            <w:tcW w:w="1480" w:type="dxa"/>
            <w:vAlign w:val="bottom"/>
            <w:tcBorders>
              <w:bottom w:val="single" w:sz="8" w:color="auto"/>
            </w:tcBorders>
            <w:gridSpan w:val="7"/>
            <w:shd w:val="clear" w:color="auto" w:fill="FFDEAD"/>
          </w:tcPr>
          <w:p>
            <w:pPr>
              <w:spacing w:after="0"/>
              <w:rPr>
                <w:sz w:val="20"/>
                <w:szCs w:val="20"/>
                <w:color w:val="auto"/>
              </w:rPr>
            </w:pPr>
            <w:r>
              <w:rPr>
                <w:rFonts w:ascii="Times New Roman" w:cs="Times New Roman" w:eastAsia="Times New Roman" w:hAnsi="Times New Roman"/>
                <w:sz w:val="17"/>
                <w:szCs w:val="17"/>
                <w:color w:val="FF0000"/>
                <w:strike w:val="1"/>
              </w:rPr>
              <w:t>penalty or premium.</w:t>
            </w:r>
          </w:p>
        </w:tc>
        <w:tc>
          <w:tcPr>
            <w:tcW w:w="200" w:type="dxa"/>
            <w:vAlign w:val="bottom"/>
            <w:tcBorders>
              <w:bottom w:val="single" w:sz="8" w:color="auto"/>
            </w:tcBorders>
            <w:shd w:val="clear" w:color="auto" w:fill="FFDEAD"/>
          </w:tcPr>
          <w:p>
            <w:pPr>
              <w:spacing w:after="0"/>
              <w:rPr>
                <w:sz w:val="19"/>
                <w:szCs w:val="19"/>
                <w:color w:val="auto"/>
              </w:rPr>
            </w:pPr>
          </w:p>
        </w:tc>
        <w:tc>
          <w:tcPr>
            <w:tcW w:w="80" w:type="dxa"/>
            <w:vAlign w:val="bottom"/>
            <w:tcBorders>
              <w:bottom w:val="single" w:sz="8" w:color="auto"/>
            </w:tcBorders>
            <w:shd w:val="clear" w:color="auto" w:fill="FFDEAD"/>
          </w:tcPr>
          <w:p>
            <w:pPr>
              <w:spacing w:after="0"/>
              <w:rPr>
                <w:sz w:val="19"/>
                <w:szCs w:val="19"/>
                <w:color w:val="auto"/>
              </w:rPr>
            </w:pPr>
          </w:p>
        </w:tc>
        <w:tc>
          <w:tcPr>
            <w:tcW w:w="20" w:type="dxa"/>
            <w:vAlign w:val="bottom"/>
            <w:tcBorders>
              <w:bottom w:val="single" w:sz="8" w:color="auto"/>
            </w:tcBorders>
            <w:shd w:val="clear" w:color="auto" w:fill="FFDEAD"/>
          </w:tcPr>
          <w:p>
            <w:pPr>
              <w:spacing w:after="0"/>
              <w:rPr>
                <w:sz w:val="19"/>
                <w:szCs w:val="19"/>
                <w:color w:val="auto"/>
              </w:rPr>
            </w:pPr>
          </w:p>
        </w:tc>
        <w:tc>
          <w:tcPr>
            <w:tcW w:w="180" w:type="dxa"/>
            <w:vAlign w:val="bottom"/>
            <w:tcBorders>
              <w:bottom w:val="single" w:sz="8" w:color="auto"/>
            </w:tcBorders>
            <w:shd w:val="clear" w:color="auto" w:fill="FFDEAD"/>
          </w:tcPr>
          <w:p>
            <w:pPr>
              <w:spacing w:after="0"/>
              <w:rPr>
                <w:sz w:val="19"/>
                <w:szCs w:val="19"/>
                <w:color w:val="auto"/>
              </w:rPr>
            </w:pPr>
          </w:p>
        </w:tc>
        <w:tc>
          <w:tcPr>
            <w:tcW w:w="180" w:type="dxa"/>
            <w:vAlign w:val="bottom"/>
            <w:tcBorders>
              <w:bottom w:val="single" w:sz="8" w:color="auto"/>
              <w:right w:val="single" w:sz="8" w:color="FFDEAD"/>
            </w:tcBorders>
            <w:shd w:val="clear" w:color="auto" w:fill="FFDEAD"/>
          </w:tcPr>
          <w:p>
            <w:pPr>
              <w:spacing w:after="0"/>
              <w:rPr>
                <w:sz w:val="19"/>
                <w:szCs w:val="19"/>
                <w:color w:val="auto"/>
              </w:rPr>
            </w:pPr>
          </w:p>
        </w:tc>
        <w:tc>
          <w:tcPr>
            <w:tcW w:w="280" w:type="dxa"/>
            <w:vAlign w:val="bottom"/>
            <w:tcBorders>
              <w:left w:val="single" w:sz="8" w:color="FFDEAD"/>
              <w:bottom w:val="single" w:sz="8" w:color="auto"/>
            </w:tcBorders>
            <w:gridSpan w:val="2"/>
            <w:shd w:val="clear" w:color="auto" w:fill="FFDEAD"/>
          </w:tcPr>
          <w:p>
            <w:pPr>
              <w:spacing w:after="0"/>
              <w:rPr>
                <w:sz w:val="19"/>
                <w:szCs w:val="19"/>
                <w:color w:val="auto"/>
              </w:rPr>
            </w:pPr>
          </w:p>
        </w:tc>
        <w:tc>
          <w:tcPr>
            <w:tcW w:w="200" w:type="dxa"/>
            <w:vAlign w:val="bottom"/>
            <w:tcBorders>
              <w:bottom w:val="single" w:sz="8" w:color="auto"/>
            </w:tcBorders>
            <w:gridSpan w:val="2"/>
            <w:shd w:val="clear" w:color="auto" w:fill="FFDEAD"/>
          </w:tcPr>
          <w:p>
            <w:pPr>
              <w:spacing w:after="0"/>
              <w:rPr>
                <w:sz w:val="19"/>
                <w:szCs w:val="19"/>
                <w:color w:val="auto"/>
              </w:rPr>
            </w:pPr>
          </w:p>
        </w:tc>
        <w:tc>
          <w:tcPr>
            <w:tcW w:w="180" w:type="dxa"/>
            <w:vAlign w:val="bottom"/>
            <w:tcBorders>
              <w:bottom w:val="single" w:sz="8" w:color="auto"/>
            </w:tcBorders>
            <w:shd w:val="clear" w:color="auto" w:fill="FFDEAD"/>
          </w:tcPr>
          <w:p>
            <w:pPr>
              <w:spacing w:after="0"/>
              <w:rPr>
                <w:sz w:val="19"/>
                <w:szCs w:val="19"/>
                <w:color w:val="auto"/>
              </w:rPr>
            </w:pPr>
          </w:p>
        </w:tc>
        <w:tc>
          <w:tcPr>
            <w:tcW w:w="100" w:type="dxa"/>
            <w:vAlign w:val="bottom"/>
            <w:tcBorders>
              <w:bottom w:val="single" w:sz="8" w:color="auto"/>
            </w:tcBorders>
            <w:shd w:val="clear" w:color="auto" w:fill="FFDEAD"/>
          </w:tcPr>
          <w:p>
            <w:pPr>
              <w:spacing w:after="0"/>
              <w:rPr>
                <w:sz w:val="19"/>
                <w:szCs w:val="19"/>
                <w:color w:val="auto"/>
              </w:rPr>
            </w:pPr>
          </w:p>
        </w:tc>
        <w:tc>
          <w:tcPr>
            <w:tcW w:w="20" w:type="dxa"/>
            <w:vAlign w:val="bottom"/>
            <w:tcBorders>
              <w:bottom w:val="single" w:sz="8" w:color="auto"/>
            </w:tcBorders>
            <w:shd w:val="clear" w:color="auto" w:fill="FFDEAD"/>
          </w:tcPr>
          <w:p>
            <w:pPr>
              <w:spacing w:after="0"/>
              <w:rPr>
                <w:sz w:val="19"/>
                <w:szCs w:val="19"/>
                <w:color w:val="auto"/>
              </w:rPr>
            </w:pPr>
          </w:p>
        </w:tc>
        <w:tc>
          <w:tcPr>
            <w:tcW w:w="340" w:type="dxa"/>
            <w:vAlign w:val="bottom"/>
            <w:tcBorders>
              <w:bottom w:val="single" w:sz="8" w:color="auto"/>
            </w:tcBorders>
            <w:shd w:val="clear" w:color="auto" w:fill="FFDEAD"/>
          </w:tcPr>
          <w:p>
            <w:pPr>
              <w:spacing w:after="0"/>
              <w:rPr>
                <w:sz w:val="19"/>
                <w:szCs w:val="19"/>
                <w:color w:val="auto"/>
              </w:rPr>
            </w:pPr>
          </w:p>
        </w:tc>
        <w:tc>
          <w:tcPr>
            <w:tcW w:w="960" w:type="dxa"/>
            <w:vAlign w:val="bottom"/>
            <w:tcBorders>
              <w:bottom w:val="single" w:sz="8" w:color="auto"/>
            </w:tcBorders>
            <w:shd w:val="clear" w:color="auto" w:fill="FFDEAD"/>
          </w:tcPr>
          <w:p>
            <w:pPr>
              <w:spacing w:after="0"/>
              <w:rPr>
                <w:sz w:val="19"/>
                <w:szCs w:val="19"/>
                <w:color w:val="auto"/>
              </w:rPr>
            </w:pPr>
          </w:p>
        </w:tc>
        <w:tc>
          <w:tcPr>
            <w:tcW w:w="780" w:type="dxa"/>
            <w:vAlign w:val="bottom"/>
            <w:tcBorders>
              <w:bottom w:val="single" w:sz="8" w:color="auto"/>
            </w:tcBorders>
            <w:shd w:val="clear" w:color="auto" w:fill="FFDEAD"/>
          </w:tcPr>
          <w:p>
            <w:pPr>
              <w:spacing w:after="0"/>
              <w:rPr>
                <w:sz w:val="19"/>
                <w:szCs w:val="19"/>
                <w:color w:val="auto"/>
              </w:rPr>
            </w:pPr>
          </w:p>
        </w:tc>
        <w:tc>
          <w:tcPr>
            <w:tcW w:w="200" w:type="dxa"/>
            <w:vAlign w:val="bottom"/>
            <w:tcBorders>
              <w:bottom w:val="single" w:sz="8" w:color="auto"/>
            </w:tcBorders>
            <w:shd w:val="clear" w:color="auto" w:fill="FFDEAD"/>
          </w:tcPr>
          <w:p>
            <w:pPr>
              <w:spacing w:after="0"/>
              <w:rPr>
                <w:sz w:val="19"/>
                <w:szCs w:val="19"/>
                <w:color w:val="auto"/>
              </w:rPr>
            </w:pPr>
          </w:p>
        </w:tc>
        <w:tc>
          <w:tcPr>
            <w:tcW w:w="960" w:type="dxa"/>
            <w:vAlign w:val="bottom"/>
            <w:tcBorders>
              <w:bottom w:val="single" w:sz="8" w:color="auto"/>
            </w:tcBorders>
            <w:shd w:val="clear" w:color="auto" w:fill="FFDEAD"/>
          </w:tcPr>
          <w:p>
            <w:pPr>
              <w:spacing w:after="0"/>
              <w:rPr>
                <w:sz w:val="19"/>
                <w:szCs w:val="19"/>
                <w:color w:val="auto"/>
              </w:rPr>
            </w:pPr>
          </w:p>
        </w:tc>
        <w:tc>
          <w:tcPr>
            <w:tcW w:w="300" w:type="dxa"/>
            <w:vAlign w:val="bottom"/>
            <w:tcBorders>
              <w:bottom w:val="single" w:sz="8" w:color="auto"/>
            </w:tcBorders>
            <w:shd w:val="clear" w:color="auto" w:fill="FFDEAD"/>
          </w:tcPr>
          <w:p>
            <w:pPr>
              <w:spacing w:after="0"/>
              <w:rPr>
                <w:sz w:val="19"/>
                <w:szCs w:val="19"/>
                <w:color w:val="auto"/>
              </w:rPr>
            </w:pPr>
          </w:p>
        </w:tc>
        <w:tc>
          <w:tcPr>
            <w:tcW w:w="320" w:type="dxa"/>
            <w:vAlign w:val="bottom"/>
            <w:tcBorders>
              <w:bottom w:val="single" w:sz="8" w:color="auto"/>
            </w:tcBorders>
            <w:shd w:val="clear" w:color="auto" w:fill="FFDEAD"/>
          </w:tcPr>
          <w:p>
            <w:pPr>
              <w:spacing w:after="0"/>
              <w:rPr>
                <w:sz w:val="19"/>
                <w:szCs w:val="19"/>
                <w:color w:val="auto"/>
              </w:rPr>
            </w:pPr>
          </w:p>
        </w:tc>
        <w:tc>
          <w:tcPr>
            <w:tcW w:w="200" w:type="dxa"/>
            <w:vAlign w:val="bottom"/>
            <w:tcBorders>
              <w:bottom w:val="single" w:sz="8" w:color="auto"/>
            </w:tcBorders>
            <w:shd w:val="clear" w:color="auto" w:fill="FFDEAD"/>
          </w:tcPr>
          <w:p>
            <w:pPr>
              <w:spacing w:after="0"/>
              <w:rPr>
                <w:sz w:val="19"/>
                <w:szCs w:val="19"/>
                <w:color w:val="auto"/>
              </w:rPr>
            </w:pPr>
          </w:p>
        </w:tc>
        <w:tc>
          <w:tcPr>
            <w:tcW w:w="280" w:type="dxa"/>
            <w:vAlign w:val="bottom"/>
            <w:tcBorders>
              <w:bottom w:val="single" w:sz="8" w:color="auto"/>
            </w:tcBorders>
            <w:shd w:val="clear" w:color="auto" w:fill="FFDEAD"/>
          </w:tcPr>
          <w:p>
            <w:pPr>
              <w:spacing w:after="0"/>
              <w:rPr>
                <w:sz w:val="19"/>
                <w:szCs w:val="19"/>
                <w:color w:val="auto"/>
              </w:rPr>
            </w:pPr>
          </w:p>
        </w:tc>
        <w:tc>
          <w:tcPr>
            <w:tcW w:w="100" w:type="dxa"/>
            <w:vAlign w:val="bottom"/>
            <w:tcBorders>
              <w:bottom w:val="single" w:sz="8" w:color="auto"/>
              <w:right w:val="single" w:sz="8" w:color="auto"/>
            </w:tcBorders>
            <w:shd w:val="clear" w:color="auto" w:fill="FFDEAD"/>
          </w:tcPr>
          <w:p>
            <w:pPr>
              <w:spacing w:after="0"/>
              <w:rPr>
                <w:sz w:val="19"/>
                <w:szCs w:val="19"/>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1.1(a) – Term Loan – Availability</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The initial Term Loan Advance must be in an amount equal to the initial Term Loan Availability</w:t>
            </w:r>
          </w:p>
        </w:tc>
      </w:tr>
      <w:tr>
        <w:trPr>
          <w:trHeight w:val="189"/>
        </w:trPr>
        <w:tc>
          <w:tcPr>
            <w:tcW w:w="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11"/>
          </w:tcPr>
          <w:p>
            <w:pPr>
              <w:spacing w:after="0" w:line="189" w:lineRule="exact"/>
              <w:rPr>
                <w:sz w:val="20"/>
                <w:szCs w:val="20"/>
                <w:color w:val="auto"/>
              </w:rPr>
            </w:pPr>
            <w:r>
              <w:rPr>
                <w:rFonts w:ascii="Times New Roman" w:cs="Times New Roman" w:eastAsia="Times New Roman" w:hAnsi="Times New Roman"/>
                <w:sz w:val="17"/>
                <w:szCs w:val="17"/>
                <w:color w:val="auto"/>
              </w:rPr>
              <w:t>Amount  available  on  the</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83"/>
              </w:rPr>
              <w:t>First</w:t>
            </w:r>
          </w:p>
        </w:tc>
        <w:tc>
          <w:tcPr>
            <w:tcW w:w="258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FF"/>
              </w:rPr>
              <w:t xml:space="preserve">Third  </w:t>
            </w:r>
            <w:r>
              <w:rPr>
                <w:rFonts w:ascii="Times New Roman" w:cs="Times New Roman" w:eastAsia="Times New Roman" w:hAnsi="Times New Roman"/>
                <w:sz w:val="17"/>
                <w:szCs w:val="17"/>
                <w:color w:val="000000"/>
              </w:rPr>
              <w:t>Amendment  Effective  Date</w:t>
            </w:r>
          </w:p>
        </w:tc>
        <w:tc>
          <w:tcPr>
            <w:tcW w:w="2360" w:type="dxa"/>
            <w:vAlign w:val="bottom"/>
            <w:tcBorders>
              <w:right w:val="single" w:sz="8" w:color="auto"/>
            </w:tcBorders>
            <w:gridSpan w:val="7"/>
          </w:tcPr>
          <w:p>
            <w:pPr>
              <w:jc w:val="right"/>
              <w:ind w:right="80"/>
              <w:spacing w:after="0" w:line="189" w:lineRule="exact"/>
              <w:rPr>
                <w:sz w:val="20"/>
                <w:szCs w:val="20"/>
                <w:color w:val="auto"/>
              </w:rPr>
            </w:pPr>
            <w:r>
              <w:rPr>
                <w:rFonts w:ascii="Times New Roman" w:cs="Times New Roman" w:eastAsia="Times New Roman" w:hAnsi="Times New Roman"/>
                <w:sz w:val="17"/>
                <w:szCs w:val="17"/>
                <w:color w:val="FF0000"/>
              </w:rPr>
              <w:t>(excluding  the  Uncommitted</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gridSpan w:val="17"/>
          </w:tcPr>
          <w:p>
            <w:pPr>
              <w:spacing w:after="0"/>
              <w:rPr>
                <w:sz w:val="20"/>
                <w:szCs w:val="20"/>
                <w:color w:val="auto"/>
              </w:rPr>
            </w:pPr>
            <w:r>
              <w:rPr>
                <w:rFonts w:ascii="Times New Roman" w:cs="Times New Roman" w:eastAsia="Times New Roman" w:hAnsi="Times New Roman"/>
                <w:sz w:val="17"/>
                <w:szCs w:val="17"/>
                <w:color w:val="FF0000"/>
                <w:strike w:val="1"/>
              </w:rPr>
              <w:t>Accordion, for the avoidance of doubt)</w:t>
            </w:r>
          </w:p>
        </w:tc>
        <w:tc>
          <w:tcPr>
            <w:tcW w:w="4460" w:type="dxa"/>
            <w:vAlign w:val="bottom"/>
            <w:tcBorders>
              <w:right w:val="single" w:sz="8" w:color="auto"/>
            </w:tcBorders>
            <w:gridSpan w:val="11"/>
          </w:tcPr>
          <w:p>
            <w:pPr>
              <w:jc w:val="right"/>
              <w:ind w:right="100"/>
              <w:spacing w:after="0"/>
              <w:rPr>
                <w:sz w:val="20"/>
                <w:szCs w:val="20"/>
                <w:color w:val="auto"/>
              </w:rPr>
            </w:pPr>
            <w:r>
              <w:rPr>
                <w:rFonts w:ascii="Times New Roman" w:cs="Times New Roman" w:eastAsia="Times New Roman" w:hAnsi="Times New Roman"/>
                <w:sz w:val="17"/>
                <w:szCs w:val="17"/>
                <w:color w:val="auto"/>
              </w:rPr>
              <w:t>. After repayment, the Term Loan Advance (or any portion</w:t>
            </w:r>
          </w:p>
        </w:tc>
      </w:tr>
      <w:tr>
        <w:trPr>
          <w:trHeight w:val="228"/>
        </w:trPr>
        <w:tc>
          <w:tcPr>
            <w:tcW w:w="4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thereof) may not be reborrowed.</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1.1(b) – Term Loan – Repayment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Commencing on the Term Loan Amortization Date, and continuing on each Payment Date thereafter</w:t>
            </w:r>
          </w:p>
        </w:tc>
      </w:tr>
      <w:tr>
        <w:trPr>
          <w:trHeight w:val="210"/>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until the Term Loan Advance is paid in full, Borrower shall repay the outstanding Term Loan Advance</w:t>
            </w:r>
          </w:p>
        </w:tc>
      </w:tr>
      <w:tr>
        <w:trPr>
          <w:trHeight w:val="189"/>
        </w:trPr>
        <w:tc>
          <w:tcPr>
            <w:tcW w:w="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 (i)</w:t>
            </w: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FF0000"/>
                <w:strike w:val="1"/>
                <w:w w:val="97"/>
              </w:rPr>
              <w:t>thirty</w:t>
            </w: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0000FF"/>
              </w:rPr>
              <w:t xml:space="preserve">twenty-four </w:t>
            </w:r>
            <w:r>
              <w:rPr>
                <w:rFonts w:ascii="Times New Roman" w:cs="Times New Roman" w:eastAsia="Times New Roman" w:hAnsi="Times New Roman"/>
                <w:sz w:val="17"/>
                <w:szCs w:val="17"/>
                <w:color w:val="000000"/>
              </w:rPr>
              <w:t>(</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30</w:t>
            </w:r>
          </w:p>
        </w:tc>
        <w:tc>
          <w:tcPr>
            <w:tcW w:w="5400" w:type="dxa"/>
            <w:vAlign w:val="bottom"/>
            <w:tcBorders>
              <w:right w:val="single" w:sz="8" w:color="auto"/>
            </w:tcBorders>
            <w:gridSpan w:val="18"/>
          </w:tcPr>
          <w:p>
            <w:pPr>
              <w:jc w:val="right"/>
              <w:ind w:right="100"/>
              <w:spacing w:after="0" w:line="189" w:lineRule="exact"/>
              <w:rPr>
                <w:sz w:val="20"/>
                <w:szCs w:val="20"/>
                <w:color w:val="auto"/>
              </w:rPr>
            </w:pPr>
            <w:r>
              <w:rPr>
                <w:rFonts w:ascii="Times New Roman" w:cs="Times New Roman" w:eastAsia="Times New Roman" w:hAnsi="Times New Roman"/>
                <w:sz w:val="17"/>
                <w:szCs w:val="17"/>
                <w:color w:val="0000FF"/>
              </w:rPr>
              <w:t>24</w:t>
            </w:r>
            <w:r>
              <w:rPr>
                <w:rFonts w:ascii="Times New Roman" w:cs="Times New Roman" w:eastAsia="Times New Roman" w:hAnsi="Times New Roman"/>
                <w:sz w:val="17"/>
                <w:szCs w:val="17"/>
                <w:color w:val="000000"/>
              </w:rPr>
              <w:t>) equal monthly installments of principal,</w:t>
            </w:r>
            <w:r>
              <w:rPr>
                <w:rFonts w:ascii="Times New Roman" w:cs="Times New Roman" w:eastAsia="Times New Roman" w:hAnsi="Times New Roman"/>
                <w:sz w:val="17"/>
                <w:szCs w:val="17"/>
                <w:color w:val="0000FF"/>
              </w:rPr>
              <w:t xml:space="preserve"> which shall reduce to twelve</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320" w:type="dxa"/>
            <w:vAlign w:val="bottom"/>
            <w:tcBorders>
              <w:right w:val="single" w:sz="8" w:color="auto"/>
            </w:tcBorders>
            <w:gridSpan w:val="28"/>
          </w:tcPr>
          <w:p>
            <w:pPr>
              <w:spacing w:after="0" w:line="190" w:lineRule="exact"/>
              <w:rPr>
                <w:sz w:val="20"/>
                <w:szCs w:val="20"/>
                <w:color w:val="auto"/>
              </w:rPr>
            </w:pPr>
            <w:r>
              <w:rPr>
                <w:rFonts w:ascii="Times New Roman" w:cs="Times New Roman" w:eastAsia="Times New Roman" w:hAnsi="Times New Roman"/>
                <w:sz w:val="17"/>
                <w:szCs w:val="17"/>
                <w:color w:val="0000FF"/>
              </w:rPr>
              <w:t xml:space="preserve">(12) equal monthly installments of principal upon the occurrence of the Performance Milestone </w:t>
            </w:r>
            <w:r>
              <w:rPr>
                <w:rFonts w:ascii="Times New Roman" w:cs="Times New Roman" w:eastAsia="Times New Roman" w:hAnsi="Times New Roman"/>
                <w:sz w:val="17"/>
                <w:szCs w:val="17"/>
                <w:color w:val="000000"/>
              </w:rPr>
              <w:t>plus</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(ii) monthly payments of accrued interest in accordance with Section 1.2(a)(ii) at the rate set forth in</w:t>
            </w:r>
          </w:p>
        </w:tc>
      </w:tr>
      <w:tr>
        <w:trPr>
          <w:trHeight w:val="228"/>
        </w:trPr>
        <w:tc>
          <w:tcPr>
            <w:tcW w:w="4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Section 1.2(b)(ii).</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164"/>
        </w:trPr>
        <w:tc>
          <w:tcPr>
            <w:tcW w:w="40" w:type="dxa"/>
            <w:vAlign w:val="bottom"/>
            <w:tcBorders>
              <w:left w:val="single" w:sz="8" w:color="auto"/>
            </w:tcBorders>
            <w:shd w:val="clear" w:color="auto" w:fill="FFDEAD"/>
          </w:tcPr>
          <w:p>
            <w:pPr>
              <w:spacing w:after="0"/>
              <w:rPr>
                <w:sz w:val="14"/>
                <w:szCs w:val="14"/>
                <w:color w:val="auto"/>
              </w:rPr>
            </w:pPr>
          </w:p>
        </w:tc>
        <w:tc>
          <w:tcPr>
            <w:tcW w:w="3720" w:type="dxa"/>
            <w:vAlign w:val="bottom"/>
            <w:tcBorders>
              <w:right w:val="single" w:sz="8" w:color="auto"/>
            </w:tcBorders>
            <w:gridSpan w:val="2"/>
            <w:shd w:val="clear" w:color="auto" w:fill="FFDEAD"/>
          </w:tcPr>
          <w:p>
            <w:pPr>
              <w:ind w:left="40"/>
              <w:spacing w:after="0" w:line="163" w:lineRule="exact"/>
              <w:rPr>
                <w:sz w:val="20"/>
                <w:szCs w:val="20"/>
                <w:color w:val="auto"/>
              </w:rPr>
            </w:pPr>
            <w:r>
              <w:rPr>
                <w:rFonts w:ascii="Times New Roman" w:cs="Times New Roman" w:eastAsia="Times New Roman" w:hAnsi="Times New Roman"/>
                <w:sz w:val="17"/>
                <w:szCs w:val="17"/>
                <w:color w:val="FF0000"/>
                <w:strike w:val="1"/>
              </w:rPr>
              <w:t>1.2(a)(i) – Interest Payments - Advances</w:t>
            </w:r>
          </w:p>
        </w:tc>
        <w:tc>
          <w:tcPr>
            <w:tcW w:w="20" w:type="dxa"/>
            <w:vAlign w:val="bottom"/>
            <w:shd w:val="clear" w:color="auto" w:fill="FFDEAD"/>
          </w:tcPr>
          <w:p>
            <w:pPr>
              <w:spacing w:after="0"/>
              <w:rPr>
                <w:sz w:val="14"/>
                <w:szCs w:val="14"/>
                <w:color w:val="auto"/>
              </w:rPr>
            </w:pPr>
          </w:p>
        </w:tc>
        <w:tc>
          <w:tcPr>
            <w:tcW w:w="7360" w:type="dxa"/>
            <w:vAlign w:val="bottom"/>
            <w:tcBorders>
              <w:right w:val="single" w:sz="8" w:color="auto"/>
            </w:tcBorders>
            <w:gridSpan w:val="29"/>
            <w:shd w:val="clear" w:color="auto" w:fill="FFDEAD"/>
          </w:tcPr>
          <w:p>
            <w:pPr>
              <w:spacing w:after="0" w:line="163" w:lineRule="exact"/>
              <w:rPr>
                <w:sz w:val="20"/>
                <w:szCs w:val="20"/>
                <w:color w:val="auto"/>
              </w:rPr>
            </w:pPr>
            <w:r>
              <w:rPr>
                <w:rFonts w:ascii="Times New Roman" w:cs="Times New Roman" w:eastAsia="Times New Roman" w:hAnsi="Times New Roman"/>
                <w:sz w:val="17"/>
                <w:szCs w:val="17"/>
                <w:color w:val="FF0000"/>
                <w:strike w:val="1"/>
              </w:rPr>
              <w:t>Interest on the outstanding principal amount of each Advance is payable in arrears monthly (A) on each</w:t>
            </w:r>
          </w:p>
        </w:tc>
      </w:tr>
      <w:tr>
        <w:trPr>
          <w:trHeight w:val="232"/>
        </w:trPr>
        <w:tc>
          <w:tcPr>
            <w:tcW w:w="40" w:type="dxa"/>
            <w:vAlign w:val="bottom"/>
            <w:tcBorders>
              <w:left w:val="single" w:sz="8" w:color="auto"/>
              <w:bottom w:val="single" w:sz="8" w:color="auto"/>
            </w:tcBorders>
            <w:shd w:val="clear" w:color="auto" w:fill="FFDEAD"/>
          </w:tcPr>
          <w:p>
            <w:pPr>
              <w:spacing w:after="0"/>
              <w:rPr>
                <w:sz w:val="20"/>
                <w:szCs w:val="20"/>
                <w:color w:val="auto"/>
              </w:rPr>
            </w:pPr>
          </w:p>
        </w:tc>
        <w:tc>
          <w:tcPr>
            <w:tcW w:w="920" w:type="dxa"/>
            <w:vAlign w:val="bottom"/>
            <w:tcBorders>
              <w:bottom w:val="single" w:sz="8" w:color="auto"/>
            </w:tcBorders>
            <w:shd w:val="clear" w:color="auto" w:fill="FFDEAD"/>
          </w:tcPr>
          <w:p>
            <w:pPr>
              <w:spacing w:after="0"/>
              <w:rPr>
                <w:sz w:val="20"/>
                <w:szCs w:val="20"/>
                <w:color w:val="auto"/>
              </w:rPr>
            </w:pPr>
          </w:p>
        </w:tc>
        <w:tc>
          <w:tcPr>
            <w:tcW w:w="2800" w:type="dxa"/>
            <w:vAlign w:val="bottom"/>
            <w:tcBorders>
              <w:bottom w:val="single" w:sz="8" w:color="auto"/>
              <w:right w:val="single" w:sz="8" w:color="auto"/>
            </w:tcBorders>
            <w:shd w:val="clear" w:color="auto" w:fill="FFDEAD"/>
          </w:tcPr>
          <w:p>
            <w:pPr>
              <w:spacing w:after="0"/>
              <w:rPr>
                <w:sz w:val="20"/>
                <w:szCs w:val="20"/>
                <w:color w:val="auto"/>
              </w:rPr>
            </w:pPr>
          </w:p>
        </w:tc>
        <w:tc>
          <w:tcPr>
            <w:tcW w:w="20" w:type="dxa"/>
            <w:vAlign w:val="bottom"/>
            <w:tcBorders>
              <w:bottom w:val="single" w:sz="8" w:color="auto"/>
            </w:tcBorders>
            <w:shd w:val="clear" w:color="auto" w:fill="FFDEAD"/>
          </w:tcPr>
          <w:p>
            <w:pPr>
              <w:spacing w:after="0"/>
              <w:rPr>
                <w:sz w:val="20"/>
                <w:szCs w:val="20"/>
                <w:color w:val="auto"/>
              </w:rPr>
            </w:pPr>
          </w:p>
        </w:tc>
        <w:tc>
          <w:tcPr>
            <w:tcW w:w="6780" w:type="dxa"/>
            <w:vAlign w:val="bottom"/>
            <w:tcBorders>
              <w:bottom w:val="single" w:sz="8" w:color="auto"/>
            </w:tcBorders>
            <w:gridSpan w:val="26"/>
            <w:shd w:val="clear" w:color="auto" w:fill="FFDEAD"/>
          </w:tcPr>
          <w:p>
            <w:pPr>
              <w:spacing w:after="0"/>
              <w:rPr>
                <w:sz w:val="20"/>
                <w:szCs w:val="20"/>
                <w:color w:val="auto"/>
              </w:rPr>
            </w:pPr>
            <w:r>
              <w:rPr>
                <w:rFonts w:ascii="Times New Roman" w:cs="Times New Roman" w:eastAsia="Times New Roman" w:hAnsi="Times New Roman"/>
                <w:sz w:val="17"/>
                <w:szCs w:val="17"/>
                <w:color w:val="FF0000"/>
                <w:strike w:val="1"/>
              </w:rPr>
              <w:t>Payment Date, (B) on the date of any prepayment and (C) on the Revolving Line Maturity Date.</w:t>
            </w:r>
          </w:p>
        </w:tc>
        <w:tc>
          <w:tcPr>
            <w:tcW w:w="200" w:type="dxa"/>
            <w:vAlign w:val="bottom"/>
            <w:tcBorders>
              <w:bottom w:val="single" w:sz="8" w:color="auto"/>
            </w:tcBorders>
            <w:shd w:val="clear" w:color="auto" w:fill="FFDEAD"/>
          </w:tcPr>
          <w:p>
            <w:pPr>
              <w:spacing w:after="0"/>
              <w:rPr>
                <w:sz w:val="20"/>
                <w:szCs w:val="20"/>
                <w:color w:val="auto"/>
              </w:rPr>
            </w:pPr>
          </w:p>
        </w:tc>
        <w:tc>
          <w:tcPr>
            <w:tcW w:w="380" w:type="dxa"/>
            <w:vAlign w:val="bottom"/>
            <w:tcBorders>
              <w:bottom w:val="single" w:sz="8" w:color="auto"/>
              <w:right w:val="single" w:sz="8" w:color="auto"/>
            </w:tcBorders>
            <w:gridSpan w:val="2"/>
            <w:shd w:val="clear" w:color="auto" w:fill="FFDEAD"/>
          </w:tcPr>
          <w:p>
            <w:pPr>
              <w:spacing w:after="0"/>
              <w:rPr>
                <w:sz w:val="20"/>
                <w:szCs w:val="20"/>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3720" w:type="dxa"/>
            <w:vAlign w:val="bottom"/>
            <w:tcBorders>
              <w:right w:val="single" w:sz="8" w:color="auto"/>
            </w:tcBorders>
            <w:gridSpan w:val="2"/>
          </w:tcPr>
          <w:p>
            <w:pPr>
              <w:ind w:left="40"/>
              <w:spacing w:after="0" w:line="167" w:lineRule="exact"/>
              <w:rPr>
                <w:sz w:val="20"/>
                <w:szCs w:val="20"/>
                <w:color w:val="auto"/>
              </w:rPr>
            </w:pPr>
            <w:r>
              <w:rPr>
                <w:rFonts w:ascii="Times New Roman" w:cs="Times New Roman" w:eastAsia="Times New Roman" w:hAnsi="Times New Roman"/>
                <w:sz w:val="17"/>
                <w:szCs w:val="17"/>
                <w:color w:val="auto"/>
              </w:rPr>
              <w:t>1.2(a)(ii) – Interest Payments – Term Loan</w:t>
            </w:r>
          </w:p>
        </w:tc>
        <w:tc>
          <w:tcPr>
            <w:tcW w:w="20" w:type="dxa"/>
            <w:vAlign w:val="bottom"/>
          </w:tcPr>
          <w:p>
            <w:pPr>
              <w:spacing w:after="0"/>
              <w:rPr>
                <w:sz w:val="14"/>
                <w:szCs w:val="14"/>
                <w:color w:val="auto"/>
              </w:rPr>
            </w:pPr>
          </w:p>
        </w:tc>
        <w:tc>
          <w:tcPr>
            <w:tcW w:w="7360" w:type="dxa"/>
            <w:vAlign w:val="bottom"/>
            <w:tcBorders>
              <w:right w:val="single" w:sz="8" w:color="auto"/>
            </w:tcBorders>
            <w:gridSpan w:val="29"/>
          </w:tcPr>
          <w:p>
            <w:pPr>
              <w:spacing w:after="0" w:line="167" w:lineRule="exact"/>
              <w:rPr>
                <w:sz w:val="20"/>
                <w:szCs w:val="20"/>
                <w:color w:val="auto"/>
              </w:rPr>
            </w:pPr>
            <w:r>
              <w:rPr>
                <w:rFonts w:ascii="Times New Roman" w:cs="Times New Roman" w:eastAsia="Times New Roman" w:hAnsi="Times New Roman"/>
                <w:sz w:val="17"/>
                <w:szCs w:val="17"/>
                <w:color w:val="auto"/>
              </w:rPr>
              <w:t>Interest on the outstanding principal amount of the Term Loan Advance is payable in arrears monthly (i)</w:t>
            </w:r>
          </w:p>
        </w:tc>
      </w:tr>
      <w:tr>
        <w:trPr>
          <w:trHeight w:val="178"/>
        </w:trPr>
        <w:tc>
          <w:tcPr>
            <w:tcW w:w="40" w:type="dxa"/>
            <w:vAlign w:val="bottom"/>
            <w:tcBorders>
              <w:left w:val="single" w:sz="8" w:color="auto"/>
            </w:tcBorders>
          </w:tcPr>
          <w:p>
            <w:pPr>
              <w:spacing w:after="0"/>
              <w:rPr>
                <w:sz w:val="15"/>
                <w:szCs w:val="15"/>
                <w:color w:val="auto"/>
              </w:rPr>
            </w:pPr>
          </w:p>
        </w:tc>
        <w:tc>
          <w:tcPr>
            <w:tcW w:w="3720" w:type="dxa"/>
            <w:vAlign w:val="bottom"/>
            <w:tcBorders>
              <w:right w:val="single" w:sz="8" w:color="auto"/>
            </w:tcBorders>
            <w:gridSpan w:val="2"/>
          </w:tcPr>
          <w:p>
            <w:pPr>
              <w:ind w:left="40"/>
              <w:spacing w:after="0" w:line="178" w:lineRule="exact"/>
              <w:rPr>
                <w:sz w:val="20"/>
                <w:szCs w:val="20"/>
                <w:color w:val="auto"/>
              </w:rPr>
            </w:pPr>
            <w:r>
              <w:rPr>
                <w:rFonts w:ascii="Times New Roman" w:cs="Times New Roman" w:eastAsia="Times New Roman" w:hAnsi="Times New Roman"/>
                <w:sz w:val="17"/>
                <w:szCs w:val="17"/>
                <w:color w:val="auto"/>
              </w:rPr>
              <w:t>Advances</w:t>
            </w:r>
          </w:p>
        </w:tc>
        <w:tc>
          <w:tcPr>
            <w:tcW w:w="20" w:type="dxa"/>
            <w:vAlign w:val="bottom"/>
          </w:tcPr>
          <w:p>
            <w:pPr>
              <w:spacing w:after="0"/>
              <w:rPr>
                <w:sz w:val="15"/>
                <w:szCs w:val="15"/>
                <w:color w:val="auto"/>
              </w:rPr>
            </w:pPr>
          </w:p>
        </w:tc>
        <w:tc>
          <w:tcPr>
            <w:tcW w:w="7360" w:type="dxa"/>
            <w:vAlign w:val="bottom"/>
            <w:tcBorders>
              <w:right w:val="single" w:sz="8" w:color="auto"/>
            </w:tcBorders>
            <w:gridSpan w:val="29"/>
          </w:tcPr>
          <w:p>
            <w:pPr>
              <w:spacing w:after="0" w:line="178" w:lineRule="exact"/>
              <w:rPr>
                <w:sz w:val="20"/>
                <w:szCs w:val="20"/>
                <w:color w:val="auto"/>
              </w:rPr>
            </w:pPr>
            <w:r>
              <w:rPr>
                <w:rFonts w:ascii="Times New Roman" w:cs="Times New Roman" w:eastAsia="Times New Roman" w:hAnsi="Times New Roman"/>
                <w:sz w:val="17"/>
                <w:szCs w:val="17"/>
                <w:color w:val="auto"/>
              </w:rPr>
              <w:t>on each Payment Date commencing on the first Payment Date following the Funding Date of each such</w:t>
            </w:r>
          </w:p>
        </w:tc>
      </w:tr>
      <w:tr>
        <w:trPr>
          <w:trHeight w:val="176"/>
        </w:trPr>
        <w:tc>
          <w:tcPr>
            <w:tcW w:w="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360" w:type="dxa"/>
            <w:vAlign w:val="bottom"/>
            <w:tcBorders>
              <w:right w:val="single" w:sz="8" w:color="auto"/>
            </w:tcBorders>
            <w:gridSpan w:val="29"/>
          </w:tcPr>
          <w:p>
            <w:pPr>
              <w:spacing w:after="0" w:line="176" w:lineRule="exact"/>
              <w:rPr>
                <w:sz w:val="20"/>
                <w:szCs w:val="20"/>
                <w:color w:val="auto"/>
              </w:rPr>
            </w:pPr>
            <w:r>
              <w:rPr>
                <w:rFonts w:ascii="Times New Roman" w:cs="Times New Roman" w:eastAsia="Times New Roman" w:hAnsi="Times New Roman"/>
                <w:sz w:val="17"/>
                <w:szCs w:val="17"/>
                <w:color w:val="auto"/>
              </w:rPr>
              <w:t>Term Loan Advance, (ii) on the date of any prepayment of the Term Loan Advance, and (iii) on the</w:t>
            </w:r>
          </w:p>
        </w:tc>
      </w:tr>
      <w:tr>
        <w:trPr>
          <w:trHeight w:val="223"/>
        </w:trPr>
        <w:tc>
          <w:tcPr>
            <w:tcW w:w="4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360" w:type="dxa"/>
            <w:vAlign w:val="bottom"/>
            <w:tcBorders>
              <w:bottom w:val="single" w:sz="8" w:color="auto"/>
              <w:right w:val="single" w:sz="8" w:color="auto"/>
            </w:tcBorders>
            <w:gridSpan w:val="29"/>
          </w:tcPr>
          <w:p>
            <w:pPr>
              <w:spacing w:after="0"/>
              <w:rPr>
                <w:sz w:val="20"/>
                <w:szCs w:val="20"/>
                <w:color w:val="auto"/>
              </w:rPr>
            </w:pPr>
            <w:r>
              <w:rPr>
                <w:rFonts w:ascii="Times New Roman" w:cs="Times New Roman" w:eastAsia="Times New Roman" w:hAnsi="Times New Roman"/>
                <w:sz w:val="17"/>
                <w:szCs w:val="17"/>
                <w:color w:val="auto"/>
              </w:rPr>
              <w:t>Term Loan Maturity Date.</w:t>
            </w:r>
          </w:p>
        </w:tc>
      </w:tr>
      <w:tr>
        <w:trPr>
          <w:trHeight w:val="164"/>
        </w:trPr>
        <w:tc>
          <w:tcPr>
            <w:tcW w:w="40" w:type="dxa"/>
            <w:vAlign w:val="bottom"/>
            <w:tcBorders>
              <w:left w:val="single" w:sz="8" w:color="auto"/>
            </w:tcBorders>
            <w:shd w:val="clear" w:color="auto" w:fill="FFDEAD"/>
          </w:tcPr>
          <w:p>
            <w:pPr>
              <w:spacing w:after="0"/>
              <w:rPr>
                <w:sz w:val="14"/>
                <w:szCs w:val="14"/>
                <w:color w:val="auto"/>
              </w:rPr>
            </w:pPr>
          </w:p>
        </w:tc>
        <w:tc>
          <w:tcPr>
            <w:tcW w:w="3720" w:type="dxa"/>
            <w:vAlign w:val="bottom"/>
            <w:tcBorders>
              <w:right w:val="single" w:sz="8" w:color="auto"/>
            </w:tcBorders>
            <w:gridSpan w:val="2"/>
            <w:shd w:val="clear" w:color="auto" w:fill="FFDEAD"/>
          </w:tcPr>
          <w:p>
            <w:pPr>
              <w:ind w:left="40"/>
              <w:spacing w:after="0" w:line="163" w:lineRule="exact"/>
              <w:rPr>
                <w:sz w:val="20"/>
                <w:szCs w:val="20"/>
                <w:color w:val="auto"/>
              </w:rPr>
            </w:pPr>
            <w:r>
              <w:rPr>
                <w:rFonts w:ascii="Times New Roman" w:cs="Times New Roman" w:eastAsia="Times New Roman" w:hAnsi="Times New Roman"/>
                <w:sz w:val="17"/>
                <w:szCs w:val="17"/>
                <w:color w:val="FF0000"/>
                <w:strike w:val="1"/>
              </w:rPr>
              <w:t>1.2(b)(i) – Interest Rate - Advances</w:t>
            </w:r>
          </w:p>
        </w:tc>
        <w:tc>
          <w:tcPr>
            <w:tcW w:w="20" w:type="dxa"/>
            <w:vAlign w:val="bottom"/>
            <w:shd w:val="clear" w:color="auto" w:fill="FFDEAD"/>
          </w:tcPr>
          <w:p>
            <w:pPr>
              <w:spacing w:after="0"/>
              <w:rPr>
                <w:sz w:val="14"/>
                <w:szCs w:val="14"/>
                <w:color w:val="auto"/>
              </w:rPr>
            </w:pPr>
          </w:p>
        </w:tc>
        <w:tc>
          <w:tcPr>
            <w:tcW w:w="7360" w:type="dxa"/>
            <w:vAlign w:val="bottom"/>
            <w:tcBorders>
              <w:right w:val="single" w:sz="8" w:color="auto"/>
            </w:tcBorders>
            <w:gridSpan w:val="29"/>
            <w:shd w:val="clear" w:color="auto" w:fill="FFDEAD"/>
          </w:tcPr>
          <w:p>
            <w:pPr>
              <w:spacing w:after="0" w:line="163" w:lineRule="exact"/>
              <w:rPr>
                <w:sz w:val="20"/>
                <w:szCs w:val="20"/>
                <w:color w:val="auto"/>
              </w:rPr>
            </w:pPr>
            <w:r>
              <w:rPr>
                <w:rFonts w:ascii="Times New Roman" w:cs="Times New Roman" w:eastAsia="Times New Roman" w:hAnsi="Times New Roman"/>
                <w:sz w:val="17"/>
                <w:szCs w:val="17"/>
                <w:color w:val="FF0000"/>
                <w:strike w:val="1"/>
              </w:rPr>
              <w:t>The outstanding principal amount of any Advance shall accrue interest at a floating rate per annum</w:t>
            </w:r>
          </w:p>
        </w:tc>
      </w:tr>
      <w:tr>
        <w:trPr>
          <w:trHeight w:val="178"/>
        </w:trPr>
        <w:tc>
          <w:tcPr>
            <w:tcW w:w="40" w:type="dxa"/>
            <w:vAlign w:val="bottom"/>
            <w:tcBorders>
              <w:left w:val="single" w:sz="8" w:color="auto"/>
            </w:tcBorders>
            <w:shd w:val="clear" w:color="auto" w:fill="FFDEAD"/>
          </w:tcPr>
          <w:p>
            <w:pPr>
              <w:spacing w:after="0"/>
              <w:rPr>
                <w:sz w:val="15"/>
                <w:szCs w:val="15"/>
                <w:color w:val="auto"/>
              </w:rPr>
            </w:pPr>
          </w:p>
        </w:tc>
        <w:tc>
          <w:tcPr>
            <w:tcW w:w="920" w:type="dxa"/>
            <w:vAlign w:val="bottom"/>
            <w:shd w:val="clear" w:color="auto" w:fill="FFDEAD"/>
          </w:tcPr>
          <w:p>
            <w:pPr>
              <w:spacing w:after="0"/>
              <w:rPr>
                <w:sz w:val="15"/>
                <w:szCs w:val="15"/>
                <w:color w:val="auto"/>
              </w:rPr>
            </w:pPr>
          </w:p>
        </w:tc>
        <w:tc>
          <w:tcPr>
            <w:tcW w:w="2800" w:type="dxa"/>
            <w:vAlign w:val="bottom"/>
            <w:tcBorders>
              <w:right w:val="single" w:sz="8" w:color="auto"/>
            </w:tcBorders>
            <w:shd w:val="clear" w:color="auto" w:fill="FFDEAD"/>
          </w:tcPr>
          <w:p>
            <w:pPr>
              <w:spacing w:after="0"/>
              <w:rPr>
                <w:sz w:val="15"/>
                <w:szCs w:val="15"/>
                <w:color w:val="auto"/>
              </w:rPr>
            </w:pPr>
          </w:p>
        </w:tc>
        <w:tc>
          <w:tcPr>
            <w:tcW w:w="20" w:type="dxa"/>
            <w:vAlign w:val="bottom"/>
            <w:shd w:val="clear" w:color="auto" w:fill="FFDEAD"/>
          </w:tcPr>
          <w:p>
            <w:pPr>
              <w:spacing w:after="0"/>
              <w:rPr>
                <w:sz w:val="15"/>
                <w:szCs w:val="15"/>
                <w:color w:val="auto"/>
              </w:rPr>
            </w:pPr>
          </w:p>
        </w:tc>
        <w:tc>
          <w:tcPr>
            <w:tcW w:w="7360" w:type="dxa"/>
            <w:vAlign w:val="bottom"/>
            <w:tcBorders>
              <w:right w:val="single" w:sz="8" w:color="auto"/>
            </w:tcBorders>
            <w:gridSpan w:val="29"/>
            <w:shd w:val="clear" w:color="auto" w:fill="FFDEAD"/>
          </w:tcPr>
          <w:p>
            <w:pPr>
              <w:spacing w:after="0" w:line="178" w:lineRule="exact"/>
              <w:rPr>
                <w:sz w:val="20"/>
                <w:szCs w:val="20"/>
                <w:color w:val="auto"/>
              </w:rPr>
            </w:pPr>
            <w:r>
              <w:rPr>
                <w:rFonts w:ascii="Times New Roman" w:cs="Times New Roman" w:eastAsia="Times New Roman" w:hAnsi="Times New Roman"/>
                <w:sz w:val="17"/>
                <w:szCs w:val="17"/>
                <w:color w:val="FF0000"/>
                <w:strike w:val="1"/>
              </w:rPr>
              <w:t>equal to the greater of (A) six and one quarter of one percent (6.25%) and (B) the Prime Rate plus the</w:t>
            </w:r>
          </w:p>
        </w:tc>
      </w:tr>
      <w:tr>
        <w:trPr>
          <w:trHeight w:val="228"/>
        </w:trPr>
        <w:tc>
          <w:tcPr>
            <w:tcW w:w="40" w:type="dxa"/>
            <w:vAlign w:val="bottom"/>
            <w:tcBorders>
              <w:left w:val="single" w:sz="8" w:color="auto"/>
              <w:bottom w:val="single" w:sz="8" w:color="auto"/>
            </w:tcBorders>
            <w:shd w:val="clear" w:color="auto" w:fill="FFDEAD"/>
          </w:tcPr>
          <w:p>
            <w:pPr>
              <w:spacing w:after="0"/>
              <w:rPr>
                <w:sz w:val="19"/>
                <w:szCs w:val="19"/>
                <w:color w:val="auto"/>
              </w:rPr>
            </w:pPr>
          </w:p>
        </w:tc>
        <w:tc>
          <w:tcPr>
            <w:tcW w:w="920" w:type="dxa"/>
            <w:vAlign w:val="bottom"/>
            <w:tcBorders>
              <w:bottom w:val="single" w:sz="8" w:color="auto"/>
            </w:tcBorders>
            <w:shd w:val="clear" w:color="auto" w:fill="FFDEAD"/>
          </w:tcPr>
          <w:p>
            <w:pPr>
              <w:spacing w:after="0"/>
              <w:rPr>
                <w:sz w:val="19"/>
                <w:szCs w:val="19"/>
                <w:color w:val="auto"/>
              </w:rPr>
            </w:pPr>
          </w:p>
        </w:tc>
        <w:tc>
          <w:tcPr>
            <w:tcW w:w="2800" w:type="dxa"/>
            <w:vAlign w:val="bottom"/>
            <w:tcBorders>
              <w:bottom w:val="single" w:sz="8" w:color="auto"/>
              <w:right w:val="single" w:sz="8" w:color="auto"/>
            </w:tcBorders>
            <w:shd w:val="clear" w:color="auto" w:fill="FFDEAD"/>
          </w:tcPr>
          <w:p>
            <w:pPr>
              <w:spacing w:after="0"/>
              <w:rPr>
                <w:sz w:val="19"/>
                <w:szCs w:val="19"/>
                <w:color w:val="auto"/>
              </w:rPr>
            </w:pPr>
          </w:p>
        </w:tc>
        <w:tc>
          <w:tcPr>
            <w:tcW w:w="20" w:type="dxa"/>
            <w:vAlign w:val="bottom"/>
            <w:tcBorders>
              <w:bottom w:val="single" w:sz="8" w:color="auto"/>
            </w:tcBorders>
            <w:shd w:val="clear" w:color="auto" w:fill="FFDEAD"/>
          </w:tcPr>
          <w:p>
            <w:pPr>
              <w:spacing w:after="0"/>
              <w:rPr>
                <w:sz w:val="19"/>
                <w:szCs w:val="19"/>
                <w:color w:val="auto"/>
              </w:rPr>
            </w:pPr>
          </w:p>
        </w:tc>
        <w:tc>
          <w:tcPr>
            <w:tcW w:w="6980" w:type="dxa"/>
            <w:vAlign w:val="bottom"/>
            <w:tcBorders>
              <w:bottom w:val="single" w:sz="8" w:color="auto"/>
            </w:tcBorders>
            <w:gridSpan w:val="27"/>
            <w:shd w:val="clear" w:color="auto" w:fill="FFDEAD"/>
          </w:tcPr>
          <w:p>
            <w:pPr>
              <w:spacing w:after="0"/>
              <w:rPr>
                <w:sz w:val="20"/>
                <w:szCs w:val="20"/>
                <w:color w:val="auto"/>
              </w:rPr>
            </w:pPr>
            <w:r>
              <w:rPr>
                <w:rFonts w:ascii="Times New Roman" w:cs="Times New Roman" w:eastAsia="Times New Roman" w:hAnsi="Times New Roman"/>
                <w:sz w:val="17"/>
                <w:szCs w:val="17"/>
                <w:color w:val="FF0000"/>
                <w:strike w:val="1"/>
              </w:rPr>
              <w:t>applicable Prime Rate Margin, which interest shall be payable in accordance with Section 1.2(a)(i).</w:t>
            </w:r>
          </w:p>
        </w:tc>
        <w:tc>
          <w:tcPr>
            <w:tcW w:w="380" w:type="dxa"/>
            <w:vAlign w:val="bottom"/>
            <w:tcBorders>
              <w:bottom w:val="single" w:sz="8" w:color="auto"/>
              <w:right w:val="single" w:sz="8" w:color="auto"/>
            </w:tcBorders>
            <w:gridSpan w:val="2"/>
            <w:shd w:val="clear" w:color="auto" w:fill="FFDEAD"/>
          </w:tcPr>
          <w:p>
            <w:pPr>
              <w:spacing w:after="0"/>
              <w:rPr>
                <w:sz w:val="19"/>
                <w:szCs w:val="19"/>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3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1.2(b)(ii) – Interest Rate – Term Loan Advances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The outstanding principal amount of the Term Loan Advance shall accrue interest at a floating rate per</w:t>
            </w:r>
          </w:p>
        </w:tc>
      </w:tr>
      <w:tr>
        <w:trPr>
          <w:trHeight w:val="189"/>
        </w:trPr>
        <w:tc>
          <w:tcPr>
            <w:tcW w:w="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gridSpan w:val="13"/>
          </w:tcPr>
          <w:p>
            <w:pPr>
              <w:spacing w:after="0" w:line="189" w:lineRule="exact"/>
              <w:rPr>
                <w:sz w:val="20"/>
                <w:szCs w:val="20"/>
                <w:color w:val="auto"/>
              </w:rPr>
            </w:pPr>
            <w:r>
              <w:rPr>
                <w:rFonts w:ascii="Times New Roman" w:cs="Times New Roman" w:eastAsia="Times New Roman" w:hAnsi="Times New Roman"/>
                <w:sz w:val="17"/>
                <w:szCs w:val="17"/>
                <w:color w:val="auto"/>
              </w:rPr>
              <w:t>annum equal to the greater of (A)</w:t>
            </w: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FF0000"/>
                <w:strike w:val="1"/>
                <w:w w:val="90"/>
              </w:rPr>
              <w:t>six</w:t>
            </w: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0000FF"/>
              </w:rPr>
              <w:t xml:space="preserve">four </w:t>
            </w:r>
            <w:r>
              <w:rPr>
                <w:rFonts w:ascii="Times New Roman" w:cs="Times New Roman" w:eastAsia="Times New Roman" w:hAnsi="Times New Roman"/>
                <w:sz w:val="17"/>
                <w:szCs w:val="17"/>
                <w:color w:val="000000"/>
              </w:rPr>
              <w:t>and</w:t>
            </w:r>
          </w:p>
        </w:tc>
        <w:tc>
          <w:tcPr>
            <w:tcW w:w="9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FF0000"/>
                <w:strike w:val="1"/>
              </w:rPr>
              <w:t>three quarters</w:t>
            </w:r>
          </w:p>
        </w:tc>
        <w:tc>
          <w:tcPr>
            <w:tcW w:w="194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 xml:space="preserve">one quarter </w:t>
            </w:r>
            <w:r>
              <w:rPr>
                <w:rFonts w:ascii="Times New Roman" w:cs="Times New Roman" w:eastAsia="Times New Roman" w:hAnsi="Times New Roman"/>
                <w:sz w:val="17"/>
                <w:szCs w:val="17"/>
                <w:color w:val="000000"/>
              </w:rPr>
              <w:t>of one percent (</w:t>
            </w:r>
          </w:p>
        </w:tc>
        <w:tc>
          <w:tcPr>
            <w:tcW w:w="3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FF0000"/>
                <w:strike w:val="1"/>
                <w:w w:val="93"/>
              </w:rPr>
              <w:t>6.75</w:t>
            </w:r>
          </w:p>
        </w:tc>
        <w:tc>
          <w:tcPr>
            <w:tcW w:w="900" w:type="dxa"/>
            <w:vAlign w:val="bottom"/>
            <w:tcBorders>
              <w:right w:val="single" w:sz="8" w:color="auto"/>
            </w:tcBorders>
            <w:gridSpan w:val="4"/>
          </w:tcPr>
          <w:p>
            <w:pPr>
              <w:jc w:val="right"/>
              <w:ind w:right="80"/>
              <w:spacing w:after="0" w:line="189" w:lineRule="exact"/>
              <w:rPr>
                <w:sz w:val="20"/>
                <w:szCs w:val="20"/>
                <w:color w:val="auto"/>
              </w:rPr>
            </w:pPr>
            <w:r>
              <w:rPr>
                <w:rFonts w:ascii="Times New Roman" w:cs="Times New Roman" w:eastAsia="Times New Roman" w:hAnsi="Times New Roman"/>
                <w:sz w:val="17"/>
                <w:szCs w:val="17"/>
                <w:color w:val="0000FF"/>
              </w:rPr>
              <w:t>4.25</w:t>
            </w:r>
            <w:r>
              <w:rPr>
                <w:rFonts w:ascii="Times New Roman" w:cs="Times New Roman" w:eastAsia="Times New Roman" w:hAnsi="Times New Roman"/>
                <w:sz w:val="17"/>
                <w:szCs w:val="17"/>
                <w:color w:val="000000"/>
              </w:rPr>
              <w:t>%) and</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auto"/>
            </w:tcBorders>
            <w:gridSpan w:val="3"/>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6"/>
          </w:tcPr>
          <w:p>
            <w:pPr>
              <w:spacing w:after="0" w:line="190" w:lineRule="exact"/>
              <w:rPr>
                <w:sz w:val="20"/>
                <w:szCs w:val="20"/>
                <w:color w:val="auto"/>
              </w:rPr>
            </w:pPr>
            <w:r>
              <w:rPr>
                <w:rFonts w:ascii="Times New Roman" w:cs="Times New Roman" w:eastAsia="Times New Roman" w:hAnsi="Times New Roman"/>
                <w:sz w:val="17"/>
                <w:szCs w:val="17"/>
                <w:color w:val="auto"/>
              </w:rPr>
              <w:t>(B) the Prime Rate</w:t>
            </w:r>
          </w:p>
        </w:tc>
        <w:tc>
          <w:tcPr>
            <w:tcW w:w="28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FF0000"/>
                <w:strike w:val="1"/>
                <w:w w:val="91"/>
              </w:rPr>
              <w:t>plus</w:t>
            </w:r>
          </w:p>
        </w:tc>
        <w:tc>
          <w:tcPr>
            <w:tcW w:w="5600" w:type="dxa"/>
            <w:vAlign w:val="bottom"/>
            <w:tcBorders>
              <w:right w:val="single" w:sz="8" w:color="auto"/>
            </w:tcBorders>
            <w:gridSpan w:val="20"/>
          </w:tcPr>
          <w:p>
            <w:pPr>
              <w:jc w:val="right"/>
              <w:ind w:right="100"/>
              <w:spacing w:after="0" w:line="190" w:lineRule="exact"/>
              <w:rPr>
                <w:sz w:val="20"/>
                <w:szCs w:val="20"/>
                <w:color w:val="auto"/>
              </w:rPr>
            </w:pPr>
            <w:r>
              <w:rPr>
                <w:rFonts w:ascii="Times New Roman" w:cs="Times New Roman" w:eastAsia="Times New Roman" w:hAnsi="Times New Roman"/>
                <w:sz w:val="17"/>
                <w:szCs w:val="17"/>
                <w:color w:val="0000FF"/>
              </w:rPr>
              <w:t xml:space="preserve">minus </w:t>
            </w:r>
            <w:r>
              <w:rPr>
                <w:rFonts w:ascii="Times New Roman" w:cs="Times New Roman" w:eastAsia="Times New Roman" w:hAnsi="Times New Roman"/>
                <w:sz w:val="17"/>
                <w:szCs w:val="17"/>
                <w:color w:val="000000"/>
              </w:rPr>
              <w:t>the applicable Prime Rate Margin, which interest shall be payable in</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4940" w:type="dxa"/>
            <w:vAlign w:val="bottom"/>
            <w:tcBorders>
              <w:right w:val="single" w:sz="8" w:color="auto"/>
            </w:tcBorders>
            <w:gridSpan w:val="15"/>
          </w:tcPr>
          <w:p>
            <w:pPr>
              <w:spacing w:after="0" w:line="20" w:lineRule="exact"/>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20" w:type="dxa"/>
            <w:vAlign w:val="bottom"/>
            <w:tcBorders>
              <w:right w:val="single" w:sz="8" w:color="auto"/>
            </w:tcBorders>
            <w:gridSpan w:val="28"/>
          </w:tcPr>
          <w:p>
            <w:pPr>
              <w:spacing w:after="0"/>
              <w:rPr>
                <w:sz w:val="20"/>
                <w:szCs w:val="20"/>
                <w:color w:val="auto"/>
              </w:rPr>
            </w:pPr>
            <w:r>
              <w:rPr>
                <w:rFonts w:ascii="Times New Roman" w:cs="Times New Roman" w:eastAsia="Times New Roman" w:hAnsi="Times New Roman"/>
                <w:sz w:val="17"/>
                <w:szCs w:val="17"/>
                <w:color w:val="auto"/>
              </w:rPr>
              <w:t>accordance with Section 1.2(a)(ii).</w:t>
            </w: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-3305175</wp:posOffset>
            </wp:positionV>
            <wp:extent cx="14535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5">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ectPr>
          <w:pgSz w:w="11900" w:h="16838" w:orient="portrait"/>
          <w:cols w:equalWidth="0" w:num="1">
            <w:col w:w="11140"/>
          </w:cols>
          <w:pgMar w:left="320" w:top="1373" w:right="439" w:bottom="1440" w:gutter="0" w:footer="0" w:header="0"/>
        </w:sectPr>
      </w:pPr>
    </w:p>
    <w:bookmarkStart w:id="152" w:name="page153"/>
    <w:bookmarkEnd w:id="152"/>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gridSpan w:val="2"/>
          </w:tcPr>
          <w:p>
            <w:pPr>
              <w:ind w:left="80"/>
              <w:spacing w:after="0" w:line="184" w:lineRule="exact"/>
              <w:rPr>
                <w:sz w:val="20"/>
                <w:szCs w:val="20"/>
                <w:color w:val="auto"/>
              </w:rPr>
            </w:pPr>
            <w:r>
              <w:rPr>
                <w:rFonts w:ascii="Times New Roman" w:cs="Times New Roman" w:eastAsia="Times New Roman" w:hAnsi="Times New Roman"/>
                <w:sz w:val="17"/>
                <w:szCs w:val="17"/>
                <w:color w:val="auto"/>
              </w:rPr>
              <w:t>1.2(e) – Interest Computation</w:t>
            </w:r>
          </w:p>
        </w:tc>
        <w:tc>
          <w:tcPr>
            <w:tcW w:w="7380" w:type="dxa"/>
            <w:vAlign w:val="bottom"/>
            <w:tcBorders>
              <w:top w:val="single" w:sz="8" w:color="auto"/>
              <w:right w:val="single" w:sz="8" w:color="auto"/>
            </w:tcBorders>
            <w:gridSpan w:val="18"/>
          </w:tcPr>
          <w:p>
            <w:pPr>
              <w:ind w:left="20"/>
              <w:spacing w:after="0" w:line="184" w:lineRule="exact"/>
              <w:rPr>
                <w:sz w:val="20"/>
                <w:szCs w:val="20"/>
                <w:color w:val="auto"/>
              </w:rPr>
            </w:pPr>
            <w:r>
              <w:rPr>
                <w:rFonts w:ascii="Times New Roman" w:cs="Times New Roman" w:eastAsia="Times New Roman" w:hAnsi="Times New Roman"/>
                <w:sz w:val="17"/>
                <w:szCs w:val="17"/>
                <w:color w:val="auto"/>
              </w:rPr>
              <w:t>Interest shall be computed on the basis of the actual number of days elapsed and a 360-day year for any</w:t>
            </w:r>
          </w:p>
        </w:tc>
      </w:tr>
      <w:tr>
        <w:trPr>
          <w:trHeight w:val="232"/>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7380" w:type="dxa"/>
            <w:vAlign w:val="bottom"/>
            <w:tcBorders>
              <w:bottom w:val="single" w:sz="8" w:color="auto"/>
              <w:right w:val="single" w:sz="8" w:color="auto"/>
            </w:tcBorders>
            <w:gridSpan w:val="18"/>
          </w:tcPr>
          <w:p>
            <w:pPr>
              <w:ind w:left="20"/>
              <w:spacing w:after="0"/>
              <w:rPr>
                <w:sz w:val="20"/>
                <w:szCs w:val="20"/>
                <w:color w:val="auto"/>
              </w:rPr>
            </w:pPr>
            <w:r>
              <w:rPr>
                <w:rFonts w:ascii="Times New Roman" w:cs="Times New Roman" w:eastAsia="Times New Roman" w:hAnsi="Times New Roman"/>
                <w:sz w:val="17"/>
                <w:szCs w:val="17"/>
                <w:color w:val="auto"/>
              </w:rPr>
              <w:t>Credit Extension outstanding.</w:t>
            </w:r>
          </w:p>
        </w:tc>
      </w:tr>
      <w:tr>
        <w:trPr>
          <w:trHeight w:val="168"/>
        </w:trPr>
        <w:tc>
          <w:tcPr>
            <w:tcW w:w="3760" w:type="dxa"/>
            <w:vAlign w:val="bottom"/>
            <w:tcBorders>
              <w:left w:val="single" w:sz="8" w:color="auto"/>
              <w:right w:val="single" w:sz="8" w:color="auto"/>
            </w:tcBorders>
            <w:gridSpan w:val="2"/>
            <w:shd w:val="clear" w:color="auto" w:fill="FFDEAD"/>
          </w:tcPr>
          <w:p>
            <w:pPr>
              <w:ind w:left="80"/>
              <w:spacing w:after="0" w:line="167" w:lineRule="exact"/>
              <w:rPr>
                <w:sz w:val="20"/>
                <w:szCs w:val="20"/>
                <w:color w:val="auto"/>
              </w:rPr>
            </w:pPr>
            <w:r>
              <w:rPr>
                <w:rFonts w:ascii="Times New Roman" w:cs="Times New Roman" w:eastAsia="Times New Roman" w:hAnsi="Times New Roman"/>
                <w:sz w:val="17"/>
                <w:szCs w:val="17"/>
                <w:color w:val="FF0000"/>
                <w:strike w:val="1"/>
              </w:rPr>
              <w:t>1.3(c) – Revolving Line Commitment Fee</w:t>
            </w:r>
          </w:p>
        </w:tc>
        <w:tc>
          <w:tcPr>
            <w:tcW w:w="7380" w:type="dxa"/>
            <w:vAlign w:val="bottom"/>
            <w:tcBorders>
              <w:right w:val="single" w:sz="8" w:color="auto"/>
            </w:tcBorders>
            <w:gridSpan w:val="18"/>
            <w:shd w:val="clear" w:color="auto" w:fill="FFDEAD"/>
          </w:tcPr>
          <w:p>
            <w:pPr>
              <w:ind w:left="20"/>
              <w:spacing w:after="0" w:line="167" w:lineRule="exact"/>
              <w:rPr>
                <w:sz w:val="20"/>
                <w:szCs w:val="20"/>
                <w:color w:val="auto"/>
              </w:rPr>
            </w:pPr>
            <w:r>
              <w:rPr>
                <w:rFonts w:ascii="Times New Roman" w:cs="Times New Roman" w:eastAsia="Times New Roman" w:hAnsi="Times New Roman"/>
                <w:sz w:val="17"/>
                <w:szCs w:val="17"/>
                <w:color w:val="FF0000"/>
                <w:strike w:val="1"/>
              </w:rPr>
              <w:t>A fully earned, non-refundable commitment fee of (i) Seventy-Five Thousand Dollars ($75,000) on the</w:t>
            </w:r>
          </w:p>
        </w:tc>
      </w:tr>
      <w:tr>
        <w:trPr>
          <w:trHeight w:val="178"/>
        </w:trPr>
        <w:tc>
          <w:tcPr>
            <w:tcW w:w="420" w:type="dxa"/>
            <w:vAlign w:val="bottom"/>
            <w:tcBorders>
              <w:left w:val="single" w:sz="8" w:color="auto"/>
            </w:tcBorders>
            <w:shd w:val="clear" w:color="auto" w:fill="FFDEAD"/>
          </w:tcPr>
          <w:p>
            <w:pPr>
              <w:spacing w:after="0"/>
              <w:rPr>
                <w:sz w:val="15"/>
                <w:szCs w:val="15"/>
                <w:color w:val="auto"/>
              </w:rPr>
            </w:pPr>
          </w:p>
        </w:tc>
        <w:tc>
          <w:tcPr>
            <w:tcW w:w="3340" w:type="dxa"/>
            <w:vAlign w:val="bottom"/>
            <w:tcBorders>
              <w:right w:val="single" w:sz="8" w:color="auto"/>
            </w:tcBorders>
            <w:shd w:val="clear" w:color="auto" w:fill="FFDEAD"/>
          </w:tcPr>
          <w:p>
            <w:pPr>
              <w:spacing w:after="0"/>
              <w:rPr>
                <w:sz w:val="15"/>
                <w:szCs w:val="15"/>
                <w:color w:val="auto"/>
              </w:rPr>
            </w:pPr>
          </w:p>
        </w:tc>
        <w:tc>
          <w:tcPr>
            <w:tcW w:w="7380" w:type="dxa"/>
            <w:vAlign w:val="bottom"/>
            <w:tcBorders>
              <w:right w:val="single" w:sz="8" w:color="auto"/>
            </w:tcBorders>
            <w:gridSpan w:val="18"/>
            <w:shd w:val="clear" w:color="auto" w:fill="FFDEAD"/>
          </w:tcPr>
          <w:p>
            <w:pPr>
              <w:ind w:left="20"/>
              <w:spacing w:after="0" w:line="178" w:lineRule="exact"/>
              <w:rPr>
                <w:sz w:val="20"/>
                <w:szCs w:val="20"/>
                <w:color w:val="auto"/>
              </w:rPr>
            </w:pPr>
            <w:r>
              <w:rPr>
                <w:rFonts w:ascii="Times New Roman" w:cs="Times New Roman" w:eastAsia="Times New Roman" w:hAnsi="Times New Roman"/>
                <w:sz w:val="17"/>
                <w:szCs w:val="17"/>
                <w:color w:val="FF0000"/>
                <w:strike w:val="1"/>
              </w:rPr>
              <w:t>First Amendment Effective Date, (ii) Seventy-Five Thousand Dollars ($75,000) on the first anniversary</w:t>
            </w:r>
          </w:p>
        </w:tc>
      </w:tr>
      <w:tr>
        <w:trPr>
          <w:trHeight w:val="176"/>
        </w:trPr>
        <w:tc>
          <w:tcPr>
            <w:tcW w:w="420" w:type="dxa"/>
            <w:vAlign w:val="bottom"/>
            <w:tcBorders>
              <w:left w:val="single" w:sz="8" w:color="auto"/>
            </w:tcBorders>
            <w:shd w:val="clear" w:color="auto" w:fill="FFDEAD"/>
          </w:tcPr>
          <w:p>
            <w:pPr>
              <w:spacing w:after="0"/>
              <w:rPr>
                <w:sz w:val="15"/>
                <w:szCs w:val="15"/>
                <w:color w:val="auto"/>
              </w:rPr>
            </w:pPr>
          </w:p>
        </w:tc>
        <w:tc>
          <w:tcPr>
            <w:tcW w:w="3340" w:type="dxa"/>
            <w:vAlign w:val="bottom"/>
            <w:tcBorders>
              <w:right w:val="single" w:sz="8" w:color="auto"/>
            </w:tcBorders>
            <w:shd w:val="clear" w:color="auto" w:fill="FFDEAD"/>
          </w:tcPr>
          <w:p>
            <w:pPr>
              <w:spacing w:after="0"/>
              <w:rPr>
                <w:sz w:val="15"/>
                <w:szCs w:val="15"/>
                <w:color w:val="auto"/>
              </w:rPr>
            </w:pPr>
          </w:p>
        </w:tc>
        <w:tc>
          <w:tcPr>
            <w:tcW w:w="7380" w:type="dxa"/>
            <w:vAlign w:val="bottom"/>
            <w:tcBorders>
              <w:right w:val="single" w:sz="8" w:color="auto"/>
            </w:tcBorders>
            <w:gridSpan w:val="18"/>
            <w:shd w:val="clear" w:color="auto" w:fill="FFDEAD"/>
          </w:tcPr>
          <w:p>
            <w:pPr>
              <w:ind w:left="20"/>
              <w:spacing w:after="0" w:line="176" w:lineRule="exact"/>
              <w:rPr>
                <w:sz w:val="20"/>
                <w:szCs w:val="20"/>
                <w:color w:val="auto"/>
              </w:rPr>
            </w:pPr>
            <w:r>
              <w:rPr>
                <w:rFonts w:ascii="Times New Roman" w:cs="Times New Roman" w:eastAsia="Times New Roman" w:hAnsi="Times New Roman"/>
                <w:sz w:val="17"/>
                <w:szCs w:val="17"/>
                <w:color w:val="FF0000"/>
                <w:strike w:val="1"/>
              </w:rPr>
              <w:t>of the First Amendment Effective Date, and (iii) Thirty-Seven Thousand Five Hundred ($37,500) on the</w:t>
            </w:r>
          </w:p>
        </w:tc>
      </w:tr>
      <w:tr>
        <w:trPr>
          <w:trHeight w:val="223"/>
        </w:trPr>
        <w:tc>
          <w:tcPr>
            <w:tcW w:w="420" w:type="dxa"/>
            <w:vAlign w:val="bottom"/>
            <w:tcBorders>
              <w:left w:val="single" w:sz="8" w:color="auto"/>
              <w:bottom w:val="single" w:sz="8" w:color="auto"/>
            </w:tcBorders>
            <w:shd w:val="clear" w:color="auto" w:fill="FFDEAD"/>
          </w:tcPr>
          <w:p>
            <w:pPr>
              <w:spacing w:after="0"/>
              <w:rPr>
                <w:sz w:val="19"/>
                <w:szCs w:val="19"/>
                <w:color w:val="auto"/>
              </w:rPr>
            </w:pPr>
          </w:p>
        </w:tc>
        <w:tc>
          <w:tcPr>
            <w:tcW w:w="3340" w:type="dxa"/>
            <w:vAlign w:val="bottom"/>
            <w:tcBorders>
              <w:bottom w:val="single" w:sz="8" w:color="auto"/>
              <w:right w:val="single" w:sz="8" w:color="auto"/>
            </w:tcBorders>
            <w:shd w:val="clear" w:color="auto" w:fill="FFDEAD"/>
          </w:tcPr>
          <w:p>
            <w:pPr>
              <w:spacing w:after="0"/>
              <w:rPr>
                <w:sz w:val="19"/>
                <w:szCs w:val="19"/>
                <w:color w:val="auto"/>
              </w:rPr>
            </w:pPr>
          </w:p>
        </w:tc>
        <w:tc>
          <w:tcPr>
            <w:tcW w:w="4200" w:type="dxa"/>
            <w:vAlign w:val="bottom"/>
            <w:tcBorders>
              <w:bottom w:val="single" w:sz="8" w:color="auto"/>
            </w:tcBorders>
            <w:gridSpan w:val="11"/>
            <w:shd w:val="clear" w:color="auto" w:fill="FFDEAD"/>
          </w:tcPr>
          <w:p>
            <w:pPr>
              <w:ind w:left="20"/>
              <w:spacing w:after="0"/>
              <w:rPr>
                <w:sz w:val="20"/>
                <w:szCs w:val="20"/>
                <w:color w:val="auto"/>
              </w:rPr>
            </w:pPr>
            <w:r>
              <w:rPr>
                <w:rFonts w:ascii="Times New Roman" w:cs="Times New Roman" w:eastAsia="Times New Roman" w:hAnsi="Times New Roman"/>
                <w:sz w:val="17"/>
                <w:szCs w:val="17"/>
                <w:color w:val="FF0000"/>
                <w:strike w:val="1"/>
              </w:rPr>
              <w:t>second anniversary of the First Amendment Effective Date.</w:t>
            </w:r>
          </w:p>
        </w:tc>
        <w:tc>
          <w:tcPr>
            <w:tcW w:w="180" w:type="dxa"/>
            <w:vAlign w:val="bottom"/>
            <w:tcBorders>
              <w:bottom w:val="single" w:sz="8" w:color="auto"/>
            </w:tcBorders>
            <w:shd w:val="clear" w:color="auto" w:fill="FFDEAD"/>
          </w:tcPr>
          <w:p>
            <w:pPr>
              <w:spacing w:after="0"/>
              <w:rPr>
                <w:sz w:val="19"/>
                <w:szCs w:val="19"/>
                <w:color w:val="auto"/>
              </w:rPr>
            </w:pPr>
          </w:p>
        </w:tc>
        <w:tc>
          <w:tcPr>
            <w:tcW w:w="540" w:type="dxa"/>
            <w:vAlign w:val="bottom"/>
            <w:tcBorders>
              <w:bottom w:val="single" w:sz="8" w:color="auto"/>
            </w:tcBorders>
            <w:shd w:val="clear" w:color="auto" w:fill="FFDEAD"/>
          </w:tcPr>
          <w:p>
            <w:pPr>
              <w:spacing w:after="0"/>
              <w:rPr>
                <w:sz w:val="19"/>
                <w:szCs w:val="19"/>
                <w:color w:val="auto"/>
              </w:rPr>
            </w:pPr>
          </w:p>
        </w:tc>
        <w:tc>
          <w:tcPr>
            <w:tcW w:w="560" w:type="dxa"/>
            <w:vAlign w:val="bottom"/>
            <w:tcBorders>
              <w:bottom w:val="single" w:sz="8" w:color="auto"/>
            </w:tcBorders>
            <w:shd w:val="clear" w:color="auto" w:fill="FFDEAD"/>
          </w:tcPr>
          <w:p>
            <w:pPr>
              <w:spacing w:after="0"/>
              <w:rPr>
                <w:sz w:val="19"/>
                <w:szCs w:val="19"/>
                <w:color w:val="auto"/>
              </w:rPr>
            </w:pPr>
          </w:p>
        </w:tc>
        <w:tc>
          <w:tcPr>
            <w:tcW w:w="1080" w:type="dxa"/>
            <w:vAlign w:val="bottom"/>
            <w:tcBorders>
              <w:bottom w:val="single" w:sz="8" w:color="auto"/>
            </w:tcBorders>
            <w:shd w:val="clear" w:color="auto" w:fill="FFDEAD"/>
          </w:tcPr>
          <w:p>
            <w:pPr>
              <w:spacing w:after="0"/>
              <w:rPr>
                <w:sz w:val="19"/>
                <w:szCs w:val="19"/>
                <w:color w:val="auto"/>
              </w:rPr>
            </w:pPr>
          </w:p>
        </w:tc>
        <w:tc>
          <w:tcPr>
            <w:tcW w:w="460" w:type="dxa"/>
            <w:vAlign w:val="bottom"/>
            <w:tcBorders>
              <w:bottom w:val="single" w:sz="8" w:color="auto"/>
            </w:tcBorders>
            <w:shd w:val="clear" w:color="auto" w:fill="FFDEAD"/>
          </w:tcPr>
          <w:p>
            <w:pPr>
              <w:spacing w:after="0"/>
              <w:rPr>
                <w:sz w:val="19"/>
                <w:szCs w:val="19"/>
                <w:color w:val="auto"/>
              </w:rPr>
            </w:pPr>
          </w:p>
        </w:tc>
        <w:tc>
          <w:tcPr>
            <w:tcW w:w="260" w:type="dxa"/>
            <w:vAlign w:val="bottom"/>
            <w:tcBorders>
              <w:bottom w:val="single" w:sz="8" w:color="auto"/>
            </w:tcBorders>
            <w:shd w:val="clear" w:color="auto" w:fill="FFDEAD"/>
          </w:tcPr>
          <w:p>
            <w:pPr>
              <w:spacing w:after="0"/>
              <w:rPr>
                <w:sz w:val="19"/>
                <w:szCs w:val="19"/>
                <w:color w:val="auto"/>
              </w:rPr>
            </w:pPr>
          </w:p>
        </w:tc>
        <w:tc>
          <w:tcPr>
            <w:tcW w:w="100" w:type="dxa"/>
            <w:vAlign w:val="bottom"/>
            <w:tcBorders>
              <w:left w:val="single" w:sz="8" w:color="FFDEAD"/>
              <w:bottom w:val="single" w:sz="8" w:color="auto"/>
              <w:right w:val="single" w:sz="8" w:color="auto"/>
            </w:tcBorders>
            <w:shd w:val="clear" w:color="auto" w:fill="FFDEAD"/>
          </w:tcPr>
          <w:p>
            <w:pPr>
              <w:spacing w:after="0"/>
              <w:rPr>
                <w:sz w:val="19"/>
                <w:szCs w:val="19"/>
                <w:color w:val="auto"/>
              </w:rPr>
            </w:pPr>
          </w:p>
        </w:tc>
      </w:tr>
      <w:tr>
        <w:trPr>
          <w:trHeight w:val="229"/>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“Borrower”</w:t>
            </w:r>
          </w:p>
        </w:tc>
        <w:tc>
          <w:tcPr>
            <w:tcW w:w="60" w:type="dxa"/>
            <w:vAlign w:val="bottom"/>
          </w:tcPr>
          <w:p>
            <w:pPr>
              <w:spacing w:after="0"/>
              <w:rPr>
                <w:sz w:val="19"/>
                <w:szCs w:val="19"/>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xml:space="preserve">” means (i) </w:t>
            </w:r>
            <w:r>
              <w:rPr>
                <w:rFonts w:ascii="Times New Roman" w:cs="Times New Roman" w:eastAsia="Times New Roman" w:hAnsi="Times New Roman"/>
                <w:sz w:val="17"/>
                <w:szCs w:val="17"/>
                <w:b w:val="1"/>
                <w:bCs w:val="1"/>
                <w:color w:val="auto"/>
              </w:rPr>
              <w:t>SI-BONE, INC.</w:t>
            </w:r>
            <w:r>
              <w:rPr>
                <w:rFonts w:ascii="Times New Roman" w:cs="Times New Roman" w:eastAsia="Times New Roman" w:hAnsi="Times New Roman"/>
                <w:sz w:val="17"/>
                <w:szCs w:val="17"/>
                <w:color w:val="auto"/>
              </w:rPr>
              <w:t>, a Delaware corporation.</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29"/>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“Effective Date”</w:t>
            </w:r>
          </w:p>
        </w:tc>
        <w:tc>
          <w:tcPr>
            <w:tcW w:w="60" w:type="dxa"/>
            <w:vAlign w:val="bottom"/>
          </w:tcPr>
          <w:p>
            <w:pPr>
              <w:spacing w:after="0"/>
              <w:rPr>
                <w:sz w:val="19"/>
                <w:szCs w:val="19"/>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August 12, 2021.</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11"/>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“Payment Date”</w:t>
            </w:r>
          </w:p>
        </w:tc>
        <w:tc>
          <w:tcPr>
            <w:tcW w:w="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 Date</w:t>
            </w:r>
            <w:r>
              <w:rPr>
                <w:rFonts w:ascii="Times New Roman" w:cs="Times New Roman" w:eastAsia="Times New Roman" w:hAnsi="Times New Roman"/>
                <w:sz w:val="17"/>
                <w:szCs w:val="17"/>
                <w:color w:val="auto"/>
              </w:rPr>
              <w:t>” is</w:t>
            </w:r>
          </w:p>
        </w:tc>
        <w:tc>
          <w:tcPr>
            <w:tcW w:w="2900" w:type="dxa"/>
            <w:vAlign w:val="bottom"/>
            <w:gridSpan w:val="8"/>
          </w:tcPr>
          <w:p>
            <w:pPr>
              <w:jc w:val="center"/>
              <w:spacing w:after="0"/>
              <w:rPr>
                <w:sz w:val="20"/>
                <w:szCs w:val="20"/>
                <w:color w:val="auto"/>
              </w:rPr>
            </w:pPr>
            <w:r>
              <w:rPr>
                <w:rFonts w:ascii="Times New Roman" w:cs="Times New Roman" w:eastAsia="Times New Roman" w:hAnsi="Times New Roman"/>
                <w:sz w:val="17"/>
                <w:szCs w:val="17"/>
                <w:color w:val="FF0000"/>
                <w:strike w:val="1"/>
              </w:rPr>
              <w:t>(a) with respect to Term Loan Advances,</w:t>
            </w:r>
          </w:p>
        </w:tc>
        <w:tc>
          <w:tcPr>
            <w:tcW w:w="3000" w:type="dxa"/>
            <w:vAlign w:val="bottom"/>
            <w:tcBorders>
              <w:right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the first (1st) calendar day of each month</w:t>
            </w:r>
          </w:p>
        </w:tc>
      </w:tr>
      <w:tr>
        <w:trPr>
          <w:trHeight w:val="228"/>
        </w:trPr>
        <w:tc>
          <w:tcPr>
            <w:tcW w:w="420" w:type="dxa"/>
            <w:vAlign w:val="bottom"/>
            <w:tcBorders>
              <w:lef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60" w:type="dxa"/>
            <w:vAlign w:val="bottom"/>
            <w:gridSpan w:val="12"/>
          </w:tcPr>
          <w:p>
            <w:pPr>
              <w:spacing w:after="0"/>
              <w:rPr>
                <w:sz w:val="20"/>
                <w:szCs w:val="20"/>
                <w:color w:val="auto"/>
              </w:rPr>
            </w:pPr>
            <w:r>
              <w:rPr>
                <w:rFonts w:ascii="Times New Roman" w:cs="Times New Roman" w:eastAsia="Times New Roman" w:hAnsi="Times New Roman"/>
                <w:sz w:val="17"/>
                <w:szCs w:val="17"/>
                <w:color w:val="FF0000"/>
                <w:strike w:val="1"/>
              </w:rPr>
              <w:t>and (b) with respect to Advances, the last calendar day of each month</w:t>
            </w:r>
          </w:p>
        </w:tc>
        <w:tc>
          <w:tcPr>
            <w:tcW w:w="5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w w:val="92"/>
              </w:rPr>
              <w:t>.</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11"/>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“Prime Rate”</w:t>
            </w:r>
          </w:p>
        </w:tc>
        <w:tc>
          <w:tcPr>
            <w:tcW w:w="60" w:type="dxa"/>
            <w:vAlign w:val="bottom"/>
          </w:tcPr>
          <w:p>
            <w:pPr>
              <w:spacing w:after="0"/>
              <w:rPr>
                <w:sz w:val="18"/>
                <w:szCs w:val="18"/>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w:t>
            </w:r>
            <w:r>
              <w:rPr>
                <w:rFonts w:ascii="Times New Roman" w:cs="Times New Roman" w:eastAsia="Times New Roman" w:hAnsi="Times New Roman"/>
                <w:sz w:val="17"/>
                <w:szCs w:val="17"/>
                <w:color w:val="auto"/>
              </w:rPr>
              <w:t>” is the rate of interest per annum from time to time published in the money rates section</w:t>
            </w:r>
          </w:p>
        </w:tc>
      </w:tr>
      <w:tr>
        <w:trPr>
          <w:trHeight w:val="189"/>
        </w:trPr>
        <w:tc>
          <w:tcPr>
            <w:tcW w:w="420" w:type="dxa"/>
            <w:vAlign w:val="bottom"/>
            <w:tcBorders>
              <w:lef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tcBorders>
              <w:right w:val="single" w:sz="8" w:color="auto"/>
            </w:tcBorders>
            <w:gridSpan w:val="17"/>
          </w:tcPr>
          <w:p>
            <w:pPr>
              <w:spacing w:after="0" w:line="189" w:lineRule="exact"/>
              <w:rPr>
                <w:sz w:val="20"/>
                <w:szCs w:val="20"/>
                <w:color w:val="auto"/>
              </w:rPr>
            </w:pPr>
            <w:r>
              <w:rPr>
                <w:rFonts w:ascii="Times New Roman" w:cs="Times New Roman" w:eastAsia="Times New Roman" w:hAnsi="Times New Roman"/>
                <w:sz w:val="17"/>
                <w:szCs w:val="17"/>
                <w:color w:val="auto"/>
              </w:rPr>
              <w:t>of The Wall Street Journal or any successor publication thereto as the “prime rate” then in effect;</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190"/>
        </w:trPr>
        <w:tc>
          <w:tcPr>
            <w:tcW w:w="420" w:type="dxa"/>
            <w:vAlign w:val="bottom"/>
            <w:tcBorders>
              <w:lef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tcBorders>
              <w:right w:val="single" w:sz="8" w:color="auto"/>
            </w:tcBorders>
            <w:gridSpan w:val="17"/>
          </w:tcPr>
          <w:p>
            <w:pPr>
              <w:spacing w:after="0" w:line="190" w:lineRule="exact"/>
              <w:rPr>
                <w:sz w:val="20"/>
                <w:szCs w:val="20"/>
                <w:color w:val="auto"/>
              </w:rPr>
            </w:pPr>
            <w:r>
              <w:rPr>
                <w:rFonts w:ascii="Times New Roman" w:cs="Times New Roman" w:eastAsia="Times New Roman" w:hAnsi="Times New Roman"/>
                <w:sz w:val="17"/>
                <w:szCs w:val="17"/>
                <w:color w:val="auto"/>
              </w:rPr>
              <w:t>provided that if such rate of interest, as set forth from time to time in the money rates section of The</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r>
      <w:tr>
        <w:trPr>
          <w:trHeight w:val="190"/>
        </w:trPr>
        <w:tc>
          <w:tcPr>
            <w:tcW w:w="420" w:type="dxa"/>
            <w:vAlign w:val="bottom"/>
            <w:tcBorders>
              <w:lef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tcBorders>
              <w:right w:val="single" w:sz="8" w:color="auto"/>
            </w:tcBorders>
            <w:gridSpan w:val="17"/>
          </w:tcPr>
          <w:p>
            <w:pPr>
              <w:spacing w:after="0" w:line="190" w:lineRule="exact"/>
              <w:rPr>
                <w:sz w:val="20"/>
                <w:szCs w:val="20"/>
                <w:color w:val="auto"/>
              </w:rPr>
            </w:pPr>
            <w:r>
              <w:rPr>
                <w:rFonts w:ascii="Times New Roman" w:cs="Times New Roman" w:eastAsia="Times New Roman" w:hAnsi="Times New Roman"/>
                <w:sz w:val="17"/>
                <w:szCs w:val="17"/>
                <w:color w:val="auto"/>
              </w:rPr>
              <w:t>Wall Street Journal, becomes unavailable for any reason as determined by Bank, the “Prime Rate” shall</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211"/>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mean the rate of interest per annum announced by Bank as its prime rate in effect at its principal office</w:t>
            </w:r>
          </w:p>
        </w:tc>
      </w:tr>
      <w:tr>
        <w:trPr>
          <w:trHeight w:val="210"/>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in the State of California (such Bank announced Prime Rate not being intended to be the lowest rate of</w:t>
            </w:r>
          </w:p>
        </w:tc>
      </w:tr>
      <w:tr>
        <w:trPr>
          <w:trHeight w:val="210"/>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interest charged by Bank in connection with extensions of credit to debtors); provided that, in the event</w:t>
            </w:r>
          </w:p>
        </w:tc>
      </w:tr>
      <w:tr>
        <w:trPr>
          <w:trHeight w:val="210"/>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such rate of interest is less than zero percent (0.0%) per annum, such rate shall be deemed to be zero</w:t>
            </w:r>
          </w:p>
        </w:tc>
      </w:tr>
      <w:tr>
        <w:trPr>
          <w:trHeight w:val="228"/>
        </w:trPr>
        <w:tc>
          <w:tcPr>
            <w:tcW w:w="420" w:type="dxa"/>
            <w:vAlign w:val="bottom"/>
            <w:tcBorders>
              <w:lef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percent (0.0%) per annum for purposes of this Agreement.</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11"/>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“Prime Rate Margin”</w:t>
            </w:r>
          </w:p>
        </w:tc>
        <w:tc>
          <w:tcPr>
            <w:tcW w:w="6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Prime Rate Margin</w:t>
            </w:r>
            <w:r>
              <w:rPr>
                <w:rFonts w:ascii="Times New Roman" w:cs="Times New Roman" w:eastAsia="Times New Roman" w:hAnsi="Times New Roman"/>
                <w:sz w:val="17"/>
                <w:szCs w:val="17"/>
                <w:color w:val="auto"/>
              </w:rPr>
              <w:t>” is</w:t>
            </w:r>
          </w:p>
        </w:tc>
        <w:tc>
          <w:tcPr>
            <w:tcW w:w="360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FF0000"/>
                <w:strike w:val="1"/>
              </w:rPr>
              <w:t>(a) for Advances, (i) zero percent (0.00%), and (b)</w:t>
            </w:r>
          </w:p>
        </w:tc>
        <w:tc>
          <w:tcPr>
            <w:tcW w:w="1900" w:type="dxa"/>
            <w:vAlign w:val="bottom"/>
            <w:tcBorders>
              <w:right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for Term Loan Advances,</w:t>
            </w:r>
          </w:p>
        </w:tc>
      </w:tr>
      <w:tr>
        <w:trPr>
          <w:trHeight w:val="228"/>
        </w:trPr>
        <w:tc>
          <w:tcPr>
            <w:tcW w:w="420" w:type="dxa"/>
            <w:vAlign w:val="bottom"/>
            <w:tcBorders>
              <w:lef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32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one half of one percent (0.50%).</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29"/>
        </w:trPr>
        <w:tc>
          <w:tcPr>
            <w:tcW w:w="420" w:type="dxa"/>
            <w:vAlign w:val="bottom"/>
            <w:tcBorders>
              <w:left w:val="single" w:sz="8" w:color="auto"/>
            </w:tcBorders>
            <w:shd w:val="clear" w:color="auto" w:fill="FFDEAD"/>
          </w:tcPr>
          <w:p>
            <w:pPr>
              <w:ind w:left="80"/>
              <w:spacing w:after="0"/>
              <w:rPr>
                <w:sz w:val="20"/>
                <w:szCs w:val="20"/>
                <w:color w:val="auto"/>
              </w:rPr>
            </w:pPr>
            <w:r>
              <w:rPr>
                <w:rFonts w:ascii="Times New Roman" w:cs="Times New Roman" w:eastAsia="Times New Roman" w:hAnsi="Times New Roman"/>
                <w:sz w:val="17"/>
                <w:szCs w:val="17"/>
                <w:color w:val="FF0000"/>
                <w:strike w:val="1"/>
              </w:rPr>
              <w:t>12.2</w:t>
            </w:r>
          </w:p>
        </w:tc>
        <w:tc>
          <w:tcPr>
            <w:tcW w:w="3340" w:type="dxa"/>
            <w:vAlign w:val="bottom"/>
            <w:tcBorders>
              <w:right w:val="single" w:sz="8" w:color="auto"/>
            </w:tcBorders>
            <w:shd w:val="clear" w:color="auto" w:fill="FFDEAD"/>
          </w:tcPr>
          <w:p>
            <w:pPr>
              <w:ind w:left="20"/>
              <w:spacing w:after="0"/>
              <w:rPr>
                <w:sz w:val="20"/>
                <w:szCs w:val="20"/>
                <w:color w:val="auto"/>
              </w:rPr>
            </w:pPr>
            <w:r>
              <w:rPr>
                <w:rFonts w:ascii="Times New Roman" w:cs="Times New Roman" w:eastAsia="Times New Roman" w:hAnsi="Times New Roman"/>
                <w:sz w:val="17"/>
                <w:szCs w:val="17"/>
                <w:color w:val="FF0000"/>
                <w:strike w:val="1"/>
              </w:rPr>
              <w:t>– “Revolving Line”</w:t>
            </w:r>
          </w:p>
        </w:tc>
        <w:tc>
          <w:tcPr>
            <w:tcW w:w="60" w:type="dxa"/>
            <w:vAlign w:val="bottom"/>
            <w:shd w:val="clear" w:color="auto" w:fill="FFDEAD"/>
          </w:tcPr>
          <w:p>
            <w:pPr>
              <w:spacing w:after="0"/>
              <w:rPr>
                <w:sz w:val="19"/>
                <w:szCs w:val="19"/>
                <w:color w:val="auto"/>
              </w:rPr>
            </w:pPr>
          </w:p>
        </w:tc>
        <w:tc>
          <w:tcPr>
            <w:tcW w:w="6960" w:type="dxa"/>
            <w:vAlign w:val="bottom"/>
            <w:gridSpan w:val="15"/>
            <w:shd w:val="clear" w:color="auto" w:fill="FFDEAD"/>
          </w:tcPr>
          <w:p>
            <w:pPr>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Revolving Line</w:t>
            </w:r>
            <w:r>
              <w:rPr>
                <w:rFonts w:ascii="Times New Roman" w:cs="Times New Roman" w:eastAsia="Times New Roman" w:hAnsi="Times New Roman"/>
                <w:sz w:val="17"/>
                <w:szCs w:val="17"/>
                <w:color w:val="FF0000"/>
                <w:strike w:val="1"/>
              </w:rPr>
              <w:t>” is an aggregate principal amount equal to Fifteen Million Dollars ($15,000,000).</w:t>
            </w:r>
          </w:p>
        </w:tc>
        <w:tc>
          <w:tcPr>
            <w:tcW w:w="260" w:type="dxa"/>
            <w:vAlign w:val="bottom"/>
            <w:shd w:val="clear" w:color="auto" w:fill="FFDEAD"/>
          </w:tcPr>
          <w:p>
            <w:pPr>
              <w:spacing w:after="0"/>
              <w:rPr>
                <w:sz w:val="19"/>
                <w:szCs w:val="19"/>
                <w:color w:val="auto"/>
              </w:rPr>
            </w:pPr>
          </w:p>
        </w:tc>
        <w:tc>
          <w:tcPr>
            <w:tcW w:w="100" w:type="dxa"/>
            <w:vAlign w:val="bottom"/>
            <w:tcBorders>
              <w:left w:val="single" w:sz="8" w:color="FFDEAD"/>
              <w:right w:val="single" w:sz="8" w:color="auto"/>
            </w:tcBorders>
            <w:shd w:val="clear" w:color="auto" w:fill="FFDEAD"/>
          </w:tcPr>
          <w:p>
            <w:pPr>
              <w:spacing w:after="0"/>
              <w:rPr>
                <w:sz w:val="19"/>
                <w:szCs w:val="19"/>
                <w:color w:val="auto"/>
              </w:rPr>
            </w:pPr>
          </w:p>
        </w:tc>
      </w:tr>
      <w:tr>
        <w:trPr>
          <w:trHeight w:val="236"/>
        </w:trPr>
        <w:tc>
          <w:tcPr>
            <w:tcW w:w="420" w:type="dxa"/>
            <w:vAlign w:val="bottom"/>
            <w:tcBorders>
              <w:left w:val="single" w:sz="8" w:color="auto"/>
              <w:bottom w:val="single" w:sz="8" w:color="auto"/>
            </w:tcBorders>
            <w:shd w:val="clear" w:color="auto" w:fill="FFDEAD"/>
          </w:tcPr>
          <w:p>
            <w:pPr>
              <w:spacing w:after="0"/>
              <w:rPr>
                <w:sz w:val="20"/>
                <w:szCs w:val="20"/>
                <w:color w:val="auto"/>
              </w:rPr>
            </w:pPr>
          </w:p>
        </w:tc>
        <w:tc>
          <w:tcPr>
            <w:tcW w:w="3340" w:type="dxa"/>
            <w:vAlign w:val="bottom"/>
            <w:tcBorders>
              <w:bottom w:val="single" w:sz="8" w:color="auto"/>
              <w:right w:val="single" w:sz="8" w:color="auto"/>
            </w:tcBorders>
            <w:shd w:val="clear" w:color="auto" w:fill="FFDEAD"/>
          </w:tcPr>
          <w:p>
            <w:pPr>
              <w:spacing w:after="0"/>
              <w:rPr>
                <w:sz w:val="20"/>
                <w:szCs w:val="20"/>
                <w:color w:val="auto"/>
              </w:rPr>
            </w:pPr>
          </w:p>
        </w:tc>
        <w:tc>
          <w:tcPr>
            <w:tcW w:w="60" w:type="dxa"/>
            <w:vAlign w:val="bottom"/>
            <w:tcBorders>
              <w:bottom w:val="single" w:sz="8" w:color="auto"/>
            </w:tcBorders>
            <w:shd w:val="clear" w:color="auto" w:fill="FFDEAD"/>
          </w:tcPr>
          <w:p>
            <w:pPr>
              <w:spacing w:after="0"/>
              <w:rPr>
                <w:sz w:val="20"/>
                <w:szCs w:val="20"/>
                <w:color w:val="auto"/>
              </w:rPr>
            </w:pPr>
          </w:p>
        </w:tc>
        <w:tc>
          <w:tcPr>
            <w:tcW w:w="220" w:type="dxa"/>
            <w:vAlign w:val="bottom"/>
            <w:tcBorders>
              <w:bottom w:val="single" w:sz="8" w:color="auto"/>
            </w:tcBorders>
            <w:shd w:val="clear" w:color="auto" w:fill="FFDEAD"/>
          </w:tcPr>
          <w:p>
            <w:pPr>
              <w:spacing w:after="0"/>
              <w:rPr>
                <w:sz w:val="20"/>
                <w:szCs w:val="20"/>
                <w:color w:val="auto"/>
              </w:rPr>
            </w:pPr>
          </w:p>
        </w:tc>
        <w:tc>
          <w:tcPr>
            <w:tcW w:w="1120" w:type="dxa"/>
            <w:vAlign w:val="bottom"/>
            <w:tcBorders>
              <w:bottom w:val="single" w:sz="8" w:color="auto"/>
            </w:tcBorders>
            <w:shd w:val="clear" w:color="auto" w:fill="FFDEAD"/>
          </w:tcPr>
          <w:p>
            <w:pPr>
              <w:spacing w:after="0"/>
              <w:rPr>
                <w:sz w:val="20"/>
                <w:szCs w:val="20"/>
                <w:color w:val="auto"/>
              </w:rPr>
            </w:pPr>
          </w:p>
        </w:tc>
        <w:tc>
          <w:tcPr>
            <w:tcW w:w="80" w:type="dxa"/>
            <w:vAlign w:val="bottom"/>
            <w:tcBorders>
              <w:bottom w:val="single" w:sz="8" w:color="auto"/>
            </w:tcBorders>
            <w:shd w:val="clear" w:color="auto" w:fill="FFDEAD"/>
          </w:tcPr>
          <w:p>
            <w:pPr>
              <w:spacing w:after="0"/>
              <w:rPr>
                <w:sz w:val="20"/>
                <w:szCs w:val="20"/>
                <w:color w:val="auto"/>
              </w:rPr>
            </w:pPr>
          </w:p>
        </w:tc>
        <w:tc>
          <w:tcPr>
            <w:tcW w:w="400" w:type="dxa"/>
            <w:vAlign w:val="bottom"/>
            <w:tcBorders>
              <w:bottom w:val="single" w:sz="8" w:color="auto"/>
            </w:tcBorders>
            <w:shd w:val="clear" w:color="auto" w:fill="FFDEAD"/>
          </w:tcPr>
          <w:p>
            <w:pPr>
              <w:spacing w:after="0"/>
              <w:rPr>
                <w:sz w:val="20"/>
                <w:szCs w:val="20"/>
                <w:color w:val="auto"/>
              </w:rPr>
            </w:pPr>
          </w:p>
        </w:tc>
        <w:tc>
          <w:tcPr>
            <w:tcW w:w="120" w:type="dxa"/>
            <w:vAlign w:val="bottom"/>
            <w:tcBorders>
              <w:bottom w:val="single" w:sz="8" w:color="auto"/>
            </w:tcBorders>
            <w:shd w:val="clear" w:color="auto" w:fill="FFDEAD"/>
          </w:tcPr>
          <w:p>
            <w:pPr>
              <w:spacing w:after="0"/>
              <w:rPr>
                <w:sz w:val="20"/>
                <w:szCs w:val="20"/>
                <w:color w:val="auto"/>
              </w:rPr>
            </w:pPr>
          </w:p>
        </w:tc>
        <w:tc>
          <w:tcPr>
            <w:tcW w:w="740" w:type="dxa"/>
            <w:vAlign w:val="bottom"/>
            <w:tcBorders>
              <w:bottom w:val="single" w:sz="8" w:color="auto"/>
            </w:tcBorders>
            <w:shd w:val="clear" w:color="auto" w:fill="FFDEAD"/>
          </w:tcPr>
          <w:p>
            <w:pPr>
              <w:spacing w:after="0"/>
              <w:rPr>
                <w:sz w:val="20"/>
                <w:szCs w:val="20"/>
                <w:color w:val="auto"/>
              </w:rPr>
            </w:pPr>
          </w:p>
        </w:tc>
        <w:tc>
          <w:tcPr>
            <w:tcW w:w="300" w:type="dxa"/>
            <w:vAlign w:val="bottom"/>
            <w:tcBorders>
              <w:bottom w:val="single" w:sz="8" w:color="auto"/>
            </w:tcBorders>
            <w:shd w:val="clear" w:color="auto" w:fill="FFDEAD"/>
          </w:tcPr>
          <w:p>
            <w:pPr>
              <w:spacing w:after="0"/>
              <w:rPr>
                <w:sz w:val="20"/>
                <w:szCs w:val="20"/>
                <w:color w:val="auto"/>
              </w:rPr>
            </w:pPr>
          </w:p>
        </w:tc>
        <w:tc>
          <w:tcPr>
            <w:tcW w:w="560" w:type="dxa"/>
            <w:vAlign w:val="bottom"/>
            <w:tcBorders>
              <w:bottom w:val="single" w:sz="8" w:color="auto"/>
            </w:tcBorders>
            <w:shd w:val="clear" w:color="auto" w:fill="FFDEAD"/>
          </w:tcPr>
          <w:p>
            <w:pPr>
              <w:spacing w:after="0"/>
              <w:rPr>
                <w:sz w:val="20"/>
                <w:szCs w:val="20"/>
                <w:color w:val="auto"/>
              </w:rPr>
            </w:pPr>
          </w:p>
        </w:tc>
        <w:tc>
          <w:tcPr>
            <w:tcW w:w="240" w:type="dxa"/>
            <w:vAlign w:val="bottom"/>
            <w:tcBorders>
              <w:bottom w:val="single" w:sz="8" w:color="auto"/>
            </w:tcBorders>
            <w:shd w:val="clear" w:color="auto" w:fill="FFDEAD"/>
          </w:tcPr>
          <w:p>
            <w:pPr>
              <w:spacing w:after="0"/>
              <w:rPr>
                <w:sz w:val="20"/>
                <w:szCs w:val="20"/>
                <w:color w:val="auto"/>
              </w:rPr>
            </w:pPr>
          </w:p>
        </w:tc>
        <w:tc>
          <w:tcPr>
            <w:tcW w:w="36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540" w:type="dxa"/>
            <w:vAlign w:val="bottom"/>
            <w:tcBorders>
              <w:bottom w:val="single" w:sz="8" w:color="auto"/>
            </w:tcBorders>
            <w:shd w:val="clear" w:color="auto" w:fill="FFDEAD"/>
          </w:tcPr>
          <w:p>
            <w:pPr>
              <w:spacing w:after="0"/>
              <w:rPr>
                <w:sz w:val="20"/>
                <w:szCs w:val="20"/>
                <w:color w:val="auto"/>
              </w:rPr>
            </w:pPr>
          </w:p>
        </w:tc>
        <w:tc>
          <w:tcPr>
            <w:tcW w:w="560" w:type="dxa"/>
            <w:vAlign w:val="bottom"/>
            <w:tcBorders>
              <w:bottom w:val="single" w:sz="8" w:color="auto"/>
            </w:tcBorders>
            <w:shd w:val="clear" w:color="auto" w:fill="FFDEAD"/>
          </w:tcPr>
          <w:p>
            <w:pPr>
              <w:spacing w:after="0"/>
              <w:rPr>
                <w:sz w:val="20"/>
                <w:szCs w:val="20"/>
                <w:color w:val="auto"/>
              </w:rPr>
            </w:pPr>
          </w:p>
        </w:tc>
        <w:tc>
          <w:tcPr>
            <w:tcW w:w="1080" w:type="dxa"/>
            <w:vAlign w:val="bottom"/>
            <w:tcBorders>
              <w:bottom w:val="single" w:sz="8" w:color="auto"/>
            </w:tcBorders>
            <w:shd w:val="clear" w:color="auto" w:fill="FFDEAD"/>
          </w:tcPr>
          <w:p>
            <w:pPr>
              <w:spacing w:after="0"/>
              <w:rPr>
                <w:sz w:val="20"/>
                <w:szCs w:val="20"/>
                <w:color w:val="auto"/>
              </w:rPr>
            </w:pPr>
          </w:p>
        </w:tc>
        <w:tc>
          <w:tcPr>
            <w:tcW w:w="460" w:type="dxa"/>
            <w:vAlign w:val="bottom"/>
            <w:tcBorders>
              <w:bottom w:val="single" w:sz="8" w:color="auto"/>
            </w:tcBorders>
            <w:shd w:val="clear" w:color="auto" w:fill="FFDEAD"/>
          </w:tcPr>
          <w:p>
            <w:pPr>
              <w:spacing w:after="0"/>
              <w:rPr>
                <w:sz w:val="20"/>
                <w:szCs w:val="20"/>
                <w:color w:val="auto"/>
              </w:rPr>
            </w:pPr>
          </w:p>
        </w:tc>
        <w:tc>
          <w:tcPr>
            <w:tcW w:w="260" w:type="dxa"/>
            <w:vAlign w:val="bottom"/>
            <w:tcBorders>
              <w:bottom w:val="single" w:sz="8" w:color="auto"/>
            </w:tcBorders>
            <w:shd w:val="clear" w:color="auto" w:fill="FFDEAD"/>
          </w:tcPr>
          <w:p>
            <w:pPr>
              <w:spacing w:after="0"/>
              <w:rPr>
                <w:sz w:val="20"/>
                <w:szCs w:val="20"/>
                <w:color w:val="auto"/>
              </w:rPr>
            </w:pPr>
          </w:p>
        </w:tc>
        <w:tc>
          <w:tcPr>
            <w:tcW w:w="100" w:type="dxa"/>
            <w:vAlign w:val="bottom"/>
            <w:tcBorders>
              <w:left w:val="single" w:sz="8" w:color="FFDEAD"/>
              <w:bottom w:val="single" w:sz="8" w:color="auto"/>
              <w:right w:val="single" w:sz="8" w:color="auto"/>
            </w:tcBorders>
            <w:shd w:val="clear" w:color="auto" w:fill="FFDEAD"/>
          </w:tcPr>
          <w:p>
            <w:pPr>
              <w:spacing w:after="0"/>
              <w:rPr>
                <w:sz w:val="20"/>
                <w:szCs w:val="20"/>
                <w:color w:val="auto"/>
              </w:rPr>
            </w:pPr>
          </w:p>
        </w:tc>
      </w:tr>
      <w:tr>
        <w:trPr>
          <w:trHeight w:val="190"/>
        </w:trPr>
        <w:tc>
          <w:tcPr>
            <w:tcW w:w="420" w:type="dxa"/>
            <w:vAlign w:val="bottom"/>
            <w:tcBorders>
              <w:left w:val="single" w:sz="8" w:color="auto"/>
            </w:tcBorders>
          </w:tcPr>
          <w:p>
            <w:pPr>
              <w:ind w:left="80"/>
              <w:spacing w:after="0" w:line="190" w:lineRule="exact"/>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 “Term Loan Amortization Date”</w:t>
            </w:r>
          </w:p>
        </w:tc>
        <w:tc>
          <w:tcPr>
            <w:tcW w:w="60" w:type="dxa"/>
            <w:vAlign w:val="bottom"/>
          </w:tcPr>
          <w:p>
            <w:pPr>
              <w:spacing w:after="0"/>
              <w:rPr>
                <w:sz w:val="16"/>
                <w:szCs w:val="16"/>
                <w:color w:val="auto"/>
              </w:rPr>
            </w:pPr>
          </w:p>
        </w:tc>
        <w:tc>
          <w:tcPr>
            <w:tcW w:w="2680" w:type="dxa"/>
            <w:vAlign w:val="bottom"/>
            <w:gridSpan w:val="6"/>
          </w:tcPr>
          <w:p>
            <w:pPr>
              <w:spacing w:after="0" w:line="19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Amortization Date</w:t>
            </w:r>
            <w:r>
              <w:rPr>
                <w:rFonts w:ascii="Times New Roman" w:cs="Times New Roman" w:eastAsia="Times New Roman" w:hAnsi="Times New Roman"/>
                <w:sz w:val="17"/>
                <w:szCs w:val="17"/>
                <w:color w:val="auto"/>
              </w:rPr>
              <w:t>” is</w:t>
            </w:r>
          </w:p>
        </w:tc>
        <w:tc>
          <w:tcPr>
            <w:tcW w:w="30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FF0000"/>
                <w:strike w:val="1"/>
              </w:rPr>
              <w:t>July</w:t>
            </w:r>
          </w:p>
        </w:tc>
        <w:tc>
          <w:tcPr>
            <w:tcW w:w="80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0000FF"/>
              </w:rPr>
              <w:t xml:space="preserve">October </w:t>
            </w:r>
            <w:r>
              <w:rPr>
                <w:rFonts w:ascii="Times New Roman" w:cs="Times New Roman" w:eastAsia="Times New Roman" w:hAnsi="Times New Roman"/>
                <w:sz w:val="17"/>
                <w:szCs w:val="17"/>
                <w:color w:val="000000"/>
              </w:rPr>
              <w:t>1,</w:t>
            </w:r>
          </w:p>
        </w:tc>
        <w:tc>
          <w:tcPr>
            <w:tcW w:w="36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FF0000"/>
                <w:strike w:val="1"/>
                <w:w w:val="99"/>
              </w:rPr>
              <w:t>2025</w:t>
            </w:r>
          </w:p>
        </w:tc>
        <w:tc>
          <w:tcPr>
            <w:tcW w:w="3180" w:type="dxa"/>
            <w:vAlign w:val="bottom"/>
            <w:tcBorders>
              <w:right w:val="single" w:sz="8" w:color="auto"/>
            </w:tcBorders>
            <w:gridSpan w:val="7"/>
          </w:tcPr>
          <w:p>
            <w:pPr>
              <w:jc w:val="right"/>
              <w:ind w:right="100"/>
              <w:spacing w:after="0" w:line="190" w:lineRule="exact"/>
              <w:rPr>
                <w:sz w:val="20"/>
                <w:szCs w:val="20"/>
                <w:color w:val="auto"/>
              </w:rPr>
            </w:pPr>
            <w:r>
              <w:rPr>
                <w:rFonts w:ascii="Times New Roman" w:cs="Times New Roman" w:eastAsia="Times New Roman" w:hAnsi="Times New Roman"/>
                <w:sz w:val="17"/>
                <w:szCs w:val="17"/>
                <w:color w:val="0000FF"/>
              </w:rPr>
              <w:t>2027; provided that upon the occurrence of</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190"/>
        </w:trPr>
        <w:tc>
          <w:tcPr>
            <w:tcW w:w="420" w:type="dxa"/>
            <w:vAlign w:val="bottom"/>
            <w:tcBorders>
              <w:lef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320" w:type="dxa"/>
            <w:vAlign w:val="bottom"/>
            <w:tcBorders>
              <w:right w:val="single" w:sz="8" w:color="auto"/>
            </w:tcBorders>
            <w:gridSpan w:val="17"/>
          </w:tcPr>
          <w:p>
            <w:pPr>
              <w:spacing w:after="0" w:line="190" w:lineRule="exact"/>
              <w:rPr>
                <w:sz w:val="20"/>
                <w:szCs w:val="20"/>
                <w:color w:val="auto"/>
              </w:rPr>
            </w:pPr>
            <w:r>
              <w:rPr>
                <w:rFonts w:ascii="Times New Roman" w:cs="Times New Roman" w:eastAsia="Times New Roman" w:hAnsi="Times New Roman"/>
                <w:sz w:val="17"/>
                <w:szCs w:val="17"/>
                <w:color w:val="0000FF"/>
              </w:rPr>
              <w:t>the Performance Milestone, the Term Loan Amortization Date shall become October 1, 2028</w:t>
            </w:r>
            <w:r>
              <w:rPr>
                <w:rFonts w:ascii="Times New Roman" w:cs="Times New Roman" w:eastAsia="Times New Roman" w:hAnsi="Times New Roman"/>
                <w:sz w:val="17"/>
                <w:szCs w:val="17"/>
                <w:color w:val="000000"/>
              </w:rPr>
              <w:t>.</w:t>
            </w:r>
          </w:p>
        </w:tc>
      </w:tr>
      <w:tr>
        <w:trPr>
          <w:trHeight w:val="255"/>
        </w:trPr>
        <w:tc>
          <w:tcPr>
            <w:tcW w:w="420" w:type="dxa"/>
            <w:vAlign w:val="bottom"/>
            <w:tcBorders>
              <w:left w:val="single" w:sz="8" w:color="auto"/>
              <w:bottom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top w:val="single" w:sz="8" w:color="0000FF"/>
              <w:bottom w:val="single" w:sz="8" w:color="auto"/>
            </w:tcBorders>
          </w:tcPr>
          <w:p>
            <w:pPr>
              <w:spacing w:after="0"/>
              <w:rPr>
                <w:sz w:val="22"/>
                <w:szCs w:val="22"/>
                <w:color w:val="auto"/>
              </w:rPr>
            </w:pPr>
          </w:p>
        </w:tc>
        <w:tc>
          <w:tcPr>
            <w:tcW w:w="1120" w:type="dxa"/>
            <w:vAlign w:val="bottom"/>
            <w:tcBorders>
              <w:top w:val="single" w:sz="8" w:color="0000FF"/>
              <w:bottom w:val="single" w:sz="8" w:color="auto"/>
            </w:tcBorders>
          </w:tcPr>
          <w:p>
            <w:pPr>
              <w:spacing w:after="0"/>
              <w:rPr>
                <w:sz w:val="22"/>
                <w:szCs w:val="22"/>
                <w:color w:val="auto"/>
              </w:rPr>
            </w:pPr>
          </w:p>
        </w:tc>
        <w:tc>
          <w:tcPr>
            <w:tcW w:w="80" w:type="dxa"/>
            <w:vAlign w:val="bottom"/>
            <w:tcBorders>
              <w:top w:val="single" w:sz="8" w:color="0000FF"/>
              <w:bottom w:val="single" w:sz="8" w:color="auto"/>
            </w:tcBorders>
          </w:tcPr>
          <w:p>
            <w:pPr>
              <w:spacing w:after="0"/>
              <w:rPr>
                <w:sz w:val="22"/>
                <w:szCs w:val="22"/>
                <w:color w:val="auto"/>
              </w:rPr>
            </w:pPr>
          </w:p>
        </w:tc>
        <w:tc>
          <w:tcPr>
            <w:tcW w:w="400" w:type="dxa"/>
            <w:vAlign w:val="bottom"/>
            <w:tcBorders>
              <w:top w:val="single" w:sz="8" w:color="0000FF"/>
              <w:bottom w:val="single" w:sz="8" w:color="auto"/>
            </w:tcBorders>
          </w:tcPr>
          <w:p>
            <w:pPr>
              <w:spacing w:after="0"/>
              <w:rPr>
                <w:sz w:val="22"/>
                <w:szCs w:val="22"/>
                <w:color w:val="auto"/>
              </w:rPr>
            </w:pPr>
          </w:p>
        </w:tc>
        <w:tc>
          <w:tcPr>
            <w:tcW w:w="120" w:type="dxa"/>
            <w:vAlign w:val="bottom"/>
            <w:tcBorders>
              <w:top w:val="single" w:sz="8" w:color="0000FF"/>
              <w:bottom w:val="single" w:sz="8" w:color="auto"/>
            </w:tcBorders>
          </w:tcPr>
          <w:p>
            <w:pPr>
              <w:spacing w:after="0"/>
              <w:rPr>
                <w:sz w:val="22"/>
                <w:szCs w:val="22"/>
                <w:color w:val="auto"/>
              </w:rPr>
            </w:pPr>
          </w:p>
        </w:tc>
        <w:tc>
          <w:tcPr>
            <w:tcW w:w="740" w:type="dxa"/>
            <w:vAlign w:val="bottom"/>
            <w:tcBorders>
              <w:top w:val="single" w:sz="8" w:color="0000FF"/>
              <w:bottom w:val="single" w:sz="8" w:color="auto"/>
            </w:tcBorders>
          </w:tcPr>
          <w:p>
            <w:pPr>
              <w:spacing w:after="0"/>
              <w:rPr>
                <w:sz w:val="22"/>
                <w:szCs w:val="22"/>
                <w:color w:val="auto"/>
              </w:rPr>
            </w:pPr>
          </w:p>
        </w:tc>
        <w:tc>
          <w:tcPr>
            <w:tcW w:w="300" w:type="dxa"/>
            <w:vAlign w:val="bottom"/>
            <w:tcBorders>
              <w:top w:val="single" w:sz="8" w:color="0000FF"/>
              <w:bottom w:val="single" w:sz="8" w:color="auto"/>
            </w:tcBorders>
          </w:tcPr>
          <w:p>
            <w:pPr>
              <w:spacing w:after="0"/>
              <w:rPr>
                <w:sz w:val="22"/>
                <w:szCs w:val="22"/>
                <w:color w:val="auto"/>
              </w:rPr>
            </w:pPr>
          </w:p>
        </w:tc>
        <w:tc>
          <w:tcPr>
            <w:tcW w:w="560" w:type="dxa"/>
            <w:vAlign w:val="bottom"/>
            <w:tcBorders>
              <w:top w:val="single" w:sz="8" w:color="0000FF"/>
              <w:bottom w:val="single" w:sz="8" w:color="auto"/>
            </w:tcBorders>
          </w:tcPr>
          <w:p>
            <w:pPr>
              <w:spacing w:after="0"/>
              <w:rPr>
                <w:sz w:val="22"/>
                <w:szCs w:val="22"/>
                <w:color w:val="auto"/>
              </w:rPr>
            </w:pPr>
          </w:p>
        </w:tc>
        <w:tc>
          <w:tcPr>
            <w:tcW w:w="240" w:type="dxa"/>
            <w:vAlign w:val="bottom"/>
            <w:tcBorders>
              <w:top w:val="single" w:sz="8" w:color="0000FF"/>
              <w:bottom w:val="single" w:sz="8" w:color="auto"/>
            </w:tcBorders>
          </w:tcPr>
          <w:p>
            <w:pPr>
              <w:spacing w:after="0"/>
              <w:rPr>
                <w:sz w:val="22"/>
                <w:szCs w:val="22"/>
                <w:color w:val="auto"/>
              </w:rPr>
            </w:pPr>
          </w:p>
        </w:tc>
        <w:tc>
          <w:tcPr>
            <w:tcW w:w="360" w:type="dxa"/>
            <w:vAlign w:val="bottom"/>
            <w:tcBorders>
              <w:top w:val="single" w:sz="8" w:color="0000FF"/>
              <w:bottom w:val="single" w:sz="8" w:color="auto"/>
            </w:tcBorders>
          </w:tcPr>
          <w:p>
            <w:pPr>
              <w:spacing w:after="0"/>
              <w:rPr>
                <w:sz w:val="22"/>
                <w:szCs w:val="22"/>
                <w:color w:val="auto"/>
              </w:rPr>
            </w:pPr>
          </w:p>
        </w:tc>
        <w:tc>
          <w:tcPr>
            <w:tcW w:w="180" w:type="dxa"/>
            <w:vAlign w:val="bottom"/>
            <w:tcBorders>
              <w:top w:val="single" w:sz="8" w:color="0000FF"/>
              <w:bottom w:val="single" w:sz="8" w:color="auto"/>
            </w:tcBorders>
          </w:tcPr>
          <w:p>
            <w:pPr>
              <w:spacing w:after="0"/>
              <w:rPr>
                <w:sz w:val="22"/>
                <w:szCs w:val="22"/>
                <w:color w:val="auto"/>
              </w:rPr>
            </w:pPr>
          </w:p>
        </w:tc>
        <w:tc>
          <w:tcPr>
            <w:tcW w:w="540" w:type="dxa"/>
            <w:vAlign w:val="bottom"/>
            <w:tcBorders>
              <w:top w:val="single" w:sz="8" w:color="0000FF"/>
              <w:bottom w:val="single" w:sz="8" w:color="auto"/>
            </w:tcBorders>
          </w:tcPr>
          <w:p>
            <w:pPr>
              <w:spacing w:after="0"/>
              <w:rPr>
                <w:sz w:val="22"/>
                <w:szCs w:val="22"/>
                <w:color w:val="auto"/>
              </w:rPr>
            </w:pPr>
          </w:p>
        </w:tc>
        <w:tc>
          <w:tcPr>
            <w:tcW w:w="560" w:type="dxa"/>
            <w:vAlign w:val="bottom"/>
            <w:tcBorders>
              <w:top w:val="single" w:sz="8" w:color="0000FF"/>
              <w:bottom w:val="single" w:sz="8" w:color="auto"/>
            </w:tcBorders>
          </w:tcPr>
          <w:p>
            <w:pPr>
              <w:spacing w:after="0"/>
              <w:rPr>
                <w:sz w:val="22"/>
                <w:szCs w:val="22"/>
                <w:color w:val="auto"/>
              </w:rPr>
            </w:pPr>
          </w:p>
        </w:tc>
        <w:tc>
          <w:tcPr>
            <w:tcW w:w="1080" w:type="dxa"/>
            <w:vAlign w:val="bottom"/>
            <w:tcBorders>
              <w:top w:val="single" w:sz="8" w:color="0000FF"/>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r>
      <w:tr>
        <w:trPr>
          <w:trHeight w:val="211"/>
        </w:trPr>
        <w:tc>
          <w:tcPr>
            <w:tcW w:w="420" w:type="dxa"/>
            <w:vAlign w:val="bottom"/>
            <w:tcBorders>
              <w:left w:val="single" w:sz="8" w:color="auto"/>
            </w:tcBorders>
            <w:shd w:val="clear" w:color="auto" w:fill="FFDEAD"/>
          </w:tcPr>
          <w:p>
            <w:pPr>
              <w:ind w:left="80"/>
              <w:spacing w:after="0"/>
              <w:rPr>
                <w:sz w:val="20"/>
                <w:szCs w:val="20"/>
                <w:color w:val="auto"/>
              </w:rPr>
            </w:pPr>
            <w:r>
              <w:rPr>
                <w:rFonts w:ascii="Times New Roman" w:cs="Times New Roman" w:eastAsia="Times New Roman" w:hAnsi="Times New Roman"/>
                <w:sz w:val="17"/>
                <w:szCs w:val="17"/>
                <w:color w:val="FF0000"/>
                <w:strike w:val="1"/>
              </w:rPr>
              <w:t>12.2</w:t>
            </w:r>
          </w:p>
        </w:tc>
        <w:tc>
          <w:tcPr>
            <w:tcW w:w="3340" w:type="dxa"/>
            <w:vAlign w:val="bottom"/>
            <w:tcBorders>
              <w:right w:val="single" w:sz="8" w:color="auto"/>
            </w:tcBorders>
            <w:shd w:val="clear" w:color="auto" w:fill="FFDEAD"/>
          </w:tcPr>
          <w:p>
            <w:pPr>
              <w:ind w:left="20"/>
              <w:spacing w:after="0"/>
              <w:rPr>
                <w:sz w:val="20"/>
                <w:szCs w:val="20"/>
                <w:color w:val="auto"/>
              </w:rPr>
            </w:pPr>
            <w:r>
              <w:rPr>
                <w:rFonts w:ascii="Times New Roman" w:cs="Times New Roman" w:eastAsia="Times New Roman" w:hAnsi="Times New Roman"/>
                <w:sz w:val="17"/>
                <w:szCs w:val="17"/>
                <w:color w:val="FF0000"/>
                <w:strike w:val="1"/>
              </w:rPr>
              <w:t>– “Revolving Line Maturity Date”</w:t>
            </w:r>
          </w:p>
        </w:tc>
        <w:tc>
          <w:tcPr>
            <w:tcW w:w="60" w:type="dxa"/>
            <w:vAlign w:val="bottom"/>
            <w:shd w:val="clear" w:color="auto" w:fill="FFDEAD"/>
          </w:tcPr>
          <w:p>
            <w:pPr>
              <w:spacing w:after="0"/>
              <w:rPr>
                <w:sz w:val="18"/>
                <w:szCs w:val="18"/>
                <w:color w:val="auto"/>
              </w:rPr>
            </w:pPr>
          </w:p>
        </w:tc>
        <w:tc>
          <w:tcPr>
            <w:tcW w:w="7220" w:type="dxa"/>
            <w:vAlign w:val="bottom"/>
            <w:gridSpan w:val="16"/>
            <w:shd w:val="clear" w:color="auto" w:fill="FFDEAD"/>
          </w:tcPr>
          <w:p>
            <w:pPr>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b w:val="1"/>
                <w:bCs w:val="1"/>
                <w:color w:val="FF0000"/>
                <w:strike w:val="1"/>
              </w:rPr>
              <w:t>Revolving Line Maturity Date</w:t>
            </w:r>
            <w:r>
              <w:rPr>
                <w:rFonts w:ascii="Times New Roman" w:cs="Times New Roman" w:eastAsia="Times New Roman" w:hAnsi="Times New Roman"/>
                <w:sz w:val="17"/>
                <w:szCs w:val="17"/>
                <w:color w:val="FF0000"/>
                <w:strike w:val="1"/>
              </w:rPr>
              <w:t>” is the date that is thirty (30) months after the First Amendment</w:t>
            </w:r>
          </w:p>
        </w:tc>
        <w:tc>
          <w:tcPr>
            <w:tcW w:w="100" w:type="dxa"/>
            <w:vAlign w:val="bottom"/>
            <w:tcBorders>
              <w:left w:val="single" w:sz="8" w:color="FFDEAD"/>
              <w:right w:val="single" w:sz="8" w:color="auto"/>
            </w:tcBorders>
            <w:shd w:val="clear" w:color="auto" w:fill="FFDEAD"/>
          </w:tcPr>
          <w:p>
            <w:pPr>
              <w:spacing w:after="0"/>
              <w:rPr>
                <w:sz w:val="18"/>
                <w:szCs w:val="18"/>
                <w:color w:val="auto"/>
              </w:rPr>
            </w:pPr>
          </w:p>
        </w:tc>
      </w:tr>
      <w:tr>
        <w:trPr>
          <w:trHeight w:val="228"/>
        </w:trPr>
        <w:tc>
          <w:tcPr>
            <w:tcW w:w="420" w:type="dxa"/>
            <w:vAlign w:val="bottom"/>
            <w:tcBorders>
              <w:left w:val="single" w:sz="8" w:color="auto"/>
            </w:tcBorders>
            <w:shd w:val="clear" w:color="auto" w:fill="FFDEAD"/>
          </w:tcPr>
          <w:p>
            <w:pPr>
              <w:spacing w:after="0"/>
              <w:rPr>
                <w:sz w:val="19"/>
                <w:szCs w:val="19"/>
                <w:color w:val="auto"/>
              </w:rPr>
            </w:pPr>
          </w:p>
        </w:tc>
        <w:tc>
          <w:tcPr>
            <w:tcW w:w="3340" w:type="dxa"/>
            <w:vAlign w:val="bottom"/>
            <w:tcBorders>
              <w:right w:val="single" w:sz="8" w:color="auto"/>
            </w:tcBorders>
            <w:shd w:val="clear" w:color="auto" w:fill="FFDEAD"/>
          </w:tcPr>
          <w:p>
            <w:pPr>
              <w:spacing w:after="0"/>
              <w:rPr>
                <w:sz w:val="19"/>
                <w:szCs w:val="19"/>
                <w:color w:val="auto"/>
              </w:rPr>
            </w:pPr>
          </w:p>
        </w:tc>
        <w:tc>
          <w:tcPr>
            <w:tcW w:w="60" w:type="dxa"/>
            <w:vAlign w:val="bottom"/>
            <w:shd w:val="clear" w:color="auto" w:fill="FFDEAD"/>
          </w:tcPr>
          <w:p>
            <w:pPr>
              <w:spacing w:after="0"/>
              <w:rPr>
                <w:sz w:val="19"/>
                <w:szCs w:val="19"/>
                <w:color w:val="auto"/>
              </w:rPr>
            </w:pPr>
          </w:p>
        </w:tc>
        <w:tc>
          <w:tcPr>
            <w:tcW w:w="1340" w:type="dxa"/>
            <w:vAlign w:val="bottom"/>
            <w:gridSpan w:val="2"/>
            <w:shd w:val="clear" w:color="auto" w:fill="FFDEAD"/>
          </w:tcPr>
          <w:p>
            <w:pPr>
              <w:spacing w:after="0"/>
              <w:rPr>
                <w:sz w:val="20"/>
                <w:szCs w:val="20"/>
                <w:color w:val="auto"/>
              </w:rPr>
            </w:pPr>
            <w:r>
              <w:rPr>
                <w:rFonts w:ascii="Times New Roman" w:cs="Times New Roman" w:eastAsia="Times New Roman" w:hAnsi="Times New Roman"/>
                <w:sz w:val="17"/>
                <w:szCs w:val="17"/>
                <w:color w:val="FF0000"/>
                <w:strike w:val="1"/>
              </w:rPr>
              <w:t>Effective Date.</w:t>
            </w:r>
          </w:p>
        </w:tc>
        <w:tc>
          <w:tcPr>
            <w:tcW w:w="480" w:type="dxa"/>
            <w:vAlign w:val="bottom"/>
            <w:gridSpan w:val="2"/>
            <w:shd w:val="clear" w:color="auto" w:fill="FFDEAD"/>
          </w:tcPr>
          <w:p>
            <w:pPr>
              <w:spacing w:after="0"/>
              <w:rPr>
                <w:sz w:val="19"/>
                <w:szCs w:val="19"/>
                <w:color w:val="auto"/>
              </w:rPr>
            </w:pPr>
          </w:p>
        </w:tc>
        <w:tc>
          <w:tcPr>
            <w:tcW w:w="2500" w:type="dxa"/>
            <w:vAlign w:val="bottom"/>
            <w:gridSpan w:val="7"/>
            <w:shd w:val="clear" w:color="auto" w:fill="FFDEAD"/>
          </w:tcPr>
          <w:p>
            <w:pPr>
              <w:spacing w:after="0"/>
              <w:rPr>
                <w:sz w:val="19"/>
                <w:szCs w:val="19"/>
                <w:color w:val="auto"/>
              </w:rPr>
            </w:pPr>
          </w:p>
        </w:tc>
        <w:tc>
          <w:tcPr>
            <w:tcW w:w="3000" w:type="dxa"/>
            <w:vAlign w:val="bottom"/>
            <w:tcBorders>
              <w:right w:val="single" w:sz="8" w:color="auto"/>
            </w:tcBorders>
            <w:gridSpan w:val="6"/>
            <w:shd w:val="clear" w:color="auto" w:fill="FFDEAD"/>
          </w:tcPr>
          <w:p>
            <w:pPr>
              <w:spacing w:after="0"/>
              <w:rPr>
                <w:sz w:val="19"/>
                <w:szCs w:val="19"/>
                <w:color w:val="auto"/>
              </w:rPr>
            </w:pPr>
          </w:p>
        </w:tc>
      </w:tr>
      <w:tr>
        <w:trPr>
          <w:trHeight w:val="236"/>
        </w:trPr>
        <w:tc>
          <w:tcPr>
            <w:tcW w:w="420" w:type="dxa"/>
            <w:vAlign w:val="bottom"/>
            <w:tcBorders>
              <w:left w:val="single" w:sz="8" w:color="auto"/>
              <w:bottom w:val="single" w:sz="8" w:color="auto"/>
            </w:tcBorders>
            <w:shd w:val="clear" w:color="auto" w:fill="FFDEAD"/>
          </w:tcPr>
          <w:p>
            <w:pPr>
              <w:spacing w:after="0"/>
              <w:rPr>
                <w:sz w:val="20"/>
                <w:szCs w:val="20"/>
                <w:color w:val="auto"/>
              </w:rPr>
            </w:pPr>
          </w:p>
        </w:tc>
        <w:tc>
          <w:tcPr>
            <w:tcW w:w="3340" w:type="dxa"/>
            <w:vAlign w:val="bottom"/>
            <w:tcBorders>
              <w:bottom w:val="single" w:sz="8" w:color="auto"/>
              <w:right w:val="single" w:sz="8" w:color="auto"/>
            </w:tcBorders>
            <w:shd w:val="clear" w:color="auto" w:fill="FFDEAD"/>
          </w:tcPr>
          <w:p>
            <w:pPr>
              <w:spacing w:after="0"/>
              <w:rPr>
                <w:sz w:val="20"/>
                <w:szCs w:val="20"/>
                <w:color w:val="auto"/>
              </w:rPr>
            </w:pPr>
          </w:p>
        </w:tc>
        <w:tc>
          <w:tcPr>
            <w:tcW w:w="60" w:type="dxa"/>
            <w:vAlign w:val="bottom"/>
            <w:tcBorders>
              <w:bottom w:val="single" w:sz="8" w:color="auto"/>
            </w:tcBorders>
            <w:shd w:val="clear" w:color="auto" w:fill="FFDEAD"/>
          </w:tcPr>
          <w:p>
            <w:pPr>
              <w:spacing w:after="0"/>
              <w:rPr>
                <w:sz w:val="20"/>
                <w:szCs w:val="20"/>
                <w:color w:val="auto"/>
              </w:rPr>
            </w:pPr>
          </w:p>
        </w:tc>
        <w:tc>
          <w:tcPr>
            <w:tcW w:w="220" w:type="dxa"/>
            <w:vAlign w:val="bottom"/>
            <w:tcBorders>
              <w:bottom w:val="single" w:sz="8" w:color="auto"/>
            </w:tcBorders>
            <w:shd w:val="clear" w:color="auto" w:fill="FFDEAD"/>
          </w:tcPr>
          <w:p>
            <w:pPr>
              <w:spacing w:after="0"/>
              <w:rPr>
                <w:sz w:val="20"/>
                <w:szCs w:val="20"/>
                <w:color w:val="auto"/>
              </w:rPr>
            </w:pPr>
          </w:p>
        </w:tc>
        <w:tc>
          <w:tcPr>
            <w:tcW w:w="1120" w:type="dxa"/>
            <w:vAlign w:val="bottom"/>
            <w:tcBorders>
              <w:bottom w:val="single" w:sz="8" w:color="auto"/>
            </w:tcBorders>
            <w:shd w:val="clear" w:color="auto" w:fill="FFDEAD"/>
          </w:tcPr>
          <w:p>
            <w:pPr>
              <w:spacing w:after="0"/>
              <w:rPr>
                <w:sz w:val="20"/>
                <w:szCs w:val="20"/>
                <w:color w:val="auto"/>
              </w:rPr>
            </w:pPr>
          </w:p>
        </w:tc>
        <w:tc>
          <w:tcPr>
            <w:tcW w:w="80" w:type="dxa"/>
            <w:vAlign w:val="bottom"/>
            <w:tcBorders>
              <w:bottom w:val="single" w:sz="8" w:color="auto"/>
            </w:tcBorders>
            <w:shd w:val="clear" w:color="auto" w:fill="FFDEAD"/>
          </w:tcPr>
          <w:p>
            <w:pPr>
              <w:spacing w:after="0"/>
              <w:rPr>
                <w:sz w:val="20"/>
                <w:szCs w:val="20"/>
                <w:color w:val="auto"/>
              </w:rPr>
            </w:pPr>
          </w:p>
        </w:tc>
        <w:tc>
          <w:tcPr>
            <w:tcW w:w="400" w:type="dxa"/>
            <w:vAlign w:val="bottom"/>
            <w:tcBorders>
              <w:bottom w:val="single" w:sz="8" w:color="auto"/>
            </w:tcBorders>
            <w:shd w:val="clear" w:color="auto" w:fill="FFDEAD"/>
          </w:tcPr>
          <w:p>
            <w:pPr>
              <w:spacing w:after="0"/>
              <w:rPr>
                <w:sz w:val="20"/>
                <w:szCs w:val="20"/>
                <w:color w:val="auto"/>
              </w:rPr>
            </w:pPr>
          </w:p>
        </w:tc>
        <w:tc>
          <w:tcPr>
            <w:tcW w:w="120" w:type="dxa"/>
            <w:vAlign w:val="bottom"/>
            <w:tcBorders>
              <w:bottom w:val="single" w:sz="8" w:color="auto"/>
            </w:tcBorders>
            <w:shd w:val="clear" w:color="auto" w:fill="FFDEAD"/>
          </w:tcPr>
          <w:p>
            <w:pPr>
              <w:spacing w:after="0"/>
              <w:rPr>
                <w:sz w:val="20"/>
                <w:szCs w:val="20"/>
                <w:color w:val="auto"/>
              </w:rPr>
            </w:pPr>
          </w:p>
        </w:tc>
        <w:tc>
          <w:tcPr>
            <w:tcW w:w="740" w:type="dxa"/>
            <w:vAlign w:val="bottom"/>
            <w:tcBorders>
              <w:bottom w:val="single" w:sz="8" w:color="auto"/>
            </w:tcBorders>
            <w:shd w:val="clear" w:color="auto" w:fill="FFDEAD"/>
          </w:tcPr>
          <w:p>
            <w:pPr>
              <w:spacing w:after="0"/>
              <w:rPr>
                <w:sz w:val="20"/>
                <w:szCs w:val="20"/>
                <w:color w:val="auto"/>
              </w:rPr>
            </w:pPr>
          </w:p>
        </w:tc>
        <w:tc>
          <w:tcPr>
            <w:tcW w:w="300" w:type="dxa"/>
            <w:vAlign w:val="bottom"/>
            <w:tcBorders>
              <w:bottom w:val="single" w:sz="8" w:color="auto"/>
            </w:tcBorders>
            <w:shd w:val="clear" w:color="auto" w:fill="FFDEAD"/>
          </w:tcPr>
          <w:p>
            <w:pPr>
              <w:spacing w:after="0"/>
              <w:rPr>
                <w:sz w:val="20"/>
                <w:szCs w:val="20"/>
                <w:color w:val="auto"/>
              </w:rPr>
            </w:pPr>
          </w:p>
        </w:tc>
        <w:tc>
          <w:tcPr>
            <w:tcW w:w="560" w:type="dxa"/>
            <w:vAlign w:val="bottom"/>
            <w:tcBorders>
              <w:bottom w:val="single" w:sz="8" w:color="auto"/>
            </w:tcBorders>
            <w:shd w:val="clear" w:color="auto" w:fill="FFDEAD"/>
          </w:tcPr>
          <w:p>
            <w:pPr>
              <w:spacing w:after="0"/>
              <w:rPr>
                <w:sz w:val="20"/>
                <w:szCs w:val="20"/>
                <w:color w:val="auto"/>
              </w:rPr>
            </w:pPr>
          </w:p>
        </w:tc>
        <w:tc>
          <w:tcPr>
            <w:tcW w:w="240" w:type="dxa"/>
            <w:vAlign w:val="bottom"/>
            <w:tcBorders>
              <w:bottom w:val="single" w:sz="8" w:color="auto"/>
            </w:tcBorders>
            <w:shd w:val="clear" w:color="auto" w:fill="FFDEAD"/>
          </w:tcPr>
          <w:p>
            <w:pPr>
              <w:spacing w:after="0"/>
              <w:rPr>
                <w:sz w:val="20"/>
                <w:szCs w:val="20"/>
                <w:color w:val="auto"/>
              </w:rPr>
            </w:pPr>
          </w:p>
        </w:tc>
        <w:tc>
          <w:tcPr>
            <w:tcW w:w="36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540" w:type="dxa"/>
            <w:vAlign w:val="bottom"/>
            <w:tcBorders>
              <w:bottom w:val="single" w:sz="8" w:color="auto"/>
            </w:tcBorders>
            <w:shd w:val="clear" w:color="auto" w:fill="FFDEAD"/>
          </w:tcPr>
          <w:p>
            <w:pPr>
              <w:spacing w:after="0"/>
              <w:rPr>
                <w:sz w:val="20"/>
                <w:szCs w:val="20"/>
                <w:color w:val="auto"/>
              </w:rPr>
            </w:pPr>
          </w:p>
        </w:tc>
        <w:tc>
          <w:tcPr>
            <w:tcW w:w="560" w:type="dxa"/>
            <w:vAlign w:val="bottom"/>
            <w:tcBorders>
              <w:bottom w:val="single" w:sz="8" w:color="auto"/>
            </w:tcBorders>
            <w:shd w:val="clear" w:color="auto" w:fill="FFDEAD"/>
          </w:tcPr>
          <w:p>
            <w:pPr>
              <w:spacing w:after="0"/>
              <w:rPr>
                <w:sz w:val="20"/>
                <w:szCs w:val="20"/>
                <w:color w:val="auto"/>
              </w:rPr>
            </w:pPr>
          </w:p>
        </w:tc>
        <w:tc>
          <w:tcPr>
            <w:tcW w:w="1080" w:type="dxa"/>
            <w:vAlign w:val="bottom"/>
            <w:tcBorders>
              <w:bottom w:val="single" w:sz="8" w:color="auto"/>
            </w:tcBorders>
            <w:shd w:val="clear" w:color="auto" w:fill="FFDEAD"/>
          </w:tcPr>
          <w:p>
            <w:pPr>
              <w:spacing w:after="0"/>
              <w:rPr>
                <w:sz w:val="20"/>
                <w:szCs w:val="20"/>
                <w:color w:val="auto"/>
              </w:rPr>
            </w:pPr>
          </w:p>
        </w:tc>
        <w:tc>
          <w:tcPr>
            <w:tcW w:w="460" w:type="dxa"/>
            <w:vAlign w:val="bottom"/>
            <w:tcBorders>
              <w:bottom w:val="single" w:sz="8" w:color="auto"/>
            </w:tcBorders>
            <w:shd w:val="clear" w:color="auto" w:fill="FFDEAD"/>
          </w:tcPr>
          <w:p>
            <w:pPr>
              <w:spacing w:after="0"/>
              <w:rPr>
                <w:sz w:val="20"/>
                <w:szCs w:val="20"/>
                <w:color w:val="auto"/>
              </w:rPr>
            </w:pPr>
          </w:p>
        </w:tc>
        <w:tc>
          <w:tcPr>
            <w:tcW w:w="260" w:type="dxa"/>
            <w:vAlign w:val="bottom"/>
            <w:tcBorders>
              <w:bottom w:val="single" w:sz="8" w:color="auto"/>
            </w:tcBorders>
            <w:shd w:val="clear" w:color="auto" w:fill="FFDEAD"/>
          </w:tcPr>
          <w:p>
            <w:pPr>
              <w:spacing w:after="0"/>
              <w:rPr>
                <w:sz w:val="20"/>
                <w:szCs w:val="20"/>
                <w:color w:val="auto"/>
              </w:rPr>
            </w:pPr>
          </w:p>
        </w:tc>
        <w:tc>
          <w:tcPr>
            <w:tcW w:w="100" w:type="dxa"/>
            <w:vAlign w:val="bottom"/>
            <w:tcBorders>
              <w:left w:val="single" w:sz="8" w:color="FFDEAD"/>
              <w:bottom w:val="single" w:sz="8" w:color="auto"/>
              <w:right w:val="single" w:sz="8" w:color="auto"/>
            </w:tcBorders>
            <w:shd w:val="clear" w:color="auto" w:fill="FFDEAD"/>
          </w:tcPr>
          <w:p>
            <w:pPr>
              <w:spacing w:after="0"/>
              <w:rPr>
                <w:sz w:val="20"/>
                <w:szCs w:val="20"/>
                <w:color w:val="auto"/>
              </w:rPr>
            </w:pPr>
          </w:p>
        </w:tc>
      </w:tr>
    </w:tbl>
    <w:p>
      <w:pPr>
        <w:sectPr>
          <w:pgSz w:w="11900" w:h="16838" w:orient="portrait"/>
          <w:cols w:equalWidth="0" w:num="1">
            <w:col w:w="11140"/>
          </w:cols>
          <w:pgMar w:left="320" w:top="1405" w:right="439" w:bottom="1440" w:gutter="0" w:footer="0" w:header="0"/>
        </w:sectPr>
      </w:pPr>
    </w:p>
    <w:bookmarkStart w:id="153" w:name="page154"/>
    <w:bookmarkEnd w:id="1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2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“Term Loan Availability Amount”</w:t>
            </w:r>
          </w:p>
        </w:tc>
        <w:tc>
          <w:tcPr>
            <w:tcW w:w="5860" w:type="dxa"/>
            <w:vAlign w:val="bottom"/>
            <w:tcBorders>
              <w:top w:val="single" w:sz="8" w:color="auto"/>
            </w:tcBorders>
            <w:gridSpan w:val="7"/>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Availability Amount</w:t>
            </w:r>
            <w:r>
              <w:rPr>
                <w:rFonts w:ascii="Times New Roman" w:cs="Times New Roman" w:eastAsia="Times New Roman" w:hAnsi="Times New Roman"/>
                <w:sz w:val="17"/>
                <w:szCs w:val="17"/>
                <w:color w:val="auto"/>
              </w:rPr>
              <w:t>” is Thirty-Six Million Dollars ($36,000,000)</w:t>
            </w:r>
          </w:p>
        </w:tc>
        <w:tc>
          <w:tcPr>
            <w:tcW w:w="1520" w:type="dxa"/>
            <w:vAlign w:val="bottom"/>
            <w:tcBorders>
              <w:top w:val="single" w:sz="8" w:color="auto"/>
              <w:right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7"/>
                <w:szCs w:val="17"/>
                <w:color w:val="FF0000"/>
                <w:strike w:val="1"/>
              </w:rPr>
              <w:t>; provided however,</w:t>
            </w:r>
          </w:p>
        </w:tc>
      </w:tr>
      <w:tr>
        <w:trPr>
          <w:trHeight w:val="208"/>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7"/>
                <w:szCs w:val="17"/>
                <w:color w:val="FF0000"/>
                <w:strike w:val="1"/>
              </w:rPr>
              <w:t>upon Borrower’s request, if Bank, in its sole and absolute discretion, grant Borrower’s request to make</w:t>
            </w:r>
          </w:p>
        </w:tc>
      </w:tr>
      <w:tr>
        <w:trPr>
          <w:trHeight w:val="212"/>
        </w:trPr>
        <w:tc>
          <w:tcPr>
            <w:tcW w:w="420" w:type="dxa"/>
            <w:vAlign w:val="bottom"/>
            <w:tcBorders>
              <w:lef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7"/>
                <w:szCs w:val="17"/>
                <w:color w:val="FF0000"/>
                <w:strike w:val="1"/>
              </w:rPr>
              <w:t>the Uncommitted Accordion available to Borrower, then “</w:t>
            </w:r>
            <w:r>
              <w:rPr>
                <w:rFonts w:ascii="Times New Roman" w:cs="Times New Roman" w:eastAsia="Times New Roman" w:hAnsi="Times New Roman"/>
                <w:sz w:val="17"/>
                <w:szCs w:val="17"/>
                <w:b w:val="1"/>
                <w:bCs w:val="1"/>
                <w:color w:val="FF0000"/>
                <w:strike w:val="1"/>
              </w:rPr>
              <w:t>Term Loan Availability Amount</w:t>
            </w:r>
            <w:r>
              <w:rPr>
                <w:rFonts w:ascii="Times New Roman" w:cs="Times New Roman" w:eastAsia="Times New Roman" w:hAnsi="Times New Roman"/>
                <w:sz w:val="17"/>
                <w:szCs w:val="17"/>
                <w:color w:val="FF0000"/>
                <w:strike w:val="1"/>
              </w:rPr>
              <w:t>” shall</w:t>
            </w:r>
          </w:p>
        </w:tc>
      </w:tr>
      <w:tr>
        <w:trPr>
          <w:trHeight w:val="228"/>
        </w:trPr>
        <w:tc>
          <w:tcPr>
            <w:tcW w:w="420" w:type="dxa"/>
            <w:vAlign w:val="bottom"/>
            <w:tcBorders>
              <w:lef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610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FF0000"/>
                <w:strike w:val="1"/>
              </w:rPr>
              <w:t>mean an aggregate principal amount equal to Fifty-One Million Dollars ($51,000,000)</w:t>
            </w:r>
          </w:p>
        </w:tc>
        <w:tc>
          <w:tcPr>
            <w:tcW w:w="1280" w:type="dxa"/>
            <w:vAlign w:val="bottom"/>
            <w:tcBorders>
              <w:right w:val="single" w:sz="8" w:color="auto"/>
            </w:tcBorders>
          </w:tcPr>
          <w:p>
            <w:pPr>
              <w:jc w:val="right"/>
              <w:ind w:right="1185"/>
              <w:spacing w:after="0"/>
              <w:rPr>
                <w:sz w:val="20"/>
                <w:szCs w:val="20"/>
                <w:color w:val="auto"/>
              </w:rPr>
            </w:pPr>
            <w:r>
              <w:rPr>
                <w:rFonts w:ascii="Times New Roman" w:cs="Times New Roman" w:eastAsia="Times New Roman" w:hAnsi="Times New Roman"/>
                <w:sz w:val="11"/>
                <w:szCs w:val="11"/>
                <w:color w:val="auto"/>
                <w:w w:val="70"/>
              </w:rPr>
              <w:t>.</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0"/>
        </w:trPr>
        <w:tc>
          <w:tcPr>
            <w:tcW w:w="420" w:type="dxa"/>
            <w:vAlign w:val="bottom"/>
            <w:tcBorders>
              <w:left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12.2</w:t>
            </w:r>
          </w:p>
        </w:tc>
        <w:tc>
          <w:tcPr>
            <w:tcW w:w="3340" w:type="dxa"/>
            <w:vAlign w:val="bottom"/>
            <w:tcBorders>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 “Term Loan Maturity Date”</w:t>
            </w:r>
          </w:p>
        </w:tc>
        <w:tc>
          <w:tcPr>
            <w:tcW w:w="2360" w:type="dxa"/>
            <w:vAlign w:val="bottom"/>
          </w:tcPr>
          <w:p>
            <w:pPr>
              <w:ind w:left="60"/>
              <w:spacing w:after="0" w:line="19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Maturity Date</w:t>
            </w:r>
            <w:r>
              <w:rPr>
                <w:rFonts w:ascii="Times New Roman" w:cs="Times New Roman" w:eastAsia="Times New Roman" w:hAnsi="Times New Roman"/>
                <w:sz w:val="17"/>
                <w:szCs w:val="17"/>
                <w:color w:val="auto"/>
              </w:rPr>
              <w:t>” is</w:t>
            </w:r>
          </w:p>
        </w:tc>
        <w:tc>
          <w:tcPr>
            <w:tcW w:w="7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FF0000"/>
                <w:strike w:val="1"/>
              </w:rPr>
              <w:t>December</w:t>
            </w:r>
          </w:p>
        </w:tc>
        <w:tc>
          <w:tcPr>
            <w:tcW w:w="98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0000FF"/>
              </w:rPr>
              <w:t xml:space="preserve">September </w:t>
            </w:r>
            <w:r>
              <w:rPr>
                <w:rFonts w:ascii="Times New Roman" w:cs="Times New Roman" w:eastAsia="Times New Roman" w:hAnsi="Times New Roman"/>
                <w:sz w:val="17"/>
                <w:szCs w:val="17"/>
                <w:color w:val="000000"/>
              </w:rPr>
              <w:t>1,</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FF0000"/>
                <w:strike w:val="1"/>
                <w:w w:val="93"/>
              </w:rPr>
              <w:t>2027</w:t>
            </w:r>
          </w:p>
        </w:tc>
        <w:tc>
          <w:tcPr>
            <w:tcW w:w="1460" w:type="dxa"/>
            <w:vAlign w:val="bottom"/>
            <w:gridSpan w:val="2"/>
          </w:tcPr>
          <w:p>
            <w:pPr>
              <w:jc w:val="right"/>
              <w:ind w:right="1060"/>
              <w:spacing w:after="0" w:line="190" w:lineRule="exact"/>
              <w:rPr>
                <w:sz w:val="20"/>
                <w:szCs w:val="20"/>
                <w:color w:val="auto"/>
              </w:rPr>
            </w:pPr>
            <w:r>
              <w:rPr>
                <w:rFonts w:ascii="Times New Roman" w:cs="Times New Roman" w:eastAsia="Times New Roman" w:hAnsi="Times New Roman"/>
                <w:sz w:val="17"/>
                <w:szCs w:val="17"/>
                <w:color w:val="0000FF"/>
                <w:w w:val="99"/>
              </w:rPr>
              <w:t>2029</w:t>
            </w:r>
            <w:r>
              <w:rPr>
                <w:rFonts w:ascii="Times New Roman" w:cs="Times New Roman" w:eastAsia="Times New Roman" w:hAnsi="Times New Roman"/>
                <w:sz w:val="17"/>
                <w:szCs w:val="17"/>
                <w:color w:val="000000"/>
                <w:w w:val="99"/>
              </w:rPr>
              <w:t>.</w:t>
            </w:r>
          </w:p>
        </w:tc>
        <w:tc>
          <w:tcPr>
            <w:tcW w:w="1520" w:type="dxa"/>
            <w:vAlign w:val="bottom"/>
            <w:tcBorders>
              <w:right w:val="single" w:sz="8" w:color="auto"/>
            </w:tcBorders>
            <w:gridSpan w:val="2"/>
          </w:tcPr>
          <w:p>
            <w:pPr>
              <w:spacing w:after="0"/>
              <w:rPr>
                <w:sz w:val="16"/>
                <w:szCs w:val="16"/>
                <w:color w:val="auto"/>
              </w:rPr>
            </w:pPr>
          </w:p>
        </w:tc>
      </w:tr>
      <w:tr>
        <w:trPr>
          <w:trHeight w:val="255"/>
        </w:trPr>
        <w:tc>
          <w:tcPr>
            <w:tcW w:w="420" w:type="dxa"/>
            <w:vAlign w:val="bottom"/>
            <w:tcBorders>
              <w:left w:val="single" w:sz="8" w:color="auto"/>
              <w:bottom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top w:val="single" w:sz="8" w:color="0000FF"/>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60" w:type="dxa"/>
            <w:vAlign w:val="bottom"/>
            <w:tcBorders>
              <w:top w:val="single" w:sz="8" w:color="0000FF"/>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140"/>
          </w:cols>
          <w:pgMar w:left="320" w:top="1405" w:right="439" w:bottom="1440" w:gutter="0" w:footer="0" w:header="0"/>
        </w:sectPr>
      </w:pPr>
    </w:p>
    <w:bookmarkStart w:id="154" w:name="page155"/>
    <w:bookmarkEnd w:id="154"/>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t>COMPLIANCE STATEMENT</w:t>
      </w:r>
    </w:p>
    <w:p>
      <w:pPr>
        <w:spacing w:after="0" w:line="224" w:lineRule="exact"/>
        <w:rPr>
          <w:sz w:val="20"/>
          <w:szCs w:val="20"/>
          <w:color w:val="auto"/>
        </w:rPr>
      </w:pPr>
    </w:p>
    <w:p>
      <w:pPr>
        <w:spacing w:after="0"/>
        <w:tabs>
          <w:tab w:leader="none" w:pos="440" w:val="left"/>
          <w:tab w:leader="none" w:pos="7420" w:val="left"/>
        </w:tabs>
        <w:rPr>
          <w:sz w:val="20"/>
          <w:szCs w:val="20"/>
          <w:color w:val="auto"/>
        </w:rPr>
      </w:pPr>
      <w:r>
        <w:rPr>
          <w:rFonts w:ascii="Times New Roman" w:cs="Times New Roman" w:eastAsia="Times New Roman" w:hAnsi="Times New Roman"/>
          <w:sz w:val="17"/>
          <w:szCs w:val="17"/>
          <w:color w:val="auto"/>
        </w:rPr>
        <w:t>TO:</w:t>
        <w:tab/>
        <w:t>SILICON VALLEY BANK</w:t>
      </w:r>
      <w:r>
        <w:rPr>
          <w:rFonts w:ascii="Times New Roman" w:cs="Times New Roman" w:eastAsia="Times New Roman" w:hAnsi="Times New Roman"/>
          <w:sz w:val="17"/>
          <w:szCs w:val="17"/>
          <w:u w:val="single" w:color="auto"/>
          <w:color w:val="0000FF"/>
        </w:rPr>
        <w:t>, A DIVISION OF FIRST-CITIZENS BANK &amp; TRUST COMPANY</w:t>
      </w:r>
      <w:r>
        <w:rPr>
          <w:rFonts w:ascii="Times New Roman" w:cs="Times New Roman" w:eastAsia="Times New Roman" w:hAnsi="Times New Roman"/>
          <w:sz w:val="17"/>
          <w:szCs w:val="17"/>
          <w:color w:val="auto"/>
        </w:rPr>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-3810</wp:posOffset>
            </wp:positionV>
            <wp:extent cx="22225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6">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FROM:</w:t>
        <w:tab/>
        <w:t>SI-BONE, INC.</w:t>
      </w:r>
    </w:p>
    <w:p>
      <w:pPr>
        <w:spacing w:after="0" w:line="206" w:lineRule="exact"/>
        <w:rPr>
          <w:sz w:val="20"/>
          <w:szCs w:val="20"/>
          <w:color w:val="auto"/>
        </w:rPr>
      </w:pPr>
    </w:p>
    <w:p>
      <w:pPr>
        <w:jc w:val="both"/>
        <w:ind w:right="20" w:firstLine="629"/>
        <w:spacing w:after="0" w:line="268" w:lineRule="auto"/>
        <w:rPr>
          <w:sz w:val="20"/>
          <w:szCs w:val="20"/>
          <w:color w:val="auto"/>
        </w:rPr>
      </w:pPr>
      <w:r>
        <w:rPr>
          <w:rFonts w:ascii="Times New Roman" w:cs="Times New Roman" w:eastAsia="Times New Roman" w:hAnsi="Times New Roman"/>
          <w:sz w:val="17"/>
          <w:szCs w:val="17"/>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Borrower is in complete compliance for the period ending _______________ with all required covenants except</w:t>
      </w:r>
    </w:p>
    <w:p>
      <w:pPr>
        <w:spacing w:after="0" w:line="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as noted below. Attached are the required documents evidencing such compliance, setting forth calculations prepared in accordance with GAAP consistently applied from one period to the next except as explained in an accompanying letter or footnotes (and except for with respect to unaudited financial statements for the absence of footnotes and subject to year-end audit adjustments). Capitalized terms used but not otherwise defined herein shall have the meanings given them in the Agreement.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Please indicate compliance status by circling Yes/No under “Complies” column.</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4840" w:type="dxa"/>
            <w:vAlign w:val="bottom"/>
            <w:tcBorders>
              <w:top w:val="single" w:sz="8" w:color="auto"/>
              <w:left w:val="single" w:sz="8" w:color="auto"/>
              <w:right w:val="single" w:sz="8" w:color="auto"/>
            </w:tcBorders>
            <w:gridSpan w:val="6"/>
          </w:tcPr>
          <w:p>
            <w:pPr>
              <w:ind w:left="1620"/>
              <w:spacing w:after="0" w:line="177" w:lineRule="exact"/>
              <w:rPr>
                <w:sz w:val="20"/>
                <w:szCs w:val="20"/>
                <w:color w:val="auto"/>
              </w:rPr>
            </w:pPr>
            <w:r>
              <w:rPr>
                <w:rFonts w:ascii="Times New Roman" w:cs="Times New Roman" w:eastAsia="Times New Roman" w:hAnsi="Times New Roman"/>
                <w:sz w:val="17"/>
                <w:szCs w:val="17"/>
                <w:b w:val="1"/>
                <w:bCs w:val="1"/>
                <w:color w:val="auto"/>
              </w:rPr>
              <w:t>Reporting Covenants</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900" w:type="dxa"/>
            <w:vAlign w:val="bottom"/>
            <w:tcBorders>
              <w:top w:val="single" w:sz="8" w:color="auto"/>
              <w:right w:val="single" w:sz="8" w:color="auto"/>
            </w:tcBorders>
            <w:gridSpan w:val="2"/>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Required</w:t>
            </w:r>
          </w:p>
        </w:tc>
        <w:tc>
          <w:tcPr>
            <w:tcW w:w="500" w:type="dxa"/>
            <w:vAlign w:val="bottom"/>
            <w:tcBorders>
              <w:top w:val="single" w:sz="8" w:color="auto"/>
            </w:tcBorders>
          </w:tcPr>
          <w:p>
            <w:pPr>
              <w:spacing w:after="0"/>
              <w:rPr>
                <w:sz w:val="15"/>
                <w:szCs w:val="15"/>
                <w:color w:val="auto"/>
              </w:rPr>
            </w:pPr>
          </w:p>
        </w:tc>
        <w:tc>
          <w:tcPr>
            <w:tcW w:w="2820" w:type="dxa"/>
            <w:vAlign w:val="bottom"/>
            <w:tcBorders>
              <w:top w:val="single" w:sz="8" w:color="auto"/>
              <w:right w:val="single" w:sz="8" w:color="auto"/>
            </w:tcBorders>
            <w:gridSpan w:val="3"/>
          </w:tcPr>
          <w:p>
            <w:pPr>
              <w:jc w:val="center"/>
              <w:ind w:right="520"/>
              <w:spacing w:after="0" w:line="177" w:lineRule="exact"/>
              <w:rPr>
                <w:sz w:val="20"/>
                <w:szCs w:val="20"/>
                <w:color w:val="auto"/>
              </w:rPr>
            </w:pPr>
            <w:r>
              <w:rPr>
                <w:rFonts w:ascii="Times New Roman" w:cs="Times New Roman" w:eastAsia="Times New Roman" w:hAnsi="Times New Roman"/>
                <w:sz w:val="17"/>
                <w:szCs w:val="17"/>
                <w:b w:val="1"/>
                <w:bCs w:val="1"/>
                <w:color w:val="auto"/>
              </w:rPr>
              <w:t>Complies</w:t>
            </w:r>
          </w:p>
        </w:tc>
      </w:tr>
      <w:tr>
        <w:trPr>
          <w:trHeight w:val="20"/>
        </w:trPr>
        <w:tc>
          <w:tcPr>
            <w:tcW w:w="162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71"/>
        </w:trPr>
        <w:tc>
          <w:tcPr>
            <w:tcW w:w="4840" w:type="dxa"/>
            <w:vAlign w:val="bottom"/>
            <w:tcBorders>
              <w:left w:val="single" w:sz="8" w:color="auto"/>
              <w:right w:val="single" w:sz="8" w:color="auto"/>
            </w:tcBorders>
            <w:gridSpan w:val="6"/>
          </w:tcPr>
          <w:p>
            <w:pPr>
              <w:ind w:left="80"/>
              <w:spacing w:after="0" w:line="171" w:lineRule="exact"/>
              <w:rPr>
                <w:sz w:val="20"/>
                <w:szCs w:val="20"/>
                <w:color w:val="auto"/>
              </w:rPr>
            </w:pPr>
            <w:r>
              <w:rPr>
                <w:rFonts w:ascii="Times New Roman" w:cs="Times New Roman" w:eastAsia="Times New Roman" w:hAnsi="Times New Roman"/>
                <w:sz w:val="17"/>
                <w:szCs w:val="17"/>
                <w:color w:val="auto"/>
              </w:rPr>
              <w:t>Quarterly Financial Statements with Compliance Statement</w:t>
            </w:r>
          </w:p>
        </w:tc>
        <w:tc>
          <w:tcPr>
            <w:tcW w:w="3100" w:type="dxa"/>
            <w:vAlign w:val="bottom"/>
            <w:tcBorders>
              <w:right w:val="single" w:sz="8" w:color="auto"/>
            </w:tcBorders>
            <w:gridSpan w:val="4"/>
          </w:tcPr>
          <w:p>
            <w:pPr>
              <w:ind w:left="60"/>
              <w:spacing w:after="0" w:line="171" w:lineRule="exact"/>
              <w:rPr>
                <w:sz w:val="20"/>
                <w:szCs w:val="20"/>
                <w:color w:val="auto"/>
              </w:rPr>
            </w:pPr>
            <w:r>
              <w:rPr>
                <w:rFonts w:ascii="Times New Roman" w:cs="Times New Roman" w:eastAsia="Times New Roman" w:hAnsi="Times New Roman"/>
                <w:sz w:val="17"/>
                <w:szCs w:val="17"/>
                <w:color w:val="auto"/>
              </w:rPr>
              <w:t>Quarterly within 45 days and FYE within</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Borders>
              <w:right w:val="single" w:sz="8" w:color="auto"/>
            </w:tcBorders>
            <w:gridSpan w:val="2"/>
          </w:tcPr>
          <w:p>
            <w:pPr>
              <w:jc w:val="center"/>
              <w:ind w:right="1320"/>
              <w:spacing w:after="0" w:line="171" w:lineRule="exact"/>
              <w:rPr>
                <w:sz w:val="20"/>
                <w:szCs w:val="20"/>
                <w:color w:val="auto"/>
              </w:rPr>
            </w:pPr>
            <w:r>
              <w:rPr>
                <w:rFonts w:ascii="Times New Roman" w:cs="Times New Roman" w:eastAsia="Times New Roman" w:hAnsi="Times New Roman"/>
                <w:sz w:val="17"/>
                <w:szCs w:val="17"/>
                <w:color w:val="auto"/>
                <w:w w:val="97"/>
              </w:rPr>
              <w:t>Yes No</w:t>
            </w:r>
          </w:p>
        </w:tc>
      </w:tr>
      <w:tr>
        <w:trPr>
          <w:trHeight w:val="228"/>
        </w:trPr>
        <w:tc>
          <w:tcPr>
            <w:tcW w:w="162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310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90 days</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16"/>
        </w:trPr>
        <w:tc>
          <w:tcPr>
            <w:tcW w:w="4840" w:type="dxa"/>
            <w:vAlign w:val="bottom"/>
            <w:tcBorders>
              <w:left w:val="single" w:sz="8" w:color="auto"/>
              <w:bottom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7"/>
                <w:szCs w:val="17"/>
                <w:color w:val="auto"/>
              </w:rPr>
              <w:t>Annual financial statements (CPA Audited)</w:t>
            </w:r>
          </w:p>
        </w:tc>
        <w:tc>
          <w:tcPr>
            <w:tcW w:w="310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FYE within 180 days</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7"/>
                <w:szCs w:val="17"/>
                <w:color w:val="auto"/>
                <w:w w:val="97"/>
              </w:rPr>
              <w:t>Yes No</w:t>
            </w:r>
          </w:p>
        </w:tc>
      </w:tr>
      <w:tr>
        <w:trPr>
          <w:trHeight w:val="171"/>
        </w:trPr>
        <w:tc>
          <w:tcPr>
            <w:tcW w:w="4840" w:type="dxa"/>
            <w:vAlign w:val="bottom"/>
            <w:tcBorders>
              <w:left w:val="single" w:sz="8" w:color="auto"/>
              <w:right w:val="single" w:sz="8" w:color="auto"/>
            </w:tcBorders>
            <w:gridSpan w:val="6"/>
          </w:tcPr>
          <w:p>
            <w:pPr>
              <w:ind w:left="80"/>
              <w:spacing w:after="0" w:line="172" w:lineRule="exact"/>
              <w:rPr>
                <w:sz w:val="20"/>
                <w:szCs w:val="20"/>
                <w:color w:val="auto"/>
              </w:rPr>
            </w:pPr>
            <w:r>
              <w:rPr>
                <w:rFonts w:ascii="Times New Roman" w:cs="Times New Roman" w:eastAsia="Times New Roman" w:hAnsi="Times New Roman"/>
                <w:sz w:val="17"/>
                <w:szCs w:val="17"/>
                <w:color w:val="auto"/>
              </w:rPr>
              <w:t>10-Q, 10-K and 8-K</w:t>
            </w:r>
          </w:p>
        </w:tc>
        <w:tc>
          <w:tcPr>
            <w:tcW w:w="3100" w:type="dxa"/>
            <w:vAlign w:val="bottom"/>
            <w:tcBorders>
              <w:right w:val="single" w:sz="8" w:color="auto"/>
            </w:tcBorders>
            <w:gridSpan w:val="4"/>
          </w:tcPr>
          <w:p>
            <w:pPr>
              <w:ind w:left="60"/>
              <w:spacing w:after="0" w:line="172" w:lineRule="exact"/>
              <w:rPr>
                <w:sz w:val="20"/>
                <w:szCs w:val="20"/>
                <w:color w:val="auto"/>
              </w:rPr>
            </w:pPr>
            <w:r>
              <w:rPr>
                <w:rFonts w:ascii="Times New Roman" w:cs="Times New Roman" w:eastAsia="Times New Roman" w:hAnsi="Times New Roman"/>
                <w:sz w:val="17"/>
                <w:szCs w:val="17"/>
                <w:color w:val="auto"/>
              </w:rPr>
              <w:t>Within 5 Business Days after filing with</w:t>
            </w:r>
          </w:p>
        </w:tc>
        <w:tc>
          <w:tcPr>
            <w:tcW w:w="500" w:type="dxa"/>
            <w:vAlign w:val="bottom"/>
          </w:tcPr>
          <w:p>
            <w:pPr>
              <w:spacing w:after="0"/>
              <w:rPr>
                <w:sz w:val="14"/>
                <w:szCs w:val="14"/>
                <w:color w:val="auto"/>
              </w:rPr>
            </w:pPr>
          </w:p>
        </w:tc>
        <w:tc>
          <w:tcPr>
            <w:tcW w:w="2820" w:type="dxa"/>
            <w:vAlign w:val="bottom"/>
            <w:tcBorders>
              <w:right w:val="single" w:sz="8" w:color="auto"/>
            </w:tcBorders>
            <w:gridSpan w:val="3"/>
          </w:tcPr>
          <w:p>
            <w:pPr>
              <w:jc w:val="center"/>
              <w:ind w:right="520"/>
              <w:spacing w:after="0" w:line="172" w:lineRule="exact"/>
              <w:rPr>
                <w:sz w:val="20"/>
                <w:szCs w:val="20"/>
                <w:color w:val="auto"/>
              </w:rPr>
            </w:pPr>
            <w:r>
              <w:rPr>
                <w:rFonts w:ascii="Times New Roman" w:cs="Times New Roman" w:eastAsia="Times New Roman" w:hAnsi="Times New Roman"/>
                <w:sz w:val="17"/>
                <w:szCs w:val="17"/>
                <w:color w:val="auto"/>
              </w:rPr>
              <w:t>Yes No N/A</w:t>
            </w:r>
          </w:p>
        </w:tc>
      </w:tr>
      <w:tr>
        <w:trPr>
          <w:trHeight w:val="228"/>
        </w:trPr>
        <w:tc>
          <w:tcPr>
            <w:tcW w:w="162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310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SEC</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177"/>
        </w:trPr>
        <w:tc>
          <w:tcPr>
            <w:tcW w:w="4840" w:type="dxa"/>
            <w:vAlign w:val="bottom"/>
            <w:tcBorders>
              <w:left w:val="single" w:sz="8" w:color="auto"/>
              <w:right w:val="single" w:sz="8" w:color="auto"/>
            </w:tcBorders>
            <w:gridSpan w:val="6"/>
          </w:tcPr>
          <w:p>
            <w:pPr>
              <w:ind w:left="80"/>
              <w:spacing w:after="0" w:line="177" w:lineRule="exact"/>
              <w:rPr>
                <w:sz w:val="20"/>
                <w:szCs w:val="20"/>
                <w:color w:val="auto"/>
              </w:rPr>
            </w:pPr>
            <w:r>
              <w:rPr>
                <w:rFonts w:ascii="Times New Roman" w:cs="Times New Roman" w:eastAsia="Times New Roman" w:hAnsi="Times New Roman"/>
                <w:sz w:val="17"/>
                <w:szCs w:val="17"/>
                <w:color w:val="auto"/>
              </w:rPr>
              <w:t>Board approved projections</w:t>
            </w:r>
          </w:p>
        </w:tc>
        <w:tc>
          <w:tcPr>
            <w:tcW w:w="3100" w:type="dxa"/>
            <w:vAlign w:val="bottom"/>
            <w:tcBorders>
              <w:right w:val="single" w:sz="8" w:color="auto"/>
            </w:tcBorders>
            <w:gridSpan w:val="4"/>
          </w:tcPr>
          <w:p>
            <w:pPr>
              <w:ind w:left="60"/>
              <w:spacing w:after="0" w:line="177" w:lineRule="exact"/>
              <w:rPr>
                <w:sz w:val="20"/>
                <w:szCs w:val="20"/>
                <w:color w:val="auto"/>
              </w:rPr>
            </w:pPr>
            <w:r>
              <w:rPr>
                <w:rFonts w:ascii="Times New Roman" w:cs="Times New Roman" w:eastAsia="Times New Roman" w:hAnsi="Times New Roman"/>
                <w:sz w:val="17"/>
                <w:szCs w:val="17"/>
                <w:color w:val="auto"/>
              </w:rPr>
              <w:t>FYE within 30 days and within 30 days, as</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20" w:type="dxa"/>
            <w:vAlign w:val="bottom"/>
            <w:tcBorders>
              <w:right w:val="single" w:sz="8" w:color="auto"/>
            </w:tcBorders>
            <w:gridSpan w:val="2"/>
          </w:tcPr>
          <w:p>
            <w:pPr>
              <w:jc w:val="center"/>
              <w:ind w:right="1320"/>
              <w:spacing w:after="0" w:line="177" w:lineRule="exact"/>
              <w:rPr>
                <w:sz w:val="20"/>
                <w:szCs w:val="20"/>
                <w:color w:val="auto"/>
              </w:rPr>
            </w:pPr>
            <w:r>
              <w:rPr>
                <w:rFonts w:ascii="Times New Roman" w:cs="Times New Roman" w:eastAsia="Times New Roman" w:hAnsi="Times New Roman"/>
                <w:sz w:val="17"/>
                <w:szCs w:val="17"/>
                <w:color w:val="auto"/>
                <w:w w:val="97"/>
              </w:rPr>
              <w:t>Yes No</w:t>
            </w:r>
          </w:p>
        </w:tc>
      </w:tr>
      <w:tr>
        <w:trPr>
          <w:trHeight w:val="170"/>
        </w:trPr>
        <w:tc>
          <w:tcPr>
            <w:tcW w:w="162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100" w:type="dxa"/>
            <w:vAlign w:val="bottom"/>
            <w:tcBorders>
              <w:right w:val="single" w:sz="8" w:color="auto"/>
            </w:tcBorders>
            <w:gridSpan w:val="4"/>
          </w:tcPr>
          <w:p>
            <w:pPr>
              <w:ind w:left="60"/>
              <w:spacing w:after="0" w:line="171" w:lineRule="exact"/>
              <w:rPr>
                <w:sz w:val="20"/>
                <w:szCs w:val="20"/>
                <w:color w:val="auto"/>
              </w:rPr>
            </w:pPr>
            <w:r>
              <w:rPr>
                <w:rFonts w:ascii="Times New Roman" w:cs="Times New Roman" w:eastAsia="Times New Roman" w:hAnsi="Times New Roman"/>
                <w:sz w:val="17"/>
                <w:szCs w:val="17"/>
                <w:color w:val="auto"/>
              </w:rPr>
              <w:t>amended/updated, in each case as</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r>
      <w:tr>
        <w:trPr>
          <w:trHeight w:val="223"/>
        </w:trPr>
        <w:tc>
          <w:tcPr>
            <w:tcW w:w="162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310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approved by the Board</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11"/>
        </w:trPr>
        <w:tc>
          <w:tcPr>
            <w:tcW w:w="1860" w:type="dxa"/>
            <w:vAlign w:val="bottom"/>
            <w:tcBorders>
              <w:left w:val="single" w:sz="8" w:color="auto"/>
            </w:tcBorders>
            <w:gridSpan w:val="4"/>
            <w:shd w:val="clear" w:color="auto" w:fill="FFDEAD"/>
          </w:tcPr>
          <w:p>
            <w:pPr>
              <w:ind w:left="80"/>
              <w:spacing w:after="0"/>
              <w:rPr>
                <w:sz w:val="20"/>
                <w:szCs w:val="20"/>
                <w:color w:val="auto"/>
              </w:rPr>
            </w:pPr>
            <w:r>
              <w:rPr>
                <w:rFonts w:ascii="Times New Roman" w:cs="Times New Roman" w:eastAsia="Times New Roman" w:hAnsi="Times New Roman"/>
                <w:sz w:val="17"/>
                <w:szCs w:val="17"/>
                <w:color w:val="FF0000"/>
                <w:strike w:val="1"/>
              </w:rPr>
              <w:t>Borrowing Base Reports</w:t>
            </w:r>
          </w:p>
        </w:tc>
        <w:tc>
          <w:tcPr>
            <w:tcW w:w="1360" w:type="dxa"/>
            <w:vAlign w:val="bottom"/>
            <w:shd w:val="clear" w:color="auto" w:fill="FFDEAD"/>
          </w:tcPr>
          <w:p>
            <w:pPr>
              <w:spacing w:after="0"/>
              <w:rPr>
                <w:sz w:val="18"/>
                <w:szCs w:val="18"/>
                <w:color w:val="auto"/>
              </w:rPr>
            </w:pPr>
          </w:p>
        </w:tc>
        <w:tc>
          <w:tcPr>
            <w:tcW w:w="1620" w:type="dxa"/>
            <w:vAlign w:val="bottom"/>
            <w:tcBorders>
              <w:right w:val="single" w:sz="8" w:color="auto"/>
            </w:tcBorders>
            <w:shd w:val="clear" w:color="auto" w:fill="FFDEAD"/>
          </w:tcPr>
          <w:p>
            <w:pPr>
              <w:spacing w:after="0"/>
              <w:rPr>
                <w:sz w:val="18"/>
                <w:szCs w:val="18"/>
                <w:color w:val="auto"/>
              </w:rPr>
            </w:pPr>
          </w:p>
        </w:tc>
        <w:tc>
          <w:tcPr>
            <w:tcW w:w="3100" w:type="dxa"/>
            <w:vAlign w:val="bottom"/>
            <w:tcBorders>
              <w:right w:val="single" w:sz="8" w:color="auto"/>
            </w:tcBorders>
            <w:gridSpan w:val="4"/>
            <w:shd w:val="clear" w:color="auto" w:fill="FFDEAD"/>
          </w:tcPr>
          <w:p>
            <w:pPr>
              <w:ind w:left="60"/>
              <w:spacing w:after="0"/>
              <w:rPr>
                <w:sz w:val="20"/>
                <w:szCs w:val="20"/>
                <w:color w:val="auto"/>
              </w:rPr>
            </w:pPr>
            <w:r>
              <w:rPr>
                <w:rFonts w:ascii="Times New Roman" w:cs="Times New Roman" w:eastAsia="Times New Roman" w:hAnsi="Times New Roman"/>
                <w:sz w:val="17"/>
                <w:szCs w:val="17"/>
                <w:color w:val="FF0000"/>
                <w:strike w:val="1"/>
              </w:rPr>
              <w:t>When Advances are outstanding or are</w:t>
            </w:r>
          </w:p>
        </w:tc>
        <w:tc>
          <w:tcPr>
            <w:tcW w:w="500" w:type="dxa"/>
            <w:vAlign w:val="bottom"/>
            <w:tcBorders>
              <w:right w:val="single" w:sz="8" w:color="FFDEAD"/>
            </w:tcBorders>
            <w:shd w:val="clear" w:color="auto" w:fill="FFDEAD"/>
          </w:tcPr>
          <w:p>
            <w:pPr>
              <w:spacing w:after="0"/>
              <w:rPr>
                <w:sz w:val="18"/>
                <w:szCs w:val="18"/>
                <w:color w:val="auto"/>
              </w:rPr>
            </w:pPr>
          </w:p>
        </w:tc>
        <w:tc>
          <w:tcPr>
            <w:tcW w:w="800" w:type="dxa"/>
            <w:vAlign w:val="bottom"/>
            <w:shd w:val="clear" w:color="auto" w:fill="FFDEAD"/>
          </w:tcPr>
          <w:p>
            <w:pPr>
              <w:spacing w:after="0"/>
              <w:rPr>
                <w:sz w:val="18"/>
                <w:szCs w:val="18"/>
                <w:color w:val="auto"/>
              </w:rPr>
            </w:pPr>
          </w:p>
        </w:tc>
        <w:tc>
          <w:tcPr>
            <w:tcW w:w="700" w:type="dxa"/>
            <w:vAlign w:val="bottom"/>
            <w:shd w:val="clear" w:color="auto" w:fill="FFDEAD"/>
          </w:tcPr>
          <w:p>
            <w:pPr>
              <w:jc w:val="center"/>
              <w:spacing w:after="0"/>
              <w:rPr>
                <w:sz w:val="20"/>
                <w:szCs w:val="20"/>
                <w:color w:val="auto"/>
              </w:rPr>
            </w:pPr>
            <w:r>
              <w:rPr>
                <w:rFonts w:ascii="Times New Roman" w:cs="Times New Roman" w:eastAsia="Times New Roman" w:hAnsi="Times New Roman"/>
                <w:sz w:val="17"/>
                <w:szCs w:val="17"/>
                <w:color w:val="FF0000"/>
                <w:strike w:val="1"/>
                <w:w w:val="97"/>
              </w:rPr>
              <w:t>Yes No</w:t>
            </w:r>
          </w:p>
        </w:tc>
        <w:tc>
          <w:tcPr>
            <w:tcW w:w="1320" w:type="dxa"/>
            <w:vAlign w:val="bottom"/>
            <w:tcBorders>
              <w:right w:val="single" w:sz="8" w:color="auto"/>
            </w:tcBorders>
            <w:shd w:val="clear" w:color="auto" w:fill="FFDEAD"/>
          </w:tcPr>
          <w:p>
            <w:pPr>
              <w:spacing w:after="0"/>
              <w:rPr>
                <w:sz w:val="18"/>
                <w:szCs w:val="18"/>
                <w:color w:val="auto"/>
              </w:rPr>
            </w:pPr>
          </w:p>
        </w:tc>
      </w:tr>
      <w:tr>
        <w:trPr>
          <w:trHeight w:val="210"/>
        </w:trPr>
        <w:tc>
          <w:tcPr>
            <w:tcW w:w="1620" w:type="dxa"/>
            <w:vAlign w:val="bottom"/>
            <w:tcBorders>
              <w:left w:val="single" w:sz="8" w:color="auto"/>
            </w:tcBorders>
            <w:shd w:val="clear" w:color="auto" w:fill="FFDEAD"/>
          </w:tcPr>
          <w:p>
            <w:pPr>
              <w:spacing w:after="0"/>
              <w:rPr>
                <w:sz w:val="18"/>
                <w:szCs w:val="18"/>
                <w:color w:val="auto"/>
              </w:rPr>
            </w:pPr>
          </w:p>
        </w:tc>
        <w:tc>
          <w:tcPr>
            <w:tcW w:w="4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360" w:type="dxa"/>
            <w:vAlign w:val="bottom"/>
            <w:shd w:val="clear" w:color="auto" w:fill="FFDEAD"/>
          </w:tcPr>
          <w:p>
            <w:pPr>
              <w:spacing w:after="0"/>
              <w:rPr>
                <w:sz w:val="18"/>
                <w:szCs w:val="18"/>
                <w:color w:val="auto"/>
              </w:rPr>
            </w:pPr>
          </w:p>
        </w:tc>
        <w:tc>
          <w:tcPr>
            <w:tcW w:w="1620" w:type="dxa"/>
            <w:vAlign w:val="bottom"/>
            <w:tcBorders>
              <w:right w:val="single" w:sz="8" w:color="auto"/>
            </w:tcBorders>
            <w:shd w:val="clear" w:color="auto" w:fill="FFDEAD"/>
          </w:tcPr>
          <w:p>
            <w:pPr>
              <w:spacing w:after="0"/>
              <w:rPr>
                <w:sz w:val="18"/>
                <w:szCs w:val="18"/>
                <w:color w:val="auto"/>
              </w:rPr>
            </w:pPr>
          </w:p>
        </w:tc>
        <w:tc>
          <w:tcPr>
            <w:tcW w:w="3100" w:type="dxa"/>
            <w:vAlign w:val="bottom"/>
            <w:tcBorders>
              <w:right w:val="single" w:sz="8" w:color="auto"/>
            </w:tcBorders>
            <w:gridSpan w:val="4"/>
            <w:shd w:val="clear" w:color="auto" w:fill="FFDEAD"/>
          </w:tcPr>
          <w:p>
            <w:pPr>
              <w:ind w:left="60"/>
              <w:spacing w:after="0"/>
              <w:rPr>
                <w:sz w:val="20"/>
                <w:szCs w:val="20"/>
                <w:color w:val="auto"/>
              </w:rPr>
            </w:pPr>
            <w:r>
              <w:rPr>
                <w:rFonts w:ascii="Times New Roman" w:cs="Times New Roman" w:eastAsia="Times New Roman" w:hAnsi="Times New Roman"/>
                <w:sz w:val="17"/>
                <w:szCs w:val="17"/>
                <w:color w:val="FF0000"/>
                <w:strike w:val="1"/>
              </w:rPr>
              <w:t>being requested, weekly on Friday of each</w:t>
            </w:r>
          </w:p>
        </w:tc>
        <w:tc>
          <w:tcPr>
            <w:tcW w:w="500" w:type="dxa"/>
            <w:vAlign w:val="bottom"/>
            <w:tcBorders>
              <w:right w:val="single" w:sz="8" w:color="FFDEAD"/>
            </w:tcBorders>
            <w:shd w:val="clear" w:color="auto" w:fill="FFDEAD"/>
          </w:tcPr>
          <w:p>
            <w:pPr>
              <w:spacing w:after="0"/>
              <w:rPr>
                <w:sz w:val="18"/>
                <w:szCs w:val="18"/>
                <w:color w:val="auto"/>
              </w:rPr>
            </w:pPr>
          </w:p>
        </w:tc>
        <w:tc>
          <w:tcPr>
            <w:tcW w:w="800" w:type="dxa"/>
            <w:vAlign w:val="bottom"/>
            <w:shd w:val="clear" w:color="auto" w:fill="FFDEAD"/>
          </w:tcPr>
          <w:p>
            <w:pPr>
              <w:spacing w:after="0"/>
              <w:rPr>
                <w:sz w:val="18"/>
                <w:szCs w:val="18"/>
                <w:color w:val="auto"/>
              </w:rPr>
            </w:pPr>
          </w:p>
        </w:tc>
        <w:tc>
          <w:tcPr>
            <w:tcW w:w="700" w:type="dxa"/>
            <w:vAlign w:val="bottom"/>
            <w:shd w:val="clear" w:color="auto" w:fill="FFDEAD"/>
          </w:tcPr>
          <w:p>
            <w:pPr>
              <w:spacing w:after="0"/>
              <w:rPr>
                <w:sz w:val="18"/>
                <w:szCs w:val="18"/>
                <w:color w:val="auto"/>
              </w:rPr>
            </w:pPr>
          </w:p>
        </w:tc>
        <w:tc>
          <w:tcPr>
            <w:tcW w:w="1320" w:type="dxa"/>
            <w:vAlign w:val="bottom"/>
            <w:tcBorders>
              <w:right w:val="single" w:sz="8" w:color="auto"/>
            </w:tcBorders>
            <w:shd w:val="clear" w:color="auto" w:fill="FFDEAD"/>
          </w:tcPr>
          <w:p>
            <w:pPr>
              <w:spacing w:after="0"/>
              <w:rPr>
                <w:sz w:val="18"/>
                <w:szCs w:val="18"/>
                <w:color w:val="auto"/>
              </w:rPr>
            </w:pPr>
          </w:p>
        </w:tc>
      </w:tr>
      <w:tr>
        <w:trPr>
          <w:trHeight w:val="210"/>
        </w:trPr>
        <w:tc>
          <w:tcPr>
            <w:tcW w:w="1620" w:type="dxa"/>
            <w:vAlign w:val="bottom"/>
            <w:tcBorders>
              <w:left w:val="single" w:sz="8" w:color="auto"/>
            </w:tcBorders>
            <w:shd w:val="clear" w:color="auto" w:fill="FFDEAD"/>
          </w:tcPr>
          <w:p>
            <w:pPr>
              <w:spacing w:after="0"/>
              <w:rPr>
                <w:sz w:val="18"/>
                <w:szCs w:val="18"/>
                <w:color w:val="auto"/>
              </w:rPr>
            </w:pPr>
          </w:p>
        </w:tc>
        <w:tc>
          <w:tcPr>
            <w:tcW w:w="4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360" w:type="dxa"/>
            <w:vAlign w:val="bottom"/>
            <w:shd w:val="clear" w:color="auto" w:fill="FFDEAD"/>
          </w:tcPr>
          <w:p>
            <w:pPr>
              <w:spacing w:after="0"/>
              <w:rPr>
                <w:sz w:val="18"/>
                <w:szCs w:val="18"/>
                <w:color w:val="auto"/>
              </w:rPr>
            </w:pPr>
          </w:p>
        </w:tc>
        <w:tc>
          <w:tcPr>
            <w:tcW w:w="1620" w:type="dxa"/>
            <w:vAlign w:val="bottom"/>
            <w:tcBorders>
              <w:right w:val="single" w:sz="8" w:color="auto"/>
            </w:tcBorders>
            <w:shd w:val="clear" w:color="auto" w:fill="FFDEAD"/>
          </w:tcPr>
          <w:p>
            <w:pPr>
              <w:spacing w:after="0"/>
              <w:rPr>
                <w:sz w:val="18"/>
                <w:szCs w:val="18"/>
                <w:color w:val="auto"/>
              </w:rPr>
            </w:pPr>
          </w:p>
        </w:tc>
        <w:tc>
          <w:tcPr>
            <w:tcW w:w="3100" w:type="dxa"/>
            <w:vAlign w:val="bottom"/>
            <w:tcBorders>
              <w:right w:val="single" w:sz="8" w:color="auto"/>
            </w:tcBorders>
            <w:gridSpan w:val="4"/>
            <w:shd w:val="clear" w:color="auto" w:fill="FFDEAD"/>
          </w:tcPr>
          <w:p>
            <w:pPr>
              <w:ind w:left="60"/>
              <w:spacing w:after="0"/>
              <w:rPr>
                <w:sz w:val="20"/>
                <w:szCs w:val="20"/>
                <w:color w:val="auto"/>
              </w:rPr>
            </w:pPr>
            <w:r>
              <w:rPr>
                <w:rFonts w:ascii="Times New Roman" w:cs="Times New Roman" w:eastAsia="Times New Roman" w:hAnsi="Times New Roman"/>
                <w:sz w:val="17"/>
                <w:szCs w:val="17"/>
                <w:color w:val="FF0000"/>
                <w:strike w:val="1"/>
              </w:rPr>
              <w:t>week if an Streamline Period is not in</w:t>
            </w:r>
          </w:p>
        </w:tc>
        <w:tc>
          <w:tcPr>
            <w:tcW w:w="500" w:type="dxa"/>
            <w:vAlign w:val="bottom"/>
            <w:tcBorders>
              <w:right w:val="single" w:sz="8" w:color="FFDEAD"/>
            </w:tcBorders>
            <w:shd w:val="clear" w:color="auto" w:fill="FFDEAD"/>
          </w:tcPr>
          <w:p>
            <w:pPr>
              <w:spacing w:after="0"/>
              <w:rPr>
                <w:sz w:val="18"/>
                <w:szCs w:val="18"/>
                <w:color w:val="auto"/>
              </w:rPr>
            </w:pPr>
          </w:p>
        </w:tc>
        <w:tc>
          <w:tcPr>
            <w:tcW w:w="800" w:type="dxa"/>
            <w:vAlign w:val="bottom"/>
            <w:shd w:val="clear" w:color="auto" w:fill="FFDEAD"/>
          </w:tcPr>
          <w:p>
            <w:pPr>
              <w:spacing w:after="0"/>
              <w:rPr>
                <w:sz w:val="18"/>
                <w:szCs w:val="18"/>
                <w:color w:val="auto"/>
              </w:rPr>
            </w:pPr>
          </w:p>
        </w:tc>
        <w:tc>
          <w:tcPr>
            <w:tcW w:w="700" w:type="dxa"/>
            <w:vAlign w:val="bottom"/>
            <w:shd w:val="clear" w:color="auto" w:fill="FFDEAD"/>
          </w:tcPr>
          <w:p>
            <w:pPr>
              <w:spacing w:after="0"/>
              <w:rPr>
                <w:sz w:val="18"/>
                <w:szCs w:val="18"/>
                <w:color w:val="auto"/>
              </w:rPr>
            </w:pPr>
          </w:p>
        </w:tc>
        <w:tc>
          <w:tcPr>
            <w:tcW w:w="1320" w:type="dxa"/>
            <w:vAlign w:val="bottom"/>
            <w:tcBorders>
              <w:right w:val="single" w:sz="8" w:color="auto"/>
            </w:tcBorders>
            <w:shd w:val="clear" w:color="auto" w:fill="FFDEAD"/>
          </w:tcPr>
          <w:p>
            <w:pPr>
              <w:spacing w:after="0"/>
              <w:rPr>
                <w:sz w:val="18"/>
                <w:szCs w:val="18"/>
                <w:color w:val="auto"/>
              </w:rPr>
            </w:pPr>
          </w:p>
        </w:tc>
      </w:tr>
      <w:tr>
        <w:trPr>
          <w:trHeight w:val="210"/>
        </w:trPr>
        <w:tc>
          <w:tcPr>
            <w:tcW w:w="1620" w:type="dxa"/>
            <w:vAlign w:val="bottom"/>
            <w:tcBorders>
              <w:left w:val="single" w:sz="8" w:color="auto"/>
            </w:tcBorders>
            <w:shd w:val="clear" w:color="auto" w:fill="FFDEAD"/>
          </w:tcPr>
          <w:p>
            <w:pPr>
              <w:spacing w:after="0"/>
              <w:rPr>
                <w:sz w:val="18"/>
                <w:szCs w:val="18"/>
                <w:color w:val="auto"/>
              </w:rPr>
            </w:pPr>
          </w:p>
        </w:tc>
        <w:tc>
          <w:tcPr>
            <w:tcW w:w="4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360" w:type="dxa"/>
            <w:vAlign w:val="bottom"/>
            <w:shd w:val="clear" w:color="auto" w:fill="FFDEAD"/>
          </w:tcPr>
          <w:p>
            <w:pPr>
              <w:spacing w:after="0"/>
              <w:rPr>
                <w:sz w:val="18"/>
                <w:szCs w:val="18"/>
                <w:color w:val="auto"/>
              </w:rPr>
            </w:pPr>
          </w:p>
        </w:tc>
        <w:tc>
          <w:tcPr>
            <w:tcW w:w="1620" w:type="dxa"/>
            <w:vAlign w:val="bottom"/>
            <w:tcBorders>
              <w:right w:val="single" w:sz="8" w:color="auto"/>
            </w:tcBorders>
            <w:shd w:val="clear" w:color="auto" w:fill="FFDEAD"/>
          </w:tcPr>
          <w:p>
            <w:pPr>
              <w:spacing w:after="0"/>
              <w:rPr>
                <w:sz w:val="18"/>
                <w:szCs w:val="18"/>
                <w:color w:val="auto"/>
              </w:rPr>
            </w:pPr>
          </w:p>
        </w:tc>
        <w:tc>
          <w:tcPr>
            <w:tcW w:w="3100" w:type="dxa"/>
            <w:vAlign w:val="bottom"/>
            <w:tcBorders>
              <w:right w:val="single" w:sz="8" w:color="auto"/>
            </w:tcBorders>
            <w:gridSpan w:val="4"/>
            <w:shd w:val="clear" w:color="auto" w:fill="FFDEAD"/>
          </w:tcPr>
          <w:p>
            <w:pPr>
              <w:ind w:left="60"/>
              <w:spacing w:after="0"/>
              <w:rPr>
                <w:sz w:val="20"/>
                <w:szCs w:val="20"/>
                <w:color w:val="auto"/>
              </w:rPr>
            </w:pPr>
            <w:r>
              <w:rPr>
                <w:rFonts w:ascii="Times New Roman" w:cs="Times New Roman" w:eastAsia="Times New Roman" w:hAnsi="Times New Roman"/>
                <w:sz w:val="17"/>
                <w:szCs w:val="17"/>
                <w:color w:val="FF0000"/>
                <w:strike w:val="1"/>
              </w:rPr>
              <w:t>effect; monthly within 30 days of month</w:t>
            </w:r>
          </w:p>
        </w:tc>
        <w:tc>
          <w:tcPr>
            <w:tcW w:w="500" w:type="dxa"/>
            <w:vAlign w:val="bottom"/>
            <w:tcBorders>
              <w:right w:val="single" w:sz="8" w:color="FFDEAD"/>
            </w:tcBorders>
            <w:shd w:val="clear" w:color="auto" w:fill="FFDEAD"/>
          </w:tcPr>
          <w:p>
            <w:pPr>
              <w:spacing w:after="0"/>
              <w:rPr>
                <w:sz w:val="18"/>
                <w:szCs w:val="18"/>
                <w:color w:val="auto"/>
              </w:rPr>
            </w:pPr>
          </w:p>
        </w:tc>
        <w:tc>
          <w:tcPr>
            <w:tcW w:w="800" w:type="dxa"/>
            <w:vAlign w:val="bottom"/>
            <w:shd w:val="clear" w:color="auto" w:fill="FFDEAD"/>
          </w:tcPr>
          <w:p>
            <w:pPr>
              <w:spacing w:after="0"/>
              <w:rPr>
                <w:sz w:val="18"/>
                <w:szCs w:val="18"/>
                <w:color w:val="auto"/>
              </w:rPr>
            </w:pPr>
          </w:p>
        </w:tc>
        <w:tc>
          <w:tcPr>
            <w:tcW w:w="700" w:type="dxa"/>
            <w:vAlign w:val="bottom"/>
            <w:shd w:val="clear" w:color="auto" w:fill="FFDEAD"/>
          </w:tcPr>
          <w:p>
            <w:pPr>
              <w:spacing w:after="0"/>
              <w:rPr>
                <w:sz w:val="18"/>
                <w:szCs w:val="18"/>
                <w:color w:val="auto"/>
              </w:rPr>
            </w:pPr>
          </w:p>
        </w:tc>
        <w:tc>
          <w:tcPr>
            <w:tcW w:w="1320" w:type="dxa"/>
            <w:vAlign w:val="bottom"/>
            <w:tcBorders>
              <w:right w:val="single" w:sz="8" w:color="auto"/>
            </w:tcBorders>
            <w:shd w:val="clear" w:color="auto" w:fill="FFDEAD"/>
          </w:tcPr>
          <w:p>
            <w:pPr>
              <w:spacing w:after="0"/>
              <w:rPr>
                <w:sz w:val="18"/>
                <w:szCs w:val="18"/>
                <w:color w:val="auto"/>
              </w:rPr>
            </w:pPr>
          </w:p>
        </w:tc>
      </w:tr>
      <w:tr>
        <w:trPr>
          <w:trHeight w:val="210"/>
        </w:trPr>
        <w:tc>
          <w:tcPr>
            <w:tcW w:w="1620" w:type="dxa"/>
            <w:vAlign w:val="bottom"/>
            <w:tcBorders>
              <w:left w:val="single" w:sz="8" w:color="auto"/>
            </w:tcBorders>
            <w:shd w:val="clear" w:color="auto" w:fill="FFDEAD"/>
          </w:tcPr>
          <w:p>
            <w:pPr>
              <w:spacing w:after="0"/>
              <w:rPr>
                <w:sz w:val="18"/>
                <w:szCs w:val="18"/>
                <w:color w:val="auto"/>
              </w:rPr>
            </w:pPr>
          </w:p>
        </w:tc>
        <w:tc>
          <w:tcPr>
            <w:tcW w:w="4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360" w:type="dxa"/>
            <w:vAlign w:val="bottom"/>
            <w:shd w:val="clear" w:color="auto" w:fill="FFDEAD"/>
          </w:tcPr>
          <w:p>
            <w:pPr>
              <w:spacing w:after="0"/>
              <w:rPr>
                <w:sz w:val="18"/>
                <w:szCs w:val="18"/>
                <w:color w:val="auto"/>
              </w:rPr>
            </w:pPr>
          </w:p>
        </w:tc>
        <w:tc>
          <w:tcPr>
            <w:tcW w:w="1620" w:type="dxa"/>
            <w:vAlign w:val="bottom"/>
            <w:tcBorders>
              <w:right w:val="single" w:sz="8" w:color="auto"/>
            </w:tcBorders>
            <w:shd w:val="clear" w:color="auto" w:fill="FFDEAD"/>
          </w:tcPr>
          <w:p>
            <w:pPr>
              <w:spacing w:after="0"/>
              <w:rPr>
                <w:sz w:val="18"/>
                <w:szCs w:val="18"/>
                <w:color w:val="auto"/>
              </w:rPr>
            </w:pPr>
          </w:p>
        </w:tc>
        <w:tc>
          <w:tcPr>
            <w:tcW w:w="3100" w:type="dxa"/>
            <w:vAlign w:val="bottom"/>
            <w:tcBorders>
              <w:right w:val="single" w:sz="8" w:color="auto"/>
            </w:tcBorders>
            <w:gridSpan w:val="4"/>
            <w:shd w:val="clear" w:color="auto" w:fill="FFDEAD"/>
          </w:tcPr>
          <w:p>
            <w:pPr>
              <w:ind w:left="60"/>
              <w:spacing w:after="0"/>
              <w:rPr>
                <w:sz w:val="20"/>
                <w:szCs w:val="20"/>
                <w:color w:val="auto"/>
              </w:rPr>
            </w:pPr>
            <w:r>
              <w:rPr>
                <w:rFonts w:ascii="Times New Roman" w:cs="Times New Roman" w:eastAsia="Times New Roman" w:hAnsi="Times New Roman"/>
                <w:sz w:val="17"/>
                <w:szCs w:val="17"/>
                <w:color w:val="FF0000"/>
                <w:strike w:val="1"/>
              </w:rPr>
              <w:t>End if and Streamline Period</w:t>
            </w:r>
          </w:p>
        </w:tc>
        <w:tc>
          <w:tcPr>
            <w:tcW w:w="500" w:type="dxa"/>
            <w:vAlign w:val="bottom"/>
            <w:tcBorders>
              <w:right w:val="single" w:sz="8" w:color="FFDEAD"/>
            </w:tcBorders>
            <w:shd w:val="clear" w:color="auto" w:fill="FFDEAD"/>
          </w:tcPr>
          <w:p>
            <w:pPr>
              <w:spacing w:after="0"/>
              <w:rPr>
                <w:sz w:val="18"/>
                <w:szCs w:val="18"/>
                <w:color w:val="auto"/>
              </w:rPr>
            </w:pPr>
          </w:p>
        </w:tc>
        <w:tc>
          <w:tcPr>
            <w:tcW w:w="800" w:type="dxa"/>
            <w:vAlign w:val="bottom"/>
            <w:shd w:val="clear" w:color="auto" w:fill="FFDEAD"/>
          </w:tcPr>
          <w:p>
            <w:pPr>
              <w:spacing w:after="0"/>
              <w:rPr>
                <w:sz w:val="18"/>
                <w:szCs w:val="18"/>
                <w:color w:val="auto"/>
              </w:rPr>
            </w:pPr>
          </w:p>
        </w:tc>
        <w:tc>
          <w:tcPr>
            <w:tcW w:w="700" w:type="dxa"/>
            <w:vAlign w:val="bottom"/>
            <w:shd w:val="clear" w:color="auto" w:fill="FFDEAD"/>
          </w:tcPr>
          <w:p>
            <w:pPr>
              <w:spacing w:after="0"/>
              <w:rPr>
                <w:sz w:val="18"/>
                <w:szCs w:val="18"/>
                <w:color w:val="auto"/>
              </w:rPr>
            </w:pPr>
          </w:p>
        </w:tc>
        <w:tc>
          <w:tcPr>
            <w:tcW w:w="1320" w:type="dxa"/>
            <w:vAlign w:val="bottom"/>
            <w:tcBorders>
              <w:right w:val="single" w:sz="8" w:color="auto"/>
            </w:tcBorders>
            <w:shd w:val="clear" w:color="auto" w:fill="FFDEAD"/>
          </w:tcPr>
          <w:p>
            <w:pPr>
              <w:spacing w:after="0"/>
              <w:rPr>
                <w:sz w:val="18"/>
                <w:szCs w:val="18"/>
                <w:color w:val="auto"/>
              </w:rPr>
            </w:pPr>
          </w:p>
        </w:tc>
      </w:tr>
      <w:tr>
        <w:trPr>
          <w:trHeight w:val="259"/>
        </w:trPr>
        <w:tc>
          <w:tcPr>
            <w:tcW w:w="1620" w:type="dxa"/>
            <w:vAlign w:val="bottom"/>
            <w:tcBorders>
              <w:left w:val="single" w:sz="8" w:color="auto"/>
              <w:bottom w:val="single" w:sz="8" w:color="FFDEAD"/>
            </w:tcBorders>
            <w:shd w:val="clear" w:color="auto" w:fill="FFDEAD"/>
          </w:tcPr>
          <w:p>
            <w:pPr>
              <w:spacing w:after="0"/>
              <w:rPr>
                <w:sz w:val="22"/>
                <w:szCs w:val="22"/>
                <w:color w:val="auto"/>
              </w:rPr>
            </w:pPr>
          </w:p>
        </w:tc>
        <w:tc>
          <w:tcPr>
            <w:tcW w:w="40" w:type="dxa"/>
            <w:vAlign w:val="bottom"/>
            <w:tcBorders>
              <w:bottom w:val="single" w:sz="8" w:color="FFDEAD"/>
            </w:tcBorders>
            <w:shd w:val="clear" w:color="auto" w:fill="FFDEAD"/>
          </w:tcPr>
          <w:p>
            <w:pPr>
              <w:spacing w:after="0"/>
              <w:rPr>
                <w:sz w:val="22"/>
                <w:szCs w:val="22"/>
                <w:color w:val="auto"/>
              </w:rPr>
            </w:pPr>
          </w:p>
        </w:tc>
        <w:tc>
          <w:tcPr>
            <w:tcW w:w="100" w:type="dxa"/>
            <w:vAlign w:val="bottom"/>
            <w:tcBorders>
              <w:bottom w:val="single" w:sz="8" w:color="FFDEAD"/>
            </w:tcBorders>
            <w:shd w:val="clear" w:color="auto" w:fill="FFDEAD"/>
          </w:tcPr>
          <w:p>
            <w:pPr>
              <w:spacing w:after="0"/>
              <w:rPr>
                <w:sz w:val="22"/>
                <w:szCs w:val="22"/>
                <w:color w:val="auto"/>
              </w:rPr>
            </w:pPr>
          </w:p>
        </w:tc>
        <w:tc>
          <w:tcPr>
            <w:tcW w:w="100" w:type="dxa"/>
            <w:vAlign w:val="bottom"/>
            <w:tcBorders>
              <w:bottom w:val="single" w:sz="8" w:color="FFDEAD"/>
            </w:tcBorders>
            <w:shd w:val="clear" w:color="auto" w:fill="FFDEAD"/>
          </w:tcPr>
          <w:p>
            <w:pPr>
              <w:spacing w:after="0"/>
              <w:rPr>
                <w:sz w:val="22"/>
                <w:szCs w:val="22"/>
                <w:color w:val="auto"/>
              </w:rPr>
            </w:pPr>
          </w:p>
        </w:tc>
        <w:tc>
          <w:tcPr>
            <w:tcW w:w="1360" w:type="dxa"/>
            <w:vAlign w:val="bottom"/>
            <w:tcBorders>
              <w:bottom w:val="single" w:sz="8" w:color="FFDEAD"/>
            </w:tcBorders>
            <w:shd w:val="clear" w:color="auto" w:fill="FFDEAD"/>
          </w:tcPr>
          <w:p>
            <w:pPr>
              <w:spacing w:after="0"/>
              <w:rPr>
                <w:sz w:val="22"/>
                <w:szCs w:val="22"/>
                <w:color w:val="auto"/>
              </w:rPr>
            </w:pPr>
          </w:p>
        </w:tc>
        <w:tc>
          <w:tcPr>
            <w:tcW w:w="1620" w:type="dxa"/>
            <w:vAlign w:val="bottom"/>
            <w:tcBorders>
              <w:bottom w:val="single" w:sz="8" w:color="FFDEAD"/>
              <w:right w:val="single" w:sz="8" w:color="auto"/>
            </w:tcBorders>
            <w:shd w:val="clear" w:color="auto" w:fill="FFDEAD"/>
          </w:tcPr>
          <w:p>
            <w:pPr>
              <w:spacing w:after="0"/>
              <w:rPr>
                <w:sz w:val="22"/>
                <w:szCs w:val="22"/>
                <w:color w:val="auto"/>
              </w:rPr>
            </w:pPr>
          </w:p>
        </w:tc>
        <w:tc>
          <w:tcPr>
            <w:tcW w:w="3100" w:type="dxa"/>
            <w:vAlign w:val="bottom"/>
            <w:tcBorders>
              <w:bottom w:val="single" w:sz="8" w:color="FFDEAD"/>
              <w:right w:val="single" w:sz="8" w:color="auto"/>
            </w:tcBorders>
            <w:gridSpan w:val="4"/>
            <w:shd w:val="clear" w:color="auto" w:fill="FFDEAD"/>
          </w:tcPr>
          <w:p>
            <w:pPr>
              <w:ind w:left="60"/>
              <w:spacing w:after="0"/>
              <w:rPr>
                <w:sz w:val="20"/>
                <w:szCs w:val="20"/>
                <w:color w:val="auto"/>
              </w:rPr>
            </w:pPr>
            <w:r>
              <w:rPr>
                <w:rFonts w:ascii="Times New Roman" w:cs="Times New Roman" w:eastAsia="Times New Roman" w:hAnsi="Times New Roman"/>
                <w:sz w:val="17"/>
                <w:szCs w:val="17"/>
                <w:color w:val="FF0000"/>
                <w:strike w:val="1"/>
              </w:rPr>
              <w:t>is in effect; and with each Advance</w:t>
            </w:r>
          </w:p>
        </w:tc>
        <w:tc>
          <w:tcPr>
            <w:tcW w:w="500" w:type="dxa"/>
            <w:vAlign w:val="bottom"/>
            <w:tcBorders>
              <w:bottom w:val="single" w:sz="8" w:color="FFDEAD"/>
              <w:right w:val="single" w:sz="8" w:color="FFDEAD"/>
            </w:tcBorders>
            <w:shd w:val="clear" w:color="auto" w:fill="FFDEAD"/>
          </w:tcPr>
          <w:p>
            <w:pPr>
              <w:spacing w:after="0"/>
              <w:rPr>
                <w:sz w:val="22"/>
                <w:szCs w:val="22"/>
                <w:color w:val="auto"/>
              </w:rPr>
            </w:pPr>
          </w:p>
        </w:tc>
        <w:tc>
          <w:tcPr>
            <w:tcW w:w="800" w:type="dxa"/>
            <w:vAlign w:val="bottom"/>
            <w:tcBorders>
              <w:bottom w:val="single" w:sz="8" w:color="FFDEAD"/>
            </w:tcBorders>
            <w:shd w:val="clear" w:color="auto" w:fill="FFDEAD"/>
          </w:tcPr>
          <w:p>
            <w:pPr>
              <w:spacing w:after="0"/>
              <w:rPr>
                <w:sz w:val="22"/>
                <w:szCs w:val="22"/>
                <w:color w:val="auto"/>
              </w:rPr>
            </w:pPr>
          </w:p>
        </w:tc>
        <w:tc>
          <w:tcPr>
            <w:tcW w:w="700" w:type="dxa"/>
            <w:vAlign w:val="bottom"/>
            <w:tcBorders>
              <w:bottom w:val="single" w:sz="8" w:color="FFDEAD"/>
            </w:tcBorders>
            <w:shd w:val="clear" w:color="auto" w:fill="FFDEAD"/>
          </w:tcPr>
          <w:p>
            <w:pPr>
              <w:spacing w:after="0"/>
              <w:rPr>
                <w:sz w:val="22"/>
                <w:szCs w:val="22"/>
                <w:color w:val="auto"/>
              </w:rPr>
            </w:pPr>
          </w:p>
        </w:tc>
        <w:tc>
          <w:tcPr>
            <w:tcW w:w="1320" w:type="dxa"/>
            <w:vAlign w:val="bottom"/>
            <w:tcBorders>
              <w:bottom w:val="single" w:sz="8" w:color="FFDEAD"/>
              <w:right w:val="single" w:sz="8" w:color="auto"/>
            </w:tcBorders>
            <w:shd w:val="clear" w:color="auto" w:fill="FFDEAD"/>
          </w:tcPr>
          <w:p>
            <w:pPr>
              <w:spacing w:after="0"/>
              <w:rPr>
                <w:sz w:val="22"/>
                <w:szCs w:val="22"/>
                <w:color w:val="auto"/>
              </w:rPr>
            </w:pPr>
          </w:p>
        </w:tc>
      </w:tr>
      <w:tr>
        <w:trPr>
          <w:trHeight w:val="177"/>
        </w:trPr>
        <w:tc>
          <w:tcPr>
            <w:tcW w:w="4840" w:type="dxa"/>
            <w:vAlign w:val="bottom"/>
            <w:tcBorders>
              <w:top w:val="single" w:sz="8" w:color="auto"/>
              <w:left w:val="single" w:sz="8" w:color="auto"/>
              <w:right w:val="single" w:sz="8" w:color="auto"/>
            </w:tcBorders>
            <w:gridSpan w:val="6"/>
            <w:shd w:val="clear" w:color="auto" w:fill="FFDEAD"/>
          </w:tcPr>
          <w:p>
            <w:pPr>
              <w:ind w:left="80"/>
              <w:spacing w:after="0" w:line="176" w:lineRule="exact"/>
              <w:rPr>
                <w:sz w:val="20"/>
                <w:szCs w:val="20"/>
                <w:color w:val="auto"/>
              </w:rPr>
            </w:pPr>
            <w:r>
              <w:rPr>
                <w:rFonts w:ascii="Times New Roman" w:cs="Times New Roman" w:eastAsia="Times New Roman" w:hAnsi="Times New Roman"/>
                <w:sz w:val="17"/>
                <w:szCs w:val="17"/>
                <w:color w:val="FF0000"/>
                <w:strike w:val="1"/>
              </w:rPr>
              <w:t>A/R &amp; A/P Agings and Deferred Revenue reports</w:t>
            </w:r>
          </w:p>
        </w:tc>
        <w:tc>
          <w:tcPr>
            <w:tcW w:w="3100" w:type="dxa"/>
            <w:vAlign w:val="bottom"/>
            <w:tcBorders>
              <w:top w:val="single" w:sz="8" w:color="auto"/>
              <w:right w:val="single" w:sz="8" w:color="auto"/>
            </w:tcBorders>
            <w:gridSpan w:val="4"/>
            <w:shd w:val="clear" w:color="auto" w:fill="FFDEAD"/>
          </w:tcPr>
          <w:p>
            <w:pPr>
              <w:ind w:left="60"/>
              <w:spacing w:after="0" w:line="176" w:lineRule="exact"/>
              <w:rPr>
                <w:sz w:val="20"/>
                <w:szCs w:val="20"/>
                <w:color w:val="auto"/>
              </w:rPr>
            </w:pPr>
            <w:r>
              <w:rPr>
                <w:rFonts w:ascii="Times New Roman" w:cs="Times New Roman" w:eastAsia="Times New Roman" w:hAnsi="Times New Roman"/>
                <w:sz w:val="17"/>
                <w:szCs w:val="17"/>
                <w:color w:val="FF0000"/>
                <w:strike w:val="1"/>
              </w:rPr>
              <w:t>When Advances are outstanding or are</w:t>
            </w:r>
          </w:p>
        </w:tc>
        <w:tc>
          <w:tcPr>
            <w:tcW w:w="500" w:type="dxa"/>
            <w:vAlign w:val="bottom"/>
            <w:tcBorders>
              <w:top w:val="single" w:sz="8" w:color="auto"/>
              <w:right w:val="single" w:sz="8" w:color="FFDEAD"/>
            </w:tcBorders>
            <w:shd w:val="clear" w:color="auto" w:fill="FFDEAD"/>
          </w:tcPr>
          <w:p>
            <w:pPr>
              <w:spacing w:after="0"/>
              <w:rPr>
                <w:sz w:val="15"/>
                <w:szCs w:val="15"/>
                <w:color w:val="auto"/>
              </w:rPr>
            </w:pPr>
          </w:p>
        </w:tc>
        <w:tc>
          <w:tcPr>
            <w:tcW w:w="800" w:type="dxa"/>
            <w:vAlign w:val="bottom"/>
            <w:tcBorders>
              <w:top w:val="single" w:sz="8" w:color="auto"/>
            </w:tcBorders>
            <w:shd w:val="clear" w:color="auto" w:fill="FFDEAD"/>
          </w:tcPr>
          <w:p>
            <w:pPr>
              <w:spacing w:after="0"/>
              <w:rPr>
                <w:sz w:val="15"/>
                <w:szCs w:val="15"/>
                <w:color w:val="auto"/>
              </w:rPr>
            </w:pPr>
          </w:p>
        </w:tc>
        <w:tc>
          <w:tcPr>
            <w:tcW w:w="700" w:type="dxa"/>
            <w:vAlign w:val="bottom"/>
            <w:tcBorders>
              <w:top w:val="single" w:sz="8" w:color="auto"/>
            </w:tcBorders>
            <w:shd w:val="clear" w:color="auto" w:fill="FFDEAD"/>
          </w:tcPr>
          <w:p>
            <w:pPr>
              <w:jc w:val="center"/>
              <w:spacing w:after="0" w:line="176" w:lineRule="exact"/>
              <w:rPr>
                <w:sz w:val="20"/>
                <w:szCs w:val="20"/>
                <w:color w:val="auto"/>
              </w:rPr>
            </w:pPr>
            <w:r>
              <w:rPr>
                <w:rFonts w:ascii="Times New Roman" w:cs="Times New Roman" w:eastAsia="Times New Roman" w:hAnsi="Times New Roman"/>
                <w:sz w:val="17"/>
                <w:szCs w:val="17"/>
                <w:color w:val="FF0000"/>
                <w:strike w:val="1"/>
                <w:w w:val="97"/>
              </w:rPr>
              <w:t>Yes No</w:t>
            </w:r>
          </w:p>
        </w:tc>
        <w:tc>
          <w:tcPr>
            <w:tcW w:w="1320" w:type="dxa"/>
            <w:vAlign w:val="bottom"/>
            <w:tcBorders>
              <w:top w:val="single" w:sz="8" w:color="auto"/>
              <w:right w:val="single" w:sz="8" w:color="auto"/>
            </w:tcBorders>
            <w:shd w:val="clear" w:color="auto" w:fill="FFDEAD"/>
          </w:tcPr>
          <w:p>
            <w:pPr>
              <w:spacing w:after="0"/>
              <w:rPr>
                <w:sz w:val="15"/>
                <w:szCs w:val="15"/>
                <w:color w:val="auto"/>
              </w:rPr>
            </w:pPr>
          </w:p>
        </w:tc>
      </w:tr>
      <w:tr>
        <w:trPr>
          <w:trHeight w:val="223"/>
        </w:trPr>
        <w:tc>
          <w:tcPr>
            <w:tcW w:w="1620" w:type="dxa"/>
            <w:vAlign w:val="bottom"/>
            <w:tcBorders>
              <w:left w:val="single" w:sz="8" w:color="auto"/>
              <w:bottom w:val="single" w:sz="8" w:color="auto"/>
            </w:tcBorders>
            <w:shd w:val="clear" w:color="auto" w:fill="FFDEAD"/>
          </w:tcPr>
          <w:p>
            <w:pPr>
              <w:spacing w:after="0"/>
              <w:rPr>
                <w:sz w:val="19"/>
                <w:szCs w:val="19"/>
                <w:color w:val="auto"/>
              </w:rPr>
            </w:pPr>
          </w:p>
        </w:tc>
        <w:tc>
          <w:tcPr>
            <w:tcW w:w="40" w:type="dxa"/>
            <w:vAlign w:val="bottom"/>
            <w:tcBorders>
              <w:bottom w:val="single" w:sz="8" w:color="auto"/>
            </w:tcBorders>
            <w:shd w:val="clear" w:color="auto" w:fill="FFDEAD"/>
          </w:tcPr>
          <w:p>
            <w:pPr>
              <w:spacing w:after="0"/>
              <w:rPr>
                <w:sz w:val="19"/>
                <w:szCs w:val="19"/>
                <w:color w:val="auto"/>
              </w:rPr>
            </w:pPr>
          </w:p>
        </w:tc>
        <w:tc>
          <w:tcPr>
            <w:tcW w:w="100" w:type="dxa"/>
            <w:vAlign w:val="bottom"/>
            <w:tcBorders>
              <w:bottom w:val="single" w:sz="8" w:color="auto"/>
            </w:tcBorders>
            <w:shd w:val="clear" w:color="auto" w:fill="FFDEAD"/>
          </w:tcPr>
          <w:p>
            <w:pPr>
              <w:spacing w:after="0"/>
              <w:rPr>
                <w:sz w:val="19"/>
                <w:szCs w:val="19"/>
                <w:color w:val="auto"/>
              </w:rPr>
            </w:pPr>
          </w:p>
        </w:tc>
        <w:tc>
          <w:tcPr>
            <w:tcW w:w="100" w:type="dxa"/>
            <w:vAlign w:val="bottom"/>
            <w:tcBorders>
              <w:bottom w:val="single" w:sz="8" w:color="auto"/>
            </w:tcBorders>
            <w:shd w:val="clear" w:color="auto" w:fill="FFDEAD"/>
          </w:tcPr>
          <w:p>
            <w:pPr>
              <w:spacing w:after="0"/>
              <w:rPr>
                <w:sz w:val="19"/>
                <w:szCs w:val="19"/>
                <w:color w:val="auto"/>
              </w:rPr>
            </w:pPr>
          </w:p>
        </w:tc>
        <w:tc>
          <w:tcPr>
            <w:tcW w:w="1360" w:type="dxa"/>
            <w:vAlign w:val="bottom"/>
            <w:tcBorders>
              <w:bottom w:val="single" w:sz="8" w:color="auto"/>
            </w:tcBorders>
            <w:shd w:val="clear" w:color="auto" w:fill="FFDEAD"/>
          </w:tcPr>
          <w:p>
            <w:pPr>
              <w:spacing w:after="0"/>
              <w:rPr>
                <w:sz w:val="19"/>
                <w:szCs w:val="19"/>
                <w:color w:val="auto"/>
              </w:rPr>
            </w:pPr>
          </w:p>
        </w:tc>
        <w:tc>
          <w:tcPr>
            <w:tcW w:w="1620" w:type="dxa"/>
            <w:vAlign w:val="bottom"/>
            <w:tcBorders>
              <w:bottom w:val="single" w:sz="8" w:color="auto"/>
              <w:right w:val="single" w:sz="8" w:color="auto"/>
            </w:tcBorders>
            <w:shd w:val="clear" w:color="auto" w:fill="FFDEAD"/>
          </w:tcPr>
          <w:p>
            <w:pPr>
              <w:spacing w:after="0"/>
              <w:rPr>
                <w:sz w:val="19"/>
                <w:szCs w:val="19"/>
                <w:color w:val="auto"/>
              </w:rPr>
            </w:pPr>
          </w:p>
        </w:tc>
        <w:tc>
          <w:tcPr>
            <w:tcW w:w="3100" w:type="dxa"/>
            <w:vAlign w:val="bottom"/>
            <w:tcBorders>
              <w:bottom w:val="single" w:sz="8" w:color="auto"/>
              <w:right w:val="single" w:sz="8" w:color="auto"/>
            </w:tcBorders>
            <w:gridSpan w:val="4"/>
            <w:shd w:val="clear" w:color="auto" w:fill="FFDEAD"/>
          </w:tcPr>
          <w:p>
            <w:pPr>
              <w:ind w:left="60"/>
              <w:spacing w:after="0"/>
              <w:rPr>
                <w:sz w:val="20"/>
                <w:szCs w:val="20"/>
                <w:color w:val="auto"/>
              </w:rPr>
            </w:pPr>
            <w:r>
              <w:rPr>
                <w:rFonts w:ascii="Times New Roman" w:cs="Times New Roman" w:eastAsia="Times New Roman" w:hAnsi="Times New Roman"/>
                <w:sz w:val="17"/>
                <w:szCs w:val="17"/>
                <w:color w:val="FF0000"/>
                <w:strike w:val="1"/>
              </w:rPr>
              <w:t>being requested, monthly within 30 days</w:t>
            </w:r>
          </w:p>
        </w:tc>
        <w:tc>
          <w:tcPr>
            <w:tcW w:w="500" w:type="dxa"/>
            <w:vAlign w:val="bottom"/>
            <w:tcBorders>
              <w:bottom w:val="single" w:sz="8" w:color="auto"/>
              <w:right w:val="single" w:sz="8" w:color="FFDEAD"/>
            </w:tcBorders>
            <w:shd w:val="clear" w:color="auto" w:fill="FFDEAD"/>
          </w:tcPr>
          <w:p>
            <w:pPr>
              <w:spacing w:after="0"/>
              <w:rPr>
                <w:sz w:val="19"/>
                <w:szCs w:val="19"/>
                <w:color w:val="auto"/>
              </w:rPr>
            </w:pPr>
          </w:p>
        </w:tc>
        <w:tc>
          <w:tcPr>
            <w:tcW w:w="800" w:type="dxa"/>
            <w:vAlign w:val="bottom"/>
            <w:tcBorders>
              <w:bottom w:val="single" w:sz="8" w:color="auto"/>
            </w:tcBorders>
            <w:shd w:val="clear" w:color="auto" w:fill="FFDEAD"/>
          </w:tcPr>
          <w:p>
            <w:pPr>
              <w:spacing w:after="0"/>
              <w:rPr>
                <w:sz w:val="19"/>
                <w:szCs w:val="19"/>
                <w:color w:val="auto"/>
              </w:rPr>
            </w:pPr>
          </w:p>
        </w:tc>
        <w:tc>
          <w:tcPr>
            <w:tcW w:w="700" w:type="dxa"/>
            <w:vAlign w:val="bottom"/>
            <w:tcBorders>
              <w:bottom w:val="single" w:sz="8" w:color="auto"/>
            </w:tcBorders>
            <w:shd w:val="clear" w:color="auto" w:fill="FFDEAD"/>
          </w:tcPr>
          <w:p>
            <w:pPr>
              <w:spacing w:after="0"/>
              <w:rPr>
                <w:sz w:val="19"/>
                <w:szCs w:val="19"/>
                <w:color w:val="auto"/>
              </w:rPr>
            </w:pPr>
          </w:p>
        </w:tc>
        <w:tc>
          <w:tcPr>
            <w:tcW w:w="1320" w:type="dxa"/>
            <w:vAlign w:val="bottom"/>
            <w:tcBorders>
              <w:bottom w:val="single" w:sz="8" w:color="auto"/>
              <w:right w:val="single" w:sz="8" w:color="auto"/>
            </w:tcBorders>
            <w:shd w:val="clear" w:color="auto" w:fill="FFDEAD"/>
          </w:tcPr>
          <w:p>
            <w:pPr>
              <w:spacing w:after="0"/>
              <w:rPr>
                <w:sz w:val="19"/>
                <w:szCs w:val="19"/>
                <w:color w:val="auto"/>
              </w:rPr>
            </w:pPr>
          </w:p>
        </w:tc>
      </w:tr>
      <w:tr>
        <w:trPr>
          <w:trHeight w:val="211"/>
        </w:trPr>
        <w:tc>
          <w:tcPr>
            <w:tcW w:w="4840" w:type="dxa"/>
            <w:vAlign w:val="bottom"/>
            <w:tcBorders>
              <w:left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7"/>
                <w:szCs w:val="17"/>
                <w:color w:val="auto"/>
              </w:rPr>
              <w:t>Have there been any material amendments to the Operating</w:t>
            </w:r>
          </w:p>
        </w:tc>
        <w:tc>
          <w:tcPr>
            <w:tcW w:w="31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N/A</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Borders>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7"/>
                <w:szCs w:val="17"/>
                <w:color w:val="auto"/>
                <w:w w:val="97"/>
              </w:rPr>
              <w:t>Yes No</w:t>
            </w:r>
          </w:p>
        </w:tc>
      </w:tr>
      <w:tr>
        <w:trPr>
          <w:trHeight w:val="210"/>
        </w:trPr>
        <w:tc>
          <w:tcPr>
            <w:tcW w:w="4840" w:type="dxa"/>
            <w:vAlign w:val="bottom"/>
            <w:tcBorders>
              <w:left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7"/>
                <w:szCs w:val="17"/>
                <w:color w:val="auto"/>
              </w:rPr>
              <w:t>Documents of Borrower? If yes, provide copies of any such</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28"/>
        </w:trPr>
        <w:tc>
          <w:tcPr>
            <w:tcW w:w="4840" w:type="dxa"/>
            <w:vAlign w:val="bottom"/>
            <w:tcBorders>
              <w:left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7"/>
                <w:szCs w:val="17"/>
                <w:color w:val="auto"/>
              </w:rPr>
              <w:t>amendments or changes with this Compliance Statement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r>
      <w:tr>
        <w:trPr>
          <w:trHeight w:val="27"/>
        </w:trPr>
        <w:tc>
          <w:tcPr>
            <w:tcW w:w="16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347"/>
        </w:trPr>
        <w:tc>
          <w:tcPr>
            <w:tcW w:w="1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1620" w:type="dxa"/>
            <w:vAlign w:val="bottom"/>
            <w:tcBorders>
              <w:left w:val="single" w:sz="8" w:color="auto"/>
            </w:tcBorders>
            <w:shd w:val="clear" w:color="auto" w:fill="FFDEAD"/>
          </w:tcPr>
          <w:p>
            <w:pPr>
              <w:spacing w:after="0"/>
              <w:rPr>
                <w:sz w:val="18"/>
                <w:szCs w:val="18"/>
                <w:color w:val="auto"/>
              </w:rPr>
            </w:pPr>
          </w:p>
        </w:tc>
        <w:tc>
          <w:tcPr>
            <w:tcW w:w="4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1360" w:type="dxa"/>
            <w:vAlign w:val="bottom"/>
            <w:shd w:val="clear" w:color="auto" w:fill="FFDEAD"/>
          </w:tcPr>
          <w:p>
            <w:pPr>
              <w:jc w:val="center"/>
              <w:spacing w:after="0"/>
              <w:rPr>
                <w:sz w:val="20"/>
                <w:szCs w:val="20"/>
                <w:color w:val="auto"/>
              </w:rPr>
            </w:pPr>
            <w:r>
              <w:rPr>
                <w:rFonts w:ascii="Times New Roman" w:cs="Times New Roman" w:eastAsia="Times New Roman" w:hAnsi="Times New Roman"/>
                <w:sz w:val="17"/>
                <w:szCs w:val="17"/>
                <w:color w:val="FF0000"/>
                <w:strike w:val="1"/>
              </w:rPr>
              <w:t>Streamline Period</w:t>
            </w:r>
          </w:p>
        </w:tc>
        <w:tc>
          <w:tcPr>
            <w:tcW w:w="1620" w:type="dxa"/>
            <w:vAlign w:val="bottom"/>
            <w:tcBorders>
              <w:right w:val="single" w:sz="8" w:color="FFDEAD"/>
            </w:tcBorders>
            <w:shd w:val="clear" w:color="auto" w:fill="FFDEAD"/>
          </w:tcPr>
          <w:p>
            <w:pPr>
              <w:spacing w:after="0"/>
              <w:rPr>
                <w:sz w:val="18"/>
                <w:szCs w:val="18"/>
                <w:color w:val="auto"/>
              </w:rPr>
            </w:pPr>
          </w:p>
        </w:tc>
        <w:tc>
          <w:tcPr>
            <w:tcW w:w="240" w:type="dxa"/>
            <w:vAlign w:val="bottom"/>
            <w:tcBorders>
              <w:right w:val="single" w:sz="8" w:color="auto"/>
            </w:tcBorders>
            <w:shd w:val="clear" w:color="auto" w:fill="FFDEAD"/>
          </w:tcPr>
          <w:p>
            <w:pPr>
              <w:spacing w:after="0"/>
              <w:rPr>
                <w:sz w:val="18"/>
                <w:szCs w:val="18"/>
                <w:color w:val="auto"/>
              </w:rPr>
            </w:pPr>
          </w:p>
        </w:tc>
        <w:tc>
          <w:tcPr>
            <w:tcW w:w="960" w:type="dxa"/>
            <w:vAlign w:val="bottom"/>
            <w:shd w:val="clear" w:color="auto" w:fill="FFDEAD"/>
          </w:tcPr>
          <w:p>
            <w:pPr>
              <w:spacing w:after="0"/>
              <w:rPr>
                <w:sz w:val="18"/>
                <w:szCs w:val="18"/>
                <w:color w:val="auto"/>
              </w:rPr>
            </w:pPr>
          </w:p>
        </w:tc>
        <w:tc>
          <w:tcPr>
            <w:tcW w:w="1900" w:type="dxa"/>
            <w:vAlign w:val="bottom"/>
            <w:tcBorders>
              <w:right w:val="single" w:sz="8" w:color="FFDEAD"/>
            </w:tcBorders>
            <w:gridSpan w:val="2"/>
            <w:shd w:val="clear" w:color="auto" w:fill="FFDEAD"/>
          </w:tcPr>
          <w:p>
            <w:pPr>
              <w:ind w:left="420"/>
              <w:spacing w:after="0"/>
              <w:rPr>
                <w:sz w:val="20"/>
                <w:szCs w:val="20"/>
                <w:color w:val="auto"/>
              </w:rPr>
            </w:pPr>
            <w:r>
              <w:rPr>
                <w:rFonts w:ascii="Times New Roman" w:cs="Times New Roman" w:eastAsia="Times New Roman" w:hAnsi="Times New Roman"/>
                <w:sz w:val="17"/>
                <w:szCs w:val="17"/>
                <w:color w:val="FF0000"/>
                <w:strike w:val="1"/>
              </w:rPr>
              <w:t>Applies</w:t>
            </w:r>
          </w:p>
        </w:tc>
        <w:tc>
          <w:tcPr>
            <w:tcW w:w="500" w:type="dxa"/>
            <w:vAlign w:val="bottom"/>
            <w:tcBorders>
              <w:right w:val="single" w:sz="8" w:color="auto"/>
            </w:tcBorders>
            <w:shd w:val="clear" w:color="auto" w:fill="FFDEAD"/>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4840" w:type="dxa"/>
            <w:vAlign w:val="bottom"/>
            <w:tcBorders>
              <w:left w:val="single" w:sz="8" w:color="auto"/>
              <w:right w:val="single" w:sz="8" w:color="FFDEAD"/>
            </w:tcBorders>
            <w:gridSpan w:val="6"/>
            <w:shd w:val="clear" w:color="auto" w:fill="FFDEAD"/>
          </w:tcPr>
          <w:p>
            <w:pPr>
              <w:jc w:val="center"/>
              <w:ind w:left="153"/>
              <w:spacing w:after="0"/>
              <w:rPr>
                <w:sz w:val="20"/>
                <w:szCs w:val="20"/>
                <w:color w:val="auto"/>
              </w:rPr>
            </w:pPr>
            <w:r>
              <w:rPr>
                <w:rFonts w:ascii="Times New Roman" w:cs="Times New Roman" w:eastAsia="Times New Roman" w:hAnsi="Times New Roman"/>
                <w:sz w:val="17"/>
                <w:szCs w:val="17"/>
                <w:color w:val="FF0000"/>
                <w:strike w:val="1"/>
              </w:rPr>
              <w:t>(Measured only when Advances are outstanding or are being</w:t>
            </w:r>
          </w:p>
        </w:tc>
        <w:tc>
          <w:tcPr>
            <w:tcW w:w="240" w:type="dxa"/>
            <w:vAlign w:val="bottom"/>
            <w:tcBorders>
              <w:right w:val="single" w:sz="8" w:color="auto"/>
            </w:tcBorders>
            <w:shd w:val="clear" w:color="auto" w:fill="FFDEAD"/>
          </w:tcPr>
          <w:p>
            <w:pPr>
              <w:spacing w:after="0"/>
              <w:rPr>
                <w:sz w:val="18"/>
                <w:szCs w:val="18"/>
                <w:color w:val="auto"/>
              </w:rPr>
            </w:pPr>
          </w:p>
        </w:tc>
        <w:tc>
          <w:tcPr>
            <w:tcW w:w="960" w:type="dxa"/>
            <w:vAlign w:val="bottom"/>
            <w:shd w:val="clear" w:color="auto" w:fill="FFDEAD"/>
          </w:tcPr>
          <w:p>
            <w:pPr>
              <w:spacing w:after="0"/>
              <w:rPr>
                <w:sz w:val="18"/>
                <w:szCs w:val="18"/>
                <w:color w:val="auto"/>
              </w:rPr>
            </w:pPr>
          </w:p>
        </w:tc>
        <w:tc>
          <w:tcPr>
            <w:tcW w:w="680" w:type="dxa"/>
            <w:vAlign w:val="bottom"/>
            <w:shd w:val="clear" w:color="auto" w:fill="FFDEAD"/>
          </w:tcPr>
          <w:p>
            <w:pPr>
              <w:spacing w:after="0"/>
              <w:rPr>
                <w:sz w:val="18"/>
                <w:szCs w:val="18"/>
                <w:color w:val="auto"/>
              </w:rPr>
            </w:pPr>
          </w:p>
        </w:tc>
        <w:tc>
          <w:tcPr>
            <w:tcW w:w="1220" w:type="dxa"/>
            <w:vAlign w:val="bottom"/>
            <w:tcBorders>
              <w:right w:val="single" w:sz="8" w:color="FFDEAD"/>
            </w:tcBorders>
            <w:shd w:val="clear" w:color="auto" w:fill="FFDEAD"/>
          </w:tcPr>
          <w:p>
            <w:pPr>
              <w:spacing w:after="0"/>
              <w:rPr>
                <w:sz w:val="18"/>
                <w:szCs w:val="18"/>
                <w:color w:val="auto"/>
              </w:rPr>
            </w:pPr>
          </w:p>
        </w:tc>
        <w:tc>
          <w:tcPr>
            <w:tcW w:w="500" w:type="dxa"/>
            <w:vAlign w:val="bottom"/>
            <w:tcBorders>
              <w:right w:val="single" w:sz="8" w:color="auto"/>
            </w:tcBorders>
            <w:shd w:val="clear" w:color="auto" w:fill="FFDEAD"/>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9"/>
        </w:trPr>
        <w:tc>
          <w:tcPr>
            <w:tcW w:w="1620" w:type="dxa"/>
            <w:vAlign w:val="bottom"/>
            <w:tcBorders>
              <w:left w:val="single" w:sz="8" w:color="auto"/>
              <w:bottom w:val="single" w:sz="8" w:color="FFDEAD"/>
            </w:tcBorders>
            <w:shd w:val="clear" w:color="auto" w:fill="FFDEAD"/>
          </w:tcPr>
          <w:p>
            <w:pPr>
              <w:spacing w:after="0"/>
              <w:rPr>
                <w:sz w:val="22"/>
                <w:szCs w:val="22"/>
                <w:color w:val="auto"/>
              </w:rPr>
            </w:pPr>
          </w:p>
        </w:tc>
        <w:tc>
          <w:tcPr>
            <w:tcW w:w="40" w:type="dxa"/>
            <w:vAlign w:val="bottom"/>
            <w:tcBorders>
              <w:bottom w:val="single" w:sz="8" w:color="FFDEAD"/>
            </w:tcBorders>
            <w:shd w:val="clear" w:color="auto" w:fill="FFDEAD"/>
          </w:tcPr>
          <w:p>
            <w:pPr>
              <w:spacing w:after="0"/>
              <w:rPr>
                <w:sz w:val="22"/>
                <w:szCs w:val="22"/>
                <w:color w:val="auto"/>
              </w:rPr>
            </w:pPr>
          </w:p>
        </w:tc>
        <w:tc>
          <w:tcPr>
            <w:tcW w:w="3180" w:type="dxa"/>
            <w:vAlign w:val="bottom"/>
            <w:tcBorders>
              <w:bottom w:val="single" w:sz="8" w:color="FFDEAD"/>
              <w:right w:val="single" w:sz="8" w:color="FFDEAD"/>
            </w:tcBorders>
            <w:gridSpan w:val="4"/>
            <w:shd w:val="clear" w:color="auto" w:fill="FFDEAD"/>
          </w:tcPr>
          <w:p>
            <w:pPr>
              <w:jc w:val="center"/>
              <w:ind w:right="1440"/>
              <w:spacing w:after="0"/>
              <w:rPr>
                <w:sz w:val="20"/>
                <w:szCs w:val="20"/>
                <w:color w:val="auto"/>
              </w:rPr>
            </w:pPr>
            <w:r>
              <w:rPr>
                <w:rFonts w:ascii="Times New Roman" w:cs="Times New Roman" w:eastAsia="Times New Roman" w:hAnsi="Times New Roman"/>
                <w:sz w:val="17"/>
                <w:szCs w:val="17"/>
                <w:color w:val="FF0000"/>
                <w:strike w:val="1"/>
              </w:rPr>
              <w:t>requested by Borrower)</w:t>
            </w:r>
          </w:p>
        </w:tc>
        <w:tc>
          <w:tcPr>
            <w:tcW w:w="240" w:type="dxa"/>
            <w:vAlign w:val="bottom"/>
            <w:tcBorders>
              <w:bottom w:val="single" w:sz="8" w:color="FFDEAD"/>
              <w:right w:val="single" w:sz="8" w:color="auto"/>
            </w:tcBorders>
            <w:shd w:val="clear" w:color="auto" w:fill="FFDEAD"/>
          </w:tcPr>
          <w:p>
            <w:pPr>
              <w:spacing w:after="0"/>
              <w:rPr>
                <w:sz w:val="22"/>
                <w:szCs w:val="22"/>
                <w:color w:val="auto"/>
              </w:rPr>
            </w:pPr>
          </w:p>
        </w:tc>
        <w:tc>
          <w:tcPr>
            <w:tcW w:w="960" w:type="dxa"/>
            <w:vAlign w:val="bottom"/>
            <w:tcBorders>
              <w:bottom w:val="single" w:sz="8" w:color="FFDEAD"/>
            </w:tcBorders>
            <w:shd w:val="clear" w:color="auto" w:fill="FFDEAD"/>
          </w:tcPr>
          <w:p>
            <w:pPr>
              <w:spacing w:after="0"/>
              <w:rPr>
                <w:sz w:val="22"/>
                <w:szCs w:val="22"/>
                <w:color w:val="auto"/>
              </w:rPr>
            </w:pPr>
          </w:p>
        </w:tc>
        <w:tc>
          <w:tcPr>
            <w:tcW w:w="680" w:type="dxa"/>
            <w:vAlign w:val="bottom"/>
            <w:tcBorders>
              <w:bottom w:val="single" w:sz="8" w:color="FFDEAD"/>
            </w:tcBorders>
            <w:shd w:val="clear" w:color="auto" w:fill="FFDEAD"/>
          </w:tcPr>
          <w:p>
            <w:pPr>
              <w:spacing w:after="0"/>
              <w:rPr>
                <w:sz w:val="22"/>
                <w:szCs w:val="22"/>
                <w:color w:val="auto"/>
              </w:rPr>
            </w:pPr>
          </w:p>
        </w:tc>
        <w:tc>
          <w:tcPr>
            <w:tcW w:w="1220" w:type="dxa"/>
            <w:vAlign w:val="bottom"/>
            <w:tcBorders>
              <w:bottom w:val="single" w:sz="8" w:color="FFDEAD"/>
              <w:right w:val="single" w:sz="8" w:color="FFDEAD"/>
            </w:tcBorders>
            <w:shd w:val="clear" w:color="auto" w:fill="FFDEAD"/>
          </w:tcPr>
          <w:p>
            <w:pPr>
              <w:spacing w:after="0"/>
              <w:rPr>
                <w:sz w:val="22"/>
                <w:szCs w:val="22"/>
                <w:color w:val="auto"/>
              </w:rPr>
            </w:pPr>
          </w:p>
        </w:tc>
        <w:tc>
          <w:tcPr>
            <w:tcW w:w="500" w:type="dxa"/>
            <w:vAlign w:val="bottom"/>
            <w:tcBorders>
              <w:bottom w:val="single" w:sz="8" w:color="FFDEAD"/>
              <w:right w:val="single" w:sz="8" w:color="auto"/>
            </w:tcBorders>
            <w:shd w:val="clear" w:color="auto" w:fill="FFDEAD"/>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5"/>
        </w:trPr>
        <w:tc>
          <w:tcPr>
            <w:tcW w:w="3220" w:type="dxa"/>
            <w:vAlign w:val="bottom"/>
            <w:tcBorders>
              <w:top w:val="single" w:sz="8" w:color="auto"/>
              <w:left w:val="single" w:sz="8" w:color="auto"/>
              <w:bottom w:val="single" w:sz="8" w:color="auto"/>
            </w:tcBorders>
            <w:gridSpan w:val="5"/>
            <w:shd w:val="clear" w:color="auto" w:fill="FFDEAD"/>
          </w:tcPr>
          <w:p>
            <w:pPr>
              <w:ind w:left="100"/>
              <w:spacing w:after="0" w:line="190" w:lineRule="exact"/>
              <w:rPr>
                <w:sz w:val="20"/>
                <w:szCs w:val="20"/>
                <w:color w:val="auto"/>
              </w:rPr>
            </w:pPr>
            <w:r>
              <w:rPr>
                <w:rFonts w:ascii="Times New Roman" w:cs="Times New Roman" w:eastAsia="Times New Roman" w:hAnsi="Times New Roman"/>
                <w:sz w:val="17"/>
                <w:szCs w:val="17"/>
                <w:color w:val="FF0000"/>
                <w:strike w:val="1"/>
              </w:rPr>
              <w:t>Adjusted Quick Ratio &gt; 1.50 to 1.00</w:t>
            </w:r>
          </w:p>
        </w:tc>
        <w:tc>
          <w:tcPr>
            <w:tcW w:w="1620" w:type="dxa"/>
            <w:vAlign w:val="bottom"/>
            <w:tcBorders>
              <w:top w:val="single" w:sz="8" w:color="auto"/>
              <w:bottom w:val="single" w:sz="8" w:color="auto"/>
              <w:right w:val="single" w:sz="8" w:color="FFDEAD"/>
            </w:tcBorders>
            <w:shd w:val="clear" w:color="auto" w:fill="FFDEAD"/>
          </w:tcPr>
          <w:p>
            <w:pPr>
              <w:spacing w:after="0"/>
              <w:rPr>
                <w:sz w:val="22"/>
                <w:szCs w:val="22"/>
                <w:color w:val="auto"/>
              </w:rPr>
            </w:pPr>
          </w:p>
        </w:tc>
        <w:tc>
          <w:tcPr>
            <w:tcW w:w="240" w:type="dxa"/>
            <w:vAlign w:val="bottom"/>
            <w:tcBorders>
              <w:top w:val="single" w:sz="8" w:color="auto"/>
              <w:bottom w:val="single" w:sz="8" w:color="auto"/>
              <w:right w:val="single" w:sz="8" w:color="auto"/>
            </w:tcBorders>
            <w:shd w:val="clear" w:color="auto" w:fill="FFDEAD"/>
          </w:tcPr>
          <w:p>
            <w:pPr>
              <w:spacing w:after="0"/>
              <w:rPr>
                <w:sz w:val="22"/>
                <w:szCs w:val="22"/>
                <w:color w:val="auto"/>
              </w:rPr>
            </w:pPr>
          </w:p>
        </w:tc>
        <w:tc>
          <w:tcPr>
            <w:tcW w:w="960" w:type="dxa"/>
            <w:vAlign w:val="bottom"/>
            <w:tcBorders>
              <w:top w:val="single" w:sz="8" w:color="auto"/>
              <w:bottom w:val="single" w:sz="8" w:color="auto"/>
            </w:tcBorders>
            <w:shd w:val="clear" w:color="auto" w:fill="FFDEAD"/>
          </w:tcPr>
          <w:p>
            <w:pPr>
              <w:spacing w:after="0"/>
              <w:rPr>
                <w:sz w:val="22"/>
                <w:szCs w:val="22"/>
                <w:color w:val="auto"/>
              </w:rPr>
            </w:pPr>
          </w:p>
        </w:tc>
        <w:tc>
          <w:tcPr>
            <w:tcW w:w="1900" w:type="dxa"/>
            <w:vAlign w:val="bottom"/>
            <w:tcBorders>
              <w:top w:val="single" w:sz="8" w:color="auto"/>
              <w:bottom w:val="single" w:sz="8" w:color="auto"/>
              <w:right w:val="single" w:sz="8" w:color="FFDEAD"/>
            </w:tcBorders>
            <w:gridSpan w:val="2"/>
            <w:shd w:val="clear" w:color="auto" w:fill="FFDEAD"/>
          </w:tcPr>
          <w:p>
            <w:pPr>
              <w:ind w:left="440"/>
              <w:spacing w:after="0" w:line="190" w:lineRule="exact"/>
              <w:rPr>
                <w:sz w:val="20"/>
                <w:szCs w:val="20"/>
                <w:color w:val="auto"/>
              </w:rPr>
            </w:pPr>
            <w:r>
              <w:rPr>
                <w:rFonts w:ascii="Times New Roman" w:cs="Times New Roman" w:eastAsia="Times New Roman" w:hAnsi="Times New Roman"/>
                <w:sz w:val="17"/>
                <w:szCs w:val="17"/>
                <w:color w:val="FF0000"/>
                <w:strike w:val="1"/>
              </w:rPr>
              <w:t>Yes No</w:t>
            </w:r>
          </w:p>
        </w:tc>
        <w:tc>
          <w:tcPr>
            <w:tcW w:w="500" w:type="dxa"/>
            <w:vAlign w:val="bottom"/>
            <w:tcBorders>
              <w:top w:val="single" w:sz="8" w:color="auto"/>
              <w:bottom w:val="single" w:sz="8" w:color="auto"/>
              <w:right w:val="single" w:sz="8" w:color="auto"/>
            </w:tcBorders>
            <w:shd w:val="clear" w:color="auto" w:fill="FFDEAD"/>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3220" w:type="dxa"/>
            <w:vAlign w:val="bottom"/>
            <w:tcBorders>
              <w:left w:val="single" w:sz="8" w:color="auto"/>
              <w:bottom w:val="single" w:sz="8" w:color="auto"/>
            </w:tcBorders>
            <w:gridSpan w:val="5"/>
            <w:shd w:val="clear" w:color="auto" w:fill="FFDEAD"/>
          </w:tcPr>
          <w:p>
            <w:pPr>
              <w:ind w:left="100"/>
              <w:spacing w:after="0"/>
              <w:rPr>
                <w:sz w:val="20"/>
                <w:szCs w:val="20"/>
                <w:color w:val="auto"/>
              </w:rPr>
            </w:pPr>
            <w:r>
              <w:rPr>
                <w:rFonts w:ascii="Times New Roman" w:cs="Times New Roman" w:eastAsia="Times New Roman" w:hAnsi="Times New Roman"/>
                <w:sz w:val="17"/>
                <w:szCs w:val="17"/>
                <w:color w:val="FF0000"/>
                <w:strike w:val="1"/>
              </w:rPr>
              <w:t>Adjusted Quick Ratio &lt; 1.50 to 1.00</w:t>
            </w:r>
          </w:p>
        </w:tc>
        <w:tc>
          <w:tcPr>
            <w:tcW w:w="1620" w:type="dxa"/>
            <w:vAlign w:val="bottom"/>
            <w:tcBorders>
              <w:bottom w:val="single" w:sz="8" w:color="auto"/>
              <w:right w:val="single" w:sz="8" w:color="FFDEAD"/>
            </w:tcBorders>
            <w:shd w:val="clear" w:color="auto" w:fill="FFDEAD"/>
          </w:tcPr>
          <w:p>
            <w:pPr>
              <w:spacing w:after="0"/>
              <w:rPr>
                <w:sz w:val="18"/>
                <w:szCs w:val="18"/>
                <w:color w:val="auto"/>
              </w:rPr>
            </w:pPr>
          </w:p>
        </w:tc>
        <w:tc>
          <w:tcPr>
            <w:tcW w:w="240" w:type="dxa"/>
            <w:vAlign w:val="bottom"/>
            <w:tcBorders>
              <w:bottom w:val="single" w:sz="8" w:color="auto"/>
              <w:right w:val="single" w:sz="8" w:color="auto"/>
            </w:tcBorders>
            <w:shd w:val="clear" w:color="auto" w:fill="FFDEAD"/>
          </w:tcPr>
          <w:p>
            <w:pPr>
              <w:spacing w:after="0"/>
              <w:rPr>
                <w:sz w:val="18"/>
                <w:szCs w:val="18"/>
                <w:color w:val="auto"/>
              </w:rPr>
            </w:pPr>
          </w:p>
        </w:tc>
        <w:tc>
          <w:tcPr>
            <w:tcW w:w="960" w:type="dxa"/>
            <w:vAlign w:val="bottom"/>
            <w:tcBorders>
              <w:bottom w:val="single" w:sz="8" w:color="auto"/>
            </w:tcBorders>
            <w:shd w:val="clear" w:color="auto" w:fill="FFDEAD"/>
          </w:tcPr>
          <w:p>
            <w:pPr>
              <w:spacing w:after="0"/>
              <w:rPr>
                <w:sz w:val="18"/>
                <w:szCs w:val="18"/>
                <w:color w:val="auto"/>
              </w:rPr>
            </w:pPr>
          </w:p>
        </w:tc>
        <w:tc>
          <w:tcPr>
            <w:tcW w:w="1900" w:type="dxa"/>
            <w:vAlign w:val="bottom"/>
            <w:tcBorders>
              <w:bottom w:val="single" w:sz="8" w:color="auto"/>
              <w:right w:val="single" w:sz="8" w:color="FFDEAD"/>
            </w:tcBorders>
            <w:gridSpan w:val="2"/>
            <w:shd w:val="clear" w:color="auto" w:fill="FFDEAD"/>
          </w:tcPr>
          <w:p>
            <w:pPr>
              <w:ind w:left="440"/>
              <w:spacing w:after="0"/>
              <w:rPr>
                <w:sz w:val="20"/>
                <w:szCs w:val="20"/>
                <w:color w:val="auto"/>
              </w:rPr>
            </w:pPr>
            <w:r>
              <w:rPr>
                <w:rFonts w:ascii="Times New Roman" w:cs="Times New Roman" w:eastAsia="Times New Roman" w:hAnsi="Times New Roman"/>
                <w:sz w:val="17"/>
                <w:szCs w:val="17"/>
                <w:color w:val="FF0000"/>
                <w:strike w:val="1"/>
              </w:rPr>
              <w:t>Yes No</w:t>
            </w:r>
          </w:p>
        </w:tc>
        <w:tc>
          <w:tcPr>
            <w:tcW w:w="500" w:type="dxa"/>
            <w:vAlign w:val="bottom"/>
            <w:tcBorders>
              <w:bottom w:val="single" w:sz="8" w:color="auto"/>
              <w:right w:val="single" w:sz="8" w:color="auto"/>
            </w:tcBorders>
            <w:shd w:val="clear" w:color="auto" w:fill="FFDEAD"/>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ectPr>
          <w:pgSz w:w="11900" w:h="16838" w:orient="portrait"/>
          <w:cols w:equalWidth="0" w:num="1">
            <w:col w:w="11260"/>
          </w:cols>
          <w:pgMar w:left="320" w:top="985" w:right="319" w:bottom="1440" w:gutter="0" w:footer="0" w:header="0"/>
        </w:sectPr>
      </w:pPr>
    </w:p>
    <w:bookmarkStart w:id="155" w:name="page156"/>
    <w:bookmarkEnd w:id="155"/>
    <w:p>
      <w:pPr>
        <w:ind w:firstLine="239"/>
        <w:spacing w:after="0" w:line="297" w:lineRule="auto"/>
        <w:rPr>
          <w:sz w:val="20"/>
          <w:szCs w:val="20"/>
          <w:color w:val="auto"/>
        </w:rPr>
      </w:pPr>
      <w:r>
        <w:rPr>
          <w:rFonts w:ascii="Times New Roman" w:cs="Times New Roman" w:eastAsia="Times New Roman" w:hAnsi="Times New Roman"/>
          <w:sz w:val="17"/>
          <w:szCs w:val="17"/>
          <w:color w:val="auto"/>
        </w:rPr>
        <w:t>The following financial covenant analyses and information set forth in Schedule 1 attached hereto are true and correct as of the date of this Compliance Statement.</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are the exceptions with respect to the statements above: (If no exceptions exist, state “No exceptions to note.”)</w:t>
      </w:r>
    </w:p>
    <w:p>
      <w:pPr>
        <w:sectPr>
          <w:pgSz w:w="11900" w:h="16838" w:orient="portrait"/>
          <w:cols w:equalWidth="0" w:num="1">
            <w:col w:w="11240"/>
          </w:cols>
          <w:pgMar w:left="320" w:top="1223" w:right="339" w:bottom="1440" w:gutter="0" w:footer="0" w:header="0"/>
        </w:sectPr>
      </w:pPr>
    </w:p>
    <w:p>
      <w:pPr>
        <w:spacing w:after="0" w:line="3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SI-Bone, INC.</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-3810</wp:posOffset>
            </wp:positionV>
            <wp:extent cx="1111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-15240</wp:posOffset>
            </wp:positionV>
            <wp:extent cx="1111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-15240</wp:posOffset>
            </wp:positionV>
            <wp:extent cx="11112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 USE ONLY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Received by: _____________________</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authorized signer</w:t>
      </w:r>
    </w:p>
    <w:p>
      <w:pPr>
        <w:spacing w:after="0" w:line="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Date:</w:t>
        <w:tab/>
        <w:t>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Verified: ________________________</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authorized signer</w:t>
      </w:r>
    </w:p>
    <w:p>
      <w:pPr>
        <w:spacing w:after="0" w:line="1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Date:</w:t>
        <w:tab/>
        <w:t>_________________________</w:t>
      </w:r>
    </w:p>
    <w:p>
      <w:pPr>
        <w:spacing w:after="0" w:line="23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7"/>
          <w:szCs w:val="17"/>
          <w:color w:val="auto"/>
        </w:rPr>
        <w:t>Compliance Status:</w:t>
      </w:r>
      <w:r>
        <w:rPr>
          <w:sz w:val="20"/>
          <w:szCs w:val="20"/>
          <w:color w:val="auto"/>
        </w:rPr>
        <w:tab/>
      </w:r>
      <w:r>
        <w:rPr>
          <w:rFonts w:ascii="Times New Roman" w:cs="Times New Roman" w:eastAsia="Times New Roman" w:hAnsi="Times New Roman"/>
          <w:sz w:val="16"/>
          <w:szCs w:val="16"/>
          <w:color w:val="auto"/>
        </w:rPr>
        <w:t>Yes No</w:t>
      </w:r>
    </w:p>
    <w:p>
      <w:pPr>
        <w:sectPr>
          <w:pgSz w:w="11900" w:h="16838" w:orient="portrait"/>
          <w:cols w:equalWidth="0" w:num="2">
            <w:col w:w="5080" w:space="720"/>
            <w:col w:w="5440"/>
          </w:cols>
          <w:pgMar w:left="320" w:top="1223" w:right="339" w:bottom="1440" w:gutter="0" w:footer="0" w:header="0"/>
          <w:type w:val="continuous"/>
        </w:sectPr>
      </w:pPr>
    </w:p>
    <w:bookmarkStart w:id="156" w:name="page157"/>
    <w:bookmarkEnd w:id="156"/>
    <w:p>
      <w:pPr>
        <w:jc w:val="center"/>
        <w:ind w:right="-73"/>
        <w:spacing w:after="0"/>
        <w:rPr>
          <w:sz w:val="20"/>
          <w:szCs w:val="20"/>
          <w:color w:val="auto"/>
        </w:rPr>
      </w:pPr>
      <w:r>
        <w:rPr>
          <w:rFonts w:ascii="Times New Roman" w:cs="Times New Roman" w:eastAsia="Times New Roman" w:hAnsi="Times New Roman"/>
          <w:sz w:val="17"/>
          <w:szCs w:val="17"/>
          <w:b w:val="1"/>
          <w:bCs w:val="1"/>
          <w:u w:val="single" w:color="auto"/>
          <w:color w:val="auto"/>
        </w:rPr>
        <w:t>Schedule 1 to Compliance Statement</w:t>
      </w:r>
    </w:p>
    <w:p>
      <w:pPr>
        <w:spacing w:after="0" w:line="25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b w:val="1"/>
          <w:bCs w:val="1"/>
          <w:u w:val="single" w:color="auto"/>
          <w:color w:val="auto"/>
        </w:rPr>
        <w:t>Financial Covenants of Borrower</w:t>
      </w:r>
    </w:p>
    <w:p>
      <w:pPr>
        <w:spacing w:after="0" w:line="252"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color w:val="auto"/>
        </w:rPr>
        <w:t>In the event of a conflict between this Schedule and the Agreement, the terms of the Agreement shall govern.</w:t>
      </w:r>
    </w:p>
    <w:p>
      <w:pPr>
        <w:spacing w:after="0" w:line="222" w:lineRule="exact"/>
        <w:rPr>
          <w:sz w:val="20"/>
          <w:szCs w:val="20"/>
          <w:color w:val="auto"/>
        </w:rPr>
      </w:pPr>
    </w:p>
    <w:p>
      <w:pPr>
        <w:ind w:left="854" w:hanging="854"/>
        <w:spacing w:after="0"/>
        <w:tabs>
          <w:tab w:leader="none" w:pos="854"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Minimum Net Revenue </w:t>
      </w:r>
      <w:r>
        <w:rPr>
          <w:rFonts w:ascii="Times New Roman" w:cs="Times New Roman" w:eastAsia="Times New Roman" w:hAnsi="Times New Roman"/>
          <w:sz w:val="17"/>
          <w:szCs w:val="17"/>
          <w:color w:val="auto"/>
        </w:rPr>
        <w:t>(Section 5.10)</w:t>
      </w:r>
    </w:p>
    <w:p>
      <w:pPr>
        <w:spacing w:after="0" w:line="252" w:lineRule="exact"/>
        <w:rPr>
          <w:sz w:val="20"/>
          <w:szCs w:val="20"/>
          <w:color w:val="auto"/>
        </w:rPr>
      </w:pPr>
    </w:p>
    <w:p>
      <w:pPr>
        <w:ind w:left="74"/>
        <w:spacing w:after="0"/>
        <w:tabs>
          <w:tab w:leader="none" w:pos="993" w:val="left"/>
        </w:tabs>
        <w:rPr>
          <w:sz w:val="20"/>
          <w:szCs w:val="20"/>
          <w:color w:val="auto"/>
        </w:rPr>
      </w:pPr>
      <w:r>
        <w:rPr>
          <w:rFonts w:ascii="Times New Roman" w:cs="Times New Roman" w:eastAsia="Times New Roman" w:hAnsi="Times New Roman"/>
          <w:sz w:val="17"/>
          <w:szCs w:val="17"/>
          <w:color w:val="auto"/>
        </w:rPr>
        <w:t>Required:</w:t>
      </w:r>
      <w:r>
        <w:rPr>
          <w:sz w:val="20"/>
          <w:szCs w:val="20"/>
          <w:color w:val="auto"/>
        </w:rPr>
        <w:tab/>
      </w:r>
      <w:r>
        <w:rPr>
          <w:rFonts w:ascii="Times New Roman" w:cs="Times New Roman" w:eastAsia="Times New Roman" w:hAnsi="Times New Roman"/>
          <w:sz w:val="17"/>
          <w:szCs w:val="17"/>
          <w:color w:val="FF0000"/>
          <w:strike w:val="1"/>
        </w:rPr>
        <w:t>When a Financial Covenant Measuring Period is in effect</w:t>
      </w:r>
      <w:r>
        <w:rPr>
          <w:rFonts w:ascii="Times New Roman" w:cs="Times New Roman" w:eastAsia="Times New Roman" w:hAnsi="Times New Roman"/>
          <w:sz w:val="17"/>
          <w:szCs w:val="17"/>
          <w:u w:val="single" w:color="auto"/>
          <w:color w:val="0000FF"/>
        </w:rPr>
        <w:t>Commencing on June 30, 2025</w:t>
      </w:r>
      <w:r>
        <w:rPr>
          <w:rFonts w:ascii="Times New Roman" w:cs="Times New Roman" w:eastAsia="Times New Roman" w:hAnsi="Times New Roman"/>
          <w:sz w:val="17"/>
          <w:szCs w:val="17"/>
          <w:color w:val="000000"/>
        </w:rPr>
        <w:t>, Borrower shall achieve Net Revenue as required by</w:t>
      </w:r>
    </w:p>
    <w:p>
      <w:pPr>
        <w:spacing w:after="0" w:line="32" w:lineRule="exact"/>
        <w:rPr>
          <w:sz w:val="20"/>
          <w:szCs w:val="20"/>
          <w:color w:val="auto"/>
        </w:rPr>
      </w:pPr>
    </w:p>
    <w:p>
      <w:pPr>
        <w:ind w:left="1334"/>
        <w:spacing w:after="0"/>
        <w:rPr>
          <w:sz w:val="20"/>
          <w:szCs w:val="20"/>
          <w:color w:val="auto"/>
        </w:rPr>
      </w:pPr>
      <w:r>
        <w:rPr>
          <w:rFonts w:ascii="Times New Roman" w:cs="Times New Roman" w:eastAsia="Times New Roman" w:hAnsi="Times New Roman"/>
          <w:sz w:val="17"/>
          <w:szCs w:val="17"/>
          <w:color w:val="auto"/>
        </w:rPr>
        <w:t>Section 5.10 and set forth below (pursuant to the amendment(s) required under Section 5.10):</w:t>
      </w:r>
    </w:p>
    <w:p>
      <w:pPr>
        <w:spacing w:after="0" w:line="257" w:lineRule="exact"/>
        <w:rPr>
          <w:sz w:val="20"/>
          <w:szCs w:val="20"/>
          <w:color w:val="auto"/>
        </w:rPr>
      </w:pPr>
    </w:p>
    <w:tbl>
      <w:tblPr>
        <w:tblLayout w:type="fixed"/>
        <w:tblInd w:w="1264" w:type="dxa"/>
        <w:tblCellMar>
          <w:top w:w="0" w:type="dxa"/>
          <w:left w:w="0" w:type="dxa"/>
          <w:bottom w:w="0" w:type="dxa"/>
          <w:right w:w="0" w:type="dxa"/>
        </w:tblCellMar>
      </w:tblPr>
      <w:tr>
        <w:trPr>
          <w:trHeight w:val="189"/>
        </w:trPr>
        <w:tc>
          <w:tcPr>
            <w:tcW w:w="336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Measuring Period Ending</w:t>
            </w:r>
          </w:p>
        </w:tc>
        <w:tc>
          <w:tcPr>
            <w:tcW w:w="34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Minimum Net Revenue</w:t>
            </w:r>
          </w:p>
        </w:tc>
      </w:tr>
      <w:tr>
        <w:trPr>
          <w:trHeight w:val="230"/>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(measured on a trailing 6 month basis)</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r>
    </w:tbl>
    <w:p>
      <w:pPr>
        <w:spacing w:after="0" w:line="200" w:lineRule="exact"/>
        <w:rPr>
          <w:sz w:val="20"/>
          <w:szCs w:val="20"/>
          <w:color w:val="auto"/>
        </w:rPr>
      </w:pPr>
    </w:p>
    <w:p>
      <w:pPr>
        <w:spacing w:after="0" w:line="345"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color w:val="auto"/>
        </w:rPr>
        <w:t>Actual: $_____________</w:t>
      </w:r>
    </w:p>
    <w:p>
      <w:pPr>
        <w:spacing w:after="0" w:line="250" w:lineRule="exact"/>
        <w:rPr>
          <w:sz w:val="20"/>
          <w:szCs w:val="20"/>
          <w:color w:val="auto"/>
        </w:rPr>
      </w:pPr>
    </w:p>
    <w:p>
      <w:pPr>
        <w:ind w:left="74" w:right="40"/>
        <w:spacing w:after="0" w:line="297" w:lineRule="auto"/>
        <w:rPr>
          <w:sz w:val="20"/>
          <w:szCs w:val="20"/>
          <w:color w:val="auto"/>
        </w:rPr>
      </w:pPr>
      <w:r>
        <w:rPr>
          <w:rFonts w:ascii="Times New Roman" w:cs="Times New Roman" w:eastAsia="Times New Roman" w:hAnsi="Times New Roman"/>
          <w:sz w:val="17"/>
          <w:szCs w:val="17"/>
          <w:color w:val="auto"/>
        </w:rPr>
        <w:t>Is Borrower’s Net Revenue (measured on a trailing 6 month basis) greater than or equal to the required amount for the corresponding measuring period set forth in the chart above?</w:t>
      </w:r>
    </w:p>
    <w:p>
      <w:pPr>
        <w:spacing w:after="0" w:line="172" w:lineRule="exact"/>
        <w:rPr>
          <w:sz w:val="20"/>
          <w:szCs w:val="20"/>
          <w:color w:val="auto"/>
        </w:rPr>
      </w:pPr>
    </w:p>
    <w:p>
      <w:pPr>
        <w:ind w:left="514"/>
        <w:spacing w:after="0"/>
        <w:tabs>
          <w:tab w:leader="none" w:pos="3173" w:val="left"/>
        </w:tabs>
        <w:rPr>
          <w:sz w:val="20"/>
          <w:szCs w:val="20"/>
          <w:color w:val="auto"/>
        </w:rPr>
      </w:pPr>
      <w:r>
        <w:rPr>
          <w:rFonts w:ascii="Times New Roman" w:cs="Times New Roman" w:eastAsia="Times New Roman" w:hAnsi="Times New Roman"/>
          <w:sz w:val="17"/>
          <w:szCs w:val="17"/>
          <w:color w:val="auto"/>
        </w:rPr>
        <w:t>No, not in compliance</w:t>
      </w:r>
      <w:r>
        <w:rPr>
          <w:sz w:val="20"/>
          <w:szCs w:val="20"/>
          <w:color w:val="auto"/>
        </w:rPr>
        <w:tab/>
      </w:r>
      <w:r>
        <w:rPr>
          <w:rFonts w:ascii="Times New Roman" w:cs="Times New Roman" w:eastAsia="Times New Roman" w:hAnsi="Times New Roman"/>
          <w:sz w:val="17"/>
          <w:szCs w:val="17"/>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-3810</wp:posOffset>
            </wp:positionV>
            <wp:extent cx="1111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-3810</wp:posOffset>
            </wp:positionV>
            <wp:extent cx="11112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314"/>
          </w:cols>
          <w:pgMar w:left="246" w:top="984" w:right="339"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195"/>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tc>
        <w:tc>
          <w:tcPr>
            <w:tcW w:w="5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6"/>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rPr>
              <w:t>LOAN PAYMENT/ADVANCE REQUEST FORM</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Deadline for same day processing is Noon Pacific Time</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100" w:type="dxa"/>
            <w:vAlign w:val="bottom"/>
            <w:gridSpan w:val="9"/>
          </w:tcPr>
          <w:p>
            <w:pPr>
              <w:ind w:left="640"/>
              <w:spacing w:after="0"/>
              <w:rPr>
                <w:sz w:val="20"/>
                <w:szCs w:val="20"/>
                <w:color w:val="auto"/>
              </w:rPr>
            </w:pPr>
            <w:r>
              <w:rPr>
                <w:rFonts w:ascii="Times New Roman" w:cs="Times New Roman" w:eastAsia="Times New Roman" w:hAnsi="Times New Roman"/>
                <w:sz w:val="17"/>
                <w:szCs w:val="17"/>
                <w:color w:val="auto"/>
              </w:rPr>
              <w:t>fax to:  Date: _____________________</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0" w:type="dxa"/>
            <w:vAlign w:val="bottom"/>
            <w:tcBorders>
              <w:lef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Loan Payment:</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80" w:type="dxa"/>
            <w:vAlign w:val="bottom"/>
            <w:tcBorders>
              <w:right w:val="single" w:sz="8" w:color="auto"/>
            </w:tcBorders>
            <w:gridSpan w:val="5"/>
            <w:vMerge w:val="restart"/>
          </w:tcPr>
          <w:p>
            <w:pPr>
              <w:ind w:left="940"/>
              <w:spacing w:after="0"/>
              <w:rPr>
                <w:sz w:val="20"/>
                <w:szCs w:val="20"/>
                <w:color w:val="auto"/>
              </w:rPr>
            </w:pPr>
            <w:r>
              <w:rPr>
                <w:rFonts w:ascii="Times New Roman" w:cs="Times New Roman" w:eastAsia="Times New Roman" w:hAnsi="Times New Roman"/>
                <w:sz w:val="17"/>
                <w:szCs w:val="17"/>
                <w:color w:val="auto"/>
              </w:rPr>
              <w:t>SI-BONE, INC.</w:t>
            </w: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80" w:type="dxa"/>
            <w:vAlign w:val="bottom"/>
            <w:tcBorders>
              <w:right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100" w:type="dxa"/>
            <w:vAlign w:val="bottom"/>
            <w:tcBorders>
              <w:left w:val="single" w:sz="8" w:color="auto"/>
            </w:tcBorders>
            <w:gridSpan w:val="9"/>
          </w:tcPr>
          <w:p>
            <w:pPr>
              <w:ind w:left="80"/>
              <w:spacing w:after="0"/>
              <w:rPr>
                <w:sz w:val="20"/>
                <w:szCs w:val="20"/>
                <w:color w:val="auto"/>
              </w:rPr>
            </w:pPr>
            <w:r>
              <w:rPr>
                <w:rFonts w:ascii="Times New Roman" w:cs="Times New Roman" w:eastAsia="Times New Roman" w:hAnsi="Times New Roman"/>
                <w:sz w:val="17"/>
                <w:szCs w:val="17"/>
                <w:color w:val="auto"/>
              </w:rPr>
              <w:t>From Account #________________________________</w:t>
            </w:r>
          </w:p>
        </w:tc>
        <w:tc>
          <w:tcPr>
            <w:tcW w:w="7080" w:type="dxa"/>
            <w:vAlign w:val="bottom"/>
            <w:tcBorders>
              <w:right w:val="single" w:sz="8" w:color="auto"/>
            </w:tcBorders>
            <w:gridSpan w:val="5"/>
          </w:tcPr>
          <w:p>
            <w:pPr>
              <w:jc w:val="center"/>
              <w:ind w:right="3220"/>
              <w:spacing w:after="0"/>
              <w:rPr>
                <w:sz w:val="20"/>
                <w:szCs w:val="20"/>
                <w:color w:val="auto"/>
              </w:rPr>
            </w:pPr>
            <w:r>
              <w:rPr>
                <w:rFonts w:ascii="Times New Roman" w:cs="Times New Roman" w:eastAsia="Times New Roman" w:hAnsi="Times New Roman"/>
                <w:sz w:val="17"/>
                <w:szCs w:val="17"/>
                <w:color w:val="auto"/>
              </w:rPr>
              <w:t>To Account ________________________________</w:t>
            </w:r>
          </w:p>
        </w:tc>
        <w:tc>
          <w:tcPr>
            <w:tcW w:w="0" w:type="dxa"/>
            <w:vAlign w:val="bottom"/>
          </w:tcPr>
          <w:p>
            <w:pPr>
              <w:spacing w:after="0"/>
              <w:rPr>
                <w:sz w:val="1"/>
                <w:szCs w:val="1"/>
                <w:color w:val="auto"/>
              </w:rPr>
            </w:pPr>
          </w:p>
        </w:tc>
      </w:tr>
      <w:tr>
        <w:trPr>
          <w:trHeight w:val="228"/>
        </w:trPr>
        <w:tc>
          <w:tcPr>
            <w:tcW w:w="1340" w:type="dxa"/>
            <w:vAlign w:val="bottom"/>
            <w:tcBorders>
              <w:left w:val="single" w:sz="8" w:color="auto"/>
            </w:tcBorders>
          </w:tcPr>
          <w:p>
            <w:pPr>
              <w:spacing w:after="0"/>
              <w:rPr>
                <w:sz w:val="19"/>
                <w:szCs w:val="19"/>
                <w:color w:val="auto"/>
              </w:rPr>
            </w:pPr>
          </w:p>
        </w:tc>
        <w:tc>
          <w:tcPr>
            <w:tcW w:w="9840" w:type="dxa"/>
            <w:vAlign w:val="bottom"/>
            <w:tcBorders>
              <w:right w:val="single" w:sz="8" w:color="auto"/>
            </w:tcBorders>
            <w:gridSpan w:val="13"/>
          </w:tcPr>
          <w:p>
            <w:pPr>
              <w:ind w:left="60"/>
              <w:spacing w:after="0"/>
              <w:rPr>
                <w:sz w:val="20"/>
                <w:szCs w:val="20"/>
                <w:color w:val="auto"/>
              </w:rPr>
            </w:pPr>
            <w:r>
              <w:rPr>
                <w:rFonts w:ascii="Times New Roman" w:cs="Times New Roman" w:eastAsia="Times New Roman" w:hAnsi="Times New Roman"/>
                <w:sz w:val="17"/>
                <w:szCs w:val="17"/>
                <w:color w:val="auto"/>
              </w:rPr>
              <w:t>(Deposit Account #)  (Loan Account #)</w:t>
            </w:r>
          </w:p>
        </w:tc>
        <w:tc>
          <w:tcPr>
            <w:tcW w:w="0" w:type="dxa"/>
            <w:vAlign w:val="bottom"/>
          </w:tcPr>
          <w:p>
            <w:pPr>
              <w:spacing w:after="0"/>
              <w:rPr>
                <w:sz w:val="1"/>
                <w:szCs w:val="1"/>
                <w:color w:val="auto"/>
              </w:rPr>
            </w:pPr>
          </w:p>
        </w:tc>
      </w:tr>
      <w:tr>
        <w:trPr>
          <w:trHeight w:val="315"/>
        </w:trPr>
        <w:tc>
          <w:tcPr>
            <w:tcW w:w="4100" w:type="dxa"/>
            <w:vAlign w:val="bottom"/>
            <w:tcBorders>
              <w:left w:val="single" w:sz="8" w:color="auto"/>
            </w:tcBorders>
            <w:gridSpan w:val="9"/>
          </w:tcPr>
          <w:p>
            <w:pPr>
              <w:ind w:left="80"/>
              <w:spacing w:after="0"/>
              <w:rPr>
                <w:sz w:val="20"/>
                <w:szCs w:val="20"/>
                <w:color w:val="auto"/>
              </w:rPr>
            </w:pPr>
            <w:r>
              <w:rPr>
                <w:rFonts w:ascii="Times New Roman" w:cs="Times New Roman" w:eastAsia="Times New Roman" w:hAnsi="Times New Roman"/>
                <w:sz w:val="17"/>
                <w:szCs w:val="17"/>
                <w:color w:val="auto"/>
              </w:rPr>
              <w:t>Principal $____________________________________</w:t>
            </w:r>
          </w:p>
        </w:tc>
        <w:tc>
          <w:tcPr>
            <w:tcW w:w="7080" w:type="dxa"/>
            <w:vAlign w:val="bottom"/>
            <w:tcBorders>
              <w:right w:val="single" w:sz="8" w:color="auto"/>
            </w:tcBorders>
            <w:gridSpan w:val="5"/>
          </w:tcPr>
          <w:p>
            <w:pPr>
              <w:jc w:val="center"/>
              <w:ind w:right="3280"/>
              <w:spacing w:after="0"/>
              <w:rPr>
                <w:sz w:val="20"/>
                <w:szCs w:val="20"/>
                <w:color w:val="auto"/>
              </w:rPr>
            </w:pPr>
            <w:r>
              <w:rPr>
                <w:rFonts w:ascii="Times New Roman" w:cs="Times New Roman" w:eastAsia="Times New Roman" w:hAnsi="Times New Roman"/>
                <w:sz w:val="17"/>
                <w:szCs w:val="17"/>
                <w:color w:val="auto"/>
              </w:rPr>
              <w:t>and/or Interest $_____________________________</w:t>
            </w:r>
          </w:p>
        </w:tc>
        <w:tc>
          <w:tcPr>
            <w:tcW w:w="0" w:type="dxa"/>
            <w:vAlign w:val="bottom"/>
          </w:tcPr>
          <w:p>
            <w:pPr>
              <w:spacing w:after="0"/>
              <w:rPr>
                <w:sz w:val="1"/>
                <w:szCs w:val="1"/>
                <w:color w:val="auto"/>
              </w:rPr>
            </w:pPr>
          </w:p>
        </w:tc>
      </w:tr>
      <w:tr>
        <w:trPr>
          <w:trHeight w:val="276"/>
        </w:trPr>
        <w:tc>
          <w:tcPr>
            <w:tcW w:w="164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Authorized Signature:</w:t>
            </w:r>
          </w:p>
        </w:tc>
        <w:tc>
          <w:tcPr>
            <w:tcW w:w="160" w:type="dxa"/>
            <w:vAlign w:val="bottom"/>
            <w:tcBorders>
              <w:bottom w:val="single" w:sz="8" w:color="auto"/>
            </w:tcBorders>
          </w:tcPr>
          <w:p>
            <w:pPr>
              <w:spacing w:after="0"/>
              <w:rPr>
                <w:sz w:val="23"/>
                <w:szCs w:val="23"/>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Phone Number:</w:t>
            </w:r>
          </w:p>
        </w:tc>
        <w:tc>
          <w:tcPr>
            <w:tcW w:w="180" w:type="dxa"/>
            <w:vAlign w:val="bottom"/>
            <w:tcBorders>
              <w:bottom w:val="single" w:sz="8" w:color="auto"/>
            </w:tcBorders>
          </w:tcPr>
          <w:p>
            <w:pPr>
              <w:spacing w:after="0"/>
              <w:rPr>
                <w:sz w:val="23"/>
                <w:szCs w:val="23"/>
                <w:color w:val="auto"/>
              </w:rPr>
            </w:pPr>
          </w:p>
        </w:tc>
        <w:tc>
          <w:tcPr>
            <w:tcW w:w="800" w:type="dxa"/>
            <w:vAlign w:val="bottom"/>
            <w:gridSpan w:val="3"/>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800" w:type="dxa"/>
            <w:vAlign w:val="bottom"/>
            <w:tcBorders>
              <w:left w:val="single" w:sz="8" w:color="auto"/>
            </w:tcBorders>
            <w:gridSpan w:val="4"/>
          </w:tcPr>
          <w:p>
            <w:pPr>
              <w:ind w:left="80"/>
              <w:spacing w:after="0" w:line="190" w:lineRule="exact"/>
              <w:rPr>
                <w:sz w:val="20"/>
                <w:szCs w:val="20"/>
                <w:color w:val="auto"/>
              </w:rPr>
            </w:pPr>
            <w:r>
              <w:rPr>
                <w:rFonts w:ascii="Times New Roman" w:cs="Times New Roman" w:eastAsia="Times New Roman" w:hAnsi="Times New Roman"/>
                <w:sz w:val="17"/>
                <w:szCs w:val="17"/>
                <w:color w:val="auto"/>
              </w:rPr>
              <w:t>Print Name/Title:</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40" w:type="dxa"/>
            <w:vAlign w:val="bottom"/>
            <w:tcBorders>
              <w:left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7144385" cy="21151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2">
                      <a:extLst>
                        <a:ext uri="{28A0092B-C50C-407E-A947-70E740481C1C}"/>
                      </a:extLst>
                    </a:blip>
                    <a:srcRect/>
                    <a:stretch>
                      <a:fillRect/>
                    </a:stretch>
                  </pic:blipFill>
                  <pic:spPr bwMode="auto">
                    <a:xfrm>
                      <a:off x="0" y="0"/>
                      <a:ext cx="7144385" cy="2115185"/>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Loan Advance:</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Complete </w:t>
      </w:r>
      <w:r>
        <w:rPr>
          <w:rFonts w:ascii="Times New Roman" w:cs="Times New Roman" w:eastAsia="Times New Roman" w:hAnsi="Times New Roman"/>
          <w:sz w:val="17"/>
          <w:szCs w:val="17"/>
          <w:i w:val="1"/>
          <w:iCs w:val="1"/>
          <w:color w:val="auto"/>
        </w:rPr>
        <w:t>Outgoing Wire Request</w:t>
      </w:r>
      <w:r>
        <w:rPr>
          <w:rFonts w:ascii="Times New Roman" w:cs="Times New Roman" w:eastAsia="Times New Roman" w:hAnsi="Times New Roman"/>
          <w:sz w:val="17"/>
          <w:szCs w:val="17"/>
          <w:color w:val="auto"/>
        </w:rPr>
        <w:t xml:space="preserve"> section below if all or a portion of the funds from this loan advance are for an outgoing wire.</w:t>
      </w:r>
    </w:p>
    <w:p>
      <w:pPr>
        <w:spacing w:after="0" w:line="121" w:lineRule="exact"/>
        <w:rPr>
          <w:sz w:val="20"/>
          <w:szCs w:val="20"/>
          <w:color w:val="auto"/>
        </w:rPr>
      </w:pPr>
    </w:p>
    <w:p>
      <w:pPr>
        <w:ind w:left="20"/>
        <w:spacing w:after="0"/>
        <w:tabs>
          <w:tab w:leader="none" w:pos="4120" w:val="left"/>
        </w:tabs>
        <w:rPr>
          <w:sz w:val="20"/>
          <w:szCs w:val="20"/>
          <w:color w:val="auto"/>
        </w:rPr>
      </w:pPr>
      <w:r>
        <w:rPr>
          <w:rFonts w:ascii="Times New Roman" w:cs="Times New Roman" w:eastAsia="Times New Roman" w:hAnsi="Times New Roman"/>
          <w:sz w:val="17"/>
          <w:szCs w:val="17"/>
          <w:color w:val="auto"/>
        </w:rPr>
        <w:t>From Account #________________________________</w:t>
        <w:tab/>
        <w:t>To Account #__________________________________________</w:t>
      </w:r>
    </w:p>
    <w:p>
      <w:pPr>
        <w:spacing w:after="0" w:line="32" w:lineRule="exact"/>
        <w:rPr>
          <w:sz w:val="20"/>
          <w:szCs w:val="20"/>
          <w:color w:val="auto"/>
        </w:rPr>
      </w:pPr>
    </w:p>
    <w:p>
      <w:pPr>
        <w:ind w:left="1260"/>
        <w:spacing w:after="0"/>
        <w:tabs>
          <w:tab w:leader="none" w:pos="3180" w:val="left"/>
        </w:tabs>
        <w:rPr>
          <w:sz w:val="20"/>
          <w:szCs w:val="20"/>
          <w:color w:val="auto"/>
        </w:rPr>
      </w:pPr>
      <w:r>
        <w:rPr>
          <w:rFonts w:ascii="Times New Roman" w:cs="Times New Roman" w:eastAsia="Times New Roman" w:hAnsi="Times New Roman"/>
          <w:sz w:val="17"/>
          <w:szCs w:val="17"/>
          <w:color w:val="auto"/>
        </w:rPr>
        <w:t>(Loan Account #)</w:t>
      </w:r>
      <w:r>
        <w:rPr>
          <w:sz w:val="20"/>
          <w:szCs w:val="20"/>
          <w:color w:val="auto"/>
        </w:rPr>
        <w:tab/>
      </w:r>
      <w:r>
        <w:rPr>
          <w:rFonts w:ascii="Times New Roman" w:cs="Times New Roman" w:eastAsia="Times New Roman" w:hAnsi="Times New Roman"/>
          <w:sz w:val="17"/>
          <w:szCs w:val="17"/>
          <w:color w:val="auto"/>
        </w:rPr>
        <w:t>(Deposit Account #)</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Amount of Term Loan Advance $___________________________</w:t>
      </w:r>
    </w:p>
    <w:p>
      <w:pPr>
        <w:spacing w:after="0" w:line="119" w:lineRule="exact"/>
        <w:rPr>
          <w:sz w:val="20"/>
          <w:szCs w:val="20"/>
          <w:color w:val="auto"/>
        </w:rPr>
      </w:pPr>
    </w:p>
    <w:p>
      <w:pPr>
        <w:jc w:val="both"/>
        <w:ind w:left="20" w:right="80"/>
        <w:spacing w:after="0" w:line="270" w:lineRule="auto"/>
        <w:rPr>
          <w:sz w:val="20"/>
          <w:szCs w:val="20"/>
          <w:color w:val="auto"/>
        </w:rPr>
      </w:pPr>
      <w:r>
        <w:rPr>
          <w:rFonts w:ascii="Times New Roman" w:cs="Times New Roman" w:eastAsia="Times New Roman" w:hAnsi="Times New Roman"/>
          <w:sz w:val="17"/>
          <w:szCs w:val="17"/>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69" w:lineRule="exact"/>
        <w:rPr>
          <w:sz w:val="20"/>
          <w:szCs w:val="20"/>
          <w:color w:val="auto"/>
        </w:rPr>
      </w:pPr>
    </w:p>
    <w:p>
      <w:pPr>
        <w:ind w:left="20"/>
        <w:spacing w:after="0"/>
        <w:tabs>
          <w:tab w:leader="none" w:pos="1900" w:val="left"/>
        </w:tabs>
        <w:rPr>
          <w:sz w:val="20"/>
          <w:szCs w:val="20"/>
          <w:color w:val="auto"/>
        </w:rPr>
      </w:pPr>
      <w:r>
        <w:rPr>
          <w:rFonts w:ascii="Times New Roman" w:cs="Times New Roman" w:eastAsia="Times New Roman" w:hAnsi="Times New Roman"/>
          <w:sz w:val="17"/>
          <w:szCs w:val="17"/>
          <w:color w:val="auto"/>
        </w:rPr>
        <w:t>Authorized Signature:</w:t>
      </w:r>
      <w:r>
        <w:rPr>
          <w:sz w:val="20"/>
          <w:szCs w:val="20"/>
          <w:color w:val="auto"/>
        </w:rPr>
        <w:tab/>
      </w:r>
      <w:r>
        <w:rPr>
          <w:rFonts w:ascii="Times New Roman" w:cs="Times New Roman" w:eastAsia="Times New Roman" w:hAnsi="Times New Roman"/>
          <w:sz w:val="17"/>
          <w:szCs w:val="17"/>
          <w:color w:val="auto"/>
        </w:rPr>
        <w:t>Phone Number:</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Print Name/Title:</w:t>
      </w:r>
    </w:p>
    <w:p>
      <w:pPr>
        <w:sectPr>
          <w:pgSz w:w="11900" w:h="16838" w:orient="portrait"/>
          <w:cols w:equalWidth="0" w:num="1">
            <w:col w:w="11180"/>
          </w:cols>
          <w:pgMar w:left="380" w:top="1373" w:right="339" w:bottom="1440" w:gutter="0" w:footer="0" w:header="0"/>
        </w:sectPr>
      </w:pPr>
    </w:p>
    <w:bookmarkStart w:id="158" w:name="page159"/>
    <w:bookmarkEnd w:id="158"/>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904875</wp:posOffset>
            </wp:positionV>
            <wp:extent cx="7103110" cy="26479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3">
                      <a:extLst>
                        <a:ext uri="{28A0092B-C50C-407E-A947-70E740481C1C}"/>
                      </a:extLst>
                    </a:blip>
                    <a:srcRect/>
                    <a:stretch>
                      <a:fillRect/>
                    </a:stretch>
                  </pic:blipFill>
                  <pic:spPr bwMode="auto">
                    <a:xfrm>
                      <a:off x="0" y="0"/>
                      <a:ext cx="7103110" cy="264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outgoing wire request: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Complete only if all or a portion of funds from the loan advance above is to be wired.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Deadline for same day processing is noon, Pacific Time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Beneficiary Name: ____________________________</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Amount of Wire: $</w:t>
            </w:r>
          </w:p>
        </w:tc>
        <w:tc>
          <w:tcPr>
            <w:tcW w:w="160" w:type="dxa"/>
            <w:vAlign w:val="bottom"/>
            <w:tcBorders>
              <w:bottom w:val="single" w:sz="8" w:color="auto"/>
            </w:tcBorders>
          </w:tcPr>
          <w:p>
            <w:pPr>
              <w:spacing w:after="0"/>
              <w:rPr>
                <w:sz w:val="17"/>
                <w:szCs w:val="17"/>
                <w:color w:val="auto"/>
              </w:rPr>
            </w:pPr>
          </w:p>
        </w:tc>
        <w:tc>
          <w:tcPr>
            <w:tcW w:w="1240" w:type="dxa"/>
            <w:vAlign w:val="bottom"/>
            <w:gridSpan w:val="4"/>
          </w:tcPr>
          <w:p>
            <w:pPr>
              <w:spacing w:after="0"/>
              <w:rPr>
                <w:sz w:val="17"/>
                <w:szCs w:val="17"/>
                <w:color w:val="auto"/>
              </w:rPr>
            </w:pPr>
          </w:p>
        </w:tc>
      </w:tr>
      <w:tr>
        <w:trPr>
          <w:trHeight w:val="190"/>
        </w:trPr>
        <w:tc>
          <w:tcPr>
            <w:tcW w:w="3920" w:type="dxa"/>
            <w:vAlign w:val="bottom"/>
            <w:gridSpan w:val="11"/>
          </w:tcPr>
          <w:p>
            <w:pPr>
              <w:spacing w:after="0" w:line="190" w:lineRule="exact"/>
              <w:rPr>
                <w:sz w:val="20"/>
                <w:szCs w:val="20"/>
                <w:color w:val="auto"/>
              </w:rPr>
            </w:pPr>
            <w:r>
              <w:rPr>
                <w:rFonts w:ascii="Times New Roman" w:cs="Times New Roman" w:eastAsia="Times New Roman" w:hAnsi="Times New Roman"/>
                <w:sz w:val="17"/>
                <w:szCs w:val="17"/>
                <w:color w:val="auto"/>
              </w:rPr>
              <w:t>Beneficiary Bank: _____________________________</w:t>
            </w:r>
          </w:p>
        </w:tc>
        <w:tc>
          <w:tcPr>
            <w:tcW w:w="2800" w:type="dxa"/>
            <w:vAlign w:val="bottom"/>
            <w:gridSpan w:val="6"/>
          </w:tcPr>
          <w:p>
            <w:pPr>
              <w:jc w:val="center"/>
              <w:ind w:right="1340"/>
              <w:spacing w:after="0" w:line="190" w:lineRule="exact"/>
              <w:rPr>
                <w:sz w:val="20"/>
                <w:szCs w:val="20"/>
                <w:color w:val="auto"/>
              </w:rPr>
            </w:pPr>
            <w:r>
              <w:rPr>
                <w:rFonts w:ascii="Times New Roman" w:cs="Times New Roman" w:eastAsia="Times New Roman" w:hAnsi="Times New Roman"/>
                <w:sz w:val="17"/>
                <w:szCs w:val="17"/>
                <w:color w:val="auto"/>
              </w:rPr>
              <w:t>Account Number:</w:t>
            </w:r>
          </w:p>
        </w:tc>
      </w:tr>
      <w:tr>
        <w:trPr>
          <w:trHeight w:val="190"/>
        </w:trPr>
        <w:tc>
          <w:tcPr>
            <w:tcW w:w="108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City and State:</w:t>
            </w:r>
          </w:p>
        </w:tc>
        <w:tc>
          <w:tcPr>
            <w:tcW w:w="180" w:type="dxa"/>
            <w:vAlign w:val="bottom"/>
            <w:tcBorders>
              <w:bottom w:val="single" w:sz="8" w:color="auto"/>
            </w:tcBorders>
          </w:tcPr>
          <w:p>
            <w:pPr>
              <w:spacing w:after="0"/>
              <w:rPr>
                <w:sz w:val="16"/>
                <w:szCs w:val="16"/>
                <w:color w:val="auto"/>
              </w:rPr>
            </w:pPr>
          </w:p>
        </w:tc>
        <w:tc>
          <w:tcPr>
            <w:tcW w:w="32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95"/>
        </w:trPr>
        <w:tc>
          <w:tcPr>
            <w:tcW w:w="25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Beneficiary Bank Transit (ABA) #:</w:t>
            </w:r>
          </w:p>
        </w:tc>
        <w:tc>
          <w:tcPr>
            <w:tcW w:w="160" w:type="dxa"/>
            <w:vAlign w:val="bottom"/>
            <w:tcBorders>
              <w:bottom w:val="single" w:sz="8" w:color="auto"/>
            </w:tcBorders>
          </w:tcPr>
          <w:p>
            <w:pPr>
              <w:spacing w:after="0"/>
              <w:rPr>
                <w:sz w:val="24"/>
                <w:szCs w:val="24"/>
                <w:color w:val="auto"/>
              </w:rPr>
            </w:pPr>
          </w:p>
        </w:tc>
        <w:tc>
          <w:tcPr>
            <w:tcW w:w="3600" w:type="dxa"/>
            <w:vAlign w:val="bottom"/>
            <w:gridSpan w:val="7"/>
          </w:tcPr>
          <w:p>
            <w:pPr>
              <w:ind w:left="180"/>
              <w:spacing w:after="0"/>
              <w:rPr>
                <w:sz w:val="20"/>
                <w:szCs w:val="20"/>
                <w:color w:val="auto"/>
              </w:rPr>
            </w:pPr>
            <w:r>
              <w:rPr>
                <w:rFonts w:ascii="Times New Roman" w:cs="Times New Roman" w:eastAsia="Times New Roman" w:hAnsi="Times New Roman"/>
                <w:sz w:val="17"/>
                <w:szCs w:val="17"/>
                <w:color w:val="auto"/>
              </w:rPr>
              <w:t>Beneficiary Bank Code (Swift, Sort, Chip, etc.):</w:t>
            </w:r>
          </w:p>
        </w:tc>
        <w:tc>
          <w:tcPr>
            <w:tcW w:w="1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29"/>
        </w:trPr>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0" w:type="dxa"/>
            <w:vAlign w:val="bottom"/>
            <w:gridSpan w:val="6"/>
          </w:tcPr>
          <w:p>
            <w:pPr>
              <w:ind w:left="560"/>
              <w:spacing w:after="0"/>
              <w:rPr>
                <w:sz w:val="20"/>
                <w:szCs w:val="20"/>
                <w:color w:val="auto"/>
              </w:rPr>
            </w:pPr>
            <w:r>
              <w:rPr>
                <w:rFonts w:ascii="Times New Roman" w:cs="Times New Roman" w:eastAsia="Times New Roman" w:hAnsi="Times New Roman"/>
                <w:sz w:val="17"/>
                <w:szCs w:val="17"/>
                <w:b w:val="1"/>
                <w:bCs w:val="1"/>
                <w:color w:val="auto"/>
              </w:rPr>
              <w:t>(For International Wire Only)</w:t>
            </w:r>
          </w:p>
        </w:tc>
      </w:tr>
      <w:tr>
        <w:trPr>
          <w:trHeight w:val="276"/>
        </w:trPr>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Intermediary Bank:</w:t>
            </w:r>
          </w:p>
        </w:tc>
        <w:tc>
          <w:tcPr>
            <w:tcW w:w="180" w:type="dxa"/>
            <w:vAlign w:val="bottom"/>
            <w:tcBorders>
              <w:bottom w:val="single" w:sz="8" w:color="auto"/>
            </w:tcBorders>
            <w:gridSpan w:val="2"/>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(ABA) #:</w:t>
            </w:r>
          </w:p>
        </w:tc>
        <w:tc>
          <w:tcPr>
            <w:tcW w:w="180" w:type="dxa"/>
            <w:vAlign w:val="bottom"/>
            <w:tcBorders>
              <w:bottom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190"/>
        </w:trPr>
        <w:tc>
          <w:tcPr>
            <w:tcW w:w="1560" w:type="dxa"/>
            <w:vAlign w:val="bottom"/>
            <w:gridSpan w:val="4"/>
          </w:tcPr>
          <w:p>
            <w:pPr>
              <w:spacing w:after="0" w:line="190" w:lineRule="exact"/>
              <w:rPr>
                <w:sz w:val="20"/>
                <w:szCs w:val="20"/>
                <w:color w:val="auto"/>
              </w:rPr>
            </w:pPr>
            <w:r>
              <w:rPr>
                <w:rFonts w:ascii="Times New Roman" w:cs="Times New Roman" w:eastAsia="Times New Roman" w:hAnsi="Times New Roman"/>
                <w:sz w:val="17"/>
                <w:szCs w:val="17"/>
                <w:color w:val="auto"/>
              </w:rPr>
              <w:t>For Further Credit to:</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95"/>
        </w:trPr>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Special Instruction:</w:t>
            </w:r>
          </w:p>
        </w:tc>
        <w:tc>
          <w:tcPr>
            <w:tcW w:w="180" w:type="dxa"/>
            <w:vAlign w:val="bottom"/>
            <w:tcBorders>
              <w:bottom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1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bl>
      <w:tblPr>
        <w:tblLayout w:type="fixed"/>
        <w:tblInd w:w="0" w:type="dxa"/>
        <w:tblCellMar>
          <w:top w:w="0" w:type="dxa"/>
          <w:left w:w="0" w:type="dxa"/>
          <w:bottom w:w="0" w:type="dxa"/>
          <w:right w:w="0" w:type="dxa"/>
        </w:tblCellMar>
      </w:tblPr>
      <w:tr>
        <w:trPr>
          <w:trHeight w:val="228"/>
        </w:trPr>
        <w:tc>
          <w:tcPr>
            <w:tcW w:w="1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Authorized Signature:</w:t>
            </w:r>
          </w:p>
        </w:tc>
        <w:tc>
          <w:tcPr>
            <w:tcW w:w="160" w:type="dxa"/>
            <w:vAlign w:val="bottom"/>
            <w:tcBorders>
              <w:bottom w:val="single" w:sz="8" w:color="auto"/>
            </w:tcBorders>
          </w:tcPr>
          <w:p>
            <w:pPr>
              <w:spacing w:after="0"/>
              <w:rPr>
                <w:sz w:val="19"/>
                <w:szCs w:val="19"/>
                <w:color w:val="auto"/>
              </w:rPr>
            </w:pPr>
          </w:p>
        </w:tc>
        <w:tc>
          <w:tcPr>
            <w:tcW w:w="2040" w:type="dxa"/>
            <w:vAlign w:val="bottom"/>
            <w:gridSpan w:val="5"/>
          </w:tcPr>
          <w:p>
            <w:pPr>
              <w:ind w:left="180"/>
              <w:spacing w:after="0" w:line="228" w:lineRule="exact"/>
              <w:rPr>
                <w:sz w:val="20"/>
                <w:szCs w:val="20"/>
                <w:color w:val="auto"/>
              </w:rPr>
            </w:pPr>
            <w:r>
              <w:rPr>
                <w:rFonts w:ascii="Times New Roman" w:cs="Times New Roman" w:eastAsia="Times New Roman" w:hAnsi="Times New Roman"/>
                <w:sz w:val="17"/>
                <w:szCs w:val="17"/>
                <w:color w:val="auto"/>
                <w:w w:val="99"/>
              </w:rPr>
              <w:t>2</w:t>
            </w:r>
            <w:r>
              <w:rPr>
                <w:rFonts w:ascii="Times New Roman" w:cs="Times New Roman" w:eastAsia="Times New Roman" w:hAnsi="Times New Roman"/>
                <w:sz w:val="22"/>
                <w:szCs w:val="22"/>
                <w:color w:val="auto"/>
                <w:w w:val="99"/>
                <w:vertAlign w:val="superscript"/>
              </w:rPr>
              <w:t>nd</w:t>
            </w:r>
            <w:r>
              <w:rPr>
                <w:rFonts w:ascii="Times New Roman" w:cs="Times New Roman" w:eastAsia="Times New Roman" w:hAnsi="Times New Roman"/>
                <w:sz w:val="17"/>
                <w:szCs w:val="17"/>
                <w:color w:val="auto"/>
                <w:w w:val="99"/>
              </w:rPr>
              <w:t xml:space="preserve"> Signature (if required):</w:t>
            </w:r>
          </w:p>
        </w:tc>
        <w:tc>
          <w:tcPr>
            <w:tcW w:w="180" w:type="dxa"/>
            <w:vAlign w:val="bottom"/>
            <w:tcBorders>
              <w:bottom w:val="single" w:sz="8" w:color="auto"/>
            </w:tcBorders>
          </w:tcPr>
          <w:p>
            <w:pPr>
              <w:spacing w:after="0"/>
              <w:rPr>
                <w:sz w:val="19"/>
                <w:szCs w:val="19"/>
                <w:color w:val="auto"/>
              </w:rPr>
            </w:pPr>
          </w:p>
        </w:tc>
      </w:tr>
      <w:tr>
        <w:trPr>
          <w:trHeight w:val="190"/>
        </w:trPr>
        <w:tc>
          <w:tcPr>
            <w:tcW w:w="124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Print Name/Title: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7"/>
          </w:tcPr>
          <w:p>
            <w:pPr>
              <w:ind w:left="20"/>
              <w:spacing w:after="0" w:line="190" w:lineRule="exact"/>
              <w:rPr>
                <w:sz w:val="20"/>
                <w:szCs w:val="20"/>
                <w:color w:val="auto"/>
              </w:rPr>
            </w:pPr>
            <w:r>
              <w:rPr>
                <w:rFonts w:ascii="Times New Roman" w:cs="Times New Roman" w:eastAsia="Times New Roman" w:hAnsi="Times New Roman"/>
                <w:sz w:val="17"/>
                <w:szCs w:val="17"/>
                <w:color w:val="auto"/>
              </w:rPr>
              <w:t>Print Name/Title:</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0"/>
        </w:trPr>
        <w:tc>
          <w:tcPr>
            <w:tcW w:w="124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color w:val="auto"/>
              </w:rPr>
              <w:t>Telephone #:</w:t>
            </w:r>
          </w:p>
        </w:tc>
        <w:tc>
          <w:tcPr>
            <w:tcW w:w="2700" w:type="dxa"/>
            <w:vAlign w:val="bottom"/>
            <w:gridSpan w:val="9"/>
          </w:tcPr>
          <w:p>
            <w:pPr>
              <w:ind w:left="20"/>
              <w:spacing w:after="0" w:line="190" w:lineRule="exact"/>
              <w:rPr>
                <w:sz w:val="20"/>
                <w:szCs w:val="20"/>
                <w:color w:val="auto"/>
              </w:rPr>
            </w:pPr>
            <w:r>
              <w:rPr>
                <w:rFonts w:ascii="Times New Roman" w:cs="Times New Roman" w:eastAsia="Times New Roman" w:hAnsi="Times New Roman"/>
                <w:sz w:val="17"/>
                <w:szCs w:val="17"/>
                <w:color w:val="auto"/>
              </w:rPr>
              <w:t>Telephone #:</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020"/>
          </w:cols>
          <w:pgMar w:left="460" w:top="1440" w:right="419" w:bottom="1440" w:gutter="0" w:footer="0" w:header="0"/>
        </w:sectPr>
      </w:pPr>
    </w:p>
    <w:bookmarkStart w:id="159" w:name="page160"/>
    <w:bookmarkEnd w:id="1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Laura A. Francis, certify that:</w:t>
      </w:r>
    </w:p>
    <w:p>
      <w:pPr>
        <w:spacing w:after="0" w:line="250" w:lineRule="exact"/>
        <w:rPr>
          <w:sz w:val="20"/>
          <w:szCs w:val="20"/>
          <w:color w:val="auto"/>
        </w:rPr>
      </w:pPr>
    </w:p>
    <w:p>
      <w:pPr>
        <w:ind w:left="640" w:hanging="320"/>
        <w:spacing w:after="0"/>
        <w:tabs>
          <w:tab w:leader="none" w:pos="64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Form 10-Q of SI-BONE, Inc.;</w:t>
      </w:r>
    </w:p>
    <w:p>
      <w:pPr>
        <w:spacing w:after="0" w:line="250" w:lineRule="exact"/>
        <w:rPr>
          <w:rFonts w:ascii="Times New Roman" w:cs="Times New Roman" w:eastAsia="Times New Roman" w:hAnsi="Times New Roman"/>
          <w:sz w:val="17"/>
          <w:szCs w:val="17"/>
          <w:color w:val="auto"/>
        </w:rPr>
      </w:pPr>
    </w:p>
    <w:p>
      <w:pPr>
        <w:jc w:val="both"/>
        <w:ind w:left="640" w:hanging="320"/>
        <w:spacing w:after="0" w:line="289" w:lineRule="auto"/>
        <w:tabs>
          <w:tab w:leader="none" w:pos="64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4"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7"/>
          <w:szCs w:val="17"/>
          <w:color w:val="auto"/>
        </w:rPr>
      </w:pPr>
    </w:p>
    <w:p>
      <w:pPr>
        <w:jc w:val="both"/>
        <w:ind w:left="640" w:hanging="320"/>
        <w:spacing w:after="0" w:line="277" w:lineRule="auto"/>
        <w:tabs>
          <w:tab w:leader="none" w:pos="64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020" w:hanging="386"/>
        <w:spacing w:after="0" w:line="277" w:lineRule="auto"/>
        <w:tabs>
          <w:tab w:leader="none" w:pos="101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jc w:val="both"/>
        <w:ind w:left="1020" w:hanging="386"/>
        <w:spacing w:after="0" w:line="277" w:lineRule="auto"/>
        <w:tabs>
          <w:tab w:leader="none" w:pos="1008"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1020" w:hanging="386"/>
        <w:spacing w:after="0" w:line="297" w:lineRule="auto"/>
        <w:tabs>
          <w:tab w:leader="none" w:pos="101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ind w:left="1020" w:hanging="386"/>
        <w:spacing w:after="0" w:line="297" w:lineRule="auto"/>
        <w:tabs>
          <w:tab w:leader="none" w:pos="1008"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7"/>
          <w:szCs w:val="17"/>
          <w:color w:val="auto"/>
        </w:rPr>
      </w:pPr>
    </w:p>
    <w:p>
      <w:pPr>
        <w:ind w:left="1020" w:hanging="386"/>
        <w:spacing w:after="0" w:line="297" w:lineRule="auto"/>
        <w:tabs>
          <w:tab w:leader="none" w:pos="1011"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1020" w:hanging="386"/>
        <w:spacing w:after="0" w:line="281" w:lineRule="auto"/>
        <w:tabs>
          <w:tab w:leader="none" w:pos="1008"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20955</wp:posOffset>
            </wp:positionV>
            <wp:extent cx="29724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4">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21" w:lineRule="exact"/>
        <w:rPr>
          <w:sz w:val="20"/>
          <w:szCs w:val="20"/>
          <w:color w:val="auto"/>
        </w:rPr>
      </w:pPr>
    </w:p>
    <w:p>
      <w:pPr>
        <w:ind w:left="380"/>
        <w:spacing w:after="0"/>
        <w:tabs>
          <w:tab w:leader="none" w:pos="920" w:val="left"/>
          <w:tab w:leader="none" w:pos="6660" w:val="left"/>
        </w:tabs>
        <w:rPr>
          <w:sz w:val="20"/>
          <w:szCs w:val="20"/>
          <w:color w:val="auto"/>
        </w:rPr>
      </w:pPr>
      <w:r>
        <w:rPr>
          <w:rFonts w:ascii="Times New Roman" w:cs="Times New Roman" w:eastAsia="Times New Roman" w:hAnsi="Times New Roman"/>
          <w:sz w:val="17"/>
          <w:szCs w:val="17"/>
          <w:color w:val="auto"/>
        </w:rPr>
        <w:t>Date:</w:t>
        <w:tab/>
        <w:t>November 12, 2024</w:t>
      </w:r>
      <w:r>
        <w:rPr>
          <w:sz w:val="20"/>
          <w:szCs w:val="20"/>
          <w:color w:val="auto"/>
        </w:rPr>
        <w:tab/>
      </w:r>
      <w:r>
        <w:rPr>
          <w:rFonts w:ascii="Times New Roman" w:cs="Times New Roman" w:eastAsia="Times New Roman" w:hAnsi="Times New Roman"/>
          <w:sz w:val="17"/>
          <w:szCs w:val="17"/>
          <w:color w:val="auto"/>
        </w:rPr>
        <w:t>Laura A. Francis</w:t>
      </w:r>
    </w:p>
    <w:p>
      <w:pPr>
        <w:spacing w:after="0" w:line="32"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748"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Anshul Maheshwari, certify that:</w:t>
      </w:r>
    </w:p>
    <w:p>
      <w:pPr>
        <w:spacing w:after="0" w:line="382" w:lineRule="exact"/>
        <w:rPr>
          <w:sz w:val="20"/>
          <w:szCs w:val="20"/>
          <w:color w:val="auto"/>
        </w:rPr>
      </w:pPr>
    </w:p>
    <w:p>
      <w:pPr>
        <w:ind w:left="640" w:hanging="320"/>
        <w:spacing w:after="0"/>
        <w:tabs>
          <w:tab w:leader="none" w:pos="64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Form 10-Q of SI-BONE, Inc.;</w:t>
      </w:r>
    </w:p>
    <w:p>
      <w:pPr>
        <w:spacing w:after="0" w:line="250" w:lineRule="exact"/>
        <w:rPr>
          <w:rFonts w:ascii="Times New Roman" w:cs="Times New Roman" w:eastAsia="Times New Roman" w:hAnsi="Times New Roman"/>
          <w:sz w:val="17"/>
          <w:szCs w:val="17"/>
          <w:color w:val="auto"/>
        </w:rPr>
      </w:pPr>
    </w:p>
    <w:p>
      <w:pPr>
        <w:jc w:val="both"/>
        <w:ind w:left="640" w:hanging="320"/>
        <w:spacing w:after="0" w:line="289" w:lineRule="auto"/>
        <w:tabs>
          <w:tab w:leader="none" w:pos="64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4"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7"/>
          <w:szCs w:val="17"/>
          <w:color w:val="auto"/>
        </w:rPr>
      </w:pPr>
    </w:p>
    <w:p>
      <w:pPr>
        <w:jc w:val="both"/>
        <w:ind w:left="640" w:hanging="320"/>
        <w:spacing w:after="0" w:line="277" w:lineRule="auto"/>
        <w:tabs>
          <w:tab w:leader="none" w:pos="64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020" w:hanging="386"/>
        <w:spacing w:after="0" w:line="277" w:lineRule="auto"/>
        <w:tabs>
          <w:tab w:leader="none" w:pos="101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jc w:val="both"/>
        <w:ind w:left="1020" w:hanging="386"/>
        <w:spacing w:after="0" w:line="277" w:lineRule="auto"/>
        <w:tabs>
          <w:tab w:leader="none" w:pos="1008"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1020" w:hanging="386"/>
        <w:spacing w:after="0" w:line="297" w:lineRule="auto"/>
        <w:tabs>
          <w:tab w:leader="none" w:pos="101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ind w:left="1020" w:hanging="386"/>
        <w:spacing w:after="0" w:line="297" w:lineRule="auto"/>
        <w:tabs>
          <w:tab w:leader="none" w:pos="1008"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4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7"/>
          <w:szCs w:val="17"/>
          <w:color w:val="auto"/>
        </w:rPr>
      </w:pPr>
    </w:p>
    <w:p>
      <w:pPr>
        <w:ind w:left="1020" w:hanging="386"/>
        <w:spacing w:after="0" w:line="297" w:lineRule="auto"/>
        <w:tabs>
          <w:tab w:leader="none" w:pos="101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1020" w:hanging="386"/>
        <w:spacing w:after="0" w:line="297" w:lineRule="auto"/>
        <w:tabs>
          <w:tab w:leader="none" w:pos="1008"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20955</wp:posOffset>
            </wp:positionV>
            <wp:extent cx="306451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5">
                      <a:extLst>
                        <a:ext uri="{28A0092B-C50C-407E-A947-70E740481C1C}"/>
                      </a:extLst>
                    </a:blip>
                    <a:srcRect/>
                    <a:stretch>
                      <a:fillRect/>
                    </a:stretch>
                  </pic:blipFill>
                  <pic:spPr bwMode="auto">
                    <a:xfrm>
                      <a:off x="0" y="0"/>
                      <a:ext cx="3064510"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680" w:val="left"/>
          <w:tab w:leader="none" w:pos="6640" w:val="left"/>
        </w:tabs>
        <w:rPr>
          <w:sz w:val="20"/>
          <w:szCs w:val="20"/>
          <w:color w:val="auto"/>
        </w:rPr>
      </w:pPr>
      <w:r>
        <w:rPr>
          <w:rFonts w:ascii="Times New Roman" w:cs="Times New Roman" w:eastAsia="Times New Roman" w:hAnsi="Times New Roman"/>
          <w:sz w:val="17"/>
          <w:szCs w:val="17"/>
          <w:color w:val="auto"/>
        </w:rPr>
        <w:t>Date:</w:t>
        <w:tab/>
        <w:t>November 12, 2024</w:t>
      </w:r>
      <w:r>
        <w:rPr>
          <w:sz w:val="20"/>
          <w:szCs w:val="20"/>
          <w:color w:val="auto"/>
        </w:rPr>
        <w:tab/>
      </w:r>
      <w:r>
        <w:rPr>
          <w:rFonts w:ascii="Times New Roman" w:cs="Times New Roman" w:eastAsia="Times New Roman" w:hAnsi="Times New Roman"/>
          <w:sz w:val="17"/>
          <w:szCs w:val="17"/>
          <w:color w:val="auto"/>
        </w:rPr>
        <w:t>Anshul Maheshwari</w:t>
      </w:r>
    </w:p>
    <w:p>
      <w:pPr>
        <w:spacing w:after="0" w:line="32"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1240"/>
          </w:cols>
          <w:pgMar w:left="320" w:top="749"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AND PRINCIPAL FINANCIAL OFFICER</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w:t>
      </w:r>
    </w:p>
    <w:p>
      <w:pPr>
        <w:spacing w:after="0" w:line="162" w:lineRule="exact"/>
        <w:rPr>
          <w:sz w:val="20"/>
          <w:szCs w:val="20"/>
          <w:color w:val="auto"/>
        </w:rPr>
      </w:pPr>
    </w:p>
    <w:p>
      <w:pPr>
        <w:ind w:firstLine="5"/>
        <w:spacing w:after="0" w:line="297" w:lineRule="auto"/>
        <w:tabs>
          <w:tab w:leader="none" w:pos="202"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145" w:lineRule="exact"/>
        <w:rPr>
          <w:rFonts w:ascii="Times New Roman" w:cs="Times New Roman" w:eastAsia="Times New Roman" w:hAnsi="Times New Roman"/>
          <w:sz w:val="17"/>
          <w:szCs w:val="17"/>
          <w:color w:val="auto"/>
        </w:rPr>
      </w:pPr>
    </w:p>
    <w:p>
      <w:pPr>
        <w:ind w:left="180" w:hanging="175"/>
        <w:spacing w:after="0"/>
        <w:tabs>
          <w:tab w:leader="none" w:pos="18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20955</wp:posOffset>
            </wp:positionV>
            <wp:extent cx="332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6">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600" w:val="left"/>
          <w:tab w:leader="none" w:pos="7200" w:val="left"/>
        </w:tabs>
        <w:rPr>
          <w:sz w:val="20"/>
          <w:szCs w:val="20"/>
          <w:color w:val="auto"/>
        </w:rPr>
      </w:pPr>
      <w:r>
        <w:rPr>
          <w:rFonts w:ascii="Times New Roman" w:cs="Times New Roman" w:eastAsia="Times New Roman" w:hAnsi="Times New Roman"/>
          <w:sz w:val="17"/>
          <w:szCs w:val="17"/>
          <w:color w:val="auto"/>
        </w:rPr>
        <w:t>Date:</w:t>
        <w:tab/>
        <w:t>November 12, 2024</w:t>
      </w:r>
      <w:r>
        <w:rPr>
          <w:sz w:val="20"/>
          <w:szCs w:val="20"/>
          <w:color w:val="auto"/>
        </w:rPr>
        <w:tab/>
      </w:r>
      <w:r>
        <w:rPr>
          <w:rFonts w:ascii="Times New Roman" w:cs="Times New Roman" w:eastAsia="Times New Roman" w:hAnsi="Times New Roman"/>
          <w:sz w:val="17"/>
          <w:szCs w:val="17"/>
          <w:color w:val="auto"/>
        </w:rPr>
        <w:t>Laura A. Francis</w:t>
      </w:r>
    </w:p>
    <w:p>
      <w:pPr>
        <w:spacing w:after="0" w:line="3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3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20955</wp:posOffset>
            </wp:positionV>
            <wp:extent cx="332232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7">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600" w:val="left"/>
          <w:tab w:leader="none" w:pos="7080" w:val="left"/>
        </w:tabs>
        <w:rPr>
          <w:sz w:val="20"/>
          <w:szCs w:val="20"/>
          <w:color w:val="auto"/>
        </w:rPr>
      </w:pPr>
      <w:r>
        <w:rPr>
          <w:rFonts w:ascii="Times New Roman" w:cs="Times New Roman" w:eastAsia="Times New Roman" w:hAnsi="Times New Roman"/>
          <w:sz w:val="17"/>
          <w:szCs w:val="17"/>
          <w:color w:val="auto"/>
        </w:rPr>
        <w:t>Date:</w:t>
        <w:tab/>
        <w:t>November 12, 2024</w:t>
      </w:r>
      <w:r>
        <w:rPr>
          <w:sz w:val="20"/>
          <w:szCs w:val="20"/>
          <w:color w:val="auto"/>
        </w:rPr>
        <w:tab/>
      </w:r>
      <w:r>
        <w:rPr>
          <w:rFonts w:ascii="Times New Roman" w:cs="Times New Roman" w:eastAsia="Times New Roman" w:hAnsi="Times New Roman"/>
          <w:sz w:val="17"/>
          <w:szCs w:val="17"/>
          <w:color w:val="auto"/>
        </w:rPr>
        <w:t>Anshul Maheshwari</w:t>
      </w:r>
    </w:p>
    <w:p>
      <w:pPr>
        <w:spacing w:after="0" w:line="3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3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1."/>
      <w:numFmt w:val="decimal"/>
      <w:start w:val="5"/>
    </w:lvl>
  </w:abstractNum>
  <w:abstractNum w:abstractNumId="5">
    <w:nsid w:val="7F01579B"/>
    <w:multiLevelType w:val="hybridMultilevel"/>
    <w:lvl w:ilvl="0">
      <w:lvlJc w:val="left"/>
      <w:lvlText w:val="%1."/>
      <w:numFmt w:val="decimal"/>
      <w:start w:val="6"/>
    </w:lvl>
  </w:abstractNum>
  <w:abstractNum w:abstractNumId="6">
    <w:nsid w:val="49DA307D"/>
    <w:multiLevelType w:val="hybridMultilevel"/>
    <w:lvl w:ilvl="0">
      <w:lvlJc w:val="left"/>
      <w:lvlText w:val="%1."/>
      <w:numFmt w:val="decimal"/>
      <w:start w:val="7"/>
    </w:lvl>
  </w:abstractNum>
  <w:abstractNum w:abstractNumId="7">
    <w:nsid w:val="7055A5F5"/>
    <w:multiLevelType w:val="hybridMultilevel"/>
    <w:lvl w:ilvl="0">
      <w:lvlJc w:val="left"/>
      <w:lvlText w:val="%1."/>
      <w:numFmt w:val="decimal"/>
      <w:start w:val="8"/>
    </w:lvl>
  </w:abstractNum>
  <w:abstractNum w:abstractNumId="8">
    <w:nsid w:val="5FB8370B"/>
    <w:multiLevelType w:val="hybridMultilevel"/>
    <w:lvl w:ilvl="0">
      <w:lvlJc w:val="left"/>
      <w:lvlText w:val="(%1)"/>
      <w:numFmt w:val="decimal"/>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lvl w:ilvl="1">
      <w:lvlJc w:val="left"/>
      <w:lvlText w:val="%2"/>
      <w:numFmt w:val="decimal"/>
      <w:start w:val="104"/>
    </w:lvl>
  </w:abstractNum>
  <w:abstractNum w:abstractNumId="11">
    <w:nsid w:val="5FB8011C"/>
    <w:multiLevelType w:val="hybridMultilevel"/>
    <w:lvl w:ilvl="0">
      <w:lvlJc w:val="left"/>
      <w:lvlText w:val="**"/>
      <w:numFmt w:val="bullet"/>
      <w:start w:val="1"/>
    </w:lvl>
    <w:lvl w:ilvl="1">
      <w:lvlJc w:val="left"/>
      <w:lvlText w:val="%2"/>
      <w:numFmt w:val="decimal"/>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1."/>
      <w:numFmt w:val="upperLetter"/>
      <w:start w:val="1"/>
    </w:lvl>
  </w:abstractNum>
  <w:abstractNum w:abstractNumId="14">
    <w:nsid w:val="6FC75AF8"/>
    <w:multiLevelType w:val="hybridMultilevel"/>
    <w:lvl w:ilvl="0">
      <w:lvlJc w:val="left"/>
      <w:lvlText w:val="%1."/>
      <w:numFmt w:val="decimal"/>
      <w:start w:val="1"/>
    </w:lvl>
  </w:abstractNum>
  <w:abstractNum w:abstractNumId="15">
    <w:nsid w:val="6A5F7029"/>
    <w:multiLevelType w:val="hybridMultilevel"/>
    <w:lvl w:ilvl="0">
      <w:lvlJc w:val="left"/>
      <w:lvlText w:val="%1."/>
      <w:numFmt w:val="decimal"/>
      <w:start w:val="3"/>
    </w:lvl>
  </w:abstractNum>
  <w:abstractNum w:abstractNumId="16">
    <w:nsid w:val="7D5E18F8"/>
    <w:multiLevelType w:val="hybridMultilevel"/>
    <w:lvl w:ilvl="0">
      <w:lvlJc w:val="left"/>
      <w:lvlText w:val="(%1)"/>
      <w:numFmt w:val="lowerLetter"/>
      <w:start w:val="2"/>
    </w:lvl>
  </w:abstractNum>
  <w:abstractNum w:abstractNumId="17">
    <w:nsid w:val="5F3534A4"/>
    <w:multiLevelType w:val="hybridMultilevel"/>
    <w:lvl w:ilvl="0">
      <w:lvlJc w:val="left"/>
      <w:lvlText w:val="%1."/>
      <w:numFmt w:val="decimal"/>
      <w:start w:val="4"/>
    </w:lvl>
  </w:abstractNum>
  <w:abstractNum w:abstractNumId="18">
    <w:nsid w:val="73A1821B"/>
    <w:multiLevelType w:val="hybridMultilevel"/>
    <w:lvl w:ilvl="0">
      <w:lvlJc w:val="left"/>
      <w:lvlText w:val="%1."/>
      <w:numFmt w:val="decimal"/>
      <w:start w:val="6"/>
    </w:lvl>
  </w:abstractNum>
  <w:abstractNum w:abstractNumId="19">
    <w:nsid w:val="7DE67713"/>
    <w:multiLevelType w:val="hybridMultilevel"/>
    <w:lvl w:ilvl="0">
      <w:lvlJc w:val="left"/>
      <w:lvlText w:val="%1."/>
      <w:numFmt w:val="decimal"/>
      <w:start w:val="8"/>
    </w:lvl>
  </w:abstractNum>
  <w:abstractNum w:abstractNumId="20">
    <w:nsid w:val="555C55B5"/>
    <w:multiLevelType w:val="hybridMultilevel"/>
    <w:lvl w:ilvl="0">
      <w:lvlJc w:val="left"/>
      <w:lvlText w:val="%1."/>
      <w:numFmt w:val="decimal"/>
      <w:start w:val="1"/>
    </w:lvl>
    <w:lvl w:ilvl="1">
      <w:lvlJc w:val="left"/>
      <w:lvlText w:val="(%2)"/>
      <w:numFmt w:val="lowerLetter"/>
      <w:start w:val="1"/>
    </w:lvl>
  </w:abstractNum>
  <w:abstractNum w:abstractNumId="21">
    <w:nsid w:val="3FA62ACA"/>
    <w:multiLevelType w:val="hybridMultilevel"/>
    <w:lvl w:ilvl="0">
      <w:lvlJc w:val="left"/>
      <w:lvlText w:val="(%1)"/>
      <w:numFmt w:val="lowerLetter"/>
      <w:start w:val="1"/>
    </w:lvl>
    <w:lvl w:ilvl="1">
      <w:lvlJc w:val="left"/>
      <w:lvlText w:val="(%2)"/>
      <w:numFmt w:val="lowerLetter"/>
      <w:start w:val="9"/>
    </w:lvl>
  </w:abstractNum>
  <w:abstractNum w:abstractNumId="22">
    <w:nsid w:val="14FCE74E"/>
    <w:multiLevelType w:val="hybridMultilevel"/>
    <w:lvl w:ilvl="0">
      <w:lvlJc w:val="left"/>
      <w:lvlText w:val="%1"/>
      <w:numFmt w:val="lowerLetter"/>
      <w:start w:val="1"/>
    </w:lvl>
    <w:lvl w:ilvl="1">
      <w:lvlJc w:val="left"/>
      <w:lvlText w:val="(%2)"/>
      <w:numFmt w:val="lowerLetter"/>
      <w:start w:val="35"/>
    </w:lvl>
  </w:abstractNum>
  <w:abstractNum w:abstractNumId="23">
    <w:nsid w:val="6A3DD3E8"/>
    <w:multiLevelType w:val="hybridMultilevel"/>
    <w:lvl w:ilvl="0">
      <w:lvlJc w:val="left"/>
      <w:lvlText w:val="(%1)"/>
      <w:numFmt w:val="lowerLetter"/>
      <w:start w:val="3"/>
    </w:lvl>
    <w:lvl w:ilvl="1">
      <w:lvlJc w:val="left"/>
      <w:lvlText w:val="%2"/>
      <w:numFmt w:val="lowerLetter"/>
      <w:start w:val="1"/>
    </w:lvl>
  </w:abstractNum>
  <w:abstractNum w:abstractNumId="24">
    <w:nsid w:val="71C91298"/>
    <w:multiLevelType w:val="hybridMultilevel"/>
    <w:lvl w:ilvl="0">
      <w:lvlJc w:val="left"/>
      <w:lvlText w:val="(%1)"/>
      <w:numFmt w:val="lowerLetter"/>
      <w:start w:val="1"/>
    </w:lvl>
  </w:abstractNum>
  <w:abstractNum w:abstractNumId="25">
    <w:nsid w:val="9DAF632"/>
    <w:multiLevelType w:val="hybridMultilevel"/>
    <w:lvl w:ilvl="0">
      <w:lvlJc w:val="left"/>
      <w:lvlText w:val="(%1)"/>
      <w:numFmt w:val="lowerLetter"/>
      <w:start w:val="1"/>
    </w:lvl>
  </w:abstractNum>
  <w:abstractNum w:abstractNumId="26">
    <w:nsid w:val="53299938"/>
    <w:multiLevelType w:val="hybridMultilevel"/>
    <w:lvl w:ilvl="0">
      <w:lvlJc w:val="left"/>
      <w:lvlText w:val="(%1)"/>
      <w:numFmt w:val="lowerLetter"/>
      <w:start w:val="3"/>
    </w:lvl>
  </w:abstractNum>
  <w:abstractNum w:abstractNumId="27">
    <w:nsid w:val="1FBFE8E0"/>
    <w:multiLevelType w:val="hybridMultilevel"/>
    <w:lvl w:ilvl="0">
      <w:lvlJc w:val="left"/>
      <w:lvlText w:val="%1"/>
      <w:numFmt w:val="upperLetter"/>
      <w:start w:val="1"/>
    </w:lvl>
    <w:lvl w:ilvl="1">
      <w:lvlJc w:val="left"/>
      <w:lvlText w:val="(%2)"/>
      <w:numFmt w:val="lowerLetter"/>
      <w:start w:val="1"/>
    </w:lvl>
  </w:abstractNum>
  <w:abstractNum w:abstractNumId="28">
    <w:nsid w:val="5092CA79"/>
    <w:multiLevelType w:val="hybridMultilevel"/>
    <w:lvl w:ilvl="0">
      <w:lvlJc w:val="left"/>
      <w:lvlText w:val="(%1)"/>
      <w:numFmt w:val="upperLetter"/>
      <w:start w:val="3"/>
    </w:lvl>
    <w:lvl w:ilvl="1">
      <w:lvlJc w:val="left"/>
      <w:lvlText w:val="(%2)"/>
      <w:numFmt w:val="lowerLetter"/>
      <w:start w:val="2"/>
    </w:lvl>
  </w:abstractNum>
  <w:abstractNum w:abstractNumId="29">
    <w:nsid w:val="1D545C4D"/>
    <w:multiLevelType w:val="hybridMultilevel"/>
    <w:lvl w:ilvl="0">
      <w:lvlJc w:val="left"/>
      <w:lvlText w:val="(%1)"/>
      <w:numFmt w:val="lowerLetter"/>
      <w:start w:val="1"/>
    </w:lvl>
  </w:abstractNum>
  <w:abstractNum w:abstractNumId="30">
    <w:nsid w:val="59ADEA3D"/>
    <w:multiLevelType w:val="hybridMultilevel"/>
    <w:lvl w:ilvl="0">
      <w:lvlJc w:val="left"/>
      <w:lvlText w:val="(%1)"/>
      <w:numFmt w:val="lowerLetter"/>
      <w:start w:val="3"/>
    </w:lvl>
  </w:abstractNum>
  <w:abstractNum w:abstractNumId="31">
    <w:nsid w:val="288F1A34"/>
    <w:multiLevelType w:val="hybridMultilevel"/>
    <w:lvl w:ilvl="0">
      <w:lvlJc w:val="left"/>
      <w:lvlText w:val="(%1)"/>
      <w:numFmt w:val="lowerLetter"/>
      <w:start w:val="1"/>
    </w:lvl>
  </w:abstractNum>
  <w:abstractNum w:abstractNumId="32">
    <w:nsid w:val="2A155DBC"/>
    <w:multiLevelType w:val="hybridMultilevel"/>
    <w:lvl w:ilvl="0">
      <w:lvlJc w:val="left"/>
      <w:lvlText w:val="%1"/>
      <w:numFmt w:val="decimal"/>
      <w:start w:val="1"/>
    </w:lvl>
    <w:lvl w:ilvl="1">
      <w:lvlJc w:val="left"/>
      <w:lvlText w:val="(%2)"/>
      <w:numFmt w:val="lowerLetter"/>
      <w:start w:val="2"/>
    </w:lvl>
  </w:abstractNum>
  <w:abstractNum w:abstractNumId="33">
    <w:nsid w:val="1D9F6E5F"/>
    <w:multiLevelType w:val="hybridMultilevel"/>
    <w:lvl w:ilvl="0">
      <w:lvlJc w:val="left"/>
      <w:lvlText w:val="%1."/>
      <w:numFmt w:val="decimal"/>
      <w:start w:val="2"/>
    </w:lvl>
    <w:lvl w:ilvl="1">
      <w:lvlJc w:val="left"/>
      <w:lvlText w:val="%2"/>
      <w:numFmt w:val="lowerLetter"/>
      <w:start w:val="1"/>
    </w:lvl>
  </w:abstractNum>
  <w:abstractNum w:abstractNumId="34">
    <w:nsid w:val="97E1B4E"/>
    <w:multiLevelType w:val="hybridMultilevel"/>
    <w:lvl w:ilvl="0">
      <w:lvlJc w:val="left"/>
      <w:lvlText w:val="(%1)"/>
      <w:numFmt w:val="lowerLetter"/>
      <w:start w:val="1"/>
    </w:lvl>
  </w:abstractNum>
  <w:abstractNum w:abstractNumId="35">
    <w:nsid w:val="51088277"/>
    <w:multiLevelType w:val="hybridMultilevel"/>
    <w:lvl w:ilvl="0">
      <w:lvlJc w:val="left"/>
      <w:lvlText w:val="(%1)"/>
      <w:numFmt w:val="lowerLetter"/>
      <w:start w:val="12"/>
    </w:lvl>
  </w:abstractNum>
  <w:abstractNum w:abstractNumId="36">
    <w:nsid w:val="1CA0C5FA"/>
    <w:multiLevelType w:val="hybridMultilevel"/>
    <w:lvl w:ilvl="0">
      <w:lvlJc w:val="left"/>
      <w:lvlText w:val="(%1)"/>
      <w:numFmt w:val="lowerLetter"/>
      <w:start w:val="1"/>
    </w:lvl>
  </w:abstractNum>
  <w:abstractNum w:abstractNumId="37">
    <w:nsid w:val="53584BCB"/>
    <w:multiLevelType w:val="hybridMultilevel"/>
    <w:lvl w:ilvl="0">
      <w:lvlJc w:val="left"/>
      <w:lvlText w:val="(%1)"/>
      <w:numFmt w:val="lowerLetter"/>
      <w:start w:val="2"/>
    </w:lvl>
  </w:abstractNum>
  <w:abstractNum w:abstractNumId="38">
    <w:nsid w:val="415E286C"/>
    <w:multiLevelType w:val="hybridMultilevel"/>
    <w:lvl w:ilvl="0">
      <w:lvlJc w:val="left"/>
      <w:lvlText w:val="(%1)"/>
      <w:numFmt w:val="lowerLetter"/>
      <w:start w:val="3"/>
    </w:lvl>
  </w:abstractNum>
  <w:abstractNum w:abstractNumId="39">
    <w:nsid w:val="7C58FD05"/>
    <w:multiLevelType w:val="hybridMultilevel"/>
    <w:lvl w:ilvl="0">
      <w:lvlJc w:val="left"/>
      <w:lvlText w:val="%1"/>
      <w:numFmt w:val="decimal"/>
      <w:start w:val="1"/>
    </w:lvl>
    <w:lvl w:ilvl="1">
      <w:lvlJc w:val="left"/>
      <w:lvlText w:val="(%2)"/>
      <w:numFmt w:val="lowerLetter"/>
      <w:start w:val="1"/>
    </w:lvl>
  </w:abstractNum>
  <w:abstractNum w:abstractNumId="40">
    <w:nsid w:val="23D86AAC"/>
    <w:multiLevelType w:val="hybridMultilevel"/>
    <w:lvl w:ilvl="0">
      <w:lvlJc w:val="left"/>
      <w:lvlText w:val="%1."/>
      <w:numFmt w:val="decimal"/>
      <w:start w:val="3"/>
    </w:lvl>
    <w:lvl w:ilvl="1">
      <w:lvlJc w:val="left"/>
      <w:lvlText w:val="%2"/>
      <w:numFmt w:val="lowerLetter"/>
      <w:start w:val="1"/>
    </w:lvl>
  </w:abstractNum>
  <w:abstractNum w:abstractNumId="41">
    <w:nsid w:val="45E6D486"/>
    <w:multiLevelType w:val="hybridMultilevel"/>
    <w:lvl w:ilvl="0">
      <w:lvlJc w:val="left"/>
      <w:lvlText w:val="(%1)"/>
      <w:numFmt w:val="lowerLetter"/>
      <w:start w:val="1"/>
    </w:lvl>
  </w:abstractNum>
  <w:abstractNum w:abstractNumId="42">
    <w:nsid w:val="5C10FE21"/>
    <w:multiLevelType w:val="hybridMultilevel"/>
    <w:lvl w:ilvl="0">
      <w:lvlJc w:val="left"/>
      <w:lvlText w:val="%1."/>
      <w:numFmt w:val="decimal"/>
      <w:start w:val="4"/>
    </w:lvl>
  </w:abstractNum>
  <w:abstractNum w:abstractNumId="43">
    <w:nsid w:val="E7FFA2B"/>
    <w:multiLevelType w:val="hybridMultilevel"/>
    <w:lvl w:ilvl="0">
      <w:lvlJc w:val="left"/>
      <w:lvlText w:val="(%1)"/>
      <w:numFmt w:val="lowerLetter"/>
      <w:start w:val="1"/>
    </w:lvl>
  </w:abstractNum>
  <w:abstractNum w:abstractNumId="44">
    <w:nsid w:val="3C5991AA"/>
    <w:multiLevelType w:val="hybridMultilevel"/>
    <w:lvl w:ilvl="0">
      <w:lvlJc w:val="left"/>
      <w:lvlText w:val="(%1)"/>
      <w:numFmt w:val="lowerLetter"/>
      <w:start w:val="1"/>
    </w:lvl>
  </w:abstractNum>
  <w:abstractNum w:abstractNumId="45">
    <w:nsid w:val="4BD8591A"/>
    <w:multiLevelType w:val="hybridMultilevel"/>
    <w:lvl w:ilvl="0">
      <w:lvlJc w:val="left"/>
      <w:lvlText w:val="(%1)"/>
      <w:numFmt w:val="lowerLetter"/>
      <w:start w:val="5"/>
    </w:lvl>
  </w:abstractNum>
  <w:abstractNum w:abstractNumId="46">
    <w:nsid w:val="78DF6A55"/>
    <w:multiLevelType w:val="hybridMultilevel"/>
    <w:lvl w:ilvl="0">
      <w:lvlJc w:val="left"/>
      <w:lvlText w:val="(%1)"/>
      <w:numFmt w:val="lowerLetter"/>
      <w:start w:val="1"/>
    </w:lvl>
  </w:abstractNum>
  <w:abstractNum w:abstractNumId="47">
    <w:nsid w:val="39B7AAA2"/>
    <w:multiLevelType w:val="hybridMultilevel"/>
    <w:lvl w:ilvl="0">
      <w:lvlJc w:val="left"/>
      <w:lvlText w:val="%1."/>
      <w:numFmt w:val="decimal"/>
      <w:start w:val="5"/>
    </w:lvl>
  </w:abstractNum>
  <w:abstractNum w:abstractNumId="48">
    <w:nsid w:val="2B0D8DBE"/>
    <w:multiLevelType w:val="hybridMultilevel"/>
    <w:lvl w:ilvl="0">
      <w:lvlJc w:val="left"/>
      <w:lvlText w:val="(%1)"/>
      <w:numFmt w:val="lowerLetter"/>
      <w:start w:val="1"/>
    </w:lvl>
  </w:abstractNum>
  <w:abstractNum w:abstractNumId="49">
    <w:nsid w:val="6C80EC70"/>
    <w:multiLevelType w:val="hybridMultilevel"/>
    <w:lvl w:ilvl="0">
      <w:lvlJc w:val="left"/>
      <w:lvlText w:val="(%1)"/>
      <w:numFmt w:val="lowerLetter"/>
      <w:start w:val="2"/>
    </w:lvl>
  </w:abstractNum>
  <w:abstractNum w:abstractNumId="50">
    <w:nsid w:val="379E21B5"/>
    <w:multiLevelType w:val="hybridMultilevel"/>
    <w:lvl w:ilvl="0">
      <w:lvlJc w:val="left"/>
      <w:lvlText w:val="(%1)"/>
      <w:numFmt w:val="lowerLetter"/>
      <w:start w:val="1"/>
    </w:lvl>
  </w:abstractNum>
  <w:abstractNum w:abstractNumId="51">
    <w:nsid w:val="69E373"/>
    <w:multiLevelType w:val="hybridMultilevel"/>
    <w:lvl w:ilvl="0">
      <w:lvlJc w:val="left"/>
      <w:lvlText w:val="(%1)"/>
      <w:numFmt w:val="lowerLetter"/>
      <w:start w:val="8"/>
    </w:lvl>
  </w:abstractNum>
  <w:abstractNum w:abstractNumId="52">
    <w:nsid w:val="2C27173B"/>
    <w:multiLevelType w:val="hybridMultilevel"/>
    <w:lvl w:ilvl="0">
      <w:lvlJc w:val="left"/>
      <w:lvlText w:val="(%1)"/>
      <w:numFmt w:val="lowerLetter"/>
      <w:start w:val="1"/>
    </w:lvl>
  </w:abstractNum>
  <w:abstractNum w:abstractNumId="53">
    <w:nsid w:val="4C9B0904"/>
    <w:multiLevelType w:val="hybridMultilevel"/>
    <w:lvl w:ilvl="0">
      <w:lvlJc w:val="left"/>
      <w:lvlText w:val="(%1)"/>
      <w:numFmt w:val="lowerLetter"/>
      <w:start w:val="1"/>
    </w:lvl>
  </w:abstractNum>
  <w:abstractNum w:abstractNumId="54">
    <w:nsid w:val="6AA7B75C"/>
    <w:multiLevelType w:val="hybridMultilevel"/>
    <w:lvl w:ilvl="0">
      <w:lvlJc w:val="left"/>
      <w:lvlText w:val="(%1)"/>
      <w:numFmt w:val="decimal"/>
      <w:start w:val="8"/>
    </w:lvl>
  </w:abstractNum>
  <w:abstractNum w:abstractNumId="55">
    <w:nsid w:val="1DF029D3"/>
    <w:multiLevelType w:val="hybridMultilevel"/>
    <w:lvl w:ilvl="0">
      <w:lvlJc w:val="left"/>
      <w:lvlText w:val="(%1)"/>
      <w:numFmt w:val="lowerLetter"/>
      <w:start w:val="1"/>
    </w:lvl>
  </w:abstractNum>
  <w:abstractNum w:abstractNumId="56">
    <w:nsid w:val="5675FF36"/>
    <w:multiLevelType w:val="hybridMultilevel"/>
    <w:lvl w:ilvl="0">
      <w:lvlJc w:val="left"/>
      <w:lvlText w:val="(%1)"/>
      <w:numFmt w:val="lowerLetter"/>
      <w:start w:val="1"/>
    </w:lvl>
  </w:abstractNum>
  <w:abstractNum w:abstractNumId="57">
    <w:nsid w:val="3DD15094"/>
    <w:multiLevelType w:val="hybridMultilevel"/>
    <w:lvl w:ilvl="0">
      <w:lvlJc w:val="left"/>
      <w:lvlText w:val="(%1)"/>
      <w:numFmt w:val="lowerLetter"/>
      <w:start w:val="1"/>
    </w:lvl>
  </w:abstractNum>
  <w:abstractNum w:abstractNumId="58">
    <w:nsid w:val="3DB012B3"/>
    <w:multiLevelType w:val="hybridMultilevel"/>
    <w:lvl w:ilvl="0">
      <w:lvlJc w:val="left"/>
      <w:lvlText w:val="%1."/>
      <w:numFmt w:val="decimal"/>
      <w:start w:val="6"/>
    </w:lvl>
  </w:abstractNum>
  <w:abstractNum w:abstractNumId="59">
    <w:nsid w:val="2708C9AF"/>
    <w:multiLevelType w:val="hybridMultilevel"/>
    <w:lvl w:ilvl="0">
      <w:lvlJc w:val="left"/>
      <w:lvlText w:val="(%1)"/>
      <w:numFmt w:val="lowerLetter"/>
      <w:start w:val="3"/>
    </w:lvl>
  </w:abstractNum>
  <w:abstractNum w:abstractNumId="60">
    <w:nsid w:val="5B25ACE2"/>
    <w:multiLevelType w:val="hybridMultilevel"/>
    <w:lvl w:ilvl="0">
      <w:lvlJc w:val="left"/>
      <w:lvlText w:val="%1."/>
      <w:numFmt w:val="decimal"/>
      <w:start w:val="7"/>
    </w:lvl>
  </w:abstractNum>
  <w:abstractNum w:abstractNumId="61">
    <w:nsid w:val="175DFCF0"/>
    <w:multiLevelType w:val="hybridMultilevel"/>
    <w:lvl w:ilvl="0">
      <w:lvlJc w:val="left"/>
      <w:lvlText w:val="(%1)"/>
      <w:numFmt w:val="lowerLetter"/>
      <w:start w:val="1"/>
    </w:lvl>
  </w:abstractNum>
  <w:abstractNum w:abstractNumId="62">
    <w:nsid w:val="4F97E3E4"/>
    <w:multiLevelType w:val="hybridMultilevel"/>
    <w:lvl w:ilvl="0">
      <w:lvlJc w:val="left"/>
      <w:lvlText w:val="(%1)"/>
      <w:numFmt w:val="lowerLetter"/>
      <w:start w:val="1"/>
    </w:lvl>
  </w:abstractNum>
  <w:abstractNum w:abstractNumId="63">
    <w:nsid w:val="53B0A9E"/>
    <w:multiLevelType w:val="hybridMultilevel"/>
    <w:lvl w:ilvl="0">
      <w:lvlJc w:val="left"/>
      <w:lvlText w:val="(%1)"/>
      <w:numFmt w:val="lowerLetter"/>
      <w:start w:val="1"/>
    </w:lvl>
    <w:lvl w:ilvl="1">
      <w:lvlJc w:val="left"/>
      <w:lvlText w:val="%2."/>
      <w:numFmt w:val="decimal"/>
      <w:start w:val="8"/>
    </w:lvl>
  </w:abstractNum>
  <w:abstractNum w:abstractNumId="64">
    <w:nsid w:val="34FD6B4F"/>
    <w:multiLevelType w:val="hybridMultilevel"/>
    <w:lvl w:ilvl="0">
      <w:lvlJc w:val="left"/>
      <w:lvlText w:val="(%1)"/>
      <w:numFmt w:val="lowerLetter"/>
      <w:start w:val="1"/>
    </w:lvl>
  </w:abstractNum>
  <w:abstractNum w:abstractNumId="65">
    <w:nsid w:val="5915FF32"/>
    <w:multiLevelType w:val="hybridMultilevel"/>
    <w:lvl w:ilvl="0">
      <w:lvlJc w:val="left"/>
      <w:lvlText w:val="(%1)"/>
      <w:numFmt w:val="lowerLetter"/>
      <w:start w:val="3"/>
    </w:lvl>
  </w:abstractNum>
  <w:abstractNum w:abstractNumId="66">
    <w:nsid w:val="56438D15"/>
    <w:multiLevelType w:val="hybridMultilevel"/>
    <w:lvl w:ilvl="0">
      <w:lvlJc w:val="left"/>
      <w:lvlText w:val="%1."/>
      <w:numFmt w:val="decimal"/>
      <w:start w:val="9"/>
    </w:lvl>
  </w:abstractNum>
  <w:abstractNum w:abstractNumId="67">
    <w:nsid w:val="519E3149"/>
    <w:multiLevelType w:val="hybridMultilevel"/>
    <w:lvl w:ilvl="0">
      <w:lvlJc w:val="left"/>
      <w:lvlText w:val="(%1)"/>
      <w:numFmt w:val="lowerLetter"/>
      <w:start w:val="3"/>
    </w:lvl>
  </w:abstractNum>
  <w:abstractNum w:abstractNumId="68">
    <w:nsid w:val="2C6E4AFD"/>
    <w:multiLevelType w:val="hybridMultilevel"/>
    <w:lvl w:ilvl="0">
      <w:lvlJc w:val="left"/>
      <w:lvlText w:val="%1."/>
      <w:numFmt w:val="decimal"/>
      <w:start w:val="10"/>
    </w:lvl>
  </w:abstractNum>
  <w:abstractNum w:abstractNumId="69">
    <w:nsid w:val="17A1B582"/>
    <w:multiLevelType w:val="hybridMultilevel"/>
    <w:lvl w:ilvl="0">
      <w:lvlJc w:val="left"/>
      <w:lvlText w:val="%1."/>
      <w:numFmt w:val="decimal"/>
      <w:start w:val="11"/>
    </w:lvl>
  </w:abstractNum>
  <w:abstractNum w:abstractNumId="70">
    <w:nsid w:val="4DF72E4E"/>
    <w:multiLevelType w:val="hybridMultilevel"/>
    <w:lvl w:ilvl="0">
      <w:lvlJc w:val="left"/>
      <w:lvlText w:val="(%1)"/>
      <w:numFmt w:val="lowerLetter"/>
      <w:start w:val="1"/>
    </w:lvl>
  </w:abstractNum>
  <w:abstractNum w:abstractNumId="71">
    <w:nsid w:val="5046B5A9"/>
    <w:multiLevelType w:val="hybridMultilevel"/>
    <w:lvl w:ilvl="0">
      <w:lvlJc w:val="left"/>
      <w:lvlText w:val="%1."/>
      <w:numFmt w:val="decimal"/>
      <w:start w:val="12"/>
    </w:lvl>
    <w:lvl w:ilvl="1">
      <w:lvlJc w:val="left"/>
      <w:lvlText w:val="(%2)"/>
      <w:numFmt w:val="lowerLetter"/>
      <w:start w:val="1"/>
    </w:lvl>
  </w:abstractNum>
  <w:abstractNum w:abstractNumId="72">
    <w:nsid w:val="5D888A08"/>
    <w:multiLevelType w:val="hybridMultilevel"/>
    <w:lvl w:ilvl="0">
      <w:lvlJc w:val="left"/>
      <w:lvlText w:val="(%1)"/>
      <w:numFmt w:val="lowerLetter"/>
      <w:start w:val="1"/>
    </w:lvl>
  </w:abstractNum>
  <w:abstractNum w:abstractNumId="73">
    <w:nsid w:val="2A082C70"/>
    <w:multiLevelType w:val="hybridMultilevel"/>
    <w:lvl w:ilvl="0">
      <w:lvlJc w:val="left"/>
      <w:lvlText w:val="(%1)"/>
      <w:numFmt w:val="lowerLetter"/>
      <w:start w:val="1"/>
    </w:lvl>
    <w:lvl w:ilvl="1">
      <w:lvlJc w:val="left"/>
      <w:lvlText w:val="(%2)"/>
      <w:numFmt w:val="lowerRoman"/>
      <w:start w:val="1"/>
    </w:lvl>
  </w:abstractNum>
  <w:abstractNum w:abstractNumId="74">
    <w:nsid w:val="5EC6AFD4"/>
    <w:multiLevelType w:val="hybridMultilevel"/>
    <w:lvl w:ilvl="0">
      <w:lvlJc w:val="left"/>
      <w:lvlText w:val="(%1)"/>
      <w:numFmt w:val="lowerLetter"/>
      <w:start w:val="3"/>
    </w:lvl>
  </w:abstractNum>
  <w:abstractNum w:abstractNumId="75">
    <w:nsid w:val="19E21BB2"/>
    <w:multiLevelType w:val="hybridMultilevel"/>
    <w:lvl w:ilvl="0">
      <w:lvlJc w:val="left"/>
      <w:lvlText w:val="(%1)"/>
      <w:numFmt w:val="lowerLetter"/>
      <w:start w:val="1"/>
    </w:lvl>
  </w:abstractNum>
  <w:abstractNum w:abstractNumId="76">
    <w:nsid w:val="75E0858A"/>
    <w:multiLevelType w:val="hybridMultilevel"/>
    <w:lvl w:ilvl="0">
      <w:lvlJc w:val="left"/>
      <w:lvlText w:val="(%1)"/>
      <w:numFmt w:val="lowerLetter"/>
      <w:start w:val="1"/>
    </w:lvl>
  </w:abstractNum>
  <w:abstractNum w:abstractNumId="77">
    <w:nsid w:val="57A61A29"/>
    <w:multiLevelType w:val="hybridMultilevel"/>
    <w:lvl w:ilvl="0">
      <w:lvlJc w:val="left"/>
      <w:lvlText w:val="(%1)"/>
      <w:numFmt w:val="lowerLetter"/>
      <w:start w:val="1"/>
    </w:lvl>
  </w:abstractNum>
  <w:abstractNum w:abstractNumId="78">
    <w:nsid w:val="5399C654"/>
    <w:multiLevelType w:val="hybridMultilevel"/>
    <w:lvl w:ilvl="0">
      <w:lvlJc w:val="left"/>
      <w:lvlText w:val="(%1)"/>
      <w:numFmt w:val="lowerLetter"/>
      <w:start w:val="1"/>
    </w:lvl>
  </w:abstractNum>
  <w:abstractNum w:abstractNumId="79">
    <w:nsid w:val="20EE1348"/>
    <w:multiLevelType w:val="hybridMultilevel"/>
    <w:lvl w:ilvl="0">
      <w:lvlJc w:val="left"/>
      <w:lvlText w:val="(%1)"/>
      <w:numFmt w:val="lowerLetter"/>
      <w:start w:val="6"/>
    </w:lvl>
  </w:abstractNum>
  <w:abstractNum w:abstractNumId="80">
    <w:nsid w:val="4427069A"/>
    <w:multiLevelType w:val="hybridMultilevel"/>
    <w:lvl w:ilvl="0">
      <w:lvlJc w:val="left"/>
      <w:lvlText w:val="(%1)"/>
      <w:numFmt w:val="lowerLetter"/>
      <w:start w:val="8"/>
    </w:lvl>
  </w:abstractNum>
  <w:abstractNum w:abstractNumId="81">
    <w:nsid w:val="B37E80A"/>
    <w:multiLevelType w:val="hybridMultilevel"/>
    <w:lvl w:ilvl="0">
      <w:lvlJc w:val="left"/>
      <w:lvlText w:val="(%1)"/>
      <w:numFmt w:val="lowerLetter"/>
      <w:start w:val="2"/>
    </w:lvl>
  </w:abstractNum>
  <w:abstractNum w:abstractNumId="82">
    <w:nsid w:val="2157F6BC"/>
    <w:multiLevelType w:val="hybridMultilevel"/>
    <w:lvl w:ilvl="0">
      <w:lvlJc w:val="left"/>
      <w:lvlText w:val="(%1)"/>
      <w:numFmt w:val="lowerLetter"/>
      <w:start w:val="3"/>
    </w:lvl>
  </w:abstractNum>
  <w:abstractNum w:abstractNumId="83">
    <w:nsid w:val="704E1DD5"/>
    <w:multiLevelType w:val="hybridMultilevel"/>
    <w:lvl w:ilvl="0">
      <w:lvlJc w:val="left"/>
      <w:lvlText w:val="(%1)"/>
      <w:numFmt w:val="lowerLetter"/>
      <w:start w:val="19"/>
    </w:lvl>
  </w:abstractNum>
  <w:abstractNum w:abstractNumId="84">
    <w:nsid w:val="57D2F10E"/>
    <w:multiLevelType w:val="hybridMultilevel"/>
    <w:lvl w:ilvl="0">
      <w:lvlJc w:val="left"/>
      <w:lvlText w:val="(%1)"/>
      <w:numFmt w:val="lowerLetter"/>
      <w:start w:val="27"/>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Letter"/>
      <w:start w:val="2"/>
    </w:lvl>
  </w:abstractNum>
  <w:abstractNum w:abstractNumId="87">
    <w:nsid w:val="2E48F044"/>
    <w:multiLevelType w:val="hybridMultilevel"/>
    <w:lvl w:ilvl="0">
      <w:lvlJc w:val="left"/>
      <w:lvlText w:val="(%1)"/>
      <w:numFmt w:val="decimal"/>
      <w:start w:val="18"/>
    </w:lvl>
  </w:abstractNum>
  <w:abstractNum w:abstractNumId="88">
    <w:nsid w:val="49D0FEAC"/>
    <w:multiLevelType w:val="hybridMultilevel"/>
    <w:lvl w:ilvl="0">
      <w:lvlJc w:val="left"/>
      <w:lvlText w:val="%1."/>
      <w:numFmt w:val="upperLetter"/>
      <w:start w:val="9"/>
    </w:lvl>
  </w:abstractNum>
  <w:abstractNum w:abstractNumId="89">
    <w:nsid w:val="4BEE5A5B"/>
    <w:multiLevelType w:val="hybridMultilevel"/>
    <w:lvl w:ilvl="0">
      <w:lvlJc w:val="left"/>
      <w:lvlText w:val="%1."/>
      <w:numFmt w:val="decimal"/>
      <w:start w:val="1"/>
    </w:lvl>
    <w:lvl w:ilvl="1">
      <w:lvlJc w:val="left"/>
      <w:lvlText w:val="(%2)"/>
      <w:numFmt w:val="lowerLetter"/>
      <w:start w:val="1"/>
    </w:lvl>
  </w:abstractNum>
  <w:abstractNum w:abstractNumId="90">
    <w:nsid w:val="5551B9F3"/>
    <w:multiLevelType w:val="hybridMultilevel"/>
    <w:lvl w:ilvl="0">
      <w:lvlJc w:val="left"/>
      <w:lvlText w:val="(%1)"/>
      <w:numFmt w:val="lowerLetter"/>
      <w:start w:val="2"/>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lowerLetter"/>
      <w:start w:val="1"/>
    </w:lvl>
    <w:lvl w:ilvl="1">
      <w:lvlJc w:val="left"/>
      <w:lvlText w:val="(%2)"/>
      <w:numFmt w:val="lowerLetter"/>
      <w:start w:val="9"/>
    </w:lvl>
  </w:abstractNum>
  <w:abstractNum w:abstractNumId="93">
    <w:nsid w:val="24E99DD7"/>
    <w:multiLevelType w:val="hybridMultilevel"/>
    <w:lvl w:ilvl="0">
      <w:lvlJc w:val="left"/>
      <w:lvlText w:val="(%1)"/>
      <w:numFmt w:val="lowerRoman"/>
      <w:start w:val="2"/>
    </w:lvl>
  </w:abstractNum>
  <w:abstractNum w:abstractNumId="94">
    <w:nsid w:val="2A31B62D"/>
    <w:multiLevelType w:val="hybridMultilevel"/>
    <w:lvl w:ilvl="0">
      <w:lvlJc w:val="left"/>
      <w:lvlText w:val="(%1)"/>
      <w:numFmt w:val="lowerLetter"/>
      <w:start w:val="2"/>
    </w:lvl>
    <w:lvl w:ilvl="1">
      <w:lvlJc w:val="left"/>
      <w:lvlText w:val="(%2)"/>
      <w:numFmt w:val="lowerLetter"/>
      <w:start w:val="9"/>
    </w:lvl>
  </w:abstractNum>
  <w:abstractNum w:abstractNumId="95">
    <w:nsid w:val="1849C29B"/>
    <w:multiLevelType w:val="hybridMultilevel"/>
    <w:lvl w:ilvl="0">
      <w:lvlJc w:val="left"/>
      <w:lvlText w:val="(%1)"/>
      <w:numFmt w:val="lowerRoman"/>
      <w:start w:val="1"/>
    </w:lvl>
  </w:abstractNum>
  <w:abstractNum w:abstractNumId="96">
    <w:nsid w:val="7DFF9D09"/>
    <w:multiLevelType w:val="hybridMultilevel"/>
    <w:lvl w:ilvl="0">
      <w:lvlJc w:val="left"/>
      <w:lvlText w:val="%1"/>
      <w:numFmt w:val="lowerLetter"/>
      <w:start w:val="1"/>
    </w:lvl>
    <w:lvl w:ilvl="1">
      <w:lvlJc w:val="left"/>
      <w:lvlText w:val="(%2)"/>
      <w:numFmt w:val="lowerLetter"/>
      <w:start w:val="9"/>
    </w:lvl>
  </w:abstractNum>
  <w:abstractNum w:abstractNumId="97">
    <w:nsid w:val="754342"/>
    <w:multiLevelType w:val="hybridMultilevel"/>
    <w:lvl w:ilvl="0">
      <w:lvlJc w:val="left"/>
      <w:lvlText w:val="(%1)"/>
      <w:numFmt w:val="lowerLetter"/>
      <w:start w:val="3"/>
    </w:lvl>
    <w:lvl w:ilvl="1">
      <w:lvlJc w:val="left"/>
      <w:lvlText w:val="%2"/>
      <w:numFmt w:val="lowerLetter"/>
      <w:start w:val="1"/>
    </w:lvl>
  </w:abstractNum>
  <w:abstractNum w:abstractNumId="98">
    <w:nsid w:val="69E7F3E5"/>
    <w:multiLevelType w:val="hybridMultilevel"/>
    <w:lvl w:ilvl="0">
      <w:lvlJc w:val="left"/>
      <w:lvlText w:val="(%1)"/>
      <w:numFmt w:val="lowerLetter"/>
      <w:start w:val="4"/>
    </w:lvl>
  </w:abstractNum>
  <w:abstractNum w:abstractNumId="99">
    <w:nsid w:val="2A6DE806"/>
    <w:multiLevelType w:val="hybridMultilevel"/>
    <w:lvl w:ilvl="0">
      <w:lvlJc w:val="left"/>
      <w:lvlText w:val="(%1)"/>
      <w:numFmt w:val="lowerLetter"/>
      <w:start w:val="1"/>
    </w:lvl>
  </w:abstractNum>
  <w:abstractNum w:abstractNumId="100">
    <w:nsid w:val="1816F8C4"/>
    <w:multiLevelType w:val="hybridMultilevel"/>
    <w:lvl w:ilvl="0">
      <w:lvlJc w:val="left"/>
      <w:lvlText w:val="(%1)"/>
      <w:numFmt w:val="lowerLetter"/>
      <w:start w:val="2"/>
    </w:lvl>
  </w:abstractNum>
  <w:abstractNum w:abstractNumId="101">
    <w:nsid w:val="37DF2233"/>
    <w:multiLevelType w:val="hybridMultilevel"/>
    <w:lvl w:ilvl="0">
      <w:lvlJc w:val="left"/>
      <w:lvlText w:val="("/>
      <w:numFmt w:val="bullet"/>
      <w:start w:val="1"/>
    </w:lvl>
  </w:abstractNum>
  <w:abstractNum w:abstractNumId="102">
    <w:nsid w:val="7AB49DAF"/>
    <w:multiLevelType w:val="hybridMultilevel"/>
    <w:lvl w:ilvl="0">
      <w:lvlJc w:val="left"/>
      <w:lvlText w:val="(%1)"/>
      <w:numFmt w:val="lowerLetter"/>
      <w:start w:val="1"/>
    </w:lvl>
  </w:abstractNum>
  <w:abstractNum w:abstractNumId="103">
    <w:nsid w:val="759F82CD"/>
    <w:multiLevelType w:val="hybridMultilevel"/>
    <w:lvl w:ilvl="0">
      <w:lvlJc w:val="left"/>
      <w:lvlText w:val="(%1)"/>
      <w:numFmt w:val="lowerLetter"/>
      <w:start w:val="2"/>
    </w:lvl>
  </w:abstractNum>
  <w:abstractNum w:abstractNumId="104">
    <w:nsid w:val="61E74EA3"/>
    <w:multiLevelType w:val="hybridMultilevel"/>
    <w:lvl w:ilvl="0">
      <w:lvlJc w:val="left"/>
      <w:lvlText w:val="%1"/>
      <w:numFmt w:val="upperLetter"/>
      <w:start w:val="1"/>
    </w:lvl>
    <w:lvl w:ilvl="1">
      <w:lvlJc w:val="left"/>
      <w:lvlText w:val="(%2)"/>
      <w:numFmt w:val="lowerLetter"/>
      <w:start w:val="1"/>
    </w:lvl>
  </w:abstractNum>
  <w:abstractNum w:abstractNumId="105">
    <w:nsid w:val="597B4D84"/>
    <w:multiLevelType w:val="hybridMultilevel"/>
    <w:lvl w:ilvl="0">
      <w:lvlJc w:val="left"/>
      <w:lvlText w:val="(%1)"/>
      <w:numFmt w:val="upperLetter"/>
      <w:start w:val="3"/>
    </w:lvl>
    <w:lvl w:ilvl="1">
      <w:lvlJc w:val="left"/>
      <w:lvlText w:val="(%2)"/>
      <w:numFmt w:val="lowerLetter"/>
      <w:start w:val="2"/>
    </w:lvl>
  </w:abstractNum>
  <w:abstractNum w:abstractNumId="106">
    <w:nsid w:val="F819E7F"/>
    <w:multiLevelType w:val="hybridMultilevel"/>
    <w:lvl w:ilvl="0">
      <w:lvlJc w:val="left"/>
      <w:lvlText w:val="(%1)"/>
      <w:numFmt w:val="lowerLetter"/>
      <w:start w:val="1"/>
    </w:lvl>
  </w:abstractNum>
  <w:abstractNum w:abstractNumId="107">
    <w:nsid w:val="57C7D42D"/>
    <w:multiLevelType w:val="hybridMultilevel"/>
    <w:lvl w:ilvl="0">
      <w:lvlJc w:val="left"/>
      <w:lvlText w:val="(%1)"/>
      <w:numFmt w:val="lowerLetter"/>
      <w:start w:val="2"/>
    </w:lvl>
  </w:abstractNum>
  <w:abstractNum w:abstractNumId="108">
    <w:nsid w:val="312167AD"/>
    <w:multiLevelType w:val="hybridMultilevel"/>
    <w:lvl w:ilvl="0">
      <w:lvlJc w:val="left"/>
      <w:lvlText w:val="(%1)"/>
      <w:numFmt w:val="lowerLetter"/>
      <w:start w:val="1"/>
    </w:lvl>
  </w:abstractNum>
  <w:abstractNum w:abstractNumId="109">
    <w:nsid w:val="631B64D4"/>
    <w:multiLevelType w:val="hybridMultilevel"/>
    <w:lvl w:ilvl="0">
      <w:lvlJc w:val="left"/>
      <w:lvlText w:val="%1"/>
      <w:numFmt w:val="decimal"/>
      <w:start w:val="1"/>
    </w:lvl>
    <w:lvl w:ilvl="1">
      <w:lvlJc w:val="left"/>
      <w:lvlText w:val="(%2)"/>
      <w:numFmt w:val="lowerLetter"/>
      <w:start w:val="1"/>
    </w:lvl>
  </w:abstractNum>
  <w:abstractNum w:abstractNumId="110">
    <w:nsid w:val="78B5E776"/>
    <w:multiLevelType w:val="hybridMultilevel"/>
    <w:lvl w:ilvl="0">
      <w:lvlJc w:val="left"/>
      <w:lvlText w:val="%1."/>
      <w:numFmt w:val="decimal"/>
      <w:start w:val="2"/>
    </w:lvl>
    <w:lvl w:ilvl="1">
      <w:lvlJc w:val="left"/>
      <w:lvlText w:val="%2"/>
      <w:numFmt w:val="lowerLetter"/>
      <w:start w:val="1"/>
    </w:lvl>
  </w:abstractNum>
  <w:abstractNum w:abstractNumId="111">
    <w:nsid w:val="75486E47"/>
    <w:multiLevelType w:val="hybridMultilevel"/>
    <w:lvl w:ilvl="0">
      <w:lvlJc w:val="left"/>
      <w:lvlText w:val="(%1)"/>
      <w:numFmt w:val="lowerLetter"/>
      <w:start w:val="1"/>
    </w:lvl>
  </w:abstractNum>
  <w:abstractNum w:abstractNumId="112">
    <w:nsid w:val="6E534CDE"/>
    <w:multiLevelType w:val="hybridMultilevel"/>
    <w:lvl w:ilvl="0">
      <w:lvlJc w:val="left"/>
      <w:lvlText w:val="(%1)"/>
      <w:numFmt w:val="lowerLetter"/>
      <w:start w:val="5"/>
    </w:lvl>
  </w:abstractNum>
  <w:abstractNum w:abstractNumId="113">
    <w:nsid w:val="1A0DDE32"/>
    <w:multiLevelType w:val="hybridMultilevel"/>
    <w:lvl w:ilvl="0">
      <w:lvlJc w:val="left"/>
      <w:lvlText w:val="(%1)"/>
      <w:numFmt w:val="lowerLetter"/>
      <w:start w:val="10"/>
    </w:lvl>
  </w:abstractNum>
  <w:abstractNum w:abstractNumId="114">
    <w:nsid w:val="65968C1C"/>
    <w:multiLevelType w:val="hybridMultilevel"/>
    <w:lvl w:ilvl="0">
      <w:lvlJc w:val="left"/>
      <w:lvlText w:val="(%1)"/>
      <w:numFmt w:val="lowerLetter"/>
      <w:start w:val="12"/>
    </w:lvl>
  </w:abstractNum>
  <w:abstractNum w:abstractNumId="115">
    <w:nsid w:val="46263DEC"/>
    <w:multiLevelType w:val="hybridMultilevel"/>
    <w:lvl w:ilvl="0">
      <w:lvlJc w:val="left"/>
      <w:lvlText w:val="(%1)"/>
      <w:numFmt w:val="lowerLetter"/>
      <w:start w:val="1"/>
    </w:lvl>
  </w:abstractNum>
  <w:abstractNum w:abstractNumId="116">
    <w:nsid w:val="260D8C4A"/>
    <w:multiLevelType w:val="hybridMultilevel"/>
    <w:lvl w:ilvl="0">
      <w:lvlJc w:val="left"/>
      <w:lvlText w:val="(%1)"/>
      <w:numFmt w:val="lowerLetter"/>
      <w:start w:val="2"/>
    </w:lvl>
  </w:abstractNum>
  <w:abstractNum w:abstractNumId="117">
    <w:nsid w:val="73D4D3C4"/>
    <w:multiLevelType w:val="hybridMultilevel"/>
    <w:lvl w:ilvl="0">
      <w:lvlJc w:val="left"/>
      <w:lvlText w:val="(%1)"/>
      <w:numFmt w:val="lowerLetter"/>
      <w:start w:val="1"/>
    </w:lvl>
  </w:abstractNum>
  <w:abstractNum w:abstractNumId="118">
    <w:nsid w:val="746F2E30"/>
    <w:multiLevelType w:val="hybridMultilevel"/>
    <w:lvl w:ilvl="0">
      <w:lvlJc w:val="left"/>
      <w:lvlText w:val="%1."/>
      <w:numFmt w:val="decimal"/>
      <w:start w:val="3"/>
    </w:lvl>
  </w:abstractNum>
  <w:abstractNum w:abstractNumId="119">
    <w:nsid w:val="6FDE8AF6"/>
    <w:multiLevelType w:val="hybridMultilevel"/>
    <w:lvl w:ilvl="0">
      <w:lvlJc w:val="left"/>
      <w:lvlText w:val="(%1)"/>
      <w:numFmt w:val="lowerLetter"/>
      <w:start w:val="1"/>
    </w:lvl>
  </w:abstractNum>
  <w:abstractNum w:abstractNumId="120">
    <w:nsid w:val="3FC32E20"/>
    <w:multiLevelType w:val="hybridMultilevel"/>
    <w:lvl w:ilvl="0">
      <w:lvlJc w:val="left"/>
      <w:lvlText w:val="%1."/>
      <w:numFmt w:val="decimal"/>
      <w:start w:val="4"/>
    </w:lvl>
  </w:abstractNum>
  <w:abstractNum w:abstractNumId="121">
    <w:nsid w:val="49C0E823"/>
    <w:multiLevelType w:val="hybridMultilevel"/>
    <w:lvl w:ilvl="0">
      <w:lvlJc w:val="left"/>
      <w:lvlText w:val="(%1)"/>
      <w:numFmt w:val="lowerLetter"/>
      <w:start w:val="1"/>
    </w:lvl>
  </w:abstractNum>
  <w:abstractNum w:abstractNumId="122">
    <w:nsid w:val="14D53685"/>
    <w:multiLevelType w:val="hybridMultilevel"/>
    <w:lvl w:ilvl="0">
      <w:lvlJc w:val="left"/>
      <w:lvlText w:val="(%1)"/>
      <w:numFmt w:val="lowerLetter"/>
      <w:start w:val="3"/>
    </w:lvl>
  </w:abstractNum>
  <w:abstractNum w:abstractNumId="123">
    <w:nsid w:val="230F856C"/>
    <w:multiLevelType w:val="hybridMultilevel"/>
    <w:lvl w:ilvl="0">
      <w:lvlJc w:val="left"/>
      <w:lvlText w:val="(%1)"/>
      <w:numFmt w:val="lowerLetter"/>
      <w:start w:val="1"/>
    </w:lvl>
  </w:abstractNum>
  <w:abstractNum w:abstractNumId="124">
    <w:nsid w:val="6EAA85FB"/>
    <w:multiLevelType w:val="hybridMultilevel"/>
    <w:lvl w:ilvl="0">
      <w:lvlJc w:val="left"/>
      <w:lvlText w:val="(%1)"/>
      <w:numFmt w:val="lowerLetter"/>
      <w:start w:val="1"/>
    </w:lvl>
  </w:abstractNum>
  <w:abstractNum w:abstractNumId="125">
    <w:nsid w:val="3F06ECB2"/>
    <w:multiLevelType w:val="hybridMultilevel"/>
    <w:lvl w:ilvl="0">
      <w:lvlJc w:val="left"/>
      <w:lvlText w:val="(%1)"/>
      <w:numFmt w:val="lowerLetter"/>
      <w:start w:val="2"/>
    </w:lvl>
  </w:abstractNum>
  <w:abstractNum w:abstractNumId="126">
    <w:nsid w:val="3B594807"/>
    <w:multiLevelType w:val="hybridMultilevel"/>
    <w:lvl w:ilvl="0">
      <w:lvlJc w:val="left"/>
      <w:lvlText w:val="(%1)"/>
      <w:numFmt w:val="lowerLetter"/>
      <w:start w:val="1"/>
    </w:lvl>
  </w:abstractNum>
  <w:abstractNum w:abstractNumId="127">
    <w:nsid w:val="6CAA2304"/>
    <w:multiLevelType w:val="hybridMultilevel"/>
    <w:lvl w:ilvl="0">
      <w:lvlJc w:val="left"/>
      <w:lvlText w:val="(%1)"/>
      <w:numFmt w:val="lowerLetter"/>
      <w:start w:val="2"/>
    </w:lvl>
  </w:abstractNum>
  <w:abstractNum w:abstractNumId="128">
    <w:nsid w:val="3F7C2FF4"/>
    <w:multiLevelType w:val="hybridMultilevel"/>
    <w:lvl w:ilvl="0">
      <w:lvlJc w:val="left"/>
      <w:lvlText w:val="%1."/>
      <w:numFmt w:val="decimal"/>
      <w:start w:val="5"/>
    </w:lvl>
  </w:abstractNum>
  <w:abstractNum w:abstractNumId="129">
    <w:nsid w:val="25413BEC"/>
    <w:multiLevelType w:val="hybridMultilevel"/>
    <w:lvl w:ilvl="0">
      <w:lvlJc w:val="left"/>
      <w:lvlText w:val="(%1)"/>
      <w:numFmt w:val="lowerLetter"/>
      <w:start w:val="1"/>
    </w:lvl>
  </w:abstractNum>
  <w:abstractNum w:abstractNumId="130">
    <w:nsid w:val="17180B0B"/>
    <w:multiLevelType w:val="hybridMultilevel"/>
    <w:lvl w:ilvl="0">
      <w:lvlJc w:val="left"/>
      <w:lvlText w:val="(%1)"/>
      <w:numFmt w:val="lowerLetter"/>
      <w:start w:val="2"/>
    </w:lvl>
  </w:abstractNum>
  <w:abstractNum w:abstractNumId="131">
    <w:nsid w:val="579328B9"/>
    <w:multiLevelType w:val="hybridMultilevel"/>
    <w:lvl w:ilvl="0">
      <w:lvlJc w:val="left"/>
      <w:lvlText w:val="(%1)"/>
      <w:numFmt w:val="lowerLetter"/>
      <w:start w:val="1"/>
    </w:lvl>
  </w:abstractNum>
  <w:abstractNum w:abstractNumId="132">
    <w:nsid w:val="5D205E20"/>
    <w:multiLevelType w:val="hybridMultilevel"/>
    <w:lvl w:ilvl="0">
      <w:lvlJc w:val="left"/>
      <w:lvlText w:val="(%1)"/>
      <w:numFmt w:val="lowerLetter"/>
      <w:start w:val="1"/>
    </w:lvl>
  </w:abstractNum>
  <w:abstractNum w:abstractNumId="133">
    <w:nsid w:val="11CCA8BA"/>
    <w:multiLevelType w:val="hybridMultilevel"/>
    <w:lvl w:ilvl="0">
      <w:lvlJc w:val="left"/>
      <w:lvlText w:val="(%1)"/>
      <w:numFmt w:val="lowerLetter"/>
      <w:start w:val="6"/>
    </w:lvl>
  </w:abstractNum>
  <w:abstractNum w:abstractNumId="134">
    <w:nsid w:val="4D32AB86"/>
    <w:multiLevelType w:val="hybridMultilevel"/>
    <w:lvl w:ilvl="0">
      <w:lvlJc w:val="left"/>
      <w:lvlText w:val="(%1)"/>
      <w:numFmt w:val="lowerLetter"/>
      <w:start w:val="1"/>
    </w:lvl>
  </w:abstractNum>
  <w:abstractNum w:abstractNumId="135">
    <w:nsid w:val="3F07ACC3"/>
    <w:multiLevelType w:val="hybridMultilevel"/>
    <w:lvl w:ilvl="0">
      <w:lvlJc w:val="left"/>
      <w:lvlText w:val="(%1)"/>
      <w:numFmt w:val="lowerLetter"/>
      <w:start w:val="6"/>
    </w:lvl>
  </w:abstractNum>
  <w:abstractNum w:abstractNumId="136">
    <w:nsid w:val="6B47F63E"/>
    <w:multiLevelType w:val="hybridMultilevel"/>
    <w:lvl w:ilvl="0">
      <w:lvlJc w:val="left"/>
      <w:lvlText w:val="(%1)"/>
      <w:numFmt w:val="lowerLetter"/>
      <w:start w:val="1"/>
    </w:lvl>
  </w:abstractNum>
  <w:abstractNum w:abstractNumId="137">
    <w:nsid w:val="5CB44A05"/>
    <w:multiLevelType w:val="hybridMultilevel"/>
    <w:lvl w:ilvl="0">
      <w:lvlJc w:val="left"/>
      <w:lvlText w:val="(%1)"/>
      <w:numFmt w:val="decimal"/>
      <w:start w:val="12"/>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1)"/>
      <w:numFmt w:val="lowerLetter"/>
      <w:start w:val="1"/>
    </w:lvl>
  </w:abstractNum>
  <w:abstractNum w:abstractNumId="140">
    <w:nsid w:val="3FCFAED9"/>
    <w:multiLevelType w:val="hybridMultilevel"/>
    <w:lvl w:ilvl="0">
      <w:lvlJc w:val="left"/>
      <w:lvlText w:val="(%1)"/>
      <w:numFmt w:val="lowerLetter"/>
      <w:start w:val="2"/>
    </w:lvl>
  </w:abstractNum>
  <w:abstractNum w:abstractNumId="141">
    <w:nsid w:val="F856867"/>
    <w:multiLevelType w:val="hybridMultilevel"/>
    <w:lvl w:ilvl="0">
      <w:lvlJc w:val="left"/>
      <w:lvlText w:val="(%1)"/>
      <w:numFmt w:val="lowerLetter"/>
      <w:start w:val="1"/>
    </w:lvl>
  </w:abstractNum>
  <w:abstractNum w:abstractNumId="142">
    <w:nsid w:val="11B1CC33"/>
    <w:multiLevelType w:val="hybridMultilevel"/>
    <w:lvl w:ilvl="0">
      <w:lvlJc w:val="left"/>
      <w:lvlText w:val="(%1)"/>
      <w:numFmt w:val="lowerLetter"/>
      <w:start w:val="2"/>
    </w:lvl>
  </w:abstractNum>
  <w:abstractNum w:abstractNumId="143">
    <w:nsid w:val="2E22FBB7"/>
    <w:multiLevelType w:val="hybridMultilevel"/>
    <w:lvl w:ilvl="0">
      <w:lvlJc w:val="left"/>
      <w:lvlText w:val="%1"/>
      <w:numFmt w:val="decimal"/>
      <w:start w:val="1"/>
    </w:lvl>
    <w:lvl w:ilvl="1">
      <w:lvlJc w:val="left"/>
      <w:lvlText w:val="(%2)"/>
      <w:numFmt w:val="lowerLetter"/>
      <w:start w:val="1"/>
    </w:lvl>
  </w:abstractNum>
  <w:abstractNum w:abstractNumId="144">
    <w:nsid w:val="29934699"/>
    <w:multiLevelType w:val="hybridMultilevel"/>
    <w:lvl w:ilvl="0">
      <w:lvlJc w:val="left"/>
      <w:lvlText w:val="%1."/>
      <w:numFmt w:val="decimal"/>
      <w:start w:val="6"/>
    </w:lvl>
    <w:lvl w:ilvl="1">
      <w:lvlJc w:val="left"/>
      <w:lvlText w:val="%2"/>
      <w:numFmt w:val="lowerLetter"/>
      <w:start w:val="1"/>
    </w:lvl>
  </w:abstractNum>
  <w:abstractNum w:abstractNumId="145">
    <w:nsid w:val="77485850"/>
    <w:multiLevelType w:val="hybridMultilevel"/>
    <w:lvl w:ilvl="0">
      <w:lvlJc w:val="left"/>
      <w:lvlText w:val="(%1)"/>
      <w:numFmt w:val="lowerLetter"/>
      <w:start w:val="3"/>
    </w:lvl>
  </w:abstractNum>
  <w:abstractNum w:abstractNumId="146">
    <w:nsid w:val="744939A3"/>
    <w:multiLevelType w:val="hybridMultilevel"/>
    <w:lvl w:ilvl="0">
      <w:lvlJc w:val="left"/>
      <w:lvlText w:val="%1."/>
      <w:numFmt w:val="decimal"/>
      <w:start w:val="7"/>
    </w:lvl>
  </w:abstractNum>
  <w:abstractNum w:abstractNumId="147">
    <w:nsid w:val="4FA0D2E3"/>
    <w:multiLevelType w:val="hybridMultilevel"/>
    <w:lvl w:ilvl="0">
      <w:lvlJc w:val="left"/>
      <w:lvlText w:val="(%1)"/>
      <w:numFmt w:val="lowerLetter"/>
      <w:start w:val="1"/>
    </w:lvl>
  </w:abstractNum>
  <w:abstractNum w:abstractNumId="148">
    <w:nsid w:val="6B1D2C14"/>
    <w:multiLevelType w:val="hybridMultilevel"/>
    <w:lvl w:ilvl="0">
      <w:lvlJc w:val="left"/>
      <w:lvlText w:val="(%1)"/>
      <w:numFmt w:val="lowerLetter"/>
      <w:start w:val="1"/>
    </w:lvl>
  </w:abstractNum>
  <w:abstractNum w:abstractNumId="149">
    <w:nsid w:val="68B867D3"/>
    <w:multiLevelType w:val="hybridMultilevel"/>
    <w:lvl w:ilvl="0">
      <w:lvlJc w:val="left"/>
      <w:lvlText w:val="(%1)"/>
      <w:numFmt w:val="lowerLetter"/>
      <w:start w:val="1"/>
    </w:lvl>
    <w:lvl w:ilvl="1">
      <w:lvlJc w:val="left"/>
      <w:lvlText w:val="%2."/>
      <w:numFmt w:val="decimal"/>
      <w:start w:val="8"/>
    </w:lvl>
  </w:abstractNum>
  <w:abstractNum w:abstractNumId="150">
    <w:nsid w:val="3F7F5DD9"/>
    <w:multiLevelType w:val="hybridMultilevel"/>
    <w:lvl w:ilvl="0">
      <w:lvlJc w:val="left"/>
      <w:lvlText w:val="(%1)"/>
      <w:numFmt w:val="lowerLetter"/>
      <w:start w:val="1"/>
    </w:lvl>
  </w:abstractNum>
  <w:abstractNum w:abstractNumId="151">
    <w:nsid w:val="2AE05A34"/>
    <w:multiLevelType w:val="hybridMultilevel"/>
    <w:lvl w:ilvl="0">
      <w:lvlJc w:val="left"/>
      <w:lvlText w:val="(%1)"/>
      <w:numFmt w:val="lowerLetter"/>
      <w:start w:val="4"/>
    </w:lvl>
  </w:abstractNum>
  <w:abstractNum w:abstractNumId="152">
    <w:nsid w:val="32794FF7"/>
    <w:multiLevelType w:val="hybridMultilevel"/>
    <w:lvl w:ilvl="0">
      <w:lvlJc w:val="left"/>
      <w:lvlText w:val="%1."/>
      <w:numFmt w:val="decimal"/>
      <w:start w:val="9"/>
    </w:lvl>
  </w:abstractNum>
  <w:abstractNum w:abstractNumId="153">
    <w:nsid w:val="5454945E"/>
    <w:multiLevelType w:val="hybridMultilevel"/>
    <w:lvl w:ilvl="0">
      <w:lvlJc w:val="left"/>
      <w:lvlText w:val="(%1)"/>
      <w:numFmt w:val="lowerLetter"/>
      <w:start w:val="3"/>
    </w:lvl>
  </w:abstractNum>
  <w:abstractNum w:abstractNumId="154">
    <w:nsid w:val="4DEFDFA0"/>
    <w:multiLevelType w:val="hybridMultilevel"/>
    <w:lvl w:ilvl="0">
      <w:lvlJc w:val="left"/>
      <w:lvlText w:val="%1."/>
      <w:numFmt w:val="decimal"/>
      <w:start w:val="10"/>
    </w:lvl>
  </w:abstractNum>
  <w:abstractNum w:abstractNumId="155">
    <w:nsid w:val="2123D5F2"/>
    <w:multiLevelType w:val="hybridMultilevel"/>
    <w:lvl w:ilvl="0">
      <w:lvlJc w:val="left"/>
      <w:lvlText w:val="%1."/>
      <w:numFmt w:val="decimal"/>
      <w:start w:val="11"/>
    </w:lvl>
  </w:abstractNum>
  <w:abstractNum w:abstractNumId="156">
    <w:nsid w:val="135B8110"/>
    <w:multiLevelType w:val="hybridMultilevel"/>
    <w:lvl w:ilvl="0">
      <w:lvlJc w:val="left"/>
      <w:lvlText w:val="(%1)"/>
      <w:numFmt w:val="lowerLetter"/>
      <w:start w:val="1"/>
    </w:lvl>
  </w:abstractNum>
  <w:abstractNum w:abstractNumId="157">
    <w:nsid w:val="94927A8"/>
    <w:multiLevelType w:val="hybridMultilevel"/>
    <w:lvl w:ilvl="0">
      <w:lvlJc w:val="left"/>
      <w:lvlText w:val="%1."/>
      <w:numFmt w:val="decimal"/>
      <w:start w:val="12"/>
    </w:lvl>
    <w:lvl w:ilvl="1">
      <w:lvlJc w:val="left"/>
      <w:lvlText w:val="(%2)"/>
      <w:numFmt w:val="lowerLetter"/>
      <w:start w:val="1"/>
    </w:lvl>
  </w:abstractNum>
  <w:abstractNum w:abstractNumId="158">
    <w:nsid w:val="DCDF8F6"/>
    <w:multiLevelType w:val="hybridMultilevel"/>
    <w:lvl w:ilvl="0">
      <w:lvlJc w:val="left"/>
      <w:lvlText w:val="(%1)"/>
      <w:numFmt w:val="lowerLetter"/>
      <w:start w:val="1"/>
    </w:lvl>
  </w:abstractNum>
  <w:abstractNum w:abstractNumId="159">
    <w:nsid w:val="52D7B105"/>
    <w:multiLevelType w:val="hybridMultilevel"/>
    <w:lvl w:ilvl="0">
      <w:lvlJc w:val="left"/>
      <w:lvlText w:val="(%1)"/>
      <w:numFmt w:val="lowerRoman"/>
      <w:start w:val="1"/>
    </w:lvl>
  </w:abstractNum>
  <w:abstractNum w:abstractNumId="160">
    <w:nsid w:val="2E8A6394"/>
    <w:multiLevelType w:val="hybridMultilevel"/>
    <w:lvl w:ilvl="0">
      <w:lvlJc w:val="left"/>
      <w:lvlText w:val="(%1)"/>
      <w:numFmt w:val="lowerLetter"/>
      <w:start w:val="1"/>
    </w:lvl>
    <w:lvl w:ilvl="1">
      <w:lvlJc w:val="left"/>
      <w:lvlText w:val="(%2)"/>
      <w:numFmt w:val="lowerLetter"/>
      <w:start w:val="9"/>
    </w:lvl>
  </w:abstractNum>
  <w:abstractNum w:abstractNumId="161">
    <w:nsid w:val="24E60401"/>
    <w:multiLevelType w:val="hybridMultilevel"/>
    <w:lvl w:ilvl="0">
      <w:lvlJc w:val="left"/>
      <w:lvlText w:val="%1"/>
      <w:numFmt w:val="lowerLetter"/>
      <w:start w:val="1"/>
    </w:lvl>
    <w:lvl w:ilvl="1">
      <w:lvlJc w:val="left"/>
      <w:lvlText w:val="(%2)"/>
      <w:numFmt w:val="lowerLetter"/>
      <w:start w:val="35"/>
    </w:lvl>
  </w:abstractNum>
  <w:abstractNum w:abstractNumId="162">
    <w:nsid w:val="2A6AD9BE"/>
    <w:multiLevelType w:val="hybridMultilevel"/>
    <w:lvl w:ilvl="0">
      <w:lvlJc w:val="left"/>
      <w:lvlText w:val="(%1)"/>
      <w:numFmt w:val="lowerLetter"/>
      <w:start w:val="3"/>
    </w:lvl>
    <w:lvl w:ilvl="1">
      <w:lvlJc w:val="left"/>
      <w:lvlText w:val="%2"/>
      <w:numFmt w:val="lowerLetter"/>
      <w:start w:val="1"/>
    </w:lvl>
  </w:abstractNum>
  <w:abstractNum w:abstractNumId="163">
    <w:nsid w:val="BAAC1B4"/>
    <w:multiLevelType w:val="hybridMultilevel"/>
    <w:lvl w:ilvl="0">
      <w:lvlJc w:val="left"/>
      <w:lvlText w:val="(%1)"/>
      <w:numFmt w:val="lowerLetter"/>
      <w:start w:val="2"/>
    </w:lvl>
  </w:abstractNum>
  <w:abstractNum w:abstractNumId="164">
    <w:nsid w:val="36B2ACBC"/>
    <w:multiLevelType w:val="hybridMultilevel"/>
    <w:lvl w:ilvl="0">
      <w:lvlJc w:val="left"/>
      <w:lvlText w:val="(%1)"/>
      <w:numFmt w:val="lowerLetter"/>
      <w:start w:val="4"/>
    </w:lvl>
  </w:abstractNum>
  <w:abstractNum w:abstractNumId="165">
    <w:nsid w:val="779D8544"/>
    <w:multiLevelType w:val="hybridMultilevel"/>
    <w:lvl w:ilvl="0">
      <w:lvlJc w:val="left"/>
      <w:lvlText w:val="(%1)"/>
      <w:numFmt w:val="lowerLetter"/>
      <w:start w:val="19"/>
    </w:lvl>
  </w:abstractNum>
  <w:abstractNum w:abstractNumId="166">
    <w:nsid w:val="4AB26E78"/>
    <w:multiLevelType w:val="hybridMultilevel"/>
    <w:lvl w:ilvl="0">
      <w:lvlJc w:val="left"/>
      <w:lvlText w:val="(%1)"/>
      <w:numFmt w:val="lowerLetter"/>
      <w:start w:val="4"/>
    </w:lvl>
  </w:abstractNum>
  <w:abstractNum w:abstractNumId="167">
    <w:nsid w:val="21FAA2FA"/>
    <w:multiLevelType w:val="hybridMultilevel"/>
    <w:lvl w:ilvl="0">
      <w:lvlJc w:val="left"/>
      <w:lvlText w:val="[***]"/>
      <w:numFmt w:val="bullet"/>
      <w:start w:val="1"/>
    </w:lvl>
  </w:abstractNum>
  <w:abstractNum w:abstractNumId="168">
    <w:nsid w:val="5451CF49"/>
    <w:multiLevelType w:val="hybridMultilevel"/>
    <w:lvl w:ilvl="0">
      <w:lvlJc w:val="left"/>
      <w:lvlText w:val="(%1)"/>
      <w:numFmt w:val="lowerLetter"/>
      <w:start w:val="1"/>
    </w:lvl>
  </w:abstractNum>
  <w:abstractNum w:abstractNumId="169">
    <w:nsid w:val="6181EF69"/>
    <w:multiLevelType w:val="hybridMultilevel"/>
    <w:lvl w:ilvl="0">
      <w:lvlJc w:val="left"/>
      <w:lvlText w:val="(%1)"/>
      <w:numFmt w:val="lowerLetter"/>
      <w:start w:val="4"/>
    </w:lvl>
  </w:abstractNum>
  <w:abstractNum w:abstractNumId="170">
    <w:nsid w:val="3E6400E6"/>
    <w:multiLevelType w:val="hybridMultilevel"/>
    <w:lvl w:ilvl="0">
      <w:lvlJc w:val="left"/>
      <w:lvlText w:val="(%1)"/>
      <w:numFmt w:val="lowerLetter"/>
      <w:start w:val="3"/>
    </w:lvl>
  </w:abstractNum>
  <w:abstractNum w:abstractNumId="171">
    <w:nsid w:val="14217E23"/>
    <w:multiLevelType w:val="hybridMultilevel"/>
    <w:lvl w:ilvl="0">
      <w:lvlJc w:val="left"/>
      <w:lvlText w:val="(%1)"/>
      <w:numFmt w:val="lowerLetter"/>
      <w:start w:val="1"/>
    </w:lvl>
  </w:abstractNum>
  <w:abstractNum w:abstractNumId="172">
    <w:nsid w:val="710757D0"/>
    <w:multiLevelType w:val="hybridMultilevel"/>
    <w:lvl w:ilvl="0">
      <w:lvlJc w:val="left"/>
      <w:lvlText w:val="(%1)"/>
      <w:numFmt w:val="lowerLetter"/>
      <w:start w:val="1"/>
    </w:lvl>
  </w:abstractNum>
  <w:abstractNum w:abstractNumId="173">
    <w:nsid w:val="5015CD1A"/>
    <w:multiLevelType w:val="hybridMultilevel"/>
    <w:lvl w:ilvl="0">
      <w:lvlJc w:val="left"/>
      <w:lvlText w:val="(%1)"/>
      <w:numFmt w:val="lowerLetter"/>
      <w:start w:val="17"/>
    </w:lvl>
  </w:abstractNum>
  <w:abstractNum w:abstractNumId="174">
    <w:nsid w:val="424479DA"/>
    <w:multiLevelType w:val="hybridMultilevel"/>
    <w:lvl w:ilvl="0">
      <w:lvlJc w:val="left"/>
      <w:lvlText w:val="(%1)"/>
      <w:numFmt w:val="lowerLetter"/>
      <w:start w:val="1"/>
    </w:lvl>
  </w:abstractNum>
  <w:abstractNum w:abstractNumId="175">
    <w:nsid w:val="1A9A9E69"/>
    <w:multiLevelType w:val="hybridMultilevel"/>
    <w:lvl w:ilvl="0">
      <w:lvlJc w:val="left"/>
      <w:lvlText w:val="(%1)"/>
      <w:numFmt w:val="lowerLetter"/>
      <w:start w:val="10"/>
    </w:lvl>
  </w:abstractNum>
  <w:abstractNum w:abstractNumId="176">
    <w:nsid w:val="475E256A"/>
    <w:multiLevelType w:val="hybridMultilevel"/>
    <w:lvl w:ilvl="0">
      <w:lvlJc w:val="left"/>
      <w:lvlText w:val="(%1)"/>
      <w:numFmt w:val="lowerLetter"/>
      <w:start w:val="1"/>
    </w:lvl>
  </w:abstractNum>
  <w:abstractNum w:abstractNumId="177">
    <w:nsid w:val="368DB37E"/>
    <w:multiLevelType w:val="hybridMultilevel"/>
    <w:lvl w:ilvl="0">
      <w:lvlJc w:val="left"/>
      <w:lvlText w:val="(%1)"/>
      <w:numFmt w:val="lowerLetter"/>
      <w:start w:val="2"/>
    </w:lvl>
  </w:abstractNum>
  <w:abstractNum w:abstractNumId="178">
    <w:nsid w:val="6A3B714C"/>
    <w:multiLevelType w:val="hybridMultilevel"/>
    <w:lvl w:ilvl="0">
      <w:lvlJc w:val="left"/>
      <w:lvlText w:val="(%1)"/>
      <w:numFmt w:val="lowerLetter"/>
      <w:start w:val="8"/>
    </w:lvl>
  </w:abstractNum>
  <w:abstractNum w:abstractNumId="179">
    <w:nsid w:val="327B517E"/>
    <w:multiLevelType w:val="hybridMultilevel"/>
    <w:lvl w:ilvl="0">
      <w:lvlJc w:val="left"/>
      <w:lvlText w:val="(%1)"/>
      <w:numFmt w:val="decimal"/>
      <w:start w:val="18"/>
    </w:lvl>
  </w:abstractNum>
  <w:abstractNum w:abstractNumId="180">
    <w:nsid w:val="1F461B51"/>
    <w:multiLevelType w:val="hybridMultilevel"/>
    <w:lvl w:ilvl="0">
      <w:lvlJc w:val="left"/>
      <w:lvlText w:val="%1."/>
      <w:numFmt w:val="upperLetter"/>
      <w:start w:val="9"/>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lvl w:ilvl="1">
      <w:lvlJc w:val="left"/>
      <w:lvlText w:val="%2)"/>
      <w:numFmt w:val="lowerLetter"/>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jpe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514" Type="http://schemas.openxmlformats.org/officeDocument/2006/relationships/image" Target="media/image502.png"/><Relationship Id="rId515" Type="http://schemas.openxmlformats.org/officeDocument/2006/relationships/image" Target="media/image503.png"/><Relationship Id="rId516" Type="http://schemas.openxmlformats.org/officeDocument/2006/relationships/image" Target="media/image504.png"/><Relationship Id="rId517" Type="http://schemas.openxmlformats.org/officeDocument/2006/relationships/image" Target="media/image505.png"/><Relationship Id="rId518" Type="http://schemas.openxmlformats.org/officeDocument/2006/relationships/image" Target="media/image506.png"/><Relationship Id="rId519" Type="http://schemas.openxmlformats.org/officeDocument/2006/relationships/image" Target="media/image507.png"/><Relationship Id="rId520" Type="http://schemas.openxmlformats.org/officeDocument/2006/relationships/image" Target="media/image508.png"/><Relationship Id="rId521" Type="http://schemas.openxmlformats.org/officeDocument/2006/relationships/image" Target="media/image509.png"/><Relationship Id="rId522" Type="http://schemas.openxmlformats.org/officeDocument/2006/relationships/image" Target="media/image510.png"/><Relationship Id="rId523" Type="http://schemas.openxmlformats.org/officeDocument/2006/relationships/image" Target="media/image511.png"/><Relationship Id="rId524" Type="http://schemas.openxmlformats.org/officeDocument/2006/relationships/image" Target="media/image512.png"/><Relationship Id="rId525" Type="http://schemas.openxmlformats.org/officeDocument/2006/relationships/image" Target="media/image513.png"/><Relationship Id="rId526" Type="http://schemas.openxmlformats.org/officeDocument/2006/relationships/image" Target="media/image514.png"/><Relationship Id="rId527" Type="http://schemas.openxmlformats.org/officeDocument/2006/relationships/image" Target="media/image515.png"/><Relationship Id="rId528" Type="http://schemas.openxmlformats.org/officeDocument/2006/relationships/image" Target="media/image516.png"/><Relationship Id="rId529" Type="http://schemas.openxmlformats.org/officeDocument/2006/relationships/image" Target="media/image517.png"/><Relationship Id="rId530" Type="http://schemas.openxmlformats.org/officeDocument/2006/relationships/image" Target="media/image518.png"/><Relationship Id="rId531" Type="http://schemas.openxmlformats.org/officeDocument/2006/relationships/image" Target="media/image519.png"/><Relationship Id="rId532" Type="http://schemas.openxmlformats.org/officeDocument/2006/relationships/image" Target="media/image520.png"/><Relationship Id="rId533" Type="http://schemas.openxmlformats.org/officeDocument/2006/relationships/image" Target="media/image521.png"/><Relationship Id="rId534" Type="http://schemas.openxmlformats.org/officeDocument/2006/relationships/image" Target="media/image522.png"/><Relationship Id="rId535" Type="http://schemas.openxmlformats.org/officeDocument/2006/relationships/image" Target="media/image523.png"/><Relationship Id="rId536" Type="http://schemas.openxmlformats.org/officeDocument/2006/relationships/image" Target="media/image524.png"/><Relationship Id="rId537" Type="http://schemas.openxmlformats.org/officeDocument/2006/relationships/image" Target="media/image525.png"/><Relationship Id="rId538" Type="http://schemas.openxmlformats.org/officeDocument/2006/relationships/image" Target="media/image526.png"/><Relationship Id="rId539" Type="http://schemas.openxmlformats.org/officeDocument/2006/relationships/image" Target="media/image527.png"/><Relationship Id="rId540" Type="http://schemas.openxmlformats.org/officeDocument/2006/relationships/image" Target="media/image528.png"/><Relationship Id="rId541" Type="http://schemas.openxmlformats.org/officeDocument/2006/relationships/image" Target="media/image529.png"/><Relationship Id="rId542" Type="http://schemas.openxmlformats.org/officeDocument/2006/relationships/image" Target="media/image530.png"/><Relationship Id="rId543" Type="http://schemas.openxmlformats.org/officeDocument/2006/relationships/image" Target="media/image531.png"/><Relationship Id="rId544" Type="http://schemas.openxmlformats.org/officeDocument/2006/relationships/image" Target="media/image532.png"/><Relationship Id="rId545" Type="http://schemas.openxmlformats.org/officeDocument/2006/relationships/image" Target="media/image533.png"/><Relationship Id="rId546" Type="http://schemas.openxmlformats.org/officeDocument/2006/relationships/image" Target="media/image534.png"/><Relationship Id="rId547" Type="http://schemas.openxmlformats.org/officeDocument/2006/relationships/image" Target="media/image535.png"/><Relationship Id="rId548" Type="http://schemas.openxmlformats.org/officeDocument/2006/relationships/image" Target="media/image536.png"/><Relationship Id="rId549" Type="http://schemas.openxmlformats.org/officeDocument/2006/relationships/image" Target="media/image537.png"/><Relationship Id="rId550" Type="http://schemas.openxmlformats.org/officeDocument/2006/relationships/image" Target="media/image538.png"/><Relationship Id="rId551" Type="http://schemas.openxmlformats.org/officeDocument/2006/relationships/image" Target="media/image539.png"/><Relationship Id="rId552" Type="http://schemas.openxmlformats.org/officeDocument/2006/relationships/image" Target="media/image540.png"/><Relationship Id="rId553" Type="http://schemas.openxmlformats.org/officeDocument/2006/relationships/image" Target="media/image541.png"/><Relationship Id="rId554" Type="http://schemas.openxmlformats.org/officeDocument/2006/relationships/image" Target="media/image542.png"/><Relationship Id="rId555" Type="http://schemas.openxmlformats.org/officeDocument/2006/relationships/image" Target="media/image543.png"/><Relationship Id="rId556" Type="http://schemas.openxmlformats.org/officeDocument/2006/relationships/image" Target="media/image544.png"/><Relationship Id="rId557" Type="http://schemas.openxmlformats.org/officeDocument/2006/relationships/image" Target="media/image545.png"/><Relationship Id="rId558" Type="http://schemas.openxmlformats.org/officeDocument/2006/relationships/image" Target="media/image546.png"/><Relationship Id="rId559" Type="http://schemas.openxmlformats.org/officeDocument/2006/relationships/image" Target="media/image547.png"/><Relationship Id="rId560" Type="http://schemas.openxmlformats.org/officeDocument/2006/relationships/image" Target="media/image548.png"/><Relationship Id="rId561" Type="http://schemas.openxmlformats.org/officeDocument/2006/relationships/image" Target="media/image549.png"/><Relationship Id="rId562" Type="http://schemas.openxmlformats.org/officeDocument/2006/relationships/image" Target="media/image550.png"/><Relationship Id="rId563" Type="http://schemas.openxmlformats.org/officeDocument/2006/relationships/image" Target="media/image551.png"/><Relationship Id="rId564" Type="http://schemas.openxmlformats.org/officeDocument/2006/relationships/image" Target="media/image552.png"/><Relationship Id="rId565" Type="http://schemas.openxmlformats.org/officeDocument/2006/relationships/image" Target="media/image553.png"/><Relationship Id="rId566" Type="http://schemas.openxmlformats.org/officeDocument/2006/relationships/image" Target="media/image554.png"/><Relationship Id="rId567" Type="http://schemas.openxmlformats.org/officeDocument/2006/relationships/image" Target="media/image555.png"/><Relationship Id="rId568" Type="http://schemas.openxmlformats.org/officeDocument/2006/relationships/image" Target="media/image556.png"/><Relationship Id="rId569" Type="http://schemas.openxmlformats.org/officeDocument/2006/relationships/image" Target="media/image557.png"/><Relationship Id="rId570" Type="http://schemas.openxmlformats.org/officeDocument/2006/relationships/image" Target="media/image558.png"/><Relationship Id="rId571" Type="http://schemas.openxmlformats.org/officeDocument/2006/relationships/image" Target="media/image559.png"/><Relationship Id="rId572" Type="http://schemas.openxmlformats.org/officeDocument/2006/relationships/image" Target="media/image560.png"/><Relationship Id="rId573" Type="http://schemas.openxmlformats.org/officeDocument/2006/relationships/image" Target="media/image561.png"/><Relationship Id="rId574" Type="http://schemas.openxmlformats.org/officeDocument/2006/relationships/image" Target="media/image562.png"/><Relationship Id="rId575" Type="http://schemas.openxmlformats.org/officeDocument/2006/relationships/image" Target="media/image563.png"/><Relationship Id="rId576" Type="http://schemas.openxmlformats.org/officeDocument/2006/relationships/image" Target="media/image564.png"/><Relationship Id="rId577" Type="http://schemas.openxmlformats.org/officeDocument/2006/relationships/image" Target="media/image565.png"/><Relationship Id="rId578" Type="http://schemas.openxmlformats.org/officeDocument/2006/relationships/image" Target="media/image566.png"/><Relationship Id="rId579" Type="http://schemas.openxmlformats.org/officeDocument/2006/relationships/image" Target="media/image567.png"/><Relationship Id="rId580" Type="http://schemas.openxmlformats.org/officeDocument/2006/relationships/image" Target="media/image568.png"/><Relationship Id="rId581" Type="http://schemas.openxmlformats.org/officeDocument/2006/relationships/image" Target="media/image569.png"/><Relationship Id="rId582" Type="http://schemas.openxmlformats.org/officeDocument/2006/relationships/image" Target="media/image570.png"/><Relationship Id="rId583" Type="http://schemas.openxmlformats.org/officeDocument/2006/relationships/image" Target="media/image571.png"/><Relationship Id="rId584" Type="http://schemas.openxmlformats.org/officeDocument/2006/relationships/image" Target="media/image572.png"/><Relationship Id="rId585" Type="http://schemas.openxmlformats.org/officeDocument/2006/relationships/image" Target="media/image573.png"/><Relationship Id="rId586" Type="http://schemas.openxmlformats.org/officeDocument/2006/relationships/image" Target="media/image574.png"/><Relationship Id="rId587" Type="http://schemas.openxmlformats.org/officeDocument/2006/relationships/image" Target="media/image575.png"/><Relationship Id="rId588" Type="http://schemas.openxmlformats.org/officeDocument/2006/relationships/image" Target="media/image576.png"/><Relationship Id="rId589" Type="http://schemas.openxmlformats.org/officeDocument/2006/relationships/image" Target="media/image577.png"/><Relationship Id="rId590" Type="http://schemas.openxmlformats.org/officeDocument/2006/relationships/image" Target="media/image578.png"/><Relationship Id="rId591" Type="http://schemas.openxmlformats.org/officeDocument/2006/relationships/image" Target="media/image579.png"/><Relationship Id="rId592" Type="http://schemas.openxmlformats.org/officeDocument/2006/relationships/image" Target="media/image580.png"/><Relationship Id="rId593" Type="http://schemas.openxmlformats.org/officeDocument/2006/relationships/image" Target="media/image581.png"/><Relationship Id="rId594" Type="http://schemas.openxmlformats.org/officeDocument/2006/relationships/image" Target="media/image582.png"/><Relationship Id="rId595" Type="http://schemas.openxmlformats.org/officeDocument/2006/relationships/image" Target="media/image583.png"/><Relationship Id="rId596" Type="http://schemas.openxmlformats.org/officeDocument/2006/relationships/image" Target="media/image584.png"/><Relationship Id="rId597" Type="http://schemas.openxmlformats.org/officeDocument/2006/relationships/image" Target="media/image585.png"/><Relationship Id="rId598" Type="http://schemas.openxmlformats.org/officeDocument/2006/relationships/image" Target="media/image586.png"/><Relationship Id="rId599" Type="http://schemas.openxmlformats.org/officeDocument/2006/relationships/image" Target="media/image587.png"/><Relationship Id="rId600" Type="http://schemas.openxmlformats.org/officeDocument/2006/relationships/image" Target="media/image588.png"/><Relationship Id="rId601" Type="http://schemas.openxmlformats.org/officeDocument/2006/relationships/image" Target="media/image589.png"/><Relationship Id="rId602" Type="http://schemas.openxmlformats.org/officeDocument/2006/relationships/image" Target="media/image590.png"/><Relationship Id="rId603" Type="http://schemas.openxmlformats.org/officeDocument/2006/relationships/image" Target="media/image591.png"/><Relationship Id="rId604" Type="http://schemas.openxmlformats.org/officeDocument/2006/relationships/image" Target="media/image592.png"/><Relationship Id="rId605" Type="http://schemas.openxmlformats.org/officeDocument/2006/relationships/image" Target="media/image593.png"/><Relationship Id="rId606" Type="http://schemas.openxmlformats.org/officeDocument/2006/relationships/image" Target="media/image594.png"/><Relationship Id="rId607" Type="http://schemas.openxmlformats.org/officeDocument/2006/relationships/image" Target="media/image595.png"/><Relationship Id="rId608" Type="http://schemas.openxmlformats.org/officeDocument/2006/relationships/image" Target="media/image596.png"/><Relationship Id="rId609" Type="http://schemas.openxmlformats.org/officeDocument/2006/relationships/image" Target="media/image597.png"/><Relationship Id="rId610" Type="http://schemas.openxmlformats.org/officeDocument/2006/relationships/image" Target="media/image598.png"/><Relationship Id="rId611" Type="http://schemas.openxmlformats.org/officeDocument/2006/relationships/image" Target="media/image599.png"/><Relationship Id="rId612" Type="http://schemas.openxmlformats.org/officeDocument/2006/relationships/image" Target="media/image600.png"/><Relationship Id="rId613" Type="http://schemas.openxmlformats.org/officeDocument/2006/relationships/image" Target="media/image601.png"/><Relationship Id="rId614" Type="http://schemas.openxmlformats.org/officeDocument/2006/relationships/image" Target="media/image602.png"/><Relationship Id="rId615" Type="http://schemas.openxmlformats.org/officeDocument/2006/relationships/image" Target="media/image603.png"/><Relationship Id="rId616" Type="http://schemas.openxmlformats.org/officeDocument/2006/relationships/image" Target="media/image604.png"/><Relationship Id="rId617" Type="http://schemas.openxmlformats.org/officeDocument/2006/relationships/image" Target="media/image605.png"/><Relationship Id="rId618" Type="http://schemas.openxmlformats.org/officeDocument/2006/relationships/image" Target="media/image606.png"/><Relationship Id="rId619" Type="http://schemas.openxmlformats.org/officeDocument/2006/relationships/image" Target="media/image607.png"/><Relationship Id="rId620" Type="http://schemas.openxmlformats.org/officeDocument/2006/relationships/image" Target="media/image608.png"/><Relationship Id="rId621" Type="http://schemas.openxmlformats.org/officeDocument/2006/relationships/image" Target="media/image609.png"/><Relationship Id="rId622" Type="http://schemas.openxmlformats.org/officeDocument/2006/relationships/image" Target="media/image610.png"/><Relationship Id="rId623" Type="http://schemas.openxmlformats.org/officeDocument/2006/relationships/image" Target="media/image611.png"/><Relationship Id="rId624" Type="http://schemas.openxmlformats.org/officeDocument/2006/relationships/image" Target="media/image612.png"/><Relationship Id="rId625" Type="http://schemas.openxmlformats.org/officeDocument/2006/relationships/image" Target="media/image613.png"/><Relationship Id="rId626" Type="http://schemas.openxmlformats.org/officeDocument/2006/relationships/image" Target="media/image614.png"/><Relationship Id="rId627" Type="http://schemas.openxmlformats.org/officeDocument/2006/relationships/image" Target="media/image615.png"/><Relationship Id="rId628" Type="http://schemas.openxmlformats.org/officeDocument/2006/relationships/image" Target="media/image616.png"/><Relationship Id="rId629" Type="http://schemas.openxmlformats.org/officeDocument/2006/relationships/image" Target="media/image617.png"/><Relationship Id="rId630" Type="http://schemas.openxmlformats.org/officeDocument/2006/relationships/image" Target="media/image618.png"/><Relationship Id="rId631" Type="http://schemas.openxmlformats.org/officeDocument/2006/relationships/image" Target="media/image619.png"/><Relationship Id="rId632" Type="http://schemas.openxmlformats.org/officeDocument/2006/relationships/image" Target="media/image620.png"/><Relationship Id="rId633" Type="http://schemas.openxmlformats.org/officeDocument/2006/relationships/image" Target="media/image621.png"/><Relationship Id="rId634" Type="http://schemas.openxmlformats.org/officeDocument/2006/relationships/image" Target="media/image622.png"/><Relationship Id="rId635" Type="http://schemas.openxmlformats.org/officeDocument/2006/relationships/image" Target="media/image623.png"/><Relationship Id="rId636" Type="http://schemas.openxmlformats.org/officeDocument/2006/relationships/image" Target="media/image624.png"/><Relationship Id="rId637" Type="http://schemas.openxmlformats.org/officeDocument/2006/relationships/image" Target="media/image625.png"/><Relationship Id="rId638" Type="http://schemas.openxmlformats.org/officeDocument/2006/relationships/image" Target="media/image626.png"/><Relationship Id="rId639" Type="http://schemas.openxmlformats.org/officeDocument/2006/relationships/image" Target="media/image627.png"/><Relationship Id="rId640" Type="http://schemas.openxmlformats.org/officeDocument/2006/relationships/image" Target="media/image628.png"/><Relationship Id="rId641" Type="http://schemas.openxmlformats.org/officeDocument/2006/relationships/image" Target="media/image629.png"/><Relationship Id="rId642" Type="http://schemas.openxmlformats.org/officeDocument/2006/relationships/image" Target="media/image630.png"/><Relationship Id="rId643" Type="http://schemas.openxmlformats.org/officeDocument/2006/relationships/image" Target="media/image631.png"/><Relationship Id="rId644" Type="http://schemas.openxmlformats.org/officeDocument/2006/relationships/image" Target="media/image632.png"/><Relationship Id="rId645" Type="http://schemas.openxmlformats.org/officeDocument/2006/relationships/image" Target="media/image633.png"/><Relationship Id="rId646" Type="http://schemas.openxmlformats.org/officeDocument/2006/relationships/image" Target="media/image634.png"/><Relationship Id="rId647" Type="http://schemas.openxmlformats.org/officeDocument/2006/relationships/image" Target="media/image635.png"/><Relationship Id="rId52" Type="http://schemas.openxmlformats.org/officeDocument/2006/relationships/hyperlink" Target="https://www.sec.gov/Archives/edgar/data/1459839/000119312518303020/d641574dex31.htm" TargetMode="External"/><Relationship Id="rId53" Type="http://schemas.openxmlformats.org/officeDocument/2006/relationships/hyperlink" Target="https://www.sec.gov/Archives/edgar/data/1459839/000145983924000048/certificateofamendmentofam.htm" TargetMode="External"/><Relationship Id="rId54" Type="http://schemas.openxmlformats.org/officeDocument/2006/relationships/hyperlink" Target="https://www.sec.gov/Archives/edgar/data/1459839/000119312518293978/d452987dex34.htm" TargetMode="External"/><Relationship Id="rId55" Type="http://schemas.openxmlformats.org/officeDocument/2006/relationships/hyperlink" Target="https://www.sec.gov/Archives/edgar/data/1459839/000119312518293978/d452987dex41.htm" TargetMode="External"/><Relationship Id="rId56" Type="http://schemas.openxmlformats.org/officeDocument/2006/relationships/hyperlink" Target="https://www.sec.gov/Archives/edgar/data/1459839/000145983924000055/elcamino2ndamendment07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2024-11-12T16:36:38Z</dcterms:created>
  <dcterms:modified xsi:type="dcterms:W3CDTF">2024-11-12T16:36:38Z</dcterms:modified>
</cp:coreProperties>
</file>