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DUNN JEFFREY W</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12/07/2020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Chairman, President &amp; CEO</w:t>
      </w:r>
    </w:p>
    <w:p>
      <w:pPr>
        <w:spacing w:after="0" w:line="45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7"/>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7"/>
            <w:vMerge w:val="continue"/>
          </w:tcPr>
          <w:p>
            <w:pPr>
              <w:spacing w:after="0" w:line="20" w:lineRule="exact"/>
              <w:rPr>
                <w:sz w:val="1"/>
                <w:szCs w:val="1"/>
                <w:color w:val="auto"/>
              </w:rPr>
            </w:pPr>
          </w:p>
        </w:tc>
        <w:tc>
          <w:tcPr>
            <w:tcW w:w="3660" w:type="dxa"/>
            <w:vAlign w:val="bottom"/>
            <w:gridSpan w:val="7"/>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60" w:type="dxa"/>
            <w:vAlign w:val="bottom"/>
            <w:gridSpan w:val="7"/>
            <w:vMerge w:val="continue"/>
          </w:tcPr>
          <w:p>
            <w:pPr>
              <w:spacing w:after="0"/>
              <w:rPr>
                <w:sz w:val="10"/>
                <w:szCs w:val="10"/>
                <w:color w:val="auto"/>
              </w:rPr>
            </w:pPr>
          </w:p>
        </w:tc>
        <w:tc>
          <w:tcPr>
            <w:tcW w:w="3660" w:type="dxa"/>
            <w:vAlign w:val="bottom"/>
            <w:gridSpan w:val="7"/>
            <w:vMerge w:val="continue"/>
          </w:tcPr>
          <w:p>
            <w:pPr>
              <w:spacing w:after="0"/>
              <w:rPr>
                <w:sz w:val="10"/>
                <w:szCs w:val="10"/>
                <w:color w:val="auto"/>
              </w:rPr>
            </w:pPr>
          </w:p>
        </w:tc>
        <w:tc>
          <w:tcPr>
            <w:tcW w:w="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gridSpan w:val="3"/>
            <w:vMerge w:val="restart"/>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100"/>
              <w:spacing w:after="0" w:line="117"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218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0000FF"/>
              </w:rPr>
              <w:t>12/07/2020</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9,952</w:t>
            </w:r>
          </w:p>
        </w:tc>
        <w:tc>
          <w:tcPr>
            <w:tcW w:w="500" w:type="dxa"/>
            <w:vAlign w:val="bottom"/>
            <w:vMerge w:val="restart"/>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23.6942</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185,988</w:t>
            </w:r>
          </w:p>
        </w:tc>
        <w:tc>
          <w:tcPr>
            <w:tcW w:w="92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gridSpan w:val="4"/>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218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0000FF"/>
              </w:rPr>
              <w:t>12/07/2020</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30,048</w:t>
            </w:r>
          </w:p>
        </w:tc>
        <w:tc>
          <w:tcPr>
            <w:tcW w:w="500" w:type="dxa"/>
            <w:vAlign w:val="bottom"/>
            <w:vMerge w:val="restart"/>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24.4794</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155,940</w:t>
            </w:r>
          </w:p>
        </w:tc>
        <w:tc>
          <w:tcPr>
            <w:tcW w:w="92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gridSpan w:val="4"/>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217,878</w:t>
            </w:r>
            <w:r>
              <w:rPr>
                <w:rFonts w:ascii="Times New Roman" w:cs="Times New Roman" w:eastAsia="Times New Roman" w:hAnsi="Times New Roman"/>
                <w:sz w:val="22"/>
                <w:szCs w:val="22"/>
                <w:color w:val="008000"/>
                <w:w w:val="96"/>
                <w:vertAlign w:val="superscript"/>
              </w:rPr>
              <w:t>(5)</w:t>
            </w:r>
          </w:p>
        </w:tc>
        <w:tc>
          <w:tcPr>
            <w:tcW w:w="920" w:type="dxa"/>
            <w:vAlign w:val="bottom"/>
            <w:tcBorders>
              <w:top w:val="single" w:sz="8" w:color="2C2C2C"/>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840" w:type="dxa"/>
            <w:vAlign w:val="bottom"/>
            <w:vMerge w:val="restart"/>
          </w:tcPr>
          <w:p>
            <w:pPr>
              <w:ind w:left="260"/>
              <w:spacing w:after="0"/>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vMerge w:val="continue"/>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-3589655</wp:posOffset>
            </wp:positionV>
            <wp:extent cx="7031355" cy="3630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6302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$23.02 to $24.0199,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$24.05 to $25.0499,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0" w:lineRule="exact"/>
        <w:rPr>
          <w:rFonts w:ascii="Times New Roman" w:cs="Times New Roman" w:eastAsia="Times New Roman" w:hAnsi="Times New Roman"/>
          <w:sz w:val="13"/>
          <w:szCs w:val="13"/>
          <w:color w:val="008000"/>
        </w:rPr>
      </w:pPr>
    </w:p>
    <w:p>
      <w:pPr>
        <w:ind w:left="40" w:right="32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155,931 shares issuable on the settlement of restricted stock units granted to the Reporting Person. Each restricted stock unit represents a contingent right to receive one shares of the Issuer's common stock.</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tab/>
        <w:t>12/09/2020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2020-12-09T16:29:26Z</dcterms:created>
  <dcterms:modified xsi:type="dcterms:W3CDTF">2020-12-09T16:29:26Z</dcterms:modified>
</cp:coreProperties>
</file>