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__1__)*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780" w:firstLine="5"/>
        <w:spacing w:after="0" w:line="530" w:lineRule="auto"/>
        <w:tabs>
          <w:tab w:leader="none" w:pos="145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4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39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Investments, LP</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right="769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660" w:right="743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0</w:t>
      </w:r>
    </w:p>
    <w:p>
      <w:pPr>
        <w:ind w:left="660" w:right="729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660" w:right="703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660" w:right="299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7780" w:right="659" w:hanging="7772"/>
        <w:spacing w:after="0" w:line="501"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ind w:left="660" w:right="4499"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660" w:right="5219" w:hanging="652"/>
        <w:spacing w:after="0" w:line="52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2" w:name="page3"/>
    <w:bookmarkEnd w:id="2"/>
    <w:p>
      <w:pPr>
        <w:spacing w:after="0"/>
        <w:tabs>
          <w:tab w:leader="none" w:pos="1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5"/>
          <w:szCs w:val="15"/>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28987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4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39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Roderick Wong</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5899" w:hanging="652"/>
        <w:spacing w:after="0" w:line="52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660" w:right="769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ind w:left="660" w:right="743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VOTING POWER 0</w:t>
      </w:r>
    </w:p>
    <w:p>
      <w:pPr>
        <w:ind w:left="660" w:right="729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660" w:right="703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660" w:right="299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7780" w:right="659" w:hanging="7772"/>
        <w:spacing w:after="0" w:line="501" w:lineRule="auto"/>
        <w:tabs>
          <w:tab w:leader="none" w:pos="64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ind w:left="660" w:right="4499" w:hanging="652"/>
        <w:spacing w:after="0" w:line="50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660" w:right="5219" w:hanging="652"/>
        <w:spacing w:after="0" w:line="52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820" w:type="dxa"/>
            <w:vAlign w:val="bottom"/>
          </w:tcPr>
          <w:p>
            <w:pPr>
              <w:ind w:left="160"/>
              <w:spacing w:after="0"/>
              <w:rPr>
                <w:sz w:val="20"/>
                <w:szCs w:val="20"/>
                <w:color w:val="auto"/>
              </w:rPr>
            </w:pPr>
            <w:r>
              <w:rPr>
                <w:rFonts w:ascii="Arial" w:cs="Arial" w:eastAsia="Arial" w:hAnsi="Arial"/>
                <w:sz w:val="18"/>
                <w:szCs w:val="18"/>
                <w:color w:val="auto"/>
              </w:rPr>
              <w:t>(a).</w:t>
            </w:r>
          </w:p>
        </w:tc>
        <w:tc>
          <w:tcPr>
            <w:tcW w:w="9920" w:type="dxa"/>
            <w:vAlign w:val="bottom"/>
          </w:tcPr>
          <w:p>
            <w:pPr>
              <w:spacing w:after="0"/>
              <w:rPr>
                <w:sz w:val="20"/>
                <w:szCs w:val="20"/>
                <w:color w:val="auto"/>
              </w:rPr>
            </w:pPr>
            <w:r>
              <w:rPr>
                <w:rFonts w:ascii="Arial" w:cs="Arial" w:eastAsia="Arial" w:hAnsi="Arial"/>
                <w:sz w:val="18"/>
                <w:szCs w:val="18"/>
                <w:color w:val="auto"/>
              </w:rPr>
              <w:t>Name of Issuer:</w:t>
            </w:r>
          </w:p>
        </w:tc>
      </w:tr>
      <w:tr>
        <w:trPr>
          <w:trHeight w:val="439"/>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Si-Bone, Inc.</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(b).</w:t>
            </w:r>
          </w:p>
        </w:tc>
        <w:tc>
          <w:tcPr>
            <w:tcW w:w="992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471 El Camino Real, Suite 101</w:t>
            </w:r>
          </w:p>
        </w:tc>
      </w:tr>
      <w:tr>
        <w:trPr>
          <w:trHeight w:val="251"/>
        </w:trPr>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Santa Clara, California 95050</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tcPr>
          <w:p>
            <w:pPr>
              <w:ind w:left="160"/>
              <w:spacing w:after="0"/>
              <w:rPr>
                <w:sz w:val="20"/>
                <w:szCs w:val="20"/>
                <w:color w:val="auto"/>
              </w:rPr>
            </w:pPr>
            <w:r>
              <w:rPr>
                <w:rFonts w:ascii="Arial" w:cs="Arial" w:eastAsia="Arial" w:hAnsi="Arial"/>
                <w:sz w:val="18"/>
                <w:szCs w:val="18"/>
                <w:color w:val="auto"/>
              </w:rPr>
              <w:t>(a).</w:t>
            </w:r>
          </w:p>
        </w:tc>
        <w:tc>
          <w:tcPr>
            <w:tcW w:w="9920" w:type="dxa"/>
            <w:vAlign w:val="bottom"/>
          </w:tcPr>
          <w:p>
            <w:pPr>
              <w:spacing w:after="0"/>
              <w:rPr>
                <w:sz w:val="20"/>
                <w:szCs w:val="20"/>
                <w:color w:val="auto"/>
              </w:rPr>
            </w:pPr>
            <w:r>
              <w:rPr>
                <w:rFonts w:ascii="Arial" w:cs="Arial" w:eastAsia="Arial" w:hAnsi="Arial"/>
                <w:sz w:val="18"/>
                <w:szCs w:val="18"/>
                <w:color w:val="auto"/>
              </w:rPr>
              <w:t>Name of person filing:</w:t>
            </w:r>
          </w:p>
        </w:tc>
      </w:tr>
      <w:tr>
        <w:trPr>
          <w:trHeight w:val="41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37"/>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Roderick Wong</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(b).</w:t>
            </w:r>
          </w:p>
        </w:tc>
        <w:tc>
          <w:tcPr>
            <w:tcW w:w="9920" w:type="dxa"/>
            <w:vAlign w:val="bottom"/>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22"/>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53"/>
        </w:trPr>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920" w:type="dxa"/>
            <w:vAlign w:val="bottom"/>
          </w:tcPr>
          <w:p>
            <w:pPr>
              <w:spacing w:after="0" w:line="253" w:lineRule="exact"/>
              <w:rPr>
                <w:sz w:val="20"/>
                <w:szCs w:val="20"/>
                <w:color w:val="auto"/>
              </w:rPr>
            </w:pPr>
            <w:r>
              <w:rPr>
                <w:rFonts w:ascii="Arial" w:cs="Arial" w:eastAsia="Arial" w:hAnsi="Arial"/>
                <w:sz w:val="18"/>
                <w:szCs w:val="18"/>
                <w:color w:val="auto"/>
              </w:rPr>
              <w:t>412 West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Floor 9</w:t>
            </w:r>
          </w:p>
        </w:tc>
      </w:tr>
      <w:tr>
        <w:trPr>
          <w:trHeight w:val="230"/>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New York, New York 10011</w:t>
            </w:r>
          </w:p>
        </w:tc>
      </w:tr>
      <w:tr>
        <w:trPr>
          <w:trHeight w:val="41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Roderick Wong</w:t>
            </w:r>
          </w:p>
        </w:tc>
      </w:tr>
      <w:tr>
        <w:trPr>
          <w:trHeight w:val="220"/>
        </w:trPr>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 RTW Investments, LP</w:t>
            </w:r>
          </w:p>
        </w:tc>
      </w:tr>
      <w:tr>
        <w:trPr>
          <w:trHeight w:val="253"/>
        </w:trPr>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920" w:type="dxa"/>
            <w:vAlign w:val="bottom"/>
          </w:tcPr>
          <w:p>
            <w:pPr>
              <w:spacing w:after="0" w:line="253" w:lineRule="exact"/>
              <w:rPr>
                <w:sz w:val="20"/>
                <w:szCs w:val="20"/>
                <w:color w:val="auto"/>
              </w:rPr>
            </w:pPr>
            <w:r>
              <w:rPr>
                <w:rFonts w:ascii="Arial" w:cs="Arial" w:eastAsia="Arial" w:hAnsi="Arial"/>
                <w:sz w:val="18"/>
                <w:szCs w:val="18"/>
                <w:color w:val="auto"/>
              </w:rPr>
              <w:t>412 West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Floor 9</w:t>
            </w:r>
          </w:p>
        </w:tc>
      </w:tr>
      <w:tr>
        <w:trPr>
          <w:trHeight w:val="237"/>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New York, New York 10011</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(c).</w:t>
            </w:r>
          </w:p>
        </w:tc>
        <w:tc>
          <w:tcPr>
            <w:tcW w:w="9920" w:type="dxa"/>
            <w:vAlign w:val="bottom"/>
          </w:tcPr>
          <w:p>
            <w:pPr>
              <w:spacing w:after="0"/>
              <w:rPr>
                <w:sz w:val="20"/>
                <w:szCs w:val="20"/>
                <w:color w:val="auto"/>
              </w:rPr>
            </w:pPr>
            <w:r>
              <w:rPr>
                <w:rFonts w:ascii="Arial" w:cs="Arial" w:eastAsia="Arial" w:hAnsi="Arial"/>
                <w:sz w:val="18"/>
                <w:szCs w:val="18"/>
                <w:color w:val="auto"/>
              </w:rPr>
              <w:t>Citizenship:</w:t>
            </w:r>
          </w:p>
        </w:tc>
      </w:tr>
      <w:tr>
        <w:trPr>
          <w:trHeight w:val="418"/>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RTW Investments, LP – Delaware</w:t>
            </w:r>
          </w:p>
        </w:tc>
      </w:tr>
      <w:tr>
        <w:trPr>
          <w:trHeight w:val="237"/>
        </w:trPr>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Roderick Wong – United States of America</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(d).</w:t>
            </w:r>
          </w:p>
        </w:tc>
        <w:tc>
          <w:tcPr>
            <w:tcW w:w="9920" w:type="dxa"/>
            <w:vAlign w:val="bottom"/>
          </w:tcPr>
          <w:p>
            <w:pPr>
              <w:spacing w:after="0"/>
              <w:rPr>
                <w:sz w:val="20"/>
                <w:szCs w:val="20"/>
                <w:color w:val="auto"/>
              </w:rPr>
            </w:pPr>
            <w:r>
              <w:rPr>
                <w:rFonts w:ascii="Arial" w:cs="Arial" w:eastAsia="Arial" w:hAnsi="Arial"/>
                <w:sz w:val="18"/>
                <w:szCs w:val="18"/>
                <w:color w:val="auto"/>
              </w:rPr>
              <w:t>Title of class of securities:</w:t>
            </w:r>
          </w:p>
        </w:tc>
      </w:tr>
      <w:tr>
        <w:trPr>
          <w:trHeight w:val="453"/>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r>
      <w:tr>
        <w:trPr>
          <w:trHeight w:val="432"/>
        </w:trPr>
        <w:tc>
          <w:tcPr>
            <w:tcW w:w="68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(e).</w:t>
            </w:r>
          </w:p>
        </w:tc>
        <w:tc>
          <w:tcPr>
            <w:tcW w:w="9920" w:type="dxa"/>
            <w:vAlign w:val="bottom"/>
          </w:tcPr>
          <w:p>
            <w:pPr>
              <w:spacing w:after="0"/>
              <w:rPr>
                <w:sz w:val="20"/>
                <w:szCs w:val="20"/>
                <w:color w:val="auto"/>
              </w:rPr>
            </w:pPr>
            <w:r>
              <w:rPr>
                <w:rFonts w:ascii="Arial" w:cs="Arial" w:eastAsia="Arial" w:hAnsi="Arial"/>
                <w:sz w:val="18"/>
                <w:szCs w:val="18"/>
                <w:color w:val="auto"/>
              </w:rPr>
              <w:t>CUSIP No.:</w:t>
            </w:r>
          </w:p>
        </w:tc>
      </w:tr>
      <w:tr>
        <w:trPr>
          <w:trHeight w:val="439"/>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825704109</w:t>
            </w:r>
          </w:p>
        </w:tc>
      </w:tr>
      <w:tr>
        <w:trPr>
          <w:trHeight w:val="439"/>
        </w:trPr>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4" w:name="page5"/>
    <w:bookmarkEnd w:id="4"/>
    <w:p>
      <w:pPr>
        <w:spacing w:after="0"/>
        <w:tabs>
          <w:tab w:leader="none" w:pos="8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RTW Investments, LP –0</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Roderick Wong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5715</wp:posOffset>
            </wp:positionV>
            <wp:extent cx="6303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3010" cy="17145"/>
                    </a:xfrm>
                    <a:prstGeom prst="rect">
                      <a:avLst/>
                    </a:prstGeom>
                    <a:noFill/>
                  </pic:spPr>
                </pic:pic>
              </a:graphicData>
            </a:graphic>
          </wp:anchor>
        </w:drawing>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RTW Investments, LP – 0%</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Roderick Wong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5715</wp:posOffset>
            </wp:positionV>
            <wp:extent cx="6303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3010" cy="17145"/>
                    </a:xfrm>
                    <a:prstGeom prst="rect">
                      <a:avLst/>
                    </a:prstGeom>
                    <a:noFill/>
                  </pic:spPr>
                </pic:pic>
              </a:graphicData>
            </a:graphic>
          </wp:anchor>
        </w:drawing>
      </w:r>
    </w:p>
    <w:p>
      <w:pPr>
        <w:spacing w:after="0" w:line="218" w:lineRule="exact"/>
        <w:rPr>
          <w:sz w:val="20"/>
          <w:szCs w:val="20"/>
          <w:color w:val="auto"/>
        </w:rPr>
      </w:pPr>
    </w:p>
    <w:p>
      <w:pPr>
        <w:ind w:left="1500" w:hanging="655"/>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880" w:hanging="386"/>
        <w:spacing w:after="0"/>
        <w:tabs>
          <w:tab w:leader="none" w:pos="1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880" w:right="7220"/>
        <w:spacing w:after="0" w:line="277" w:lineRule="auto"/>
        <w:rPr>
          <w:rFonts w:ascii="Arial" w:cs="Arial" w:eastAsia="Arial" w:hAnsi="Arial"/>
          <w:sz w:val="18"/>
          <w:szCs w:val="18"/>
          <w:color w:val="auto"/>
        </w:rPr>
      </w:pPr>
      <w:r>
        <w:rPr>
          <w:rFonts w:ascii="Arial" w:cs="Arial" w:eastAsia="Arial" w:hAnsi="Arial"/>
          <w:sz w:val="18"/>
          <w:szCs w:val="18"/>
          <w:color w:val="auto"/>
        </w:rPr>
        <w:t>RTW Investments, LP – 0 Roderick Wong – 0</w:t>
      </w:r>
    </w:p>
    <w:p>
      <w:pPr>
        <w:spacing w:after="0" w:line="170" w:lineRule="exact"/>
        <w:rPr>
          <w:rFonts w:ascii="Arial" w:cs="Arial" w:eastAsia="Arial" w:hAnsi="Arial"/>
          <w:sz w:val="18"/>
          <w:szCs w:val="18"/>
          <w:color w:val="auto"/>
        </w:rPr>
      </w:pPr>
    </w:p>
    <w:p>
      <w:pPr>
        <w:ind w:left="1880" w:hanging="386"/>
        <w:spacing w:after="0"/>
        <w:tabs>
          <w:tab w:leader="none" w:pos="1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880" w:right="7220"/>
        <w:spacing w:after="0" w:line="277" w:lineRule="auto"/>
        <w:rPr>
          <w:rFonts w:ascii="Arial" w:cs="Arial" w:eastAsia="Arial" w:hAnsi="Arial"/>
          <w:sz w:val="18"/>
          <w:szCs w:val="18"/>
          <w:color w:val="auto"/>
        </w:rPr>
      </w:pPr>
      <w:r>
        <w:rPr>
          <w:rFonts w:ascii="Arial" w:cs="Arial" w:eastAsia="Arial" w:hAnsi="Arial"/>
          <w:sz w:val="18"/>
          <w:szCs w:val="18"/>
          <w:color w:val="auto"/>
        </w:rPr>
        <w:t>RTW Investments, LP – 0 Roderick Wong – 0</w:t>
      </w:r>
    </w:p>
    <w:p>
      <w:pPr>
        <w:spacing w:after="0" w:line="170" w:lineRule="exact"/>
        <w:rPr>
          <w:rFonts w:ascii="Arial" w:cs="Arial" w:eastAsia="Arial" w:hAnsi="Arial"/>
          <w:sz w:val="18"/>
          <w:szCs w:val="18"/>
          <w:color w:val="auto"/>
        </w:rPr>
      </w:pPr>
    </w:p>
    <w:p>
      <w:pPr>
        <w:ind w:left="1880" w:hanging="386"/>
        <w:spacing w:after="0"/>
        <w:tabs>
          <w:tab w:leader="none" w:pos="1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880" w:right="7220"/>
        <w:spacing w:after="0" w:line="277" w:lineRule="auto"/>
        <w:rPr>
          <w:rFonts w:ascii="Arial" w:cs="Arial" w:eastAsia="Arial" w:hAnsi="Arial"/>
          <w:sz w:val="18"/>
          <w:szCs w:val="18"/>
          <w:color w:val="auto"/>
        </w:rPr>
      </w:pPr>
      <w:r>
        <w:rPr>
          <w:rFonts w:ascii="Arial" w:cs="Arial" w:eastAsia="Arial" w:hAnsi="Arial"/>
          <w:sz w:val="18"/>
          <w:szCs w:val="18"/>
          <w:color w:val="auto"/>
        </w:rPr>
        <w:t>RTW Investments, LP – 0 Roderick Wong – 0</w:t>
      </w:r>
    </w:p>
    <w:p>
      <w:pPr>
        <w:spacing w:after="0" w:line="170" w:lineRule="exact"/>
        <w:rPr>
          <w:rFonts w:ascii="Arial" w:cs="Arial" w:eastAsia="Arial" w:hAnsi="Arial"/>
          <w:sz w:val="18"/>
          <w:szCs w:val="18"/>
          <w:color w:val="auto"/>
        </w:rPr>
      </w:pPr>
    </w:p>
    <w:p>
      <w:pPr>
        <w:ind w:left="1880" w:hanging="386"/>
        <w:spacing w:after="0"/>
        <w:tabs>
          <w:tab w:leader="none" w:pos="1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880" w:right="7220"/>
        <w:spacing w:after="0" w:line="277" w:lineRule="auto"/>
        <w:rPr>
          <w:rFonts w:ascii="Arial" w:cs="Arial" w:eastAsia="Arial" w:hAnsi="Arial"/>
          <w:sz w:val="18"/>
          <w:szCs w:val="18"/>
          <w:color w:val="auto"/>
        </w:rPr>
      </w:pPr>
      <w:r>
        <w:rPr>
          <w:rFonts w:ascii="Arial" w:cs="Arial" w:eastAsia="Arial" w:hAnsi="Arial"/>
          <w:sz w:val="18"/>
          <w:szCs w:val="18"/>
          <w:color w:val="auto"/>
        </w:rPr>
        <w:t>RTW Investments, LP – 0 Roderick Wong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665" w:right="699" w:bottom="1440" w:gutter="0" w:footer="0" w:header="0"/>
        </w:sectPr>
      </w:pPr>
    </w:p>
    <w:bookmarkStart w:id="5" w:name="page6"/>
    <w:bookmarkEnd w:id="5"/>
    <w:p>
      <w:pPr>
        <w:spacing w:after="0"/>
        <w:tabs>
          <w:tab w:leader="none" w:pos="8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84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245745</wp:posOffset>
            </wp:positionV>
            <wp:extent cx="67151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8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7151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32" w:lineRule="exact"/>
        <w:rPr>
          <w:sz w:val="20"/>
          <w:szCs w:val="20"/>
          <w:color w:val="auto"/>
        </w:rPr>
      </w:pPr>
    </w:p>
    <w:p>
      <w:pPr>
        <w:ind w:left="840" w:hanging="836"/>
        <w:spacing w:after="0" w:line="277" w:lineRule="auto"/>
        <w:tabs>
          <w:tab w:leader="none" w:pos="8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7151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84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7151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84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7151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151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8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Dated: February 14,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consent and agree to the joint filing of Schedule 13G Amendment No. 1 under the Securities Exchange Act of 1934, as amended, with respect to the Common stock of Si-Bone,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2020-02-14T12:29:43Z</dcterms:created>
  <dcterms:modified xsi:type="dcterms:W3CDTF">2020-02-14T12:29:43Z</dcterms:modified>
</cp:coreProperties>
</file>