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697"/>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540" w:type="dxa"/>
            <w:vAlign w:val="bottom"/>
            <w:gridSpan w:val="6"/>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2"/>
          </w:tcPr>
          <w:p>
            <w:pPr>
              <w:ind w:left="4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11"/>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95050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4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09/16/2020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74,079</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09/16/2020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24.0532</w:t>
            </w:r>
            <w:r>
              <w:rPr>
                <w:rFonts w:ascii="Times New Roman" w:cs="Times New Roman" w:eastAsia="Times New Roman" w:hAnsi="Times New Roman"/>
                <w:sz w:val="21"/>
                <w:szCs w:val="21"/>
                <w:color w:val="008000"/>
                <w:w w:val="93"/>
                <w:vertAlign w:val="superscript"/>
              </w:rPr>
              <w:t>(2)</w:t>
            </w:r>
          </w:p>
        </w:tc>
        <w:tc>
          <w:tcPr>
            <w:tcW w:w="1220" w:type="dxa"/>
            <w:vAlign w:val="bottom"/>
            <w:tcBorders>
              <w:bottom w:val="single" w:sz="8" w:color="2C2C2C"/>
            </w:tcBorders>
            <w:gridSpan w:val="3"/>
          </w:tcPr>
          <w:p>
            <w:pPr>
              <w:jc w:val="center"/>
              <w:ind w:right="241"/>
              <w:spacing w:after="0"/>
              <w:rPr>
                <w:sz w:val="20"/>
                <w:szCs w:val="20"/>
                <w:color w:val="auto"/>
              </w:rPr>
            </w:pPr>
            <w:r>
              <w:rPr>
                <w:rFonts w:ascii="Times New Roman" w:cs="Times New Roman" w:eastAsia="Times New Roman" w:hAnsi="Times New Roman"/>
                <w:sz w:val="17"/>
                <w:szCs w:val="17"/>
                <w:color w:val="0000FF"/>
              </w:rPr>
              <w:t>71,079</w:t>
            </w:r>
            <w:r>
              <w:rPr>
                <w:rFonts w:ascii="Times New Roman" w:cs="Times New Roman" w:eastAsia="Times New Roman" w:hAnsi="Times New Roman"/>
                <w:sz w:val="21"/>
                <w:szCs w:val="21"/>
                <w:color w:val="008000"/>
                <w:vertAlign w:val="superscript"/>
              </w:rPr>
              <w:t>(3)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80" w:type="dxa"/>
            <w:vAlign w:val="bottom"/>
            <w:gridSpan w:val="9"/>
          </w:tcPr>
          <w:p>
            <w:pPr>
              <w:jc w:val="center"/>
              <w:ind w:left="5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4.32</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09/16/2020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3,000</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07/26/2026</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102,190</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-3364230</wp:posOffset>
            </wp:positionV>
            <wp:extent cx="7033260" cy="3504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0456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$23.84 to $24.55,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61,666 shares issuable on the settlement of restricted stock units granted to the Reporting Person. Each restricted stock unit represents a contingent right to receive one share of the Issuer's common stock.</w:t>
      </w:r>
    </w:p>
    <w:p>
      <w:pPr>
        <w:spacing w:after="0" w:line="16"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014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Anthony</w:t>
      </w:r>
      <w:r>
        <w:rPr>
          <w:sz w:val="20"/>
          <w:szCs w:val="20"/>
          <w:color w:val="auto"/>
        </w:rPr>
        <w:tab/>
      </w:r>
      <w:r>
        <w:rPr>
          <w:rFonts w:ascii="Times New Roman" w:cs="Times New Roman" w:eastAsia="Times New Roman" w:hAnsi="Times New Roman"/>
          <w:sz w:val="16"/>
          <w:szCs w:val="16"/>
          <w:color w:val="0000FF"/>
        </w:rPr>
        <w:t>09/18/2020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506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2020-09-18T14:59:15Z</dcterms:created>
  <dcterms:modified xsi:type="dcterms:W3CDTF">2020-09-18T14:59:15Z</dcterms:modified>
</cp:coreProperties>
</file>