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March 9, 2020</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169" w:lineRule="exact"/>
        <w:rPr>
          <w:sz w:val="24"/>
          <w:szCs w:val="24"/>
          <w:color w:val="auto"/>
        </w:rPr>
      </w:pPr>
    </w:p>
    <w:tbl>
      <w:tblPr>
        <w:tblLayout w:type="fixed"/>
        <w:tblInd w:w="680" w:type="dxa"/>
        <w:tblCellMar>
          <w:top w:w="0" w:type="dxa"/>
          <w:left w:w="0" w:type="dxa"/>
          <w:bottom w:w="0" w:type="dxa"/>
          <w:right w:w="0" w:type="dxa"/>
        </w:tblCellMar>
      </w:tblPr>
      <w:tr>
        <w:trPr>
          <w:trHeight w:val="210"/>
        </w:trPr>
        <w:tc>
          <w:tcPr>
            <w:tcW w:w="2360" w:type="dxa"/>
            <w:vAlign w:val="bottom"/>
          </w:tcPr>
          <w:p>
            <w:pPr>
              <w:jc w:val="center"/>
              <w:ind w:right="339"/>
              <w:spacing w:after="0"/>
              <w:rPr>
                <w:sz w:val="20"/>
                <w:szCs w:val="20"/>
                <w:color w:val="auto"/>
              </w:rPr>
            </w:pPr>
            <w:r>
              <w:rPr>
                <w:rFonts w:ascii="Arial" w:cs="Arial" w:eastAsia="Arial" w:hAnsi="Arial"/>
                <w:sz w:val="16"/>
                <w:szCs w:val="16"/>
                <w:b w:val="1"/>
                <w:bCs w:val="1"/>
                <w:color w:val="auto"/>
                <w:w w:val="93"/>
              </w:rPr>
              <w:t>Delaware</w:t>
            </w:r>
          </w:p>
        </w:tc>
        <w:tc>
          <w:tcPr>
            <w:tcW w:w="52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right"/>
              <w:ind w:right="7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2360" w:type="dxa"/>
            <w:vAlign w:val="bottom"/>
          </w:tcPr>
          <w:p>
            <w:pPr>
              <w:jc w:val="center"/>
              <w:ind w:right="319"/>
              <w:spacing w:after="0"/>
              <w:rPr>
                <w:sz w:val="20"/>
                <w:szCs w:val="20"/>
                <w:color w:val="auto"/>
              </w:rPr>
            </w:pPr>
            <w:r>
              <w:rPr>
                <w:rFonts w:ascii="Arial" w:cs="Arial" w:eastAsia="Arial" w:hAnsi="Arial"/>
                <w:sz w:val="16"/>
                <w:szCs w:val="16"/>
                <w:color w:val="auto"/>
                <w:w w:val="93"/>
              </w:rPr>
              <w:t>(State or other jurisdiction of</w:t>
            </w:r>
          </w:p>
        </w:tc>
        <w:tc>
          <w:tcPr>
            <w:tcW w:w="5200" w:type="dxa"/>
            <w:vAlign w:val="bottom"/>
          </w:tcPr>
          <w:p>
            <w:pPr>
              <w:jc w:val="center"/>
              <w:ind w:right="119"/>
              <w:spacing w:after="0"/>
              <w:rPr>
                <w:sz w:val="20"/>
                <w:szCs w:val="20"/>
                <w:color w:val="auto"/>
              </w:rPr>
            </w:pPr>
            <w:r>
              <w:rPr>
                <w:rFonts w:ascii="Arial" w:cs="Arial" w:eastAsia="Arial" w:hAnsi="Arial"/>
                <w:sz w:val="16"/>
                <w:szCs w:val="16"/>
                <w:color w:val="auto"/>
                <w:w w:val="94"/>
              </w:rPr>
              <w:t>(Commission</w:t>
            </w:r>
          </w:p>
        </w:tc>
        <w:tc>
          <w:tcPr>
            <w:tcW w:w="1720" w:type="dxa"/>
            <w:vAlign w:val="bottom"/>
          </w:tcPr>
          <w:p>
            <w:pPr>
              <w:jc w:val="center"/>
              <w:ind w:left="419"/>
              <w:spacing w:after="0"/>
              <w:rPr>
                <w:sz w:val="20"/>
                <w:szCs w:val="20"/>
                <w:color w:val="auto"/>
              </w:rPr>
            </w:pPr>
            <w:r>
              <w:rPr>
                <w:rFonts w:ascii="Arial" w:cs="Arial" w:eastAsia="Arial" w:hAnsi="Arial"/>
                <w:sz w:val="16"/>
                <w:szCs w:val="16"/>
                <w:color w:val="auto"/>
                <w:w w:val="93"/>
              </w:rPr>
              <w:t>(I.R.S. Employer</w:t>
            </w:r>
          </w:p>
        </w:tc>
      </w:tr>
      <w:tr>
        <w:trPr>
          <w:trHeight w:val="206"/>
        </w:trPr>
        <w:tc>
          <w:tcPr>
            <w:tcW w:w="2360" w:type="dxa"/>
            <w:vAlign w:val="bottom"/>
          </w:tcPr>
          <w:p>
            <w:pPr>
              <w:jc w:val="center"/>
              <w:ind w:right="319"/>
              <w:spacing w:after="0"/>
              <w:rPr>
                <w:sz w:val="20"/>
                <w:szCs w:val="20"/>
                <w:color w:val="auto"/>
              </w:rPr>
            </w:pPr>
            <w:r>
              <w:rPr>
                <w:rFonts w:ascii="Arial" w:cs="Arial" w:eastAsia="Arial" w:hAnsi="Arial"/>
                <w:sz w:val="16"/>
                <w:szCs w:val="16"/>
                <w:color w:val="auto"/>
                <w:w w:val="94"/>
              </w:rPr>
              <w:t>incorporation or organization)</w:t>
            </w:r>
          </w:p>
        </w:tc>
        <w:tc>
          <w:tcPr>
            <w:tcW w:w="5200" w:type="dxa"/>
            <w:vAlign w:val="bottom"/>
          </w:tcPr>
          <w:p>
            <w:pPr>
              <w:jc w:val="center"/>
              <w:ind w:right="119"/>
              <w:spacing w:after="0"/>
              <w:rPr>
                <w:sz w:val="20"/>
                <w:szCs w:val="20"/>
                <w:color w:val="auto"/>
              </w:rPr>
            </w:pPr>
            <w:r>
              <w:rPr>
                <w:rFonts w:ascii="Arial" w:cs="Arial" w:eastAsia="Arial" w:hAnsi="Arial"/>
                <w:sz w:val="16"/>
                <w:szCs w:val="16"/>
                <w:color w:val="auto"/>
                <w:w w:val="95"/>
              </w:rPr>
              <w:t>File Number)</w:t>
            </w:r>
          </w:p>
        </w:tc>
        <w:tc>
          <w:tcPr>
            <w:tcW w:w="1720" w:type="dxa"/>
            <w:vAlign w:val="bottom"/>
          </w:tcPr>
          <w:p>
            <w:pPr>
              <w:jc w:val="center"/>
              <w:ind w:left="419"/>
              <w:spacing w:after="0"/>
              <w:rPr>
                <w:sz w:val="20"/>
                <w:szCs w:val="20"/>
                <w:color w:val="auto"/>
              </w:rPr>
            </w:pPr>
            <w:r>
              <w:rPr>
                <w:rFonts w:ascii="Arial" w:cs="Arial" w:eastAsia="Arial" w:hAnsi="Arial"/>
                <w:sz w:val="16"/>
                <w:szCs w:val="16"/>
                <w:color w:val="auto"/>
                <w:w w:val="97"/>
              </w:rPr>
              <w:t>Identification No.)</w:t>
            </w:r>
          </w:p>
        </w:tc>
      </w:tr>
      <w:tr>
        <w:trPr>
          <w:trHeight w:val="397"/>
        </w:trPr>
        <w:tc>
          <w:tcPr>
            <w:tcW w:w="2360" w:type="dxa"/>
            <w:vAlign w:val="bottom"/>
          </w:tcPr>
          <w:p>
            <w:pPr>
              <w:spacing w:after="0"/>
              <w:rPr>
                <w:sz w:val="24"/>
                <w:szCs w:val="24"/>
                <w:color w:val="auto"/>
              </w:rPr>
            </w:pPr>
          </w:p>
        </w:tc>
        <w:tc>
          <w:tcPr>
            <w:tcW w:w="52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60" w:type="dxa"/>
            <w:vAlign w:val="bottom"/>
          </w:tcPr>
          <w:p>
            <w:pPr>
              <w:spacing w:after="0"/>
              <w:rPr>
                <w:sz w:val="16"/>
                <w:szCs w:val="16"/>
                <w:color w:val="auto"/>
              </w:rPr>
            </w:pPr>
          </w:p>
        </w:tc>
        <w:tc>
          <w:tcPr>
            <w:tcW w:w="52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193"/>
        </w:trPr>
        <w:tc>
          <w:tcPr>
            <w:tcW w:w="2360" w:type="dxa"/>
            <w:vAlign w:val="bottom"/>
          </w:tcPr>
          <w:p>
            <w:pPr>
              <w:spacing w:after="0"/>
              <w:rPr>
                <w:sz w:val="16"/>
                <w:szCs w:val="16"/>
                <w:color w:val="auto"/>
              </w:rPr>
            </w:pPr>
          </w:p>
        </w:tc>
        <w:tc>
          <w:tcPr>
            <w:tcW w:w="520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6"/>
                <w:szCs w:val="16"/>
                <w:color w:val="auto"/>
              </w:rPr>
            </w:pPr>
          </w:p>
        </w:tc>
      </w:tr>
      <w:tr>
        <w:trPr>
          <w:trHeight w:val="206"/>
        </w:trPr>
        <w:tc>
          <w:tcPr>
            <w:tcW w:w="2360" w:type="dxa"/>
            <w:vAlign w:val="bottom"/>
          </w:tcPr>
          <w:p>
            <w:pPr>
              <w:spacing w:after="0"/>
              <w:rPr>
                <w:sz w:val="17"/>
                <w:szCs w:val="17"/>
                <w:color w:val="auto"/>
              </w:rPr>
            </w:pPr>
          </w:p>
        </w:tc>
        <w:tc>
          <w:tcPr>
            <w:tcW w:w="5200" w:type="dxa"/>
            <w:vAlign w:val="bottom"/>
          </w:tcPr>
          <w:p>
            <w:pPr>
              <w:jc w:val="center"/>
              <w:ind w:right="39"/>
              <w:spacing w:after="0"/>
              <w:rPr>
                <w:sz w:val="20"/>
                <w:szCs w:val="20"/>
                <w:color w:val="auto"/>
              </w:rPr>
            </w:pPr>
            <w:r>
              <w:rPr>
                <w:rFonts w:ascii="Arial" w:cs="Arial" w:eastAsia="Arial" w:hAnsi="Arial"/>
                <w:sz w:val="16"/>
                <w:szCs w:val="16"/>
                <w:color w:val="auto"/>
                <w:w w:val="93"/>
              </w:rPr>
              <w:t>(Address of principal executive offices) (Zip Code)</w:t>
            </w:r>
          </w:p>
        </w:tc>
        <w:tc>
          <w:tcPr>
            <w:tcW w:w="1720" w:type="dxa"/>
            <w:vAlign w:val="bottom"/>
          </w:tcPr>
          <w:p>
            <w:pPr>
              <w:spacing w:after="0"/>
              <w:rPr>
                <w:sz w:val="17"/>
                <w:szCs w:val="17"/>
                <w:color w:val="auto"/>
              </w:rPr>
            </w:pPr>
          </w:p>
        </w:tc>
      </w:tr>
      <w:tr>
        <w:trPr>
          <w:trHeight w:val="388"/>
        </w:trPr>
        <w:tc>
          <w:tcPr>
            <w:tcW w:w="2360" w:type="dxa"/>
            <w:vAlign w:val="bottom"/>
          </w:tcPr>
          <w:p>
            <w:pPr>
              <w:spacing w:after="0"/>
              <w:rPr>
                <w:sz w:val="24"/>
                <w:szCs w:val="24"/>
                <w:color w:val="auto"/>
              </w:rPr>
            </w:pPr>
          </w:p>
        </w:tc>
        <w:tc>
          <w:tcPr>
            <w:tcW w:w="52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60" w:type="dxa"/>
            <w:vAlign w:val="bottom"/>
          </w:tcPr>
          <w:p>
            <w:pPr>
              <w:spacing w:after="0"/>
              <w:rPr>
                <w:sz w:val="17"/>
                <w:szCs w:val="17"/>
                <w:color w:val="auto"/>
              </w:rPr>
            </w:pPr>
          </w:p>
        </w:tc>
        <w:tc>
          <w:tcPr>
            <w:tcW w:w="5200" w:type="dxa"/>
            <w:vAlign w:val="bottom"/>
          </w:tcPr>
          <w:p>
            <w:pPr>
              <w:jc w:val="center"/>
              <w:ind w:right="1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388"/>
        </w:trPr>
        <w:tc>
          <w:tcPr>
            <w:tcW w:w="2360" w:type="dxa"/>
            <w:vAlign w:val="bottom"/>
          </w:tcPr>
          <w:p>
            <w:pPr>
              <w:spacing w:after="0"/>
              <w:rPr>
                <w:sz w:val="24"/>
                <w:szCs w:val="24"/>
                <w:color w:val="auto"/>
              </w:rPr>
            </w:pPr>
          </w:p>
        </w:tc>
        <w:tc>
          <w:tcPr>
            <w:tcW w:w="5200" w:type="dxa"/>
            <w:vAlign w:val="bottom"/>
          </w:tcPr>
          <w:p>
            <w:pPr>
              <w:jc w:val="center"/>
              <w:ind w:right="3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60" w:type="dxa"/>
            <w:vAlign w:val="bottom"/>
          </w:tcPr>
          <w:p>
            <w:pPr>
              <w:spacing w:after="0"/>
              <w:rPr>
                <w:sz w:val="17"/>
                <w:szCs w:val="17"/>
                <w:color w:val="auto"/>
              </w:rPr>
            </w:pPr>
          </w:p>
        </w:tc>
        <w:tc>
          <w:tcPr>
            <w:tcW w:w="5200" w:type="dxa"/>
            <w:vAlign w:val="bottom"/>
          </w:tcPr>
          <w:p>
            <w:pPr>
              <w:jc w:val="center"/>
              <w:ind w:right="3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17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95" w:lineRule="exact"/>
        <w:rPr>
          <w:sz w:val="24"/>
          <w:szCs w:val="24"/>
          <w:color w:val="auto"/>
        </w:rPr>
      </w:pPr>
    </w:p>
    <w:p>
      <w:pPr>
        <w:ind w:left="1600" w:hanging="707"/>
        <w:spacing w:after="0"/>
        <w:tabs>
          <w:tab w:leader="none" w:pos="1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Arial" w:cs="Arial" w:eastAsia="Arial" w:hAnsi="Arial"/>
          <w:sz w:val="16"/>
          <w:szCs w:val="16"/>
          <w:color w:val="auto"/>
        </w:rPr>
      </w:pPr>
    </w:p>
    <w:p>
      <w:pPr>
        <w:ind w:left="1600" w:hanging="707"/>
        <w:spacing w:after="0"/>
        <w:tabs>
          <w:tab w:leader="none" w:pos="1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Arial" w:cs="Arial" w:eastAsia="Arial" w:hAnsi="Arial"/>
          <w:sz w:val="16"/>
          <w:szCs w:val="16"/>
          <w:color w:val="auto"/>
        </w:rPr>
      </w:pPr>
    </w:p>
    <w:p>
      <w:pPr>
        <w:ind w:left="1600" w:hanging="707"/>
        <w:spacing w:after="0"/>
        <w:tabs>
          <w:tab w:leader="none" w:pos="1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8" w:lineRule="exact"/>
        <w:rPr>
          <w:sz w:val="24"/>
          <w:szCs w:val="24"/>
          <w:color w:val="auto"/>
        </w:rPr>
      </w:pPr>
    </w:p>
    <w:p>
      <w:pPr>
        <w:ind w:left="1620" w:hanging="707"/>
        <w:spacing w:after="0"/>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5"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20" w:type="dxa"/>
            <w:vAlign w:val="bottom"/>
            <w:gridSpan w:val="2"/>
          </w:tcPr>
          <w:p>
            <w:pPr>
              <w:jc w:val="center"/>
              <w:ind w:right="1900"/>
              <w:spacing w:after="0"/>
              <w:rPr>
                <w:sz w:val="20"/>
                <w:szCs w:val="20"/>
                <w:color w:val="auto"/>
              </w:rPr>
            </w:pPr>
            <w:r>
              <w:rPr>
                <w:rFonts w:ascii="Arial" w:cs="Arial" w:eastAsia="Arial" w:hAnsi="Arial"/>
                <w:sz w:val="16"/>
                <w:szCs w:val="16"/>
                <w:b w:val="1"/>
                <w:bCs w:val="1"/>
                <w:color w:val="auto"/>
                <w:w w:val="88"/>
              </w:rPr>
              <w:t>Title of each class</w:t>
            </w:r>
          </w:p>
        </w:tc>
        <w:tc>
          <w:tcPr>
            <w:tcW w:w="2320" w:type="dxa"/>
            <w:vAlign w:val="bottom"/>
            <w:gridSpan w:val="2"/>
          </w:tcPr>
          <w:p>
            <w:pPr>
              <w:jc w:val="center"/>
              <w:ind w:right="1040"/>
              <w:spacing w:after="0"/>
              <w:rPr>
                <w:sz w:val="20"/>
                <w:szCs w:val="20"/>
                <w:color w:val="auto"/>
              </w:rPr>
            </w:pPr>
            <w:r>
              <w:rPr>
                <w:rFonts w:ascii="Arial" w:cs="Arial" w:eastAsia="Arial" w:hAnsi="Arial"/>
                <w:sz w:val="16"/>
                <w:szCs w:val="16"/>
                <w:b w:val="1"/>
                <w:bCs w:val="1"/>
                <w:color w:val="auto"/>
                <w:w w:val="91"/>
              </w:rPr>
              <w:t>Trading Symbol(s)</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71"/>
        </w:trPr>
        <w:tc>
          <w:tcPr>
            <w:tcW w:w="3940" w:type="dxa"/>
            <w:vAlign w:val="bottom"/>
            <w:gridSpan w:val="3"/>
          </w:tcPr>
          <w:p>
            <w:pPr>
              <w:jc w:val="center"/>
              <w:ind w:right="1060"/>
              <w:spacing w:after="0"/>
              <w:rPr>
                <w:sz w:val="20"/>
                <w:szCs w:val="20"/>
                <w:color w:val="auto"/>
              </w:rPr>
            </w:pPr>
            <w:r>
              <w:rPr>
                <w:rFonts w:ascii="Arial" w:cs="Arial" w:eastAsia="Arial" w:hAnsi="Arial"/>
                <w:sz w:val="16"/>
                <w:szCs w:val="16"/>
                <w:color w:val="auto"/>
                <w:w w:val="90"/>
              </w:rPr>
              <w:t>Common Stock, par value $0.0001 per share</w:t>
            </w:r>
          </w:p>
        </w:tc>
        <w:tc>
          <w:tcPr>
            <w:tcW w:w="2320" w:type="dxa"/>
            <w:vAlign w:val="bottom"/>
            <w:gridSpan w:val="2"/>
          </w:tcPr>
          <w:p>
            <w:pPr>
              <w:jc w:val="center"/>
              <w:ind w:right="1040"/>
              <w:spacing w:after="0"/>
              <w:rPr>
                <w:sz w:val="20"/>
                <w:szCs w:val="20"/>
                <w:color w:val="auto"/>
              </w:rPr>
            </w:pPr>
            <w:r>
              <w:rPr>
                <w:rFonts w:ascii="Arial" w:cs="Arial" w:eastAsia="Arial" w:hAnsi="Arial"/>
                <w:sz w:val="16"/>
                <w:szCs w:val="16"/>
                <w:color w:val="auto"/>
                <w:w w:val="96"/>
              </w:rPr>
              <w:t>SIBN</w:t>
            </w: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239"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51"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160"/>
          </w:cols>
          <w:pgMar w:left="360" w:top="65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March 9, 2020, SI-BONE, Inc. (the "Company") issued a press release (the “Press Release”) announcing results for the quarter ended December 31, 2019. A copy of the Press Release is attached as Exhibit 99.1 to this current report on Form 8-K and is incorporated by reference herein.</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020" w:type="dxa"/>
            <w:vAlign w:val="bottom"/>
          </w:tcPr>
          <w:p>
            <w:pPr>
              <w:ind w:left="18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r>
      <w:tr>
        <w:trPr>
          <w:trHeight w:val="466"/>
        </w:trPr>
        <w:tc>
          <w:tcPr>
            <w:tcW w:w="960" w:type="dxa"/>
            <w:vAlign w:val="bottom"/>
          </w:tcPr>
          <w:p>
            <w:pPr>
              <w:ind w:left="40"/>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March 9, 2020</w:t>
              </w:r>
            </w:hyperlink>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40"/>
        <w:spacing w:after="0"/>
        <w:tabs>
          <w:tab w:leader="none" w:pos="920" w:val="left"/>
          <w:tab w:leader="none" w:pos="4740" w:val="left"/>
          <w:tab w:leader="none" w:pos="5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703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20"/>
          </w:cols>
          <w:pgMar w:left="320" w:top="553"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17145</wp:posOffset>
            </wp:positionV>
            <wp:extent cx="132016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Fourth Quarter and Full Year 2019 Financial Results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Reiterates Full Year 2020 Financial Outlook</w:t>
      </w:r>
    </w:p>
    <w:p>
      <w:pPr>
        <w:spacing w:after="0" w:line="200" w:lineRule="exact"/>
        <w:rPr>
          <w:sz w:val="20"/>
          <w:szCs w:val="20"/>
          <w:color w:val="auto"/>
        </w:rPr>
      </w:pPr>
    </w:p>
    <w:p>
      <w:pPr>
        <w:spacing w:after="0" w:line="374" w:lineRule="exact"/>
        <w:rPr>
          <w:sz w:val="20"/>
          <w:szCs w:val="20"/>
          <w:color w:val="auto"/>
        </w:rPr>
      </w:pPr>
    </w:p>
    <w:p>
      <w:pPr>
        <w:spacing w:after="0" w:line="385" w:lineRule="auto"/>
        <w:rPr>
          <w:sz w:val="20"/>
          <w:szCs w:val="20"/>
          <w:color w:val="auto"/>
        </w:rPr>
      </w:pPr>
      <w:r>
        <w:rPr>
          <w:rFonts w:ascii="Arial" w:cs="Arial" w:eastAsia="Arial" w:hAnsi="Arial"/>
          <w:sz w:val="18"/>
          <w:szCs w:val="18"/>
          <w:b w:val="1"/>
          <w:bCs w:val="1"/>
          <w:color w:val="auto"/>
        </w:rPr>
        <w:t xml:space="preserve">SANTA CLARA, Calif. </w:t>
      </w:r>
      <w:r>
        <w:rPr>
          <w:rFonts w:ascii="Arial" w:cs="Arial" w:eastAsia="Arial" w:hAnsi="Arial"/>
          <w:sz w:val="18"/>
          <w:szCs w:val="18"/>
          <w:color w:val="auto"/>
        </w:rPr>
        <w:t>March 9, 2020 - SI-BONE, Inc. (Nasdaq:SIBN), a medical device company dedicated to solving musculoskeletal</w:t>
      </w:r>
      <w:r>
        <w:rPr>
          <w:rFonts w:ascii="Arial" w:cs="Arial" w:eastAsia="Arial" w:hAnsi="Arial"/>
          <w:sz w:val="18"/>
          <w:szCs w:val="18"/>
          <w:b w:val="1"/>
          <w:bCs w:val="1"/>
          <w:color w:val="auto"/>
        </w:rPr>
        <w:t xml:space="preserve"> </w:t>
      </w:r>
      <w:r>
        <w:rPr>
          <w:rFonts w:ascii="Arial" w:cs="Arial" w:eastAsia="Arial" w:hAnsi="Arial"/>
          <w:sz w:val="18"/>
          <w:szCs w:val="18"/>
          <w:color w:val="auto"/>
        </w:rPr>
        <w:t>disorders of the sacropelvic anatomy, today reported financial results for the quarter and full year ended December 31, 2019.</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370" w:lineRule="exact"/>
        <w:rPr>
          <w:sz w:val="20"/>
          <w:szCs w:val="20"/>
          <w:color w:val="auto"/>
        </w:rPr>
      </w:pPr>
    </w:p>
    <w:p>
      <w:pPr>
        <w:ind w:left="420" w:right="380" w:hanging="412"/>
        <w:spacing w:after="0" w:line="352" w:lineRule="auto"/>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Worldwide revenue of $19.8 million for the fourth quarter 2019 and $67.3 million for the full year 2019, representing 27% and 22% increases, respectively, over the corresponding periods in 2018.</w:t>
      </w:r>
    </w:p>
    <w:p>
      <w:pPr>
        <w:ind w:left="420" w:right="360" w:hanging="412"/>
        <w:spacing w:after="0" w:line="352" w:lineRule="auto"/>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U.S. revenue of $18.5 million for fourth quarter 2019 and $61.8 million for the full year 2019, representing 28% and 23% increases, respectively, over the corresponding prior periods in 2018.</w:t>
      </w: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20"/>
          <w:szCs w:val="20"/>
          <w:color w:val="auto"/>
        </w:rPr>
        <w:t>Surpassed 45,000 iFuse procedures performed by more than 2,000 surgeons worldwide</w:t>
      </w:r>
    </w:p>
    <w:p>
      <w:pPr>
        <w:spacing w:after="0" w:line="107"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20"/>
          <w:szCs w:val="20"/>
          <w:color w:val="auto"/>
        </w:rPr>
        <w:t>Obtained coverage by Cigna, the fourth largest commercial payor in the U.S. with 14.6 million members</w:t>
      </w:r>
    </w:p>
    <w:p>
      <w:pPr>
        <w:spacing w:after="0" w:line="107" w:lineRule="exact"/>
        <w:rPr>
          <w:rFonts w:ascii="Arial" w:cs="Arial" w:eastAsia="Arial" w:hAnsi="Arial"/>
          <w:sz w:val="18"/>
          <w:szCs w:val="18"/>
          <w:color w:val="auto"/>
        </w:rPr>
      </w:pPr>
    </w:p>
    <w:p>
      <w:pPr>
        <w:ind w:left="400" w:hanging="392"/>
        <w:spacing w:after="0" w:line="373"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20"/>
          <w:szCs w:val="20"/>
          <w:color w:val="auto"/>
        </w:rPr>
        <w:t>Completed a follow-on offering in the first quarter of 2020, with net proceeds to the Company of $63.4 million after deducting underwriting discounts and commissions</w:t>
      </w:r>
    </w:p>
    <w:p>
      <w:pPr>
        <w:spacing w:after="0" w:line="244" w:lineRule="exact"/>
        <w:rPr>
          <w:sz w:val="20"/>
          <w:szCs w:val="20"/>
          <w:color w:val="auto"/>
        </w:rPr>
      </w:pPr>
    </w:p>
    <w:p>
      <w:pPr>
        <w:jc w:val="both"/>
        <w:spacing w:after="0" w:line="357" w:lineRule="auto"/>
        <w:rPr>
          <w:sz w:val="20"/>
          <w:szCs w:val="20"/>
          <w:color w:val="auto"/>
        </w:rPr>
      </w:pPr>
      <w:r>
        <w:rPr>
          <w:rFonts w:ascii="Arial" w:cs="Arial" w:eastAsia="Arial" w:hAnsi="Arial"/>
          <w:sz w:val="20"/>
          <w:szCs w:val="20"/>
          <w:color w:val="auto"/>
        </w:rPr>
        <w:t>“2019 was a transformational year for SI-BONE and the treatment of sacroiliac joint dysfunction,” said Jeffrey Dunn, President, CEO and Chairman. “During the year, our business grew 23% in the U.S., which was primarily driven by our growing U.S. sales force and an increase in surgeon training by our medical affairs team. As we enter 2020, we are well-positioned to continue to grow with the benefit of commercial tailwinds including new reimbursement coverage from Cigna and a 27% increase in the surgeon payment for minimally invasive sacroiliac fusion.”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2019 Financial Results</w:t>
      </w:r>
    </w:p>
    <w:p>
      <w:pPr>
        <w:spacing w:after="0" w:line="316"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Revenue was $19.8 million in the fourth quarter 2019, a 27% increase from $15.6 million in the corresponding prior year period. U.S. revenue for the fourth quarter 2019 was $18.5 million, an increase of 28% from $14.5 million in the corresponding prior year period, primarily driven by growth of domestic case volumes. International revenue was $1.3 million in the fourth quarter 2019 compared to $1.2 million in the corresponding prior year period.</w:t>
      </w:r>
    </w:p>
    <w:p>
      <w:pPr>
        <w:spacing w:after="0" w:line="233"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Gross margin was 90% for the fourth quarter 2019, as compared to 91% in the corresponding prior year period. The change in gross margin was due to an increase in personnel in operations to support the growth of the business.</w:t>
      </w:r>
    </w:p>
    <w:p>
      <w:pPr>
        <w:sectPr>
          <w:pgSz w:w="11900" w:h="16838" w:orient="portrait"/>
          <w:cols w:equalWidth="0" w:num="1">
            <w:col w:w="11240"/>
          </w:cols>
          <w:pgMar w:left="320" w:top="553" w:right="339" w:bottom="1440" w:gutter="0" w:footer="0" w:header="0"/>
        </w:sectPr>
      </w:pPr>
    </w:p>
    <w:bookmarkStart w:id="4" w:name="page5"/>
    <w:bookmarkEnd w:id="4"/>
    <w:p>
      <w:pPr>
        <w:jc w:val="both"/>
        <w:spacing w:after="0" w:line="306" w:lineRule="auto"/>
        <w:rPr>
          <w:sz w:val="20"/>
          <w:szCs w:val="20"/>
          <w:color w:val="auto"/>
        </w:rPr>
      </w:pPr>
      <w:r>
        <w:rPr>
          <w:rFonts w:ascii="Arial" w:cs="Arial" w:eastAsia="Arial" w:hAnsi="Arial"/>
          <w:sz w:val="20"/>
          <w:szCs w:val="20"/>
          <w:color w:val="auto"/>
        </w:rPr>
        <w:t>Operating expenses were $26.3 million in the fourth quarter 2019, as compared to $18.5 million in the corresponding prior year period, an increase of 42%. The increase in operating expense was primarily driven by increased sales hiring, surgeon training, new public company costs, stock-based compensation and litigation expenses.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Operating loss was $8.5 million in the fourth quarter 2019, as compared to $4.3 million in the corresponding prior year period.</w:t>
      </w:r>
    </w:p>
    <w:p>
      <w:pPr>
        <w:spacing w:after="0" w:line="337"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Net loss was $9.1 million, or $0.36 per diluted share for the fourth quarter 2019, as compared to $5.3 million, or $0.26 per diluted share in the corresponding prior year period.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Financial Results</w:t>
      </w:r>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Revenue was $67.3 million for 2019, a 22% increase from $55.4 million in 2018. U.S. revenue for 2019 was $61.8 million, a 23% increase from $50.1 million in 2018, primarily driven by growth of domestic case volumes. Our international revenue was $5.5 million for 2019 compared to $5.2 million in 2018.</w:t>
      </w:r>
    </w:p>
    <w:p>
      <w:pPr>
        <w:spacing w:after="0" w:line="227"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Gross margin was 90% in 2019, as compared to 91% in 2018. The change in gross margin was due to an increase in personnel in operations to support the growth of the business.</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Operating expenses were $96.5 million in 2019, as compared to $62.5 million in 2018, an increase of 54%. The increase in operating expense was primarily driven by increased sales hiring, surgeon training, new public company costs, stock-based compensation and litigation expenses.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Operating loss was $36.0 million in 2019, as compared to $12.0 million in 2018.</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Net loss was $38.4 million, or $1.55 per diluted share for 2019, as compared to $17.5 million, or $2.20 per diluted share in 2018.</w:t>
      </w:r>
    </w:p>
    <w:p>
      <w:pPr>
        <w:spacing w:after="0" w:line="349"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Cash and marketable securities were $93.1 million as of December 31, 2019. In the first quarter of 2020, SI-BONE completed a follow-on offering, raising net proceeds of $63.4 million after deducting the underwriting discounts and commissions.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Financial Guidance</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SI-BONE continues to expect full year 2020 revenue to be in the range of $80 to $82 million, representing growth of 19 to 22% over full year 2019 revenue.</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31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SI-BONE will host a conference call to discuss the fourth quarter 2019 financial results after market close on Monday, March 9, 2020 at 4:30 P.M. Eastern Time. The conference call can be accessed live over the phone </w:t>
      </w:r>
      <w:r>
        <w:rPr>
          <w:rFonts w:ascii="Arial" w:cs="Arial" w:eastAsia="Arial" w:hAnsi="Arial"/>
          <w:sz w:val="19"/>
          <w:szCs w:val="19"/>
          <w:color w:val="222222"/>
        </w:rPr>
        <w:t>(866)</w:t>
      </w:r>
      <w:r>
        <w:rPr>
          <w:rFonts w:ascii="Arial" w:cs="Arial" w:eastAsia="Arial" w:hAnsi="Arial"/>
          <w:sz w:val="19"/>
          <w:szCs w:val="19"/>
          <w:color w:val="auto"/>
        </w:rPr>
        <w:t xml:space="preserve"> 470-1968 for domestic callers or </w:t>
      </w:r>
      <w:r>
        <w:rPr>
          <w:rFonts w:ascii="Arial" w:cs="Arial" w:eastAsia="Arial" w:hAnsi="Arial"/>
          <w:sz w:val="19"/>
          <w:szCs w:val="19"/>
          <w:color w:val="222222"/>
        </w:rPr>
        <w:t>(409) 217-8248</w:t>
      </w:r>
      <w:r>
        <w:rPr>
          <w:rFonts w:ascii="Arial" w:cs="Arial" w:eastAsia="Arial" w:hAnsi="Arial"/>
          <w:sz w:val="19"/>
          <w:szCs w:val="19"/>
          <w:color w:val="auto"/>
        </w:rPr>
        <w:t xml:space="preserve"> for international callers, using conference ID: 8747596. The webcast can be accessed at </w:t>
      </w:r>
      <w:r>
        <w:rPr>
          <w:rFonts w:ascii="Arial" w:cs="Arial" w:eastAsia="Arial" w:hAnsi="Arial"/>
          <w:sz w:val="19"/>
          <w:szCs w:val="19"/>
          <w:u w:val="single" w:color="auto"/>
          <w:color w:val="0000FF"/>
        </w:rPr>
        <w:t>https:/investor.si-bone.com</w:t>
      </w:r>
      <w:r>
        <w:rPr>
          <w:rFonts w:ascii="Arial" w:cs="Arial" w:eastAsia="Arial" w:hAnsi="Arial"/>
          <w:sz w:val="19"/>
          <w:szCs w:val="19"/>
          <w:color w:val="auto"/>
        </w:rPr>
        <w:t>.</w:t>
      </w:r>
    </w:p>
    <w:p>
      <w:pPr>
        <w:sectPr>
          <w:pgSz w:w="11900" w:h="16838" w:orient="portrait"/>
          <w:cols w:equalWidth="0" w:num="1">
            <w:col w:w="11240"/>
          </w:cols>
          <w:pgMar w:left="320" w:top="58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SI-BONE</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randomized controlled trials, showing improved pain, patient function and quality of life resulting from treatment. There are over 80 peer-reviewed publications demonstrating the safety, durable effectiveness, and biomechanical and economic benefits unique to the iFuse Implant (</w:t>
      </w:r>
      <w:r>
        <w:rPr>
          <w:rFonts w:ascii="Arial" w:cs="Arial" w:eastAsia="Arial" w:hAnsi="Arial"/>
          <w:sz w:val="19"/>
          <w:szCs w:val="19"/>
          <w:u w:val="single" w:color="auto"/>
          <w:color w:val="0000FF"/>
        </w:rPr>
        <w:t>www.si-bone.com/results</w:t>
      </w:r>
      <w:r>
        <w:rPr>
          <w:rFonts w:ascii="Arial" w:cs="Arial" w:eastAsia="Arial" w:hAnsi="Arial"/>
          <w:sz w:val="19"/>
          <w:szCs w:val="19"/>
          <w:color w:val="000000"/>
        </w:rPr>
        <w:t>). This body of evidence has enabled multiple government and private insurance payors to establish coverage of the SI joint</w:t>
      </w:r>
      <w:r>
        <w:rPr>
          <w:rFonts w:ascii="Arial" w:cs="Arial" w:eastAsia="Arial" w:hAnsi="Arial"/>
          <w:sz w:val="19"/>
          <w:szCs w:val="19"/>
          <w:color w:val="0000FF"/>
        </w:rPr>
        <w:t xml:space="preserve"> </w:t>
      </w:r>
      <w:r>
        <w:rPr>
          <w:rFonts w:ascii="Arial" w:cs="Arial" w:eastAsia="Arial" w:hAnsi="Arial"/>
          <w:sz w:val="19"/>
          <w:szCs w:val="19"/>
          <w:color w:val="000000"/>
        </w:rPr>
        <w:t>fusion procedure exclusively when performed with the iFuse Implant System.</w:t>
      </w:r>
    </w:p>
    <w:p>
      <w:pPr>
        <w:spacing w:after="0" w:line="39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stabilization and immobilization of the sacroiliac joint in skeletally mature patients undergoing sacropelvic fixation as part of a lumbar or thoracolumbar fusion. There are potential risks associated with the iFuse Implant System. It may not be appropriate for all patients and all patients may not benefit.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on the company or the products including risks and benefits, please visit </w:t>
      </w:r>
      <w:r>
        <w:rPr>
          <w:rFonts w:ascii="Arial" w:cs="Arial" w:eastAsia="Arial" w:hAnsi="Arial"/>
          <w:sz w:val="20"/>
          <w:szCs w:val="20"/>
          <w:u w:val="single" w:color="auto"/>
          <w:color w:val="0000FF"/>
        </w:rPr>
        <w:t>www.si-bone.com</w:t>
      </w:r>
      <w:r>
        <w:rPr>
          <w:rFonts w:ascii="Arial" w:cs="Arial" w:eastAsia="Arial" w:hAnsi="Arial"/>
          <w:sz w:val="20"/>
          <w:szCs w:val="20"/>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0" w:lineRule="exact"/>
        <w:rPr>
          <w:sz w:val="20"/>
          <w:szCs w:val="20"/>
          <w:color w:val="auto"/>
        </w:rPr>
      </w:pPr>
    </w:p>
    <w:p>
      <w:pPr>
        <w:spacing w:after="0" w:line="265"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2019 financial results and statements in this press release regarding expectations of future events or results, as well as SI-BONE's expectations set forth under the caption "2020 Financial Guidance" are "forward-looking" statements. These forward-looking statements are based on SI-BONE's current expectations and inherently involve significant risks and uncertainties and, in the case of its 2019 financial results, are subject to quarter-end closing adjustments. These risks include SI-BONE's future performance, which is subject to SI-BONE's ability to expand its sales and marketing capabilities and increase demand for iFuse, expand geographically, and obtain favorable coverage and reimbursement determinations from third-party payors. Actual results and the timing of events could differ materially from those anticipated in such forward-looking statements as a result of these and other risks and uncertainties, many of which are described in the company's filings on Form 10-K and Form 10-Q, and the company’s other filings with the Securities and Exchange Commission (SEC) available at the SEC's Internet site (</w:t>
      </w:r>
      <w:r>
        <w:rPr>
          <w:rFonts w:ascii="Arial" w:cs="Arial" w:eastAsia="Arial" w:hAnsi="Arial"/>
          <w:sz w:val="18"/>
          <w:szCs w:val="18"/>
          <w:u w:val="single" w:color="auto"/>
          <w:color w:val="0000FF"/>
        </w:rPr>
        <w:t>www.sec.gov</w:t>
      </w:r>
      <w:r>
        <w:rPr>
          <w:rFonts w:ascii="Arial" w:cs="Arial" w:eastAsia="Arial" w:hAnsi="Arial"/>
          <w:sz w:val="18"/>
          <w:szCs w:val="18"/>
          <w:color w:val="auto"/>
        </w:rPr>
        <w:t>),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Lynn Lewis or Carrie Mendivil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240"/>
          </w:cols>
          <w:pgMar w:left="320" w:top="77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December 31,</w:t>
            </w:r>
          </w:p>
        </w:tc>
        <w:tc>
          <w:tcPr>
            <w:tcW w:w="360" w:type="dxa"/>
            <w:vAlign w:val="bottom"/>
          </w:tcPr>
          <w:p>
            <w:pPr>
              <w:spacing w:after="0"/>
              <w:rPr>
                <w:sz w:val="18"/>
                <w:szCs w:val="18"/>
                <w:color w:val="auto"/>
              </w:rPr>
            </w:pPr>
          </w:p>
        </w:tc>
        <w:tc>
          <w:tcPr>
            <w:tcW w:w="29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r>
      <w:tr>
        <w:trPr>
          <w:trHeight w:val="33"/>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19,811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67,301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55,380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6,790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4,833</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17,765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60,511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50,547</w:t>
            </w:r>
          </w:p>
        </w:tc>
      </w:tr>
      <w:tr>
        <w:trPr>
          <w:trHeight w:val="237"/>
        </w:trPr>
        <w:tc>
          <w:tcPr>
            <w:tcW w:w="444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351"/>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19,266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12,607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68,251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44,497</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5,376</w:t>
            </w:r>
          </w:p>
        </w:tc>
      </w:tr>
      <w:tr>
        <w:trPr>
          <w:trHeight w:val="243"/>
        </w:trPr>
        <w:tc>
          <w:tcPr>
            <w:tcW w:w="44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5,208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4,441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20,984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12,639</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26,250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18,549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96,514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62,512</w:t>
            </w:r>
          </w:p>
        </w:tc>
      </w:tr>
      <w:tr>
        <w:trPr>
          <w:trHeight w:val="318"/>
        </w:trPr>
        <w:tc>
          <w:tcPr>
            <w:tcW w:w="4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(36,003)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769</w:t>
            </w: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(5,108)</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(1,149)</w:t>
            </w:r>
          </w:p>
        </w:tc>
      </w:tr>
      <w:tr>
        <w:trPr>
          <w:trHeight w:val="297"/>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(9,098)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(5,313)</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(38,403)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(17,453)</w:t>
            </w:r>
          </w:p>
        </w:tc>
      </w:tr>
      <w:tr>
        <w:trPr>
          <w:trHeight w:val="311"/>
        </w:trPr>
        <w:tc>
          <w:tcPr>
            <w:tcW w:w="4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(2.20)</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number of common shares used to</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 basic and diluted net loss per share</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25,029,861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20,593,028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24,705,980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7,950,284</w:t>
            </w:r>
          </w:p>
        </w:tc>
      </w:tr>
      <w:tr>
        <w:trPr>
          <w:trHeight w:val="27"/>
        </w:trPr>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Pr>
          <w:p>
            <w:pPr>
              <w:spacing w:after="0"/>
              <w:rPr>
                <w:sz w:val="18"/>
                <w:szCs w:val="18"/>
                <w:color w:val="auto"/>
              </w:rPr>
            </w:pPr>
          </w:p>
        </w:tc>
      </w:tr>
      <w:tr>
        <w:trPr>
          <w:trHeight w:val="33"/>
        </w:trPr>
        <w:tc>
          <w:tcPr>
            <w:tcW w:w="7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7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6"/>
                <w:szCs w:val="16"/>
                <w:b w:val="1"/>
                <w:bCs w:val="1"/>
                <w:color w:val="auto"/>
              </w:rPr>
              <w:t>2018</w:t>
            </w:r>
          </w:p>
        </w:tc>
      </w:tr>
      <w:tr>
        <w:trPr>
          <w:trHeight w:val="33"/>
        </w:trPr>
        <w:tc>
          <w:tcPr>
            <w:tcW w:w="7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25,120</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81,345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97,103</w:t>
            </w: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8,486</w:t>
            </w:r>
          </w:p>
        </w:tc>
      </w:tr>
      <w:tr>
        <w:trPr>
          <w:trHeight w:val="243"/>
        </w:trPr>
        <w:tc>
          <w:tcPr>
            <w:tcW w:w="716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5,452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3,343</w:t>
            </w: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111,462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136,042</w:t>
            </w: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97"/>
        </w:trPr>
        <w:tc>
          <w:tcPr>
            <w:tcW w:w="716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117,009</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138,521</w:t>
            </w:r>
          </w:p>
        </w:tc>
      </w:tr>
      <w:tr>
        <w:trPr>
          <w:trHeight w:val="311"/>
        </w:trPr>
        <w:tc>
          <w:tcPr>
            <w:tcW w:w="7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2,811</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2,146</w:t>
            </w: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liabilities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w:t>
            </w:r>
          </w:p>
        </w:tc>
      </w:tr>
      <w:tr>
        <w:trPr>
          <w:trHeight w:val="243"/>
        </w:trPr>
        <w:tc>
          <w:tcPr>
            <w:tcW w:w="7160" w:type="dxa"/>
            <w:vAlign w:val="bottom"/>
          </w:tcPr>
          <w:p>
            <w:pPr>
              <w:ind w:left="260"/>
              <w:spacing w:after="0"/>
              <w:rPr>
                <w:sz w:val="20"/>
                <w:szCs w:val="20"/>
                <w:color w:val="auto"/>
              </w:rPr>
            </w:pPr>
            <w:r>
              <w:rPr>
                <w:rFonts w:ascii="Arial" w:cs="Arial" w:eastAsia="Arial" w:hAnsi="Arial"/>
                <w:sz w:val="18"/>
                <w:szCs w:val="18"/>
                <w:color w:val="auto"/>
              </w:rPr>
              <w:t>Current portion of long-term borrowings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9,006</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34,865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38,963</w:t>
            </w: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7"/>
        </w:trPr>
        <w:tc>
          <w:tcPr>
            <w:tcW w:w="716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48,329</w:t>
            </w: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7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and 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258,124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246,930</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(195,580)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(157,177)</w:t>
            </w:r>
          </w:p>
        </w:tc>
      </w:tr>
      <w:tr>
        <w:trPr>
          <w:trHeight w:val="237"/>
        </w:trPr>
        <w:tc>
          <w:tcPr>
            <w:tcW w:w="716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63,008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90,192</w:t>
            </w:r>
          </w:p>
        </w:tc>
      </w:tr>
      <w:tr>
        <w:trPr>
          <w:trHeight w:val="27"/>
        </w:trPr>
        <w:tc>
          <w:tcPr>
            <w:tcW w:w="7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138,521</w:t>
            </w:r>
          </w:p>
        </w:tc>
      </w:tr>
      <w:tr>
        <w:trPr>
          <w:trHeight w:val="20"/>
        </w:trPr>
        <w:tc>
          <w:tcPr>
            <w:tcW w:w="7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360"/>
      </w:cols>
      <w:pgMar w:left="760" w:top="553"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2020-03-09T15:25:58Z</dcterms:created>
  <dcterms:modified xsi:type="dcterms:W3CDTF">2020-03-09T15:25:58Z</dcterms:modified>
</cp:coreProperties>
</file>