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spacing w:after="0" w:line="261" w:lineRule="auto"/>
        <w:rPr>
          <w:sz w:val="20"/>
          <w:szCs w:val="20"/>
          <w:color w:val="auto"/>
        </w:rPr>
      </w:pPr>
      <w:r>
        <w:rPr>
          <w:rFonts w:ascii="Arial" w:cs="Arial" w:eastAsia="Arial" w:hAnsi="Arial"/>
          <w:sz w:val="18"/>
          <w:szCs w:val="18"/>
          <w:b w:val="1"/>
          <w:bCs w:val="1"/>
          <w:color w:val="C00000"/>
        </w:rPr>
        <w:t>The information in this preliminary prospectus supplement is not complete and may be changed. A registration statement relating to these securities has been declared effective by the Securities and Exchange Commission is effective. This preliminary prospectus supplement and accompanying prospectus are not an offer to sell these securities, and we and the selling stockholders are not soliciting offers to buy these securities, in any jurisdiction where such offer or sale is not permitted.</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C00000"/>
        </w:rPr>
        <w:t>SUBJECT TO COMPLETION, DATED JANUARY 21, 2020</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Prospectus Supplement</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Prospectus dated January 2, 2020)</w:t>
      </w: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4,300,000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226695</wp:posOffset>
            </wp:positionV>
            <wp:extent cx="2409825"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9825"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6"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offering 2,490,053 shares of our common stock, and the selling stockholders named in this prospectus supplement are offering 1,809,947 shares of our common stock.</w:t>
      </w:r>
    </w:p>
    <w:p>
      <w:pPr>
        <w:spacing w:after="0" w:line="62"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Global Market under the symbol “SIBN.” On January 17, 2020, the last reported sale price of our common stock was $21.76 per share.</w:t>
      </w:r>
    </w:p>
    <w:p>
      <w:pPr>
        <w:spacing w:after="0" w:line="62"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Supplement Summary - Implications of Being an Emerging Growth Company.”</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beginning on page S-7.</w:t>
      </w:r>
    </w:p>
    <w:p>
      <w:pPr>
        <w:spacing w:after="0" w:line="167"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5"/>
                <w:szCs w:val="25"/>
                <w:color w:val="auto"/>
                <w:vertAlign w:val="superscript"/>
              </w:rPr>
              <w:t>(1)</w:t>
            </w: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to us, before expenses</w:t>
            </w: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Proceeds to the selling stockholders, before expenses</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(1) See "Underwriting" for additional information regarding underwriting compensation payable by us and payable by the selling stockholders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179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05"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645,000 additional shares of our common stock.</w:t>
      </w:r>
    </w:p>
    <w:p>
      <w:pPr>
        <w:spacing w:after="0" w:line="27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underwriters expect to deliver the shares against payment in New York, New York on , 2020.</w:t>
      </w:r>
    </w:p>
    <w:p>
      <w:pPr>
        <w:spacing w:after="0" w:line="167" w:lineRule="exact"/>
        <w:rPr>
          <w:sz w:val="24"/>
          <w:szCs w:val="24"/>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ectPr>
          <w:pgSz w:w="11900" w:h="16838" w:orient="portrait"/>
          <w:cols w:equalWidth="0" w:num="1">
            <w:col w:w="11420"/>
          </w:cols>
          <w:pgMar w:left="240" w:top="864" w:right="239" w:bottom="1440" w:gutter="0" w:footer="0" w:header="0"/>
        </w:sectPr>
      </w:pPr>
    </w:p>
    <w:p>
      <w:pPr>
        <w:spacing w:after="0" w:line="153" w:lineRule="exact"/>
        <w:rPr>
          <w:sz w:val="24"/>
          <w:szCs w:val="24"/>
          <w:color w:val="auto"/>
        </w:rPr>
      </w:pPr>
    </w:p>
    <w:p>
      <w:pPr>
        <w:ind w:left="28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BofA Securities</w:t>
      </w:r>
    </w:p>
    <w:p>
      <w:pPr>
        <w:spacing w:after="0" w:line="211" w:lineRule="exact"/>
        <w:rPr>
          <w:sz w:val="24"/>
          <w:szCs w:val="24"/>
          <w:color w:val="auto"/>
        </w:rPr>
      </w:pPr>
    </w:p>
    <w:p>
      <w:pPr>
        <w:sectPr>
          <w:pgSz w:w="11900" w:h="16838" w:orient="portrait"/>
          <w:cols w:equalWidth="0" w:num="2">
            <w:col w:w="8280" w:space="720"/>
            <w:col w:w="2420"/>
          </w:cols>
          <w:pgMar w:left="240" w:top="864" w:right="239" w:bottom="1440" w:gutter="0" w:footer="0" w:header="0"/>
          <w:type w:val="continuous"/>
        </w:sectPr>
      </w:pPr>
    </w:p>
    <w:p>
      <w:pPr>
        <w:spacing w:after="0" w:line="31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 2020.</w:t>
      </w:r>
    </w:p>
    <w:p>
      <w:pPr>
        <w:sectPr>
          <w:pgSz w:w="11900" w:h="16838" w:orient="portrait"/>
          <w:cols w:equalWidth="0" w:num="1">
            <w:col w:w="11420"/>
          </w:cols>
          <w:pgMar w:left="240" w:top="86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0" w:type="dxa"/>
            <w:vAlign w:val="bottom"/>
            <w:gridSpan w:val="5"/>
          </w:tcPr>
          <w:p>
            <w:pPr>
              <w:ind w:left="72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4"/>
                <w:szCs w:val="14"/>
                <w:b w:val="1"/>
                <w:bCs w:val="1"/>
                <w:color w:val="auto"/>
                <w:w w:val="89"/>
              </w:rPr>
              <w:t>Page</w:t>
            </w:r>
          </w:p>
        </w:tc>
      </w:tr>
      <w:tr>
        <w:trPr>
          <w:trHeight w:val="270"/>
        </w:trPr>
        <w:tc>
          <w:tcPr>
            <w:tcW w:w="20" w:type="dxa"/>
            <w:vAlign w:val="bottom"/>
          </w:tcPr>
          <w:p>
            <w:pPr>
              <w:spacing w:after="0"/>
              <w:rPr>
                <w:sz w:val="23"/>
                <w:szCs w:val="23"/>
                <w:color w:val="auto"/>
              </w:rPr>
            </w:pPr>
          </w:p>
        </w:tc>
        <w:tc>
          <w:tcPr>
            <w:tcW w:w="9640" w:type="dxa"/>
            <w:vAlign w:val="bottom"/>
            <w:gridSpan w:val="24"/>
          </w:tcPr>
          <w:p>
            <w:pPr>
              <w:spacing w:after="0"/>
              <w:rPr>
                <w:sz w:val="20"/>
                <w:szCs w:val="20"/>
                <w:color w:val="auto"/>
              </w:rPr>
            </w:pPr>
            <w:r>
              <w:rPr>
                <w:rFonts w:ascii="Arial" w:cs="Arial" w:eastAsia="Arial" w:hAnsi="Arial"/>
                <w:sz w:val="18"/>
                <w:szCs w:val="18"/>
                <w:b w:val="1"/>
                <w:bCs w:val="1"/>
                <w:color w:val="auto"/>
              </w:rPr>
              <w:t>PROSPECTUS SUPPLEMENT</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9"/>
            <w:shd w:val="clear" w:color="auto" w:fill="CCEEFF"/>
          </w:tcPr>
          <w:p>
            <w:pPr>
              <w:jc w:val="center"/>
              <w:ind w:right="18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S-ii</w:t>
              </w:r>
            </w:hyperlink>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0000EE"/>
            </w:tcBorders>
            <w:gridSpan w:val="19"/>
          </w:tcPr>
          <w:p>
            <w:pPr>
              <w:spacing w:after="0" w:line="20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PROSPECTUS SUPPLEMENT SUMMARY</w:t>
              </w:r>
            </w:hyperlink>
          </w:p>
        </w:tc>
        <w:tc>
          <w:tcPr>
            <w:tcW w:w="6200" w:type="dxa"/>
            <w:vAlign w:val="bottom"/>
            <w:tcBorders>
              <w:top w:val="single" w:sz="8" w:color="CCEEFF"/>
            </w:tcBorders>
            <w:gridSpan w:val="5"/>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0000EE"/>
            </w:tcBorders>
            <w:gridSpan w:val="6"/>
          </w:tcPr>
          <w:p>
            <w:pPr>
              <w:jc w:val="center"/>
              <w:ind w:right="20"/>
              <w:spacing w:after="0" w:line="202"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S-1</w:t>
              </w:r>
            </w:hyperlink>
          </w:p>
        </w:tc>
        <w:tc>
          <w:tcPr>
            <w:tcW w:w="180" w:type="dxa"/>
            <w:vAlign w:val="bottom"/>
            <w:tcBorders>
              <w:top w:val="single" w:sz="8" w:color="CCEEFF"/>
            </w:tcBorders>
            <w:gridSpan w:val="3"/>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6"/>
            <w:shd w:val="clear" w:color="auto" w:fill="CCEEFF"/>
          </w:tcPr>
          <w:p>
            <w:pPr>
              <w:spacing w:after="0" w:line="202"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RISK FACTORS</w:t>
              </w:r>
            </w:hyperlink>
          </w:p>
        </w:tc>
        <w:tc>
          <w:tcPr>
            <w:tcW w:w="8380" w:type="dxa"/>
            <w:vAlign w:val="bottom"/>
            <w:gridSpan w:val="18"/>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gridSpan w:val="9"/>
            <w:shd w:val="clear" w:color="auto" w:fill="CCEEFF"/>
          </w:tcPr>
          <w:p>
            <w:pPr>
              <w:jc w:val="center"/>
              <w:ind w:right="200"/>
              <w:spacing w:after="0" w:line="202"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S-7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SPECIAL NOTE REGARDING FORWARD-LOOKING STATEMENTS</w:t>
              </w:r>
            </w:hyperlink>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9"/>
          </w:tcPr>
          <w:p>
            <w:pPr>
              <w:jc w:val="center"/>
              <w:ind w:right="200"/>
              <w:spacing w:after="0" w:line="202"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S-8</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S-10</w:t>
              </w:r>
            </w:hyperlink>
          </w:p>
        </w:tc>
      </w:tr>
      <w:tr>
        <w:trPr>
          <w:trHeight w:val="203"/>
        </w:trPr>
        <w:tc>
          <w:tcPr>
            <w:tcW w:w="20" w:type="dxa"/>
            <w:vAlign w:val="bottom"/>
            <w:tcBorders>
              <w:top w:val="single" w:sz="8" w:color="CCEEFF"/>
            </w:tcBorders>
          </w:tcPr>
          <w:p>
            <w:pPr>
              <w:spacing w:after="0"/>
              <w:rPr>
                <w:sz w:val="17"/>
                <w:szCs w:val="17"/>
                <w:color w:val="auto"/>
              </w:rPr>
            </w:pPr>
          </w:p>
        </w:tc>
        <w:tc>
          <w:tcPr>
            <w:tcW w:w="158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CAPITALIZATION</w:t>
              </w:r>
            </w:hyperlink>
          </w:p>
        </w:tc>
        <w:tc>
          <w:tcPr>
            <w:tcW w:w="8060" w:type="dxa"/>
            <w:vAlign w:val="bottom"/>
            <w:tcBorders>
              <w:top w:val="single" w:sz="8" w:color="CCEEFF"/>
            </w:tcBorders>
            <w:gridSpan w:val="15"/>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gridSpan w:val="9"/>
          </w:tcPr>
          <w:p>
            <w:pPr>
              <w:jc w:val="center"/>
              <w:ind w:right="20"/>
              <w:spacing w:after="0" w:line="202"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S-11</w:t>
              </w:r>
            </w:hyperlink>
          </w:p>
        </w:tc>
        <w:tc>
          <w:tcPr>
            <w:tcW w:w="14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DILUTION</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S-12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SELLING STOCKHOLDERS</w:t>
              </w:r>
            </w:hyperlink>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S-13</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940" w:type="dxa"/>
            <w:vAlign w:val="bottom"/>
            <w:gridSpan w:val="23"/>
            <w:shd w:val="clear" w:color="auto" w:fill="CCEEFF"/>
          </w:tcPr>
          <w:p>
            <w:pPr>
              <w:spacing w:after="0" w:line="202"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MATERIAL U.S. FEDERAL INCOME TAX CONSEQUENCES TO NON-U.S. HOLDERS OF OUR COMMON STOCK</w:t>
              </w:r>
            </w:hyperlink>
          </w:p>
        </w:tc>
        <w:tc>
          <w:tcPr>
            <w:tcW w:w="700" w:type="dxa"/>
            <w:vAlign w:val="bottom"/>
            <w:shd w:val="clear" w:color="auto" w:fill="CCEEFF"/>
          </w:tcPr>
          <w:p>
            <w:pPr>
              <w:spacing w:after="0"/>
              <w:rPr>
                <w:sz w:val="17"/>
                <w:szCs w:val="17"/>
                <w:color w:val="auto"/>
              </w:rPr>
            </w:pPr>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60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940" w:type="dxa"/>
            <w:vAlign w:val="bottom"/>
            <w:gridSpan w:val="23"/>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UNDERWRITING</w:t>
              </w:r>
            </w:hyperlink>
          </w:p>
        </w:tc>
        <w:tc>
          <w:tcPr>
            <w:tcW w:w="700" w:type="dxa"/>
            <w:vAlign w:val="bottom"/>
          </w:tcPr>
          <w:p>
            <w:pPr>
              <w:spacing w:after="0"/>
              <w:rPr>
                <w:sz w:val="17"/>
                <w:szCs w:val="17"/>
                <w:color w:val="auto"/>
              </w:rPr>
            </w:pPr>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S-18</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S-24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460" w:type="dxa"/>
            <w:vAlign w:val="bottom"/>
            <w:gridSpan w:val="8"/>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8180" w:type="dxa"/>
            <w:vAlign w:val="bottom"/>
            <w:gridSpan w:val="16"/>
          </w:tcPr>
          <w:p>
            <w:pPr>
              <w:spacing w:after="0"/>
              <w:rPr>
                <w:sz w:val="17"/>
                <w:szCs w:val="17"/>
                <w:color w:val="auto"/>
              </w:rPr>
            </w:pPr>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S-24</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WHERE YOU CAN FIND ADDITIONAL INFORMATION</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S-24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INCORPORATION OF CERTAIN INFORMATION BY REFERENCE</w:t>
              </w:r>
            </w:hyperlink>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S-25</w:t>
              </w:r>
            </w:hyperlink>
          </w:p>
        </w:tc>
      </w:tr>
      <w:tr>
        <w:trPr>
          <w:trHeight w:val="615"/>
        </w:trPr>
        <w:tc>
          <w:tcPr>
            <w:tcW w:w="20" w:type="dxa"/>
            <w:vAlign w:val="bottom"/>
          </w:tcPr>
          <w:p>
            <w:pPr>
              <w:spacing w:after="0"/>
              <w:rPr>
                <w:sz w:val="24"/>
                <w:szCs w:val="24"/>
                <w:color w:val="auto"/>
              </w:rPr>
            </w:pPr>
          </w:p>
        </w:tc>
        <w:tc>
          <w:tcPr>
            <w:tcW w:w="5180" w:type="dxa"/>
            <w:vAlign w:val="bottom"/>
            <w:tcBorders>
              <w:top w:val="single" w:sz="8" w:color="0000EE"/>
            </w:tcBorders>
            <w:gridSpan w:val="21"/>
          </w:tcPr>
          <w:p>
            <w:pPr>
              <w:spacing w:after="0"/>
              <w:rPr>
                <w:sz w:val="20"/>
                <w:szCs w:val="20"/>
                <w:color w:val="auto"/>
              </w:rPr>
            </w:pPr>
            <w:r>
              <w:rPr>
                <w:rFonts w:ascii="Arial" w:cs="Arial" w:eastAsia="Arial" w:hAnsi="Arial"/>
                <w:sz w:val="18"/>
                <w:szCs w:val="18"/>
                <w:b w:val="1"/>
                <w:bCs w:val="1"/>
                <w:color w:val="auto"/>
              </w:rPr>
              <w:t>PROSPECTUS</w:t>
            </w:r>
          </w:p>
        </w:tc>
        <w:tc>
          <w:tcPr>
            <w:tcW w:w="44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8"/>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ii</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20" w:type="dxa"/>
            <w:vAlign w:val="bottom"/>
            <w:gridSpan w:val="13"/>
          </w:tcPr>
          <w:p>
            <w:pPr>
              <w:spacing w:after="0" w:line="20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PROSPECTUS SUMMARY</w:t>
              </w:r>
            </w:hyperlink>
          </w:p>
        </w:tc>
        <w:tc>
          <w:tcPr>
            <w:tcW w:w="7420" w:type="dxa"/>
            <w:vAlign w:val="bottom"/>
            <w:gridSpan w:val="11"/>
          </w:tcPr>
          <w:p>
            <w:pPr>
              <w:spacing w:after="0"/>
              <w:rPr>
                <w:sz w:val="17"/>
                <w:szCs w:val="17"/>
                <w:color w:val="auto"/>
              </w:rPr>
            </w:pPr>
          </w:p>
        </w:tc>
        <w:tc>
          <w:tcPr>
            <w:tcW w:w="320" w:type="dxa"/>
            <w:vAlign w:val="bottom"/>
            <w:gridSpan w:val="5"/>
          </w:tcPr>
          <w:p>
            <w:pPr>
              <w:jc w:val="center"/>
              <w:ind w:left="110"/>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320" w:type="dxa"/>
            <w:vAlign w:val="bottom"/>
            <w:gridSpan w:val="5"/>
            <w:shd w:val="clear" w:color="auto" w:fill="CCEEFF"/>
          </w:tcPr>
          <w:p>
            <w:pPr>
              <w:jc w:val="center"/>
              <w:ind w:left="110"/>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5</w:t>
              </w:r>
            </w:hyperlink>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320" w:type="dxa"/>
            <w:vAlign w:val="bottom"/>
            <w:gridSpan w:val="5"/>
          </w:tcPr>
          <w:p>
            <w:pPr>
              <w:jc w:val="center"/>
              <w:ind w:left="110"/>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5</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580" w:type="dxa"/>
            <w:vAlign w:val="bottom"/>
            <w:gridSpan w:val="9"/>
            <w:shd w:val="clear" w:color="auto" w:fill="CCEEFF"/>
          </w:tcPr>
          <w:p>
            <w:pPr>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USE OF PROCEEDS</w:t>
              </w:r>
            </w:hyperlink>
          </w:p>
        </w:tc>
        <w:tc>
          <w:tcPr>
            <w:tcW w:w="8060" w:type="dxa"/>
            <w:vAlign w:val="bottom"/>
            <w:gridSpan w:val="15"/>
            <w:shd w:val="clear" w:color="auto" w:fill="CCEEFF"/>
          </w:tcPr>
          <w:p>
            <w:pPr>
              <w:spacing w:after="0"/>
              <w:rPr>
                <w:sz w:val="17"/>
                <w:szCs w:val="17"/>
                <w:color w:val="auto"/>
              </w:rPr>
            </w:pPr>
          </w:p>
        </w:tc>
        <w:tc>
          <w:tcPr>
            <w:tcW w:w="320" w:type="dxa"/>
            <w:vAlign w:val="bottom"/>
            <w:gridSpan w:val="5"/>
            <w:shd w:val="clear" w:color="auto" w:fill="CCEEFF"/>
          </w:tcPr>
          <w:p>
            <w:pPr>
              <w:jc w:val="center"/>
              <w:ind w:left="110"/>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6</w:t>
              </w:r>
            </w:hyperlink>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320" w:type="dxa"/>
            <w:vAlign w:val="bottom"/>
            <w:gridSpan w:val="5"/>
          </w:tcPr>
          <w:p>
            <w:pPr>
              <w:jc w:val="center"/>
              <w:ind w:left="110"/>
              <w:spacing w:after="0" w:line="202"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7</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DEBT SECURITIES</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10</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020" w:type="dxa"/>
            <w:vAlign w:val="bottom"/>
            <w:gridSpan w:val="17"/>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WARRANTS</w:t>
              </w:r>
            </w:hyperlink>
          </w:p>
        </w:tc>
        <w:tc>
          <w:tcPr>
            <w:tcW w:w="6620" w:type="dxa"/>
            <w:vAlign w:val="bottom"/>
            <w:gridSpan w:val="7"/>
          </w:tcPr>
          <w:p>
            <w:pPr>
              <w:spacing w:after="0"/>
              <w:rPr>
                <w:sz w:val="17"/>
                <w:szCs w:val="17"/>
                <w:color w:val="auto"/>
              </w:rPr>
            </w:pPr>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15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OWNERSHIP SECURITIES</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16</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740" w:type="dxa"/>
            <w:vAlign w:val="bottom"/>
            <w:gridSpan w:val="15"/>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SELLING STOCKHOLDERS</w:t>
              </w:r>
            </w:hyperlink>
          </w:p>
        </w:tc>
        <w:tc>
          <w:tcPr>
            <w:tcW w:w="6900" w:type="dxa"/>
            <w:vAlign w:val="bottom"/>
            <w:gridSpan w:val="9"/>
          </w:tcPr>
          <w:p>
            <w:pPr>
              <w:spacing w:after="0"/>
              <w:rPr>
                <w:sz w:val="17"/>
                <w:szCs w:val="17"/>
                <w:color w:val="auto"/>
              </w:rPr>
            </w:pPr>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19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19</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040" w:type="dxa"/>
            <w:vAlign w:val="bottom"/>
            <w:gridSpan w:val="10"/>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7600" w:type="dxa"/>
            <w:vAlign w:val="bottom"/>
            <w:gridSpan w:val="14"/>
          </w:tcPr>
          <w:p>
            <w:pPr>
              <w:spacing w:after="0"/>
              <w:rPr>
                <w:sz w:val="17"/>
                <w:szCs w:val="17"/>
                <w:color w:val="auto"/>
              </w:rPr>
            </w:pPr>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ADDITIONAL INFORMATION</w:t>
              </w:r>
            </w:hyperlink>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INCORPORATION OF CERTAIN INFORMATION BY REFERENCE</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0280"/>
          </w:cols>
          <w:pgMar w:left="820" w:top="769" w:right="7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This prospectus supplement and the accompanying prospectus are part of a “shelf” registration statement on Form S-3 (File No. 333-235714) that we initially filed with the Securities and Exchange Commission (SEC) on December 27, 2019, and that was declared effective by the SEC on January 2, 2020. 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3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and the selling stockholders have not, and the underwriters have not, authorized anyone to provide any information other than that contained or incorporated by reference in this prospectus supplement, the accompanying prospectus or in any free writing prospectus that we have authorized for use in connection with this offering. We, the selling stockholders and the underwriters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entitled “Where You Can Find Additional Information” and “Incorporation of Certain Information by Reference” in this prospectus supplement and in the accompanying prospectus.</w:t>
      </w:r>
    </w:p>
    <w:p>
      <w:pPr>
        <w:spacing w:after="0" w:line="39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the selling stockholders and the underwriters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3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supplement and accompanying prospectus to “SI-BONE,” “the company,” “we,” “us,” “our” and similar references refer to SI-BONE, Inc., a corporation under the laws of the State of Delaware, and its wholly owned subsidiaries.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Unless the context indicates otherwise, as used in this prospectus supplement and accompanying prospectus, the terms “SI-BONE” and “iFuse Implant System” or “iFuse” and other iFuse-formative trademarks, as well as other trademarks or service marks of SI-BONE appearing in this prospectus supplement and accompanying prospectus, are the property of SI-BONE. This prospectus supplement and accompanying prospectus contain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S-ii</w:t>
      </w:r>
    </w:p>
    <w:p>
      <w:pPr>
        <w:sectPr>
          <w:pgSz w:w="11900" w:h="16838" w:orient="portrait"/>
          <w:cols w:equalWidth="0" w:num="1">
            <w:col w:w="11420"/>
          </w:cols>
          <w:pgMar w:left="240" w:top="756"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Key Metrics for Studies</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Statistical significance in the studies described in this prospectus supplement and accompanying prospectus is denoted by p-values for both pain and disability analysis. The p-value is the statistical probability that the results observed are due to chance alone (i.e., a p-value &lt;0.0001 for reduction in pain means that there is a less than a 0.01% chance that the demonstrated reduction in pain for subjects surgically treated with iFuse in relation to the non-surgical management group was purely due to chance).</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performance for subjects surgically treated with iFuse is evaluated using a number of commonly used metrics, including the following:</w:t>
      </w:r>
    </w:p>
    <w:p>
      <w:pPr>
        <w:spacing w:after="0" w:line="200" w:lineRule="exact"/>
        <w:rPr>
          <w:sz w:val="20"/>
          <w:szCs w:val="20"/>
          <w:color w:val="auto"/>
        </w:rPr>
      </w:pPr>
    </w:p>
    <w:p>
      <w:pPr>
        <w:spacing w:after="0" w:line="237" w:lineRule="exact"/>
        <w:rPr>
          <w:sz w:val="20"/>
          <w:szCs w:val="20"/>
          <w:color w:val="auto"/>
        </w:rPr>
      </w:pPr>
    </w:p>
    <w:p>
      <w:pPr>
        <w:ind w:left="660" w:right="20" w:hanging="328"/>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Visual analog scale, or VAS</w:t>
      </w:r>
      <w:r>
        <w:rPr>
          <w:rFonts w:ascii="Arial" w:cs="Arial" w:eastAsia="Arial" w:hAnsi="Arial"/>
          <w:sz w:val="18"/>
          <w:szCs w:val="18"/>
          <w:color w:val="auto"/>
        </w:rPr>
        <w:t>: VAS measures a patient’s pain intensity on a 0-100 scale, with zero representing no pain and 100 representing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worst pain imaginable. The VAS score is used to calculate changes in patient pain.</w:t>
      </w:r>
    </w:p>
    <w:p>
      <w:pPr>
        <w:spacing w:after="0" w:line="161" w:lineRule="exact"/>
        <w:rPr>
          <w:rFonts w:ascii="Arial" w:cs="Arial" w:eastAsia="Arial" w:hAnsi="Arial"/>
          <w:sz w:val="18"/>
          <w:szCs w:val="18"/>
          <w:b w:val="1"/>
          <w:bCs w:val="1"/>
          <w:color w:val="auto"/>
        </w:rPr>
      </w:pPr>
    </w:p>
    <w:p>
      <w:pPr>
        <w:ind w:left="660" w:right="2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Oswestry Disability Index, or ODI</w:t>
      </w:r>
      <w:r>
        <w:rPr>
          <w:rFonts w:ascii="Arial" w:cs="Arial" w:eastAsia="Arial" w:hAnsi="Arial"/>
          <w:sz w:val="18"/>
          <w:szCs w:val="18"/>
          <w:color w:val="auto"/>
        </w:rPr>
        <w:t>: ODI measures a patient’s disability on a scale of 0-100, where zero represents no disability and scores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60 represent very severe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97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847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477250"/>
                    </a:xfrm>
                    <a:prstGeom prst="rect">
                      <a:avLst/>
                    </a:prstGeom>
                    <a:noFill/>
                  </pic:spPr>
                </pic:pic>
              </a:graphicData>
            </a:graphic>
          </wp:anchor>
        </w:drawing>
        <w:t>PROSPECTUS SUPPLEMENT SUMMARY</w:t>
      </w:r>
    </w:p>
    <w:p>
      <w:pPr>
        <w:spacing w:after="0" w:line="2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supplement or accompanying prospectus or incorporated by reference in this prospectus supplement and accompanying prospectus, and does not contain all of the information that you need to consider in making your investment decision. You should carefully read the entire prospectus supplement,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accompanying prospectus. You should also carefully read the information incorporated by reference into this prospectus supplement and accompanying prospectus, including our financial statements, and the exhibits to the registration statement of which this prospectus supplement and accompanying prospectus are a part.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which often causes severe lower back pain. Since we introduced iFuse in 2009, more than 44,000 procedures have been performed by over 2,000 surgeons in the United States and 35 other countries.</w:t>
      </w:r>
    </w:p>
    <w:p>
      <w:pPr>
        <w:spacing w:after="0" w:line="133"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 We believe that the United States market opportunity for sacroiliac joint fusion may be as large as 279,000 procedures per year. In 2019, our implants were used in over 6,400 sacroiliac fusions in the United States, and we believe that iFuse is currently used in the majority of minimally invasive surgical fusions of the sacroiliac joint.</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growth rate has recently increased, which we attribute to our commercial progress in 2019 including:</w:t>
      </w:r>
    </w:p>
    <w:p>
      <w:pPr>
        <w:spacing w:after="0" w:line="167" w:lineRule="exact"/>
        <w:rPr>
          <w:sz w:val="20"/>
          <w:szCs w:val="20"/>
          <w:color w:val="auto"/>
        </w:rPr>
      </w:pPr>
    </w:p>
    <w:p>
      <w:pPr>
        <w:jc w:val="both"/>
        <w:ind w:left="660" w:hanging="334"/>
        <w:spacing w:after="0" w:line="25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Expanding our sales organization </w:t>
      </w:r>
      <w:r>
        <w:rPr>
          <w:rFonts w:ascii="Arial" w:cs="Arial" w:eastAsia="Arial" w:hAnsi="Arial"/>
          <w:sz w:val="18"/>
          <w:szCs w:val="18"/>
          <w:color w:val="auto"/>
        </w:rPr>
        <w:t>- we made significant investments in our U.S. salesforce in 2019, adding 40 field-based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to finish the year with 107 (56 sales reps, 51 clinical support specialists) field-based representatives in the United States. We increased our sales and marketing expense by 54% for the nine months ended September 30, 2019 compared to the nine-months ended September 30, 2018. We believe that our expanded field organization allows us to reach more surgeons, educating them to include the sacroiliac joint in their differential diagnosis of lower back pain and regularly perform the iFuse procedure for patients for whom the procedure is indicated.</w:t>
      </w:r>
    </w:p>
    <w:p>
      <w:pPr>
        <w:spacing w:after="0" w:line="133" w:lineRule="exact"/>
        <w:rPr>
          <w:rFonts w:ascii="Arial" w:cs="Arial" w:eastAsia="Arial" w:hAnsi="Arial"/>
          <w:sz w:val="18"/>
          <w:szCs w:val="18"/>
          <w:b w:val="1"/>
          <w:bCs w:val="1"/>
          <w:color w:val="auto"/>
        </w:rPr>
      </w:pPr>
    </w:p>
    <w:p>
      <w:pPr>
        <w:ind w:left="660" w:hanging="334"/>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Influencing reimbursement </w:t>
      </w:r>
      <w:r>
        <w:rPr>
          <w:rFonts w:ascii="Arial" w:cs="Arial" w:eastAsia="Arial" w:hAnsi="Arial"/>
          <w:sz w:val="18"/>
          <w:szCs w:val="18"/>
          <w:color w:val="auto"/>
        </w:rPr>
        <w:t>- we made progress in both the number of covered lives and the Medicare physician fee for surgeons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minimally invasive sacroiliac fusion in the U.S.</w:t>
      </w:r>
    </w:p>
    <w:p>
      <w:pPr>
        <w:spacing w:after="0" w:line="111" w:lineRule="exact"/>
        <w:rPr>
          <w:rFonts w:ascii="Arial" w:cs="Arial" w:eastAsia="Arial" w:hAnsi="Arial"/>
          <w:sz w:val="18"/>
          <w:szCs w:val="18"/>
          <w:b w:val="1"/>
          <w:bCs w:val="1"/>
          <w:color w:val="auto"/>
        </w:rPr>
      </w:pPr>
    </w:p>
    <w:p>
      <w:pPr>
        <w:jc w:val="both"/>
        <w:ind w:left="980" w:hanging="330"/>
        <w:spacing w:after="0" w:line="289" w:lineRule="auto"/>
        <w:tabs>
          <w:tab w:leader="none" w:pos="980" w:val="left"/>
        </w:tabs>
        <w:numPr>
          <w:ilvl w:val="1"/>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Covered lives </w:t>
      </w:r>
      <w:r>
        <w:rPr>
          <w:rFonts w:ascii="Arial" w:cs="Arial" w:eastAsia="Arial" w:hAnsi="Arial"/>
          <w:sz w:val="16"/>
          <w:szCs w:val="16"/>
          <w:color w:val="auto"/>
        </w:rPr>
        <w:t>- in September 2019, we published five-year outcomes data from our long-term prospective clinical trial, LOIS.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we have over 80 published clinical studies and papers, including two randomized controlled trials. Many private commercial payors consider longer-term data from clinical trials necessary to support coverage for surgical procedures. In December 2019, Cigna, a large private health insurer covering approximately 14.6 million lives in the United States, announced a positive coverage policy for minimally invasive sacroiliac joint dysfunction. We started the new year with over 282 million covered lives in the United States, with over 60 million of those lives covered by 35 payors who reimburse for minimally invasive sacroiliac fusion exclusively when performed with iFuse. These payors have based their exclusive coverage decisions on the quality of our data. There are now 112 payors in the United States which cover iFuse. We believe that the full impact of each coverage decision grows over time as surgeons gain confidence that they will receive reimbursement for the majority of their diagnosed patients.</w:t>
      </w:r>
    </w:p>
    <w:p>
      <w:pPr>
        <w:spacing w:after="0" w:line="112" w:lineRule="exact"/>
        <w:rPr>
          <w:rFonts w:ascii="Arial" w:cs="Arial" w:eastAsia="Arial" w:hAnsi="Arial"/>
          <w:sz w:val="16"/>
          <w:szCs w:val="16"/>
          <w:b w:val="1"/>
          <w:bCs w:val="1"/>
          <w:i w:val="1"/>
          <w:iCs w:val="1"/>
          <w:color w:val="auto"/>
        </w:rPr>
      </w:pPr>
    </w:p>
    <w:p>
      <w:pPr>
        <w:jc w:val="both"/>
        <w:ind w:left="980" w:hanging="330"/>
        <w:spacing w:after="0" w:line="255" w:lineRule="auto"/>
        <w:tabs>
          <w:tab w:leader="none" w:pos="980"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Surgeon payment </w:t>
      </w:r>
      <w:r>
        <w:rPr>
          <w:rFonts w:ascii="Arial" w:cs="Arial" w:eastAsia="Arial" w:hAnsi="Arial"/>
          <w:sz w:val="18"/>
          <w:szCs w:val="18"/>
          <w:color w:val="auto"/>
        </w:rPr>
        <w:t>- in November 2019, the Center for Medicare &amp; Medicaid Services, or CMS, announced that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average physician fee reimbursement for minimally invasive sacroiliac joint fusion would be increased from $720 to $915, effective January 1, 2020. Many private payors set their payment amounts with reference to the Medicare payment, often approximately 10% to 33% higher than the Medicare payment for a procedure. We believe that expanded coverage for minimally invasive sacroiliac fusion and the increase in physician reimbursement for the procedure may enable surgeons to treat more patients diagnosed with sacroiliac joint dysfunction with iFuse.</w:t>
      </w:r>
    </w:p>
    <w:p>
      <w:pPr>
        <w:sectPr>
          <w:pgSz w:w="11900" w:h="16838" w:orient="portrait"/>
          <w:cols w:equalWidth="0" w:num="1">
            <w:col w:w="10580"/>
          </w:cols>
          <w:pgMar w:left="660" w:top="122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580"/>
          </w:cols>
          <w:pgMar w:left="660" w:top="1229" w:right="659" w:bottom="1440" w:gutter="0" w:footer="0" w:header="0"/>
          <w:type w:val="continuous"/>
        </w:sectPr>
      </w:pPr>
    </w:p>
    <w:bookmarkStart w:id="5" w:name="page6"/>
    <w:bookmarkEnd w:id="5"/>
    <w:p>
      <w:pPr>
        <w:jc w:val="both"/>
        <w:ind w:left="660" w:hanging="334"/>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790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7902575"/>
                    </a:xfrm>
                    <a:prstGeom prst="rect">
                      <a:avLst/>
                    </a:prstGeom>
                    <a:noFill/>
                  </pic:spPr>
                </pic:pic>
              </a:graphicData>
            </a:graphic>
          </wp:anchor>
        </w:drawing>
        <w:t xml:space="preserve">Increasing surgeon activity </w:t>
      </w:r>
      <w:r>
        <w:rPr>
          <w:rFonts w:ascii="Arial" w:cs="Arial" w:eastAsia="Arial" w:hAnsi="Arial"/>
          <w:sz w:val="17"/>
          <w:szCs w:val="17"/>
          <w:color w:val="auto"/>
        </w:rPr>
        <w:t>- we grew our active surgeon base to 539 surgeons at the end of the year, compared to 450 active surgeons</w:t>
      </w:r>
      <w:r>
        <w:rPr>
          <w:rFonts w:ascii="Arial" w:cs="Arial" w:eastAsia="Arial" w:hAnsi="Arial"/>
          <w:sz w:val="17"/>
          <w:szCs w:val="17"/>
          <w:b w:val="1"/>
          <w:bCs w:val="1"/>
          <w:color w:val="auto"/>
        </w:rPr>
        <w:t xml:space="preserve"> </w:t>
      </w:r>
      <w:r>
        <w:rPr>
          <w:rFonts w:ascii="Arial" w:cs="Arial" w:eastAsia="Arial" w:hAnsi="Arial"/>
          <w:sz w:val="17"/>
          <w:szCs w:val="17"/>
          <w:color w:val="auto"/>
        </w:rPr>
        <w:t>at the end of 2018. We define an active surgeon to be a surgeon who has performed at least one case in the last three months. The increase in active surgeons is primarily due to training of additional surgeons throughout the year. We have approximately 100 surgeon trainer consultants who train new surgeons, focusing on diagnosis and treatment. Approximately 1,400 surgeons in the United States have been trained on iFuse and have treated at least one patient. We will continue to pursue the remainder of the approximately 7,500 target surgeons in the United States for training in the future.</w:t>
      </w:r>
    </w:p>
    <w:p>
      <w:pPr>
        <w:spacing w:after="0" w:line="119" w:lineRule="exact"/>
        <w:rPr>
          <w:rFonts w:ascii="Arial" w:cs="Arial" w:eastAsia="Arial" w:hAnsi="Arial"/>
          <w:sz w:val="17"/>
          <w:szCs w:val="17"/>
          <w:color w:val="auto"/>
        </w:rPr>
      </w:pPr>
    </w:p>
    <w:p>
      <w:pPr>
        <w:jc w:val="both"/>
        <w:ind w:left="660" w:hanging="334"/>
        <w:spacing w:after="0" w:line="288"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Engaging key opinion leaders </w:t>
      </w:r>
      <w:r>
        <w:rPr>
          <w:rFonts w:ascii="Arial" w:cs="Arial" w:eastAsia="Arial" w:hAnsi="Arial"/>
          <w:sz w:val="16"/>
          <w:szCs w:val="16"/>
          <w:color w:val="auto"/>
        </w:rPr>
        <w:t>- we conducted training courses in over 30 academic centers in the United States in 2019. We are seeing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from key opinion leaders at academic centers in our Bedrock technique. We introduced this technique in June 2019 for use in the fusion of the sacroiliac joints in conjunction with a multi-segment spinal fusion, or long construct, procedure. The Bedrock technique is based on our proprietary implants and is used to increase stability at the base of a long construct. Biomechanical data shows that the Bedrock technique reduces sacroiliac joint motion by approximately 30% in conjunction with a long construct. Interest in the Bedrock technique has enabled our field sales representatives to access leading spine surgeons at important academic medical centers in the United States, our representatives are often then able to train a broader group of spine surgeons, often including residents and fellows in training at the centers, on both the Bedrock technique and minimally invasive sacroiliac fusion. We recently received CE mark clearance for the promotion of the Bedrock technique in Europe and we are now in the process of launching the promotion of this technique in select European markets. We believe that acceptance of the sacroiliac joint as a pain generator by leading spine surgeons may result in more widespread awareness of sacroiliac joint dysfunction and its role in causing certain types of chronic low back pain.</w:t>
      </w:r>
    </w:p>
    <w:p>
      <w:pPr>
        <w:spacing w:after="0" w:line="114"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8"/>
          <w:szCs w:val="18"/>
          <w:color w:val="auto"/>
        </w:rPr>
        <w:t>In 2017 and 2018, we generated revenue of $48.0 million and $55.4 million, respectively, a growth rate of 15%, and incurred net losses of $23.0 million and $17.4 million, respectively. Our gross margins were 89% and 91% for 2017 and 2018, respectively. For the nine months ended September 30, 2018 and 2019, we generated revenue of $39.8 million and $47.5 million, respectively, a growth rate of 19%, and incurred net losses of $12.1 million and $29.3 million, respectively. Our gross margins were 91% and 90% for the nine months ended September 30, 2018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8"/>
          <w:szCs w:val="18"/>
          <w:color w:val="auto"/>
        </w:rPr>
        <w:t>The iFuse system includes a series of patented triangular titanium implants and the instruments we have developed to enable the procedure. The surgeon places our implants across the sacroiliac joint, either from a lateral approach through the iliac, or hip, bones into the sacrum, or from a posterior approach through the sacrum and into the iliac bone in the Bedrock technique. Surgeons typically use three iFuse implants to fuse a sacroiliac joint in the lateral procedure, and the Bedrock technique involves placement of one iFuse implant in each sacroiliac joint, alongside another device crossing the joint and joining to the spinal construct.</w:t>
      </w:r>
    </w:p>
    <w:p>
      <w:pPr>
        <w:spacing w:after="0" w:line="134"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6"/>
          <w:szCs w:val="16"/>
          <w:color w:val="auto"/>
        </w:rPr>
        <w:t>Our iFuse Implants have a triangular cross section, which resists twisting of the implant within the bone in which it is implanted, regardless of the surgical approach and technique used to place the implants. The triangular shape of our implants helps stabilize the joint, and the implants' porous surface enables biologic fixation of the bone onto the implant, or bony ingrowth, which results in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has at least three times the strength of a typical eight-millimeter surgical screw, and the larger porous surface area of our implants allows for bony ingrowth.</w:t>
      </w:r>
    </w:p>
    <w:p>
      <w:pPr>
        <w:spacing w:after="0" w:line="111"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the iFuse implant with the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w:t>
      </w:r>
    </w:p>
    <w:p>
      <w:pPr>
        <w:spacing w:after="0" w:line="133"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In April 2019, we received clearance from the U.S. Food and Drug Administration, or FDA, to promote the use of our iFuse system with the iFuse Bedrock procedure for fusion of the sacroiliac joint in conjunction with multi-level spinal fusion procedures to provide further stabilization and immobilization of the sacroiliac joint. We received CE marking and began marketing our iFuse system for the same indication in Europe in December 2019.</w:t>
      </w:r>
    </w:p>
    <w:p>
      <w:pPr>
        <w:spacing w:after="0" w:line="133"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United States, and with a combination of a direct sales force and distributors in other countries. The cost of an instrument set used in an iFuse procedure is approximately $8,000, which is less than the average total selling price of the three iFuse implants typically used in a minimally invasive sacroiliac fusion. An instrument set typically has a useful life of 3 years before the instruments are no longer reusable and in the nine months ended September 30, 2019, our gross margins were 90%, creating a capital efficient model.</w:t>
      </w:r>
    </w:p>
    <w:p>
      <w:pPr>
        <w:sectPr>
          <w:pgSz w:w="11900" w:h="16838" w:orient="portrait"/>
          <w:cols w:equalWidth="0" w:num="1">
            <w:col w:w="10580"/>
          </w:cols>
          <w:pgMar w:left="660" w:top="1337"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580"/>
          </w:cols>
          <w:pgMar w:left="660" w:top="1337" w:right="6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27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8279765"/>
                    </a:xfrm>
                    <a:prstGeom prst="rect">
                      <a:avLst/>
                    </a:prstGeom>
                    <a:noFill/>
                  </pic:spPr>
                </pic:pic>
              </a:graphicData>
            </a:graphic>
          </wp:anchor>
        </w:drawing>
        <w:t>Our Strategy</w:t>
      </w:r>
    </w:p>
    <w:p>
      <w:pPr>
        <w:spacing w:after="0" w:line="175" w:lineRule="exact"/>
        <w:rPr>
          <w:sz w:val="20"/>
          <w:szCs w:val="20"/>
          <w:color w:val="auto"/>
        </w:rPr>
      </w:pPr>
    </w:p>
    <w:p>
      <w:pPr>
        <w:ind w:firstLine="297"/>
        <w:spacing w:after="0" w:line="342"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relief of pain and disability in affected patients. To accomplish this objective, we intend to:</w:t>
      </w:r>
    </w:p>
    <w:p>
      <w:pPr>
        <w:spacing w:after="0" w:line="70" w:lineRule="exact"/>
        <w:rPr>
          <w:sz w:val="20"/>
          <w:szCs w:val="20"/>
          <w:color w:val="auto"/>
        </w:rPr>
      </w:pPr>
    </w:p>
    <w:p>
      <w:pPr>
        <w:ind w:left="660" w:right="20" w:hanging="334"/>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to educate physicians and other healthcare providers, payors and patients globally about the growing body of evidence supporting the safety, durable clinical effectiveness, economic benefit and reduction in opioid use associated with the iFuse procedure;</w:t>
      </w:r>
    </w:p>
    <w:p>
      <w:pPr>
        <w:spacing w:after="0" w:line="69" w:lineRule="exact"/>
        <w:rPr>
          <w:rFonts w:ascii="Arial" w:cs="Arial" w:eastAsia="Arial" w:hAnsi="Arial"/>
          <w:sz w:val="16"/>
          <w:szCs w:val="16"/>
          <w:color w:val="auto"/>
        </w:rPr>
      </w:pPr>
    </w:p>
    <w:p>
      <w:pPr>
        <w:jc w:val="both"/>
        <w:ind w:left="660" w:hanging="334"/>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for the sacroiliac joint, including minimally invasive surgical fusion, and work with and support medical societies including North American Spine Society, or NASS, Congress of Neurologic Surgeons, or CNS, American Academy of Neurologic Surgeons, or AANS, International Society for Advancement of Spine Surgery, or ISASS, the Scoliosis Research Society, or SRS, and the American Academy of Orthopaedic Surgeons, or AAOS, to increase their education programs teaching the diagnosis of the sacroiliac joint as part of the differential diagnosis of lower back pain;</w:t>
      </w:r>
    </w:p>
    <w:p>
      <w:pPr>
        <w:spacing w:after="0" w:line="139" w:lineRule="exact"/>
        <w:rPr>
          <w:rFonts w:ascii="Arial" w:cs="Arial" w:eastAsia="Arial" w:hAnsi="Arial"/>
          <w:sz w:val="18"/>
          <w:szCs w:val="18"/>
          <w:color w:val="auto"/>
        </w:rPr>
      </w:pPr>
    </w:p>
    <w:p>
      <w:pPr>
        <w:ind w:left="660" w:hanging="33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71" w:lineRule="exact"/>
        <w:rPr>
          <w:rFonts w:ascii="Arial" w:cs="Arial" w:eastAsia="Arial" w:hAnsi="Arial"/>
          <w:sz w:val="18"/>
          <w:szCs w:val="18"/>
          <w:color w:val="auto"/>
        </w:rPr>
      </w:pPr>
    </w:p>
    <w:p>
      <w:pPr>
        <w:ind w:left="660" w:hanging="334"/>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help drive adoption of our iFuse products;</w:t>
      </w:r>
    </w:p>
    <w:p>
      <w:pPr>
        <w:spacing w:after="0" w:line="182" w:lineRule="exact"/>
        <w:rPr>
          <w:rFonts w:ascii="Arial" w:cs="Arial" w:eastAsia="Arial" w:hAnsi="Arial"/>
          <w:sz w:val="17"/>
          <w:szCs w:val="17"/>
          <w:color w:val="auto"/>
        </w:rPr>
      </w:pPr>
    </w:p>
    <w:p>
      <w:pPr>
        <w:jc w:val="both"/>
        <w:ind w:left="660" w:hanging="334"/>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technological leadership by investing in the creation of new or improved products for surgical treatment of the sacropelvic anatomy, and obtain domestic and international regulatory clearance or approvals to market them in the United States and additional countries; and</w:t>
      </w:r>
    </w:p>
    <w:p>
      <w:pPr>
        <w:spacing w:after="0" w:line="127" w:lineRule="exact"/>
        <w:rPr>
          <w:rFonts w:ascii="Arial" w:cs="Arial" w:eastAsia="Arial" w:hAnsi="Arial"/>
          <w:sz w:val="18"/>
          <w:szCs w:val="18"/>
          <w:color w:val="auto"/>
        </w:rPr>
      </w:pPr>
    </w:p>
    <w:p>
      <w:pPr>
        <w:ind w:left="660" w:hanging="33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SI-BONE was founded in 2008 by orthopedist Mark A. Reiley, M.D., the main inventor of iFuse and member of our board of directors,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spacing w:after="0" w:line="34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December 31, 2019, we had 262 employees, including a direct field sales organization of 107 in the United States and 19 in Europe. As of December 31, 2019, we had 50 issued patents throughout the world, of which 40 were in the United States, and 24 pending patent applications, of which 19 were in the United States. These patents and applications cover various aspects of the iFuse procedure, implants and instruments.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391"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116" w:lineRule="exact"/>
        <w:rPr>
          <w:sz w:val="20"/>
          <w:szCs w:val="20"/>
          <w:color w:val="auto"/>
        </w:rPr>
      </w:pPr>
    </w:p>
    <w:p>
      <w:pPr>
        <w:ind w:left="660" w:right="20" w:hanging="33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116" w:lineRule="exact"/>
        <w:rPr>
          <w:rFonts w:ascii="Arial" w:cs="Arial" w:eastAsia="Arial" w:hAnsi="Arial"/>
          <w:sz w:val="18"/>
          <w:szCs w:val="18"/>
          <w:color w:val="auto"/>
        </w:rPr>
      </w:pPr>
    </w:p>
    <w:p>
      <w:pPr>
        <w:jc w:val="both"/>
        <w:ind w:left="660" w:right="20" w:hanging="334"/>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127"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16"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initially anticipated;</w:t>
      </w:r>
    </w:p>
    <w:p>
      <w:pPr>
        <w:spacing w:after="0" w:line="116" w:lineRule="exact"/>
        <w:rPr>
          <w:rFonts w:ascii="Arial" w:cs="Arial" w:eastAsia="Arial" w:hAnsi="Arial"/>
          <w:sz w:val="18"/>
          <w:szCs w:val="18"/>
          <w:color w:val="auto"/>
        </w:rPr>
      </w:pPr>
    </w:p>
    <w:p>
      <w:pPr>
        <w:ind w:left="660" w:hanging="334"/>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clinical experience with our iFuse Bedrock procedure does not result in positive outcomes for patients or if clinical trials involving the use of iFuse Bedrock fail to show meaningful patient benefit, sales of our iFuse implants could be adversely impacted;</w:t>
      </w:r>
    </w:p>
    <w:p>
      <w:pPr>
        <w:sectPr>
          <w:pgSz w:w="11900" w:h="16838" w:orient="portrait"/>
          <w:cols w:equalWidth="0" w:num="1">
            <w:col w:w="10580"/>
          </w:cols>
          <w:pgMar w:left="660" w:top="1337" w:right="6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0580"/>
          </w:cols>
          <w:pgMar w:left="660" w:top="1337" w:right="659" w:bottom="1440" w:gutter="0" w:footer="0" w:header="0"/>
          <w:type w:val="continuous"/>
        </w:sectPr>
      </w:pPr>
    </w:p>
    <w:bookmarkStart w:id="7" w:name="page8"/>
    <w:bookmarkEnd w:id="7"/>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24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45475"/>
                    </a:xfrm>
                    <a:prstGeom prst="rect">
                      <a:avLst/>
                    </a:prstGeom>
                    <a:noFill/>
                  </pic:spPr>
                </pic:pic>
              </a:graphicData>
            </a:graphic>
          </wp:anchor>
        </w:drawing>
        <w:t>We currently manufacture and sell products primarily used in a single procedure, which could negatively affect our operations and financial condition;</w:t>
      </w:r>
    </w:p>
    <w:p>
      <w:pPr>
        <w:spacing w:after="0" w:line="116" w:lineRule="exact"/>
        <w:rPr>
          <w:rFonts w:ascii="Arial" w:cs="Arial" w:eastAsia="Arial" w:hAnsi="Arial"/>
          <w:sz w:val="18"/>
          <w:szCs w:val="18"/>
          <w:color w:val="auto"/>
        </w:rPr>
      </w:pPr>
    </w:p>
    <w:p>
      <w:pPr>
        <w:ind w:left="660" w:right="2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from our competitors, healthcare provider consolidation and payor consolidation may impact our ability to sell our product at prices necessary to support our current business strategies;</w:t>
      </w:r>
    </w:p>
    <w:p>
      <w:pPr>
        <w:spacing w:after="0" w:line="116"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116"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pacing w:after="0" w:line="116" w:lineRule="exact"/>
        <w:rPr>
          <w:rFonts w:ascii="Arial" w:cs="Arial" w:eastAsia="Arial" w:hAnsi="Arial"/>
          <w:sz w:val="18"/>
          <w:szCs w:val="18"/>
          <w:color w:val="auto"/>
        </w:rPr>
      </w:pPr>
    </w:p>
    <w:p>
      <w:pPr>
        <w:ind w:left="660" w:hanging="334"/>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and our sales representatives must comply with U.S. federal and state fraud and abuse laws, including those relating to physician kickbacks and false claims for reimbursement, as well as equivalent foreign laws, which subjects us to risk of non-compliance.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391" w:lineRule="exact"/>
        <w:rPr>
          <w:sz w:val="20"/>
          <w:szCs w:val="20"/>
          <w:color w:val="auto"/>
        </w:rPr>
      </w:pPr>
    </w:p>
    <w:p>
      <w:pPr>
        <w:jc w:val="both"/>
        <w:ind w:firstLine="297"/>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or the JOBS Act, and therefore we have taken, and intend to continue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from our initial public offering, which occurred in October 2018, or until we are no longer an “emerging growth company,” whichever is earlier. In addition, the JOBS Act provides that an “emerging growth company” can delay adopting new or revised accounting standards until those standards apply to private companies. We have elected to avail ourselves of this exemption and, therefore, we will not be subject to the same new or revised accounting standards as other public companies that are not “emerging growth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91" w:lineRule="exact"/>
        <w:rPr>
          <w:sz w:val="20"/>
          <w:szCs w:val="20"/>
          <w:color w:val="auto"/>
        </w:rPr>
      </w:pPr>
    </w:p>
    <w:p>
      <w:pPr>
        <w:jc w:val="both"/>
        <w:ind w:firstLine="297"/>
        <w:spacing w:after="0" w:line="253" w:lineRule="auto"/>
        <w:rPr>
          <w:sz w:val="20"/>
          <w:szCs w:val="20"/>
          <w:color w:val="auto"/>
        </w:rPr>
      </w:pPr>
      <w:r>
        <w:rPr>
          <w:rFonts w:ascii="Arial" w:cs="Arial" w:eastAsia="Arial" w:hAnsi="Arial"/>
          <w:sz w:val="18"/>
          <w:szCs w:val="18"/>
          <w:color w:val="auto"/>
        </w:rPr>
        <w:t>Set forth below are preliminary expectations for the three and twelve months ended December 31, 2019 compared to actual financial results for the three and twelve months ended December 31, 2018. We have provided a range for preliminary revenue results because our financial closing procedures for the three months ended December 31, 2019 are not yet complete. We believe that the estimated revenue is important to an investor’s understanding of our performance, notwithstanding that we are not yet able to provide estimated loss from operations or net loss data. These preliminary results represent our estimates only based on currently available information and do not present all necessary information for an understanding of our financial condition as of December 31, 2019 or our results of operations for the three and twelve months ended December 31, 2019. As we complete our year-end financial close process and finalize our audited financial statements for the twelve months ended December 31, 2019, we may be required to make significant judgments in a number of areas, including revenue, inventory and stock-based compensation.</w:t>
      </w:r>
    </w:p>
    <w:p>
      <w:pPr>
        <w:spacing w:after="0" w:line="143"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This preliminary financial information has been prepared by and is the responsibility of our management. PricewaterhouseCoopers LLP, our independent registered public accounting firm, has not audited, reviewed, compiled or performed any procedures with respect to this preliminary financial data or the accounting treatment thereof and does not express an opinion or any other form of assurance with respect thereto. We expect to complete our audited financial statements for the twelve months ended December 31, 2019 subsequent to the completion of this offering. It is possible that we or PricewaterhouseCoopers LLP may identify items that require us to make adjustments to the financial information set forth below and those changes could be material. We do not intend to update the financial information set forth below prior to completion of our year-end audited financial statements. Accordingly, undue reliance should not be placed on these preliminary estimates. These preliminary estimates are not necessarily indicative of any future period and should be read together with “Risk Factors” and “Special Note Regarding Forward-Looking Statements” included elsewhere in this prospectus supplement and accompanying prospectus.</w:t>
      </w:r>
    </w:p>
    <w:p>
      <w:pPr>
        <w:spacing w:after="0" w:line="113" w:lineRule="exact"/>
        <w:rPr>
          <w:sz w:val="20"/>
          <w:szCs w:val="20"/>
          <w:color w:val="auto"/>
        </w:rPr>
      </w:pPr>
    </w:p>
    <w:p>
      <w:pPr>
        <w:jc w:val="both"/>
        <w:ind w:firstLine="297"/>
        <w:spacing w:after="0" w:line="273" w:lineRule="auto"/>
        <w:rPr>
          <w:sz w:val="20"/>
          <w:szCs w:val="20"/>
          <w:color w:val="auto"/>
        </w:rPr>
      </w:pPr>
      <w:r>
        <w:rPr>
          <w:rFonts w:ascii="Arial" w:cs="Arial" w:eastAsia="Arial" w:hAnsi="Arial"/>
          <w:sz w:val="17"/>
          <w:szCs w:val="17"/>
          <w:color w:val="auto"/>
        </w:rPr>
        <w:t>Preliminary and unaudited revenue for the three months ended December 31, 2019 is expected to be in the range of $19.5-$19.8 million, reflecting growth of 25-27% compared to the prior year period. U.S. revenue is expected to be in the range of $18.3-$18.5 million, reflecting growth of 27-28% compared to the prior year period. International revenue is expected to be in the range of $1.2-$1.3 million. Preliminary and unaudited revenue for the year ended December 31, 2019 is expected to be in the range of $67.0-$67.3 million, reflecting growth of approximately 21% over the prior year period. U.S. revenue is expected to be in the range of $61.6-$61.8 million, reflecting growth of approximately 23% compared to the prior year period. International revenue is expected to be in the range of $5.4-$5.5 million.</w:t>
      </w:r>
    </w:p>
    <w:p>
      <w:pPr>
        <w:sectPr>
          <w:pgSz w:w="11900" w:h="16838" w:orient="portrait"/>
          <w:cols w:equalWidth="0" w:num="1">
            <w:col w:w="10580"/>
          </w:cols>
          <w:pgMar w:left="660" w:top="1341" w:right="65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580"/>
          </w:cols>
          <w:pgMar w:left="660" w:top="1341" w:right="659" w:bottom="1440" w:gutter="0" w:footer="0" w:header="0"/>
          <w:type w:val="continuous"/>
        </w:sectPr>
      </w:pPr>
    </w:p>
    <w:bookmarkStart w:id="8" w:name="page9"/>
    <w:bookmarkEnd w:id="8"/>
    <w:p>
      <w:pPr>
        <w:jc w:val="both"/>
        <w:ind w:firstLine="297"/>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9737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9737725"/>
                    </a:xfrm>
                    <a:prstGeom prst="rect">
                      <a:avLst/>
                    </a:prstGeom>
                    <a:noFill/>
                  </pic:spPr>
                </pic:pic>
              </a:graphicData>
            </a:graphic>
          </wp:anchor>
        </w:drawing>
        <w:t>For the three months ended December 31, 2019, we expect to report incremental investment in several expense items that are not comparable to the three months ended December 31, 2018. Cost of goods sold is expected to increase above revenue growth due to additional investment in operations personnel to support our business, resulting in a decrease in our gross margin. Operating expenses include additional investments in sales force hiring, new surgeon training, new product development, higher stock compensation expenses and ongoing costs associated with being a public company. We also anticipate that we will recognize a loss reserve of $0.7 million during the three months ended December 31, 2019, which reflects the additional estimable costs the company may incur from settlement of litigation related to certain marketing practices. As a result, we expect our loss from operations for the three and twelve months ended December 31, 2019 to be higher than the three and twelve months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39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supplement or accompanying prospectus. We have included our website address as an inactive textual reference only.</w:t>
      </w:r>
    </w:p>
    <w:p>
      <w:pPr>
        <w:spacing w:after="0" w:line="3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232"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2,490,053 shares.</w:t>
      </w:r>
    </w:p>
    <w:p>
      <w:pPr>
        <w:spacing w:after="0" w:line="225"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Common stock offered by the selling stockholders</w:t>
      </w:r>
      <w:r>
        <w:rPr>
          <w:sz w:val="20"/>
          <w:szCs w:val="20"/>
          <w:color w:val="auto"/>
        </w:rPr>
        <w:tab/>
      </w:r>
      <w:r>
        <w:rPr>
          <w:rFonts w:ascii="Arial" w:cs="Arial" w:eastAsia="Arial" w:hAnsi="Arial"/>
          <w:sz w:val="16"/>
          <w:szCs w:val="16"/>
          <w:color w:val="auto"/>
        </w:rPr>
        <w:t>1,809,947 shares of common stock.</w:t>
      </w:r>
    </w:p>
    <w:p>
      <w:pPr>
        <w:spacing w:after="0" w:line="225"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Common stock to be outstanding immediately after this</w:t>
      </w:r>
      <w:r>
        <w:rPr>
          <w:sz w:val="20"/>
          <w:szCs w:val="20"/>
          <w:color w:val="auto"/>
        </w:rPr>
        <w:tab/>
      </w:r>
      <w:r>
        <w:rPr>
          <w:rFonts w:ascii="Arial" w:cs="Arial" w:eastAsia="Arial" w:hAnsi="Arial"/>
          <w:sz w:val="16"/>
          <w:szCs w:val="16"/>
          <w:color w:val="auto"/>
        </w:rPr>
        <w:t>27,455,565 shares of common stock (or 28,100,565 shares if the underwriters</w:t>
      </w:r>
    </w:p>
    <w:p>
      <w:pPr>
        <w:spacing w:after="0" w:line="23"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6"/>
          <w:szCs w:val="16"/>
          <w:color w:val="auto"/>
        </w:rPr>
        <w:t>offering</w:t>
      </w:r>
      <w:r>
        <w:rPr>
          <w:sz w:val="20"/>
          <w:szCs w:val="20"/>
          <w:color w:val="auto"/>
        </w:rPr>
        <w:tab/>
      </w:r>
      <w:r>
        <w:rPr>
          <w:rFonts w:ascii="Arial" w:cs="Arial" w:eastAsia="Arial" w:hAnsi="Arial"/>
          <w:sz w:val="16"/>
          <w:szCs w:val="16"/>
          <w:color w:val="auto"/>
        </w:rPr>
        <w:t>exercise in full their option to purchase additional shares of common stock from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us).</w:t>
      </w:r>
    </w:p>
    <w:p>
      <w:pPr>
        <w:spacing w:after="0" w:line="319"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Option to purchase additional common stock</w:t>
      </w:r>
      <w:r>
        <w:rPr>
          <w:sz w:val="20"/>
          <w:szCs w:val="20"/>
          <w:color w:val="auto"/>
        </w:rPr>
        <w:tab/>
      </w:r>
      <w:r>
        <w:rPr>
          <w:rFonts w:ascii="Arial" w:cs="Arial" w:eastAsia="Arial" w:hAnsi="Arial"/>
          <w:sz w:val="17"/>
          <w:szCs w:val="17"/>
          <w:color w:val="auto"/>
        </w:rPr>
        <w:t>We have granted the underwriters an option for a period of 30 days from the</w:t>
      </w:r>
    </w:p>
    <w:p>
      <w:pPr>
        <w:spacing w:after="0" w:line="23" w:lineRule="exact"/>
        <w:rPr>
          <w:sz w:val="20"/>
          <w:szCs w:val="20"/>
          <w:color w:val="auto"/>
        </w:rPr>
      </w:pPr>
    </w:p>
    <w:p>
      <w:pPr>
        <w:ind w:left="4700" w:right="80"/>
        <w:spacing w:after="0" w:line="261" w:lineRule="auto"/>
        <w:rPr>
          <w:sz w:val="20"/>
          <w:szCs w:val="20"/>
          <w:color w:val="auto"/>
        </w:rPr>
      </w:pPr>
      <w:r>
        <w:rPr>
          <w:rFonts w:ascii="Arial" w:cs="Arial" w:eastAsia="Arial" w:hAnsi="Arial"/>
          <w:sz w:val="18"/>
          <w:szCs w:val="18"/>
          <w:color w:val="auto"/>
        </w:rPr>
        <w:t>date of this prospectus supplement to purchase up to 645,000 of additional shares of common stock.</w:t>
      </w:r>
    </w:p>
    <w:p>
      <w:pPr>
        <w:spacing w:after="0" w:line="197"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the net proceeds to us from this offering, after deducting</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estimated underwriting discounts and commissions and estimated offering</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expenses payable by us, will be $50.3 million (or $63.5 million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underwriters exercise in full their option to purchase additional shares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common stock from us). We will not receive any net proceeds from this offering</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from the sales of common stock by the selling stockholders.</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We currently intend to use the net proceeds from this offering to support the</w:t>
      </w:r>
    </w:p>
    <w:p>
      <w:pPr>
        <w:spacing w:after="0" w:line="35"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continued commercial expansion of our iFuse system, sales and marketing,</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surgeon training and clinical studies, as well as working capital and general</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corporate purposes. We may also use a portion of our net proceeds to acquire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invest in complementary products, technologies, or businesses; however, we</w:t>
      </w:r>
    </w:p>
    <w:p>
      <w:pPr>
        <w:spacing w:after="0" w:line="21" w:lineRule="exact"/>
        <w:rPr>
          <w:sz w:val="20"/>
          <w:szCs w:val="20"/>
          <w:color w:val="auto"/>
        </w:rPr>
      </w:pPr>
    </w:p>
    <w:p>
      <w:pPr>
        <w:ind w:left="4700"/>
        <w:spacing w:after="0"/>
        <w:tabs>
          <w:tab w:leader="none" w:pos="5480" w:val="left"/>
          <w:tab w:leader="none" w:pos="5960" w:val="left"/>
          <w:tab w:leader="none" w:pos="6280" w:val="left"/>
          <w:tab w:leader="none" w:pos="7240" w:val="left"/>
          <w:tab w:leader="none" w:pos="7540" w:val="left"/>
          <w:tab w:leader="none" w:pos="8660" w:val="left"/>
          <w:tab w:leader="none" w:pos="8940" w:val="left"/>
          <w:tab w:leader="none" w:pos="9760" w:val="left"/>
          <w:tab w:leader="none" w:pos="10160" w:val="left"/>
        </w:tabs>
        <w:rPr>
          <w:sz w:val="20"/>
          <w:szCs w:val="20"/>
          <w:color w:val="auto"/>
        </w:rPr>
      </w:pPr>
      <w:r>
        <w:rPr>
          <w:rFonts w:ascii="Arial" w:cs="Arial" w:eastAsia="Arial" w:hAnsi="Arial"/>
          <w:sz w:val="18"/>
          <w:szCs w:val="18"/>
          <w:color w:val="auto"/>
        </w:rPr>
        <w:t>currently</w:t>
        <w:tab/>
        <w:t>have</w:t>
        <w:tab/>
        <w:t>no</w:t>
        <w:tab/>
        <w:t>agreements</w:t>
        <w:tab/>
        <w:t>or</w:t>
        <w:tab/>
        <w:t>commitments</w:t>
        <w:tab/>
        <w:t>to</w:t>
        <w:tab/>
        <w:t>complete</w:t>
        <w:tab/>
        <w:t>any</w:t>
      </w:r>
      <w:r>
        <w:rPr>
          <w:sz w:val="20"/>
          <w:szCs w:val="20"/>
          <w:color w:val="auto"/>
        </w:rPr>
        <w:tab/>
      </w:r>
      <w:r>
        <w:rPr>
          <w:rFonts w:ascii="Arial" w:cs="Arial" w:eastAsia="Arial" w:hAnsi="Arial"/>
          <w:sz w:val="15"/>
          <w:szCs w:val="15"/>
          <w:color w:val="auto"/>
        </w:rPr>
        <w:t>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transactions.  See  “Use  of  Proceeds”  on  page  S-10  of  this  prospectus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supplement.</w:t>
      </w:r>
    </w:p>
    <w:p>
      <w:pPr>
        <w:spacing w:after="0" w:line="200" w:lineRule="exact"/>
        <w:rPr>
          <w:sz w:val="20"/>
          <w:szCs w:val="20"/>
          <w:color w:val="auto"/>
        </w:rPr>
      </w:pPr>
    </w:p>
    <w:p>
      <w:pPr>
        <w:spacing w:after="0" w:line="281" w:lineRule="exact"/>
        <w:rPr>
          <w:sz w:val="20"/>
          <w:szCs w:val="20"/>
          <w:color w:val="auto"/>
        </w:rPr>
      </w:pPr>
    </w:p>
    <w:p>
      <w:pPr>
        <w:ind w:left="120"/>
        <w:spacing w:after="0"/>
        <w:tabs>
          <w:tab w:leader="none" w:pos="46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and the other information included in this prospectus</w:t>
      </w:r>
    </w:p>
    <w:p>
      <w:pPr>
        <w:spacing w:after="0" w:line="23" w:lineRule="exact"/>
        <w:rPr>
          <w:sz w:val="20"/>
          <w:szCs w:val="20"/>
          <w:color w:val="auto"/>
        </w:rPr>
      </w:pPr>
    </w:p>
    <w:p>
      <w:pPr>
        <w:ind w:left="4700" w:right="100"/>
        <w:spacing w:after="0" w:line="290" w:lineRule="auto"/>
        <w:rPr>
          <w:sz w:val="20"/>
          <w:szCs w:val="20"/>
          <w:color w:val="auto"/>
        </w:rPr>
      </w:pPr>
      <w:r>
        <w:rPr>
          <w:rFonts w:ascii="Arial" w:cs="Arial" w:eastAsia="Arial" w:hAnsi="Arial"/>
          <w:sz w:val="17"/>
          <w:szCs w:val="17"/>
          <w:color w:val="auto"/>
        </w:rPr>
        <w:t>supplement and accompanying prospectus for a discussion of factors you should consider carefully before deciding to invest in our common stock.</w:t>
      </w:r>
    </w:p>
    <w:p>
      <w:pPr>
        <w:spacing w:after="0" w:line="175"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Nasdaq Global Market trading symbol</w:t>
      </w:r>
      <w:r>
        <w:rPr>
          <w:sz w:val="20"/>
          <w:szCs w:val="20"/>
          <w:color w:val="auto"/>
        </w:rPr>
        <w:tab/>
      </w:r>
      <w:r>
        <w:rPr>
          <w:rFonts w:ascii="Arial" w:cs="Arial" w:eastAsia="Arial" w:hAnsi="Arial"/>
          <w:sz w:val="18"/>
          <w:szCs w:val="18"/>
          <w:color w:val="auto"/>
        </w:rPr>
        <w:t>“SIBN”.</w:t>
      </w:r>
    </w:p>
    <w:p>
      <w:pPr>
        <w:spacing w:after="0" w:line="25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24,965,512 shares outstanding as of September 30, 2019, and excludes:</w:t>
      </w:r>
    </w:p>
    <w:p>
      <w:pPr>
        <w:spacing w:after="0" w:line="76" w:lineRule="exact"/>
        <w:rPr>
          <w:sz w:val="20"/>
          <w:szCs w:val="20"/>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2,824,485 shares of common stock underlying options outstanding at a weighted average exercise price of $7.98 per share;</w:t>
      </w:r>
    </w:p>
    <w:p>
      <w:pPr>
        <w:spacing w:after="0" w:line="130"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565,430 shares of common stock underlying restricted stock units outstanding;</w:t>
      </w:r>
    </w:p>
    <w:p>
      <w:pPr>
        <w:spacing w:after="0" w:line="130"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118,122 shares of common stock underlying warrants outstanding at a weighted average exercise price of $13.76 per share; and</w:t>
      </w:r>
    </w:p>
    <w:p>
      <w:pPr>
        <w:sectPr>
          <w:pgSz w:w="11900" w:h="16838" w:orient="portrait"/>
          <w:cols w:equalWidth="0" w:num="1">
            <w:col w:w="10580"/>
          </w:cols>
          <w:pgMar w:left="660" w:top="1341" w:right="6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580"/>
          </w:cols>
          <w:pgMar w:left="660" w:top="1341" w:right="659" w:bottom="0" w:gutter="0" w:footer="0" w:header="0"/>
          <w:type w:val="continuous"/>
        </w:sectPr>
      </w:pPr>
    </w:p>
    <w:bookmarkStart w:id="9" w:name="page10"/>
    <w:bookmarkEnd w:id="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660" w:right="220" w:hanging="334"/>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2602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602865"/>
                    </a:xfrm>
                    <a:prstGeom prst="rect">
                      <a:avLst/>
                    </a:prstGeom>
                    <a:noFill/>
                  </pic:spPr>
                </pic:pic>
              </a:graphicData>
            </a:graphic>
          </wp:anchor>
        </w:drawing>
        <w:t>3,230,172 shares of common stock available for future grant under our equity incentive plans, including our employee stock purchase plan.</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January 1, 2020, an additional 1,509,828 shares of common stock were added to our equity incentive plans, including our employee stock purchase plan, as a result of the evergreen provisions of these plans.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all information in this prospectus supplement assumes:</w:t>
      </w:r>
    </w:p>
    <w:p>
      <w:pPr>
        <w:spacing w:after="0" w:line="333" w:lineRule="exact"/>
        <w:rPr>
          <w:sz w:val="20"/>
          <w:szCs w:val="20"/>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outstanding options and warrants;</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vesting of outstanding restricted stock units; and</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500"/>
          </w:cols>
          <w:pgMar w:left="660" w:top="1287" w:right="7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 factors described below and the risk factors incorporated by reference from our Quarterly Report on Form 10-Q for the quarterly period ended September 30, 2019, and all other information contained or incorporated by reference in this prospectus supplement and accompanying prospectus, including our financial statements and the related notes, as may be updated by our subsequent filings under the Securities Exchange Act of 1934, as amended (“Exchange Act”) and in any free writing prospectus that we have authorized for use in connection with this offering before acquiring shares of our common stock. These risks could have a material and adverse impact on our business, results of operations, financial condition and growth prospects, which may cause the trading price of our common stock to decline and you could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will have broad discretion as to the use of the proceeds from this offering, and we may not use the proceeds effectively.</w:t>
      </w:r>
    </w:p>
    <w:p>
      <w:pPr>
        <w:spacing w:after="0" w:line="3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and cause the price of our common stock to decline.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you purchase shares of common stock in this offering, you will experience immediate dilution in your investment. You will experience further dilution if we issue additional equity securities in future fundraising transactions.</w:t>
      </w:r>
    </w:p>
    <w:p>
      <w:pPr>
        <w:spacing w:after="0" w:line="25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Purchasers of common stock in this offering will pay a price per share in this offering that exceeds the net tangible book value per share of our common stock. Assuming that an aggregate of 2,490,053 shares of common stock are sold by us at a public offering price of $21.76 per share, the last reported sale price of our common shares on the Nasdaq Global Market on January 17, 2020, for aggregate net proceeds to us of approximately $50.3 million and after deducting underwriting discounts and commissions and estimated offering expenses payable by us, if you purchase shares of our common stock in this offering, you will experience immediate dilution of $17.42 per share, representing the difference between the assumed public offering price and our as adjusted net tangible book value per share as of September 30, 2019, after giving effect to this offering. See the section below titled “Dilution” for a more detailed illustration of the dilution you would incur if you purchase common stock in this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further dilution if we issue additional equity securities in future fundraising transactions.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we have a significant number of stock options and restricted stock units outstanding. The exercise of outstanding stock options or vesting of restricted stock units may result in further dilution of your investment.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your investment unless you sell your common stock for a price greater than that which you paid for it.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other such factors as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810"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This prospectus supplement and accompanying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3" w:lineRule="exact"/>
        <w:rPr>
          <w:sz w:val="20"/>
          <w:szCs w:val="20"/>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favorable coverage and reimbursement determinations from third-party payors;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authorization from the U.S. Food and Drug Administration or FDA;</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236" w:lineRule="exact"/>
        <w:rPr>
          <w:rFonts w:ascii="Arial" w:cs="Arial" w:eastAsia="Arial" w:hAnsi="Arial"/>
          <w:sz w:val="17"/>
          <w:szCs w:val="17"/>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drive demand for our products and sustain or increase such demand;</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60" w:top="931" w:right="239" w:bottom="1440" w:gutter="0" w:footer="0" w:header="0"/>
        </w:sectPr>
      </w:pPr>
    </w:p>
    <w:bookmarkStart w:id="13" w:name="page14"/>
    <w:bookmarkEnd w:id="13"/>
    <w:p>
      <w:pPr>
        <w:jc w:val="both"/>
        <w:ind w:firstLine="324"/>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this prospectus supplement, in any free writing prospectuses we may authorize for use in connection with this offering, and in our quarterly report on Form 10-Q for the quarter ended September 30, 2019, which are incorporated by reference into this prospectus supplement and accompanying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97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we will receive net proceeds from the sale of common stock by us in this offering of approximately $50.3 million, after deducting underwriting discounts and commissions and estimated offering expenses payable by us. If the underwriters exercise in full their option to purchase additional common stock from us, we estimate that the net proceeds to us will be approximately $63.5 million, after deducting underwriting discounts and commissions and estimated offering expenses payable by us. We will not receive any net proceeds from this offering from the sales of common stock by the selling stockholders.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$0.50 increase (decrease) in the assumed public offering price of $21.76 per share of common stock, which was the last reported sale price of our common stock on the Nasdaq Global Market on January 17, 2020, would increase (decrease) the net proceeds to us from this offering by approximately $1.2 million, assuming that the assumed number of shares of common stock offered by us remains the same, and after deducting underwriting discounts and commissions and estimated offering expenses payable by us. Each increase (decrease) of 100,000 shares of common stock in the number of shares of common stock offered by us would increase (decrease) the net proceeds to us from this offering by approximately $2.0 million, assuming that the assumed public offering price remains the same, and after deducting underwriting discounts and commissions and estimated offering expenses payable by us.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currently intend to use the net proceeds from this offering to support the continued commercial expansion of our iFuse system, sales and marketing, surgeon training and clinical studies, as well as working capital and general corporate purposes. We may also use a portion of our net proceeds to acquire or invest in complementary products, technologies, or businesses; however, we currently have no agreements or commitments to complete any such transactions.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U.S. government.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76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our cash, cash equivalents and investments, and capitalization as of September 30, 2019:</w:t>
      </w:r>
    </w:p>
    <w:p>
      <w:pPr>
        <w:spacing w:after="0" w:line="25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7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by us of 2,490,053 shares of our common stock in this offering at an assumed public offering price of $21.76 per share, the closing price of our common stock on the Nasdaq Global Market Exchange on January 17, 2020 (assuming no exercise of the underwriters' option to purchase additional shares from us), after deducting the underwriting discount and estimated offering expenses payable by us as described under "Use of Proceeds."</w:t>
      </w:r>
    </w:p>
    <w:p>
      <w:pPr>
        <w:spacing w:after="0" w:line="187"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You should read the data set forth in the table below in conjunction with (a) our consolidated financial statements, including the related notes, and "Management's Discussion and Analysis of Financial Condition and Results of Operations" from our Annual Report on Form 10-K for the fiscal year ended December 31, 2018, and (b) our condensed consolidated financial statements, including the related notes, and "Management's Discussion and Analysis of Financial Condition and Results of Operations" from our Quarterly Report on Form 10-Q for the quarterly period ended September 30, 2019, which are incorporated by reference into this prospectus supplement and accompanying prospectus.</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9"/>
              </w:rPr>
              <w:t>As of September 30, 2019</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 xml:space="preserve">Adjusted </w:t>
            </w: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101,496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151,829</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Preferred stock, $0.0001 par value, 5,000,000 shares authorized; 0 shares issued and outstanding, actual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and as adjusted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24,965,512 shares issued and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outstanding, actual, 27,455,565 shares issued and outstanding as adjusted</w:t>
            </w:r>
          </w:p>
        </w:tc>
        <w:tc>
          <w:tcPr>
            <w:tcW w:w="2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254,965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305,298</w:t>
            </w:r>
          </w:p>
        </w:tc>
        <w:tc>
          <w:tcPr>
            <w:tcW w:w="0" w:type="dxa"/>
            <w:vAlign w:val="bottom"/>
          </w:tcPr>
          <w:p>
            <w:pPr>
              <w:spacing w:after="0"/>
              <w:rPr>
                <w:sz w:val="1"/>
                <w:szCs w:val="1"/>
                <w:color w:val="auto"/>
              </w:rPr>
            </w:pP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(186,482)</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(186,482)</w:t>
            </w:r>
          </w:p>
        </w:tc>
        <w:tc>
          <w:tcPr>
            <w:tcW w:w="0" w:type="dxa"/>
            <w:vAlign w:val="bottom"/>
          </w:tcPr>
          <w:p>
            <w:pPr>
              <w:spacing w:after="0"/>
              <w:rPr>
                <w:sz w:val="1"/>
                <w:szCs w:val="1"/>
                <w:color w:val="auto"/>
              </w:rPr>
            </w:pPr>
          </w:p>
        </w:tc>
      </w:tr>
      <w:tr>
        <w:trPr>
          <w:trHeight w:val="237"/>
        </w:trPr>
        <w:tc>
          <w:tcPr>
            <w:tcW w:w="816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68,961</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119,294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capitalization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68,961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119,294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191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40" w:lineRule="exact"/>
        <w:rPr>
          <w:sz w:val="20"/>
          <w:szCs w:val="20"/>
          <w:color w:val="auto"/>
        </w:rPr>
      </w:pPr>
    </w:p>
    <w:p>
      <w:pPr>
        <w:jc w:val="both"/>
        <w:ind w:left="340" w:hanging="332"/>
        <w:spacing w:after="0" w:line="25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$0.50 increase (decrease) in the assumed public offering price of $21.76 per share, the closing price of our common stock on the Nasdaq Global Market on January 17, 2020, would increase (decrease) our cash, cash equivalents and investments, total stockholders’ equity and total capitalization by approximately $1.2 million, assuming that the assumed number of shares of our common stock offered by us remains the same and after deducting the underwriting discount and offering expenses payable by us. Each increase (decrease) of 100,000 shares in the assumed number of shares offered by us in this public offering would increase (decrease) the amount of our cash, cash equivalents and short term investments, total stockholders’ equity and total capitalization by approximately $2.0 million, assuming the assumed public offering price of $21.76 per share, the closing price of our common stock on the Nasdaq Global Market Exchange on January 17, 2020, remains the same, after deducting the underwriting discount and offering expenses payable by us.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24,965,512 shares outstanding as of September 30, 2019, and excludes:</w:t>
      </w:r>
    </w:p>
    <w:p>
      <w:pPr>
        <w:spacing w:after="0" w:line="7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2,824,485 shares of common stock underlying options outstanding at a weighted average exercise price of $7.98 per share;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565,430 shares of common stock underlying restricted stock units outstanding;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3,230,172 shares of common stock available for future grant under our equity incentive plans, including our employee stock purchase plan.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above discussion assumes no exercise by the underwriters of their option to purchase additional shares of our common stock from us.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81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DILUTION</w:t>
      </w:r>
    </w:p>
    <w:p>
      <w:pPr>
        <w:spacing w:after="0" w:line="200" w:lineRule="exact"/>
        <w:rPr>
          <w:sz w:val="20"/>
          <w:szCs w:val="20"/>
          <w:color w:val="auto"/>
        </w:rPr>
      </w:pPr>
    </w:p>
    <w:p>
      <w:pPr>
        <w:spacing w:after="0" w:line="245" w:lineRule="exact"/>
        <w:rPr>
          <w:sz w:val="20"/>
          <w:szCs w:val="20"/>
          <w:color w:val="auto"/>
        </w:rPr>
      </w:pPr>
    </w:p>
    <w:p>
      <w:pPr>
        <w:jc w:val="both"/>
        <w:ind w:firstLine="297"/>
        <w:spacing w:after="0" w:line="270"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and the adjusted net tangible book value per share of our common stock after this offering. Net tangible book value on September 30, 2019, was approximately $68.9 million, or $2.76 per share. “Net tangible book value” is total assets minus the sum of liabilities, goodwill and intangible assets. “Net tangible book value per share” is net tangible book value divided by the total number of shares outstanding. Net tangible book value per share after this offering gives effect to the sale of 2,490,053 shares of our common stock in this offering at the assumed public offering price of $21.76 per share, the closing price of our common stock on the Nasdaq Global Market on January 17, 2020, after deducting the underwriting discount and estimated offering expenses payable by us. Our as adjusted net tangible book value as of September 30, 2019, after giving effect to this offering as described above, would have been approximately $119.3 million, or $4.34 per share of common stock. This represents an immediate increase in net tangible book value of $1.58 per share to our existing stockholders and an immediate dilution in net tangible book value of $17.42 per share to investors participating in this offering. The following table illustrates this dilution per share to investors participating in this offering:</w:t>
      </w:r>
    </w:p>
    <w:p>
      <w:pPr>
        <w:spacing w:after="0" w:line="200" w:lineRule="exact"/>
        <w:rPr>
          <w:sz w:val="20"/>
          <w:szCs w:val="20"/>
          <w:color w:val="auto"/>
        </w:rPr>
      </w:pPr>
    </w:p>
    <w:p>
      <w:pPr>
        <w:spacing w:after="0" w:line="384"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share</w:t>
            </w:r>
          </w:p>
        </w:tc>
        <w:tc>
          <w:tcPr>
            <w:tcW w:w="2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$21.76</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Net tangible book value per share as of September 30, 2019</w:t>
            </w:r>
          </w:p>
        </w:tc>
        <w:tc>
          <w:tcPr>
            <w:tcW w:w="2920" w:type="dxa"/>
            <w:vAlign w:val="bottom"/>
          </w:tcPr>
          <w:p>
            <w:pPr>
              <w:jc w:val="right"/>
              <w:ind w:right="1110"/>
              <w:spacing w:after="0"/>
              <w:rPr>
                <w:sz w:val="20"/>
                <w:szCs w:val="20"/>
                <w:color w:val="auto"/>
              </w:rPr>
            </w:pPr>
            <w:r>
              <w:rPr>
                <w:rFonts w:ascii="Arial" w:cs="Arial" w:eastAsia="Arial" w:hAnsi="Arial"/>
                <w:sz w:val="18"/>
                <w:szCs w:val="18"/>
                <w:color w:val="auto"/>
              </w:rPr>
              <w:t>$2.76</w:t>
            </w:r>
          </w:p>
        </w:tc>
      </w:tr>
      <w:tr>
        <w:trPr>
          <w:trHeight w:val="27"/>
        </w:trPr>
        <w:tc>
          <w:tcPr>
            <w:tcW w:w="76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in net tangible book value per share attributable to new investors in offering</w:t>
            </w:r>
          </w:p>
        </w:tc>
        <w:tc>
          <w:tcPr>
            <w:tcW w:w="29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$1.58</w:t>
            </w:r>
          </w:p>
        </w:tc>
      </w:tr>
      <w:tr>
        <w:trPr>
          <w:trHeight w:val="513"/>
        </w:trPr>
        <w:tc>
          <w:tcPr>
            <w:tcW w:w="7600" w:type="dxa"/>
            <w:vAlign w:val="bottom"/>
          </w:tcPr>
          <w:p>
            <w:pPr>
              <w:ind w:left="20"/>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2920" w:type="dxa"/>
            <w:vAlign w:val="bottom"/>
          </w:tcPr>
          <w:p>
            <w:pPr>
              <w:jc w:val="right"/>
              <w:ind w:right="1110"/>
              <w:spacing w:after="0"/>
              <w:rPr>
                <w:sz w:val="20"/>
                <w:szCs w:val="20"/>
                <w:color w:val="auto"/>
              </w:rPr>
            </w:pPr>
            <w:r>
              <w:rPr>
                <w:rFonts w:ascii="Arial" w:cs="Arial" w:eastAsia="Arial" w:hAnsi="Arial"/>
                <w:sz w:val="18"/>
                <w:szCs w:val="18"/>
                <w:color w:val="auto"/>
              </w:rPr>
              <w:t>$4.34</w:t>
            </w:r>
          </w:p>
        </w:tc>
      </w:tr>
      <w:tr>
        <w:trPr>
          <w:trHeight w:val="27"/>
        </w:trPr>
        <w:tc>
          <w:tcPr>
            <w:tcW w:w="76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w:t>
            </w:r>
          </w:p>
        </w:tc>
        <w:tc>
          <w:tcPr>
            <w:tcW w:w="2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r>
      <w:tr>
        <w:trPr>
          <w:trHeight w:val="27"/>
        </w:trPr>
        <w:tc>
          <w:tcPr>
            <w:tcW w:w="76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If the underwriters’ option to purchase additional shares in this offering from us is exercised in full, the as adjusted net tangible book value would be $4.71 per share, and the dilution to new investors participating in this offering would be $17.05 per share.</w:t>
      </w:r>
    </w:p>
    <w:p>
      <w:pPr>
        <w:spacing w:after="0" w:line="170" w:lineRule="exact"/>
        <w:rPr>
          <w:sz w:val="20"/>
          <w:szCs w:val="20"/>
          <w:color w:val="auto"/>
        </w:rPr>
      </w:pPr>
    </w:p>
    <w:p>
      <w:pPr>
        <w:jc w:val="both"/>
        <w:ind w:firstLine="297"/>
        <w:spacing w:after="0" w:line="272" w:lineRule="auto"/>
        <w:rPr>
          <w:sz w:val="20"/>
          <w:szCs w:val="20"/>
          <w:color w:val="auto"/>
        </w:rPr>
      </w:pPr>
      <w:r>
        <w:rPr>
          <w:rFonts w:ascii="Arial" w:cs="Arial" w:eastAsia="Arial" w:hAnsi="Arial"/>
          <w:sz w:val="17"/>
          <w:szCs w:val="17"/>
          <w:color w:val="auto"/>
        </w:rPr>
        <w:t>Each $0.50 increase (decrease) in the assumed public offering price of $21.76 per share, the closing price of our common stock on the Nasdaq Global Market on January 17, 2020, would increase (decrease) our as adjusted net tangible book value by approximately $1.2 million, or $0.04 per share, and dilution to new investors by $0.46 per share, assuming or that the assumed number of shares of our common stock offered by us in this offering remains the same and after deducting the underwriting discount and offering expenses payable by us. Each increase (decrease) of 100,000 shares in the number of shares offered by us in this offering would increase (decrease) the amount of our as adjusted net tangible book value by approximately $2.0 million, or $0.06 per share, and decrease (increase) dilution to new investors by $0.06 per share, assuming the assumed public offering price of $21.76 per share remains the same, after deducting the underwriting discount and offering expenses payable by us.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24,965,512 shares outstanding as of September 30, 2019, and excludes:</w:t>
      </w:r>
    </w:p>
    <w:p>
      <w:pPr>
        <w:spacing w:after="0" w:line="76"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2,824,485 shares of common stock underlying options outstanding at a weighted average exercise price of $7.98 per share;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565,430 shares of common stock underlying restricted stock units outstanding;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3,230,172 shares of common stock available for future grant under our equity incentive plans, including our employee stock purchase plan.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above discussion assumes no exercise by the underwriters of their option to purchase additional shares of our common stock from us.</w:t>
      </w:r>
    </w:p>
    <w:p>
      <w:pPr>
        <w:spacing w:after="0" w:line="22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To the extent that any outstanding options are exercised or restricted stock units vest,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97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information regarding the number of shares of our common stock as of January 15, 2020, held for the account of, and the numbers of shares being sold, by the selling stockholders. Percentage ownership is based on 25,217,923 shares of our common stock outstanding on January 15, 2020.</w:t>
      </w:r>
    </w:p>
    <w:p>
      <w:pPr>
        <w:spacing w:after="0" w:line="36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Prior to the Offering</w:t>
            </w:r>
          </w:p>
        </w:tc>
        <w:tc>
          <w:tcPr>
            <w:tcW w:w="180" w:type="dxa"/>
            <w:vAlign w:val="bottom"/>
          </w:tcPr>
          <w:p>
            <w:pPr>
              <w:spacing w:after="0"/>
              <w:rPr>
                <w:sz w:val="16"/>
                <w:szCs w:val="16"/>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Shares Being</w:t>
            </w: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58"/>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Selling Stockholder</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28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Offered</w:t>
            </w:r>
          </w:p>
        </w:tc>
        <w:tc>
          <w:tcPr>
            <w:tcW w:w="13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8"/>
                <w:szCs w:val="18"/>
                <w:color w:val="auto"/>
                <w:vertAlign w:val="superscript"/>
              </w:rPr>
              <w:t>(1)</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3,819,985</w:t>
            </w:r>
          </w:p>
        </w:tc>
        <w:tc>
          <w:tcPr>
            <w:tcW w:w="1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1,000,000</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2,819,985</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w:t>
            </w:r>
          </w:p>
        </w:tc>
        <w:tc>
          <w:tcPr>
            <w:tcW w:w="0" w:type="dxa"/>
            <w:vAlign w:val="bottom"/>
          </w:tcPr>
          <w:p>
            <w:pPr>
              <w:spacing w:after="0"/>
              <w:rPr>
                <w:sz w:val="1"/>
                <w:szCs w:val="1"/>
                <w:color w:val="auto"/>
              </w:rPr>
            </w:pPr>
          </w:p>
        </w:tc>
      </w:tr>
      <w:tr>
        <w:trPr>
          <w:trHeight w:val="493"/>
        </w:trPr>
        <w:tc>
          <w:tcPr>
            <w:tcW w:w="3280" w:type="dxa"/>
            <w:vAlign w:val="bottom"/>
          </w:tcPr>
          <w:p>
            <w:pPr>
              <w:ind w:left="260"/>
              <w:spacing w:after="0"/>
              <w:rPr>
                <w:sz w:val="20"/>
                <w:szCs w:val="20"/>
                <w:color w:val="auto"/>
              </w:rPr>
            </w:pPr>
            <w:r>
              <w:rPr>
                <w:rFonts w:ascii="Arial" w:cs="Arial" w:eastAsia="Arial" w:hAnsi="Arial"/>
                <w:sz w:val="18"/>
                <w:szCs w:val="18"/>
                <w:color w:val="auto"/>
              </w:rPr>
              <w:t>Montreux Equity Partners IV, L.P.</w:t>
            </w:r>
          </w:p>
        </w:tc>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89"/>
              </w:rPr>
              <w:t>649,947</w:t>
            </w:r>
          </w:p>
        </w:tc>
        <w:tc>
          <w:tcPr>
            <w:tcW w:w="14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649,947</w:t>
            </w:r>
          </w:p>
        </w:tc>
        <w:tc>
          <w:tcPr>
            <w:tcW w:w="1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3280" w:type="dxa"/>
            <w:vAlign w:val="bottom"/>
            <w:vMerge w:val="restart"/>
          </w:tcPr>
          <w:p>
            <w:pPr>
              <w:ind w:left="260"/>
              <w:spacing w:after="0"/>
              <w:rPr>
                <w:sz w:val="20"/>
                <w:szCs w:val="20"/>
                <w:color w:val="auto"/>
              </w:rPr>
            </w:pPr>
            <w:r>
              <w:rPr>
                <w:rFonts w:ascii="Arial" w:cs="Arial" w:eastAsia="Arial" w:hAnsi="Arial"/>
                <w:sz w:val="9"/>
                <w:szCs w:val="9"/>
                <w:color w:val="auto"/>
              </w:rPr>
              <w:t>(2)</w:t>
            </w:r>
          </w:p>
        </w:tc>
        <w:tc>
          <w:tcPr>
            <w:tcW w:w="208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280" w:type="dxa"/>
            <w:vAlign w:val="bottom"/>
            <w:vMerge w:val="continue"/>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3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8"/>
                <w:szCs w:val="18"/>
                <w:color w:val="auto"/>
                <w:vertAlign w:val="superscript"/>
              </w:rPr>
              <w:t>(3)</w:t>
            </w:r>
          </w:p>
        </w:tc>
        <w:tc>
          <w:tcPr>
            <w:tcW w:w="2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1,695,361</w:t>
            </w:r>
          </w:p>
        </w:tc>
        <w:tc>
          <w:tcPr>
            <w:tcW w:w="1400" w:type="dxa"/>
            <w:vAlign w:val="bottom"/>
            <w:gridSpan w:val="2"/>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89"/>
              </w:rPr>
              <w:t>160,000</w:t>
            </w:r>
          </w:p>
        </w:tc>
        <w:tc>
          <w:tcPr>
            <w:tcW w:w="1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1,535,361</w:t>
            </w:r>
          </w:p>
        </w:tc>
        <w:tc>
          <w:tcPr>
            <w:tcW w:w="28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6.1%</w:t>
            </w:r>
          </w:p>
        </w:tc>
        <w:tc>
          <w:tcPr>
            <w:tcW w:w="0" w:type="dxa"/>
            <w:vAlign w:val="bottom"/>
          </w:tcPr>
          <w:p>
            <w:pPr>
              <w:spacing w:after="0"/>
              <w:rPr>
                <w:sz w:val="1"/>
                <w:szCs w:val="1"/>
                <w:color w:val="auto"/>
              </w:rPr>
            </w:pPr>
          </w:p>
        </w:tc>
      </w:tr>
      <w:tr>
        <w:trPr>
          <w:trHeight w:val="70"/>
        </w:trPr>
        <w:tc>
          <w:tcPr>
            <w:tcW w:w="3280" w:type="dxa"/>
            <w:vAlign w:val="bottom"/>
            <w:shd w:val="clear" w:color="auto" w:fill="CCEEFF"/>
          </w:tcPr>
          <w:p>
            <w:pPr>
              <w:spacing w:after="0"/>
              <w:rPr>
                <w:sz w:val="6"/>
                <w:szCs w:val="6"/>
                <w:color w:val="auto"/>
              </w:rPr>
            </w:pPr>
          </w:p>
        </w:tc>
        <w:tc>
          <w:tcPr>
            <w:tcW w:w="2080" w:type="dxa"/>
            <w:vAlign w:val="bottom"/>
            <w:vMerge w:val="continue"/>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191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 Less than 1%.</w:t>
      </w:r>
    </w:p>
    <w:p>
      <w:pPr>
        <w:spacing w:after="0" w:line="59" w:lineRule="exact"/>
        <w:rPr>
          <w:sz w:val="20"/>
          <w:szCs w:val="20"/>
          <w:color w:val="auto"/>
        </w:rPr>
      </w:pPr>
    </w:p>
    <w:p>
      <w:pPr>
        <w:ind w:left="660" w:right="2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John G. Freund, M.D., a member of our board of directors, is a Managing Director at Skyline Venture Partners and a Managing Director of Skyline Venture Partners V, L.P.</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Consists solely of shares held by Montreux Equity Partners IV, L.P. and not shares owned by other entities affiliated with Montreux Equity Partners IV, L.P.</w:t>
      </w:r>
    </w:p>
    <w:p>
      <w:pPr>
        <w:spacing w:after="0" w:line="70" w:lineRule="exact"/>
        <w:rPr>
          <w:rFonts w:ascii="Arial" w:cs="Arial" w:eastAsia="Arial" w:hAnsi="Arial"/>
          <w:sz w:val="15"/>
          <w:szCs w:val="15"/>
          <w:color w:val="auto"/>
        </w:rPr>
      </w:pPr>
    </w:p>
    <w:p>
      <w:pPr>
        <w:ind w:left="66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Timothy B. Petersen, who at that time was a member of our board of directors, is a Managing Director at Arboretum Ventures, Inc. Mr. Petersen ceased to be a member of our board of directors in June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with Selling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7 Preferred Stock</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February and March 2017, we issued and sold an aggregate of 540,874 shares of Series 7 preferred stock at a purchase price of $10.03 per share for an aggregate purchase price of $5,426,717.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purchases of shares of Series 7 preferred stock in 2017 by the selling stockholders.</w:t>
      </w:r>
    </w:p>
    <w:p>
      <w:pPr>
        <w:spacing w:after="0" w:line="200" w:lineRule="exact"/>
        <w:rPr>
          <w:sz w:val="20"/>
          <w:szCs w:val="20"/>
          <w:color w:val="auto"/>
        </w:rPr>
      </w:pPr>
    </w:p>
    <w:p>
      <w:pPr>
        <w:spacing w:after="0" w:line="201"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324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rPr>
              <w:t>Shares of Series 7 Preferred Stock</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Purchaser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6"/>
                <w:szCs w:val="16"/>
                <w:b w:val="1"/>
                <w:bCs w:val="1"/>
                <w:color w:val="auto"/>
                <w:w w:val="87"/>
              </w:rPr>
              <w:t>Aggregate Gross</w:t>
            </w: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8"/>
                <w:szCs w:val="18"/>
                <w:color w:val="auto"/>
              </w:rPr>
            </w:pPr>
          </w:p>
        </w:tc>
        <w:tc>
          <w:tcPr>
            <w:tcW w:w="1340" w:type="dxa"/>
            <w:vAlign w:val="bottom"/>
          </w:tcPr>
          <w:p>
            <w:pPr>
              <w:jc w:val="right"/>
              <w:ind w:right="173"/>
              <w:spacing w:after="0"/>
              <w:rPr>
                <w:sz w:val="20"/>
                <w:szCs w:val="20"/>
                <w:color w:val="auto"/>
              </w:rPr>
            </w:pPr>
            <w:r>
              <w:rPr>
                <w:rFonts w:ascii="Arial" w:cs="Arial" w:eastAsia="Arial" w:hAnsi="Arial"/>
                <w:sz w:val="16"/>
                <w:szCs w:val="16"/>
                <w:b w:val="1"/>
                <w:bCs w:val="1"/>
                <w:color w:val="auto"/>
                <w:w w:val="98"/>
              </w:rPr>
              <w:t>Consideration</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8"/>
                <w:szCs w:val="18"/>
                <w:color w:val="auto"/>
                <w:vertAlign w:val="superscript"/>
              </w:rPr>
              <w:t>(1)</w:t>
            </w:r>
          </w:p>
        </w:tc>
        <w:tc>
          <w:tcPr>
            <w:tcW w:w="1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398,676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62"/>
        </w:trPr>
        <w:tc>
          <w:tcPr>
            <w:tcW w:w="6440" w:type="dxa"/>
            <w:vAlign w:val="bottom"/>
          </w:tcPr>
          <w:p>
            <w:pPr>
              <w:ind w:left="20"/>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8"/>
                <w:szCs w:val="18"/>
                <w:color w:val="auto"/>
                <w:vertAlign w:val="superscript"/>
              </w:rPr>
              <w:t>(2)</w:t>
            </w: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199,338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7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8"/>
                <w:szCs w:val="18"/>
                <w:color w:val="auto"/>
                <w:vertAlign w:val="superscript"/>
              </w:rPr>
              <w:t>(3)</w:t>
            </w:r>
          </w:p>
        </w:tc>
        <w:tc>
          <w:tcPr>
            <w:tcW w:w="1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1,495,036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64"/>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2,433,907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24,450,000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660" w:right="20" w:hanging="652"/>
        <w:spacing w:after="0" w:line="27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John G. Freund, M.D., a member of our board of directors, is a Managing Director at Skyline Venture Partners and a Managing Director of Skyline Venture Partners V, L.P.</w:t>
      </w:r>
    </w:p>
    <w:p>
      <w:pPr>
        <w:spacing w:after="0" w:line="10"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(a) 27,409 shares of Series 7 preferred stock purchased by Montreux Equity Partners IV, L.P. and (b) 171,929 shares of Series 7 preferred stock purchased by Montreux IV Associates IV, L.L.C.</w:t>
      </w:r>
    </w:p>
    <w:p>
      <w:pPr>
        <w:spacing w:after="0" w:line="10" w:lineRule="exact"/>
        <w:rPr>
          <w:rFonts w:ascii="Arial" w:cs="Arial" w:eastAsia="Arial" w:hAnsi="Arial"/>
          <w:sz w:val="16"/>
          <w:szCs w:val="16"/>
          <w:color w:val="auto"/>
        </w:rPr>
      </w:pPr>
    </w:p>
    <w:p>
      <w:pPr>
        <w:ind w:left="660" w:hanging="652"/>
        <w:spacing w:after="0" w:line="27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Timothy B. Petersen, who at that time was a member of our board of directors, is a Managing Director at Arboretum Ventures, Inc. Mr. Petersen ceased to be a member of our board of directors in June 2019.</w:t>
      </w:r>
    </w:p>
    <w:p>
      <w:pPr>
        <w:sectPr>
          <w:pgSz w:w="11900" w:h="16838" w:orient="portrait"/>
          <w:cols w:equalWidth="0" w:num="1">
            <w:col w:w="11420"/>
          </w:cols>
          <w:pgMar w:left="240" w:top="1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420"/>
          </w:cols>
          <w:pgMar w:left="240" w:top="1134"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3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34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3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pass-through or disregarded entities for U.S. federal income tax purposes (and investors therein);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 for U.S. federal income tax purposes;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who acquire our common stock through the exercise of a compensatory option or otherwise as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who have elected to or are required to mark securities to market; and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ectPr>
          <w:pgSz w:w="11900" w:h="16838" w:orient="portrait"/>
          <w:cols w:equalWidth="0" w:num="1">
            <w:col w:w="11420"/>
          </w:cols>
          <w:pgMar w:left="240" w:top="91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420"/>
          </w:cols>
          <w:pgMar w:left="240" w:top="918" w:right="239" w:bottom="1440" w:gutter="0" w:footer="0" w:header="0"/>
          <w:type w:val="continuous"/>
        </w:sectPr>
      </w:pPr>
    </w:p>
    <w:bookmarkStart w:id="19" w:name="page20"/>
    <w:bookmarkEnd w:id="19"/>
    <w:p>
      <w:pPr>
        <w:jc w:val="both"/>
        <w:ind w:firstLine="324"/>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INCLUDING ANY RECENT OR PROPOSED CHANGE IN APPLICABLE LAWS.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34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trust if (1) its administration is subject to the primary supervision of a U.S. court and one or more U.S. persons have the authority to control all substantial decisions of the trust or (2) that has a valid election in effect under applicable U.S. Treasury Regulations to be treated as a U.S. person.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3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35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3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3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3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ectPr>
          <w:pgSz w:w="11900" w:h="16838" w:orient="portrait"/>
          <w:cols w:equalWidth="0" w:num="1">
            <w:col w:w="11420"/>
          </w:cols>
          <w:pgMar w:left="240" w:top="918"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420"/>
          </w:cols>
          <w:pgMar w:left="240" w:top="918"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39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333" w:lineRule="exact"/>
        <w:rPr>
          <w:sz w:val="20"/>
          <w:szCs w:val="20"/>
          <w:color w:val="auto"/>
        </w:rPr>
      </w:pPr>
    </w:p>
    <w:p>
      <w:pPr>
        <w:ind w:left="660" w:right="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during the taxable year of the disposition, and certain other requirements are met; or</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34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3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common stock paid to such holder, the name and address of the recipient,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Dividends paid by us (or our paying agents) to a non-U.S. holder may also be subject to U.S. federal backup withholding, currently imposed at a rate of 24%. Backup withholding (and for gross proceeds of a disposition of our common stock, information reporting)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otherwise establishes an exemption. Backup withholding may apply if the payor has actual knowledge, or reason to know, that the holder is a U.S. person who is not an exempt recipient.</w:t>
      </w:r>
    </w:p>
    <w:p>
      <w:pPr>
        <w:spacing w:after="0" w:line="3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91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Foreign Accounts</w:t>
      </w:r>
    </w:p>
    <w:p>
      <w:pPr>
        <w:spacing w:after="0" w:line="3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FATCA imposes a U.S. federal withholding tax of 30% on certain payments including dividends on, and, subject to the discussion of certain proposed Treasury Regulations below, gross proceeds from the sale or disposition of, our common stock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including dividends on, and, subject to the discussion of certain proposed Treasury Regulations below, gross proceeds from the sale or disposition of, our common stock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Non-U.S. holders should consult their own tax advisors regarding the possible implications of FATCA on their investment in our common stock.</w:t>
      </w:r>
    </w:p>
    <w:p>
      <w:pPr>
        <w:spacing w:after="0" w:line="3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U.S. Treasury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w:t>
      </w:r>
    </w:p>
    <w:p>
      <w:pPr>
        <w:spacing w:after="0" w:line="339" w:lineRule="exact"/>
        <w:rPr>
          <w:sz w:val="20"/>
          <w:szCs w:val="20"/>
          <w:color w:val="auto"/>
        </w:rPr>
      </w:pPr>
    </w:p>
    <w:p>
      <w:pPr>
        <w:jc w:val="both"/>
        <w:ind w:right="480" w:firstLine="446"/>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91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BofA Securities, Inc. are acting as representatives, have severally agreed to purchase, and we and the selling stockholders have agreed to sell to the underwriters, severally and not jointly, the number of shares indicated below:</w:t>
      </w:r>
    </w:p>
    <w:p>
      <w:pPr>
        <w:spacing w:after="0" w:line="357"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6040" w:type="dxa"/>
            <w:vAlign w:val="bottom"/>
            <w:gridSpan w:val="2"/>
          </w:tcPr>
          <w:p>
            <w:pPr>
              <w:ind w:left="2660"/>
              <w:spacing w:after="0"/>
              <w:rPr>
                <w:sz w:val="20"/>
                <w:szCs w:val="20"/>
                <w:color w:val="auto"/>
              </w:rPr>
            </w:pPr>
            <w:r>
              <w:rPr>
                <w:rFonts w:ascii="Arial" w:cs="Arial" w:eastAsia="Arial" w:hAnsi="Arial"/>
                <w:sz w:val="16"/>
                <w:szCs w:val="16"/>
                <w:b w:val="1"/>
                <w:bCs w:val="1"/>
                <w:color w:val="auto"/>
              </w:rPr>
              <w:t>Name</w:t>
            </w:r>
          </w:p>
        </w:tc>
        <w:tc>
          <w:tcPr>
            <w:tcW w:w="1520" w:type="dxa"/>
            <w:vAlign w:val="bottom"/>
          </w:tcPr>
          <w:p>
            <w:pPr>
              <w:jc w:val="right"/>
              <w:ind w:right="54"/>
              <w:spacing w:after="0"/>
              <w:rPr>
                <w:sz w:val="20"/>
                <w:szCs w:val="20"/>
                <w:color w:val="auto"/>
              </w:rPr>
            </w:pPr>
            <w:r>
              <w:rPr>
                <w:rFonts w:ascii="Arial" w:cs="Arial" w:eastAsia="Arial" w:hAnsi="Arial"/>
                <w:sz w:val="16"/>
                <w:szCs w:val="16"/>
                <w:b w:val="1"/>
                <w:bCs w:val="1"/>
                <w:color w:val="auto"/>
                <w:w w:val="98"/>
              </w:rPr>
              <w:t>Number of Shares</w:t>
            </w:r>
          </w:p>
        </w:tc>
      </w:tr>
      <w:tr>
        <w:trPr>
          <w:trHeight w:val="33"/>
        </w:trPr>
        <w:tc>
          <w:tcPr>
            <w:tcW w:w="5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Morgan Stanley &amp; Co. LLC</w:t>
            </w: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BofA Securities, Inc.</w:t>
            </w:r>
          </w:p>
        </w:tc>
        <w:tc>
          <w:tcPr>
            <w:tcW w:w="1520" w:type="dxa"/>
            <w:vAlign w:val="bottom"/>
          </w:tcPr>
          <w:p>
            <w:pPr>
              <w:spacing w:after="0"/>
              <w:rPr>
                <w:sz w:val="21"/>
                <w:szCs w:val="2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47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4,309,947</w:t>
            </w:r>
          </w:p>
        </w:tc>
      </w:tr>
      <w:tr>
        <w:trPr>
          <w:trHeight w:val="20"/>
        </w:trPr>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200" w:lineRule="exact"/>
        <w:rPr>
          <w:sz w:val="20"/>
          <w:szCs w:val="20"/>
          <w:color w:val="auto"/>
        </w:rPr>
      </w:pPr>
    </w:p>
    <w:p>
      <w:pPr>
        <w:spacing w:after="0" w:line="20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a price that represents a concession not in excess of $ a share under the public offering price. After the initial public offering of the shares of common stock, the offering price and the other selling terms may from time to time be varied by the representatives.</w:t>
      </w:r>
    </w:p>
    <w:p>
      <w:pPr>
        <w:spacing w:after="0" w:line="3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645,000 additional shares of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200" w:lineRule="exact"/>
        <w:rPr>
          <w:sz w:val="20"/>
          <w:szCs w:val="20"/>
          <w:color w:val="auto"/>
        </w:rPr>
      </w:pPr>
    </w:p>
    <w:p>
      <w:pPr>
        <w:spacing w:after="0" w:line="2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645,000 shares of common stock from us.</w:t>
      </w:r>
    </w:p>
    <w:p>
      <w:pPr>
        <w:spacing w:after="0" w:line="200" w:lineRule="exact"/>
        <w:rPr>
          <w:sz w:val="20"/>
          <w:szCs w:val="20"/>
          <w:color w:val="auto"/>
        </w:rPr>
      </w:pPr>
    </w:p>
    <w:p>
      <w:pPr>
        <w:spacing w:after="0" w:line="373"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jc w:val="right"/>
              <w:ind w:right="1273"/>
              <w:spacing w:after="0"/>
              <w:rPr>
                <w:sz w:val="20"/>
                <w:szCs w:val="20"/>
                <w:color w:val="auto"/>
              </w:rPr>
            </w:pPr>
            <w:r>
              <w:rPr>
                <w:rFonts w:ascii="Arial" w:cs="Arial" w:eastAsia="Arial" w:hAnsi="Arial"/>
                <w:sz w:val="16"/>
                <w:szCs w:val="16"/>
                <w:b w:val="1"/>
                <w:bCs w:val="1"/>
                <w:color w:val="auto"/>
              </w:rPr>
              <w:t>Total</w:t>
            </w:r>
          </w:p>
        </w:tc>
      </w:tr>
      <w:tr>
        <w:trPr>
          <w:trHeight w:val="33"/>
        </w:trPr>
        <w:tc>
          <w:tcPr>
            <w:tcW w:w="58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5840" w:type="dxa"/>
            <w:vAlign w:val="bottom"/>
          </w:tcPr>
          <w:p>
            <w:pPr>
              <w:spacing w:after="0"/>
              <w:rPr>
                <w:sz w:val="20"/>
                <w:szCs w:val="20"/>
                <w:color w:val="auto"/>
              </w:rPr>
            </w:pPr>
          </w:p>
        </w:tc>
        <w:tc>
          <w:tcPr>
            <w:tcW w:w="168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 Share</w:t>
            </w:r>
          </w:p>
        </w:tc>
        <w:tc>
          <w:tcPr>
            <w:tcW w:w="1240" w:type="dxa"/>
            <w:vAlign w:val="bottom"/>
          </w:tcPr>
          <w:p>
            <w:pPr>
              <w:jc w:val="right"/>
              <w:ind w:right="51"/>
              <w:spacing w:after="0"/>
              <w:rPr>
                <w:sz w:val="20"/>
                <w:szCs w:val="20"/>
                <w:color w:val="auto"/>
              </w:rPr>
            </w:pPr>
            <w:r>
              <w:rPr>
                <w:rFonts w:ascii="Arial" w:cs="Arial" w:eastAsia="Arial" w:hAnsi="Arial"/>
                <w:sz w:val="16"/>
                <w:szCs w:val="16"/>
                <w:b w:val="1"/>
                <w:bCs w:val="1"/>
                <w:color w:val="auto"/>
              </w:rPr>
              <w:t>No Exercise</w:t>
            </w:r>
          </w:p>
        </w:tc>
        <w:tc>
          <w:tcPr>
            <w:tcW w:w="1840" w:type="dxa"/>
            <w:vAlign w:val="bottom"/>
          </w:tcPr>
          <w:p>
            <w:pPr>
              <w:jc w:val="right"/>
              <w:ind w:right="153"/>
              <w:spacing w:after="0"/>
              <w:rPr>
                <w:sz w:val="20"/>
                <w:szCs w:val="20"/>
                <w:color w:val="auto"/>
              </w:rPr>
            </w:pPr>
            <w:r>
              <w:rPr>
                <w:rFonts w:ascii="Arial" w:cs="Arial" w:eastAsia="Arial" w:hAnsi="Arial"/>
                <w:sz w:val="16"/>
                <w:szCs w:val="16"/>
                <w:b w:val="1"/>
                <w:bCs w:val="1"/>
                <w:color w:val="auto"/>
              </w:rPr>
              <w:t>Full Exercise</w:t>
            </w:r>
          </w:p>
        </w:tc>
      </w:tr>
      <w:tr>
        <w:trPr>
          <w:trHeight w:val="33"/>
        </w:trPr>
        <w:tc>
          <w:tcPr>
            <w:tcW w:w="58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380" w:type="dxa"/>
            <w:vAlign w:val="bottom"/>
            <w:tcBorders>
              <w:bottom w:val="single" w:sz="8" w:color="CCEEFF"/>
            </w:tcBorders>
            <w:shd w:val="clear" w:color="auto" w:fill="CCEEFF"/>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Underwriting discounts and commissions to be paid by us</w:t>
            </w:r>
          </w:p>
        </w:tc>
        <w:tc>
          <w:tcPr>
            <w:tcW w:w="1380" w:type="dxa"/>
            <w:vAlign w:val="bottom"/>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240" w:type="dxa"/>
            <w:vAlign w:val="bottom"/>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73"/>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discounts  and  commissions  to  be  paid  by  the  selling</w:t>
            </w: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380" w:type="dxa"/>
            <w:vAlign w:val="bottom"/>
            <w:tcBorders>
              <w:bottom w:val="single" w:sz="8" w:color="CCEEFF"/>
            </w:tcBorders>
            <w:shd w:val="clear" w:color="auto" w:fill="CCEEFF"/>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Proceeds, before expenses, to us</w:t>
            </w:r>
          </w:p>
        </w:tc>
        <w:tc>
          <w:tcPr>
            <w:tcW w:w="1380" w:type="dxa"/>
            <w:vAlign w:val="bottom"/>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240" w:type="dxa"/>
            <w:vAlign w:val="bottom"/>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73"/>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the selling stockholders</w:t>
            </w:r>
          </w:p>
        </w:tc>
        <w:tc>
          <w:tcPr>
            <w:tcW w:w="1380" w:type="dxa"/>
            <w:vAlign w:val="bottom"/>
            <w:shd w:val="clear" w:color="auto" w:fill="CCEEFF"/>
          </w:tcPr>
          <w:p>
            <w:pPr>
              <w:jc w:val="right"/>
              <w:ind w:right="1171"/>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173"/>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but including expenses we are incurring in connection with the sale of the shares by the selling stockholders, are approximately $600,000. We have agreed to reimburse the underwriters for expense relating to clearance of this offering with the Financial Industry Regulatory Authority up to $30,000.</w:t>
      </w:r>
    </w:p>
    <w:p>
      <w:pPr>
        <w:spacing w:after="0" w:line="3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Global Market under the symbol “SIBN.”</w:t>
      </w:r>
    </w:p>
    <w:p>
      <w:pPr>
        <w:sectPr>
          <w:pgSz w:w="11900" w:h="16838" w:orient="portrait"/>
          <w:cols w:equalWidth="0" w:num="1">
            <w:col w:w="11420"/>
          </w:cols>
          <w:pgMar w:left="240" w:top="81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S-18</w:t>
      </w:r>
    </w:p>
    <w:p>
      <w:pPr>
        <w:sectPr>
          <w:pgSz w:w="11900" w:h="16838" w:orient="portrait"/>
          <w:cols w:equalWidth="0" w:num="1">
            <w:col w:w="11420"/>
          </w:cols>
          <w:pgMar w:left="240" w:top="810" w:right="239" w:bottom="1440" w:gutter="0" w:footer="0" w:header="0"/>
          <w:type w:val="continuous"/>
        </w:sectPr>
      </w:pPr>
    </w:p>
    <w:bookmarkStart w:id="23" w:name="page24"/>
    <w:bookmarkEnd w:id="23"/>
    <w:p>
      <w:pPr>
        <w:jc w:val="both"/>
        <w:ind w:firstLine="405"/>
        <w:spacing w:after="0" w:line="264" w:lineRule="auto"/>
        <w:rPr>
          <w:sz w:val="20"/>
          <w:szCs w:val="20"/>
          <w:color w:val="auto"/>
        </w:rPr>
      </w:pPr>
      <w:r>
        <w:rPr>
          <w:rFonts w:ascii="Arial" w:cs="Arial" w:eastAsia="Arial" w:hAnsi="Arial"/>
          <w:sz w:val="18"/>
          <w:szCs w:val="18"/>
          <w:color w:val="auto"/>
        </w:rPr>
        <w:t>We and our directors, officers and the selling stockholders have agreed that, without the prior written consent of Morgan Stanley &amp; Co. LLC and BofA Securities, Inc. on behalf of the underwriters, we will not and they will not publicly disclose an intention to, during the period ending 90 days (60 days in the case of the selling stockholders) after the date of this prospectus (the “restricted period”):</w:t>
      </w:r>
    </w:p>
    <w:p>
      <w:pPr>
        <w:spacing w:after="0" w:line="397" w:lineRule="exact"/>
        <w:rPr>
          <w:sz w:val="20"/>
          <w:szCs w:val="20"/>
          <w:color w:val="auto"/>
        </w:rPr>
      </w:pPr>
    </w:p>
    <w:p>
      <w:pPr>
        <w:jc w:val="both"/>
        <w:ind w:left="74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181" w:lineRule="exact"/>
        <w:rPr>
          <w:rFonts w:ascii="Arial" w:cs="Arial" w:eastAsia="Arial" w:hAnsi="Arial"/>
          <w:sz w:val="18"/>
          <w:szCs w:val="18"/>
          <w:color w:val="auto"/>
        </w:rPr>
      </w:pPr>
    </w:p>
    <w:p>
      <w:pPr>
        <w:jc w:val="both"/>
        <w:ind w:left="740" w:hanging="327"/>
        <w:spacing w:after="0" w:line="291"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 In addition, we have agreed that we will not file any registration statement with the Securities and Exchange Commission relating to the offering of any shares of common stock or any securities convertible into or exercisable or exchangeable for common stock, subject to certain exceptions, and each such other person agrees that, without the prior written consent of Morgan Stanley &amp; Co. LLC and BofA Securities, Inc.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200" w:lineRule="exact"/>
        <w:rPr>
          <w:sz w:val="20"/>
          <w:szCs w:val="20"/>
          <w:color w:val="auto"/>
        </w:rPr>
      </w:pPr>
    </w:p>
    <w:p>
      <w:pPr>
        <w:spacing w:after="0" w:line="241" w:lineRule="exact"/>
        <w:rPr>
          <w:sz w:val="20"/>
          <w:szCs w:val="20"/>
          <w:color w:val="auto"/>
        </w:rPr>
      </w:pPr>
    </w:p>
    <w:p>
      <w:pPr>
        <w:jc w:val="both"/>
        <w:ind w:left="740" w:right="20" w:hanging="327"/>
        <w:spacing w:after="0" w:line="26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transactions by a security holder relating to shares of common stock or other securities acquired in open market transactions after the closing of this offering; provided that no filing under Section 16(a) of the Exchange Act is required or voluntarily made during the restricted period in connection with subsequent sales of common stock or other securities acquired in such open market transactions;</w:t>
      </w:r>
    </w:p>
    <w:p>
      <w:pPr>
        <w:spacing w:after="0" w:line="181" w:lineRule="exact"/>
        <w:rPr>
          <w:rFonts w:ascii="Arial" w:cs="Arial" w:eastAsia="Arial" w:hAnsi="Arial"/>
          <w:sz w:val="18"/>
          <w:szCs w:val="18"/>
          <w:color w:val="auto"/>
        </w:rPr>
      </w:pPr>
    </w:p>
    <w:p>
      <w:pPr>
        <w:jc w:val="both"/>
        <w:ind w:left="740" w:hanging="327"/>
        <w:spacing w:after="0" w:line="272"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(i) as a bona fide gift, (ii) 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177" w:lineRule="exact"/>
        <w:rPr>
          <w:rFonts w:ascii="Arial" w:cs="Arial" w:eastAsia="Arial" w:hAnsi="Arial"/>
          <w:sz w:val="17"/>
          <w:szCs w:val="17"/>
          <w:color w:val="auto"/>
        </w:rPr>
      </w:pPr>
    </w:p>
    <w:p>
      <w:pPr>
        <w:jc w:val="both"/>
        <w:ind w:left="740" w:hanging="327"/>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86" w:lineRule="exact"/>
        <w:rPr>
          <w:rFonts w:ascii="Arial" w:cs="Arial" w:eastAsia="Arial" w:hAnsi="Arial"/>
          <w:sz w:val="18"/>
          <w:szCs w:val="18"/>
          <w:color w:val="auto"/>
        </w:rPr>
      </w:pPr>
    </w:p>
    <w:p>
      <w:pPr>
        <w:jc w:val="both"/>
        <w:ind w:left="740" w:hanging="327"/>
        <w:spacing w:after="0" w:line="25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188" w:lineRule="exact"/>
        <w:rPr>
          <w:rFonts w:ascii="Arial" w:cs="Arial" w:eastAsia="Arial" w:hAnsi="Arial"/>
          <w:sz w:val="18"/>
          <w:szCs w:val="18"/>
          <w:color w:val="auto"/>
        </w:rPr>
      </w:pPr>
    </w:p>
    <w:p>
      <w:pPr>
        <w:jc w:val="both"/>
        <w:ind w:left="740" w:hanging="327"/>
        <w:spacing w:after="0" w:line="291"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w:t>
      </w:r>
    </w:p>
    <w:p>
      <w:pPr>
        <w:jc w:val="both"/>
        <w:ind w:left="740" w:hanging="3"/>
        <w:spacing w:after="0" w:line="255" w:lineRule="auto"/>
        <w:tabs>
          <w:tab w:leader="none" w:pos="103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976" w:right="239" w:bottom="1440" w:gutter="0" w:footer="0" w:header="0"/>
        </w:sectPr>
      </w:pPr>
    </w:p>
    <w:bookmarkStart w:id="24" w:name="page25"/>
    <w:bookmarkEnd w:id="24"/>
    <w:p>
      <w:pPr>
        <w:jc w:val="both"/>
        <w:ind w:left="740" w:hanging="327"/>
        <w:spacing w:after="0" w:line="268"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be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187" w:lineRule="exact"/>
        <w:rPr>
          <w:rFonts w:ascii="Arial" w:cs="Arial" w:eastAsia="Arial" w:hAnsi="Arial"/>
          <w:sz w:val="17"/>
          <w:szCs w:val="17"/>
          <w:color w:val="auto"/>
        </w:rPr>
      </w:pPr>
    </w:p>
    <w:p>
      <w:pPr>
        <w:jc w:val="both"/>
        <w:ind w:left="740" w:hanging="327"/>
        <w:spacing w:after="0" w:line="255"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be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193" w:lineRule="exact"/>
        <w:rPr>
          <w:rFonts w:ascii="Arial" w:cs="Arial" w:eastAsia="Arial" w:hAnsi="Arial"/>
          <w:sz w:val="18"/>
          <w:szCs w:val="18"/>
          <w:color w:val="auto"/>
        </w:rPr>
      </w:pPr>
    </w:p>
    <w:p>
      <w:pPr>
        <w:jc w:val="both"/>
        <w:ind w:left="740" w:hanging="327"/>
        <w:spacing w:after="0" w:line="276"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spacing w:after="0" w:line="172" w:lineRule="exact"/>
        <w:rPr>
          <w:rFonts w:ascii="Arial" w:cs="Arial" w:eastAsia="Arial" w:hAnsi="Arial"/>
          <w:sz w:val="17"/>
          <w:szCs w:val="17"/>
          <w:color w:val="auto"/>
        </w:rPr>
      </w:pPr>
    </w:p>
    <w:p>
      <w:pPr>
        <w:jc w:val="both"/>
        <w:ind w:left="740" w:hanging="327"/>
        <w:spacing w:after="0" w:line="259"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or transfer of shares of common stock under a plan established pursuant to Rule 10b5-1 under the Exchange Act (a “10b5-1 Plan”) that is existing prior to this offering; provided, that, to the extent a public report, filing or announcement under the Exchange Act, if any, is required by, or voluntarily made by or on behalf of, such person or us regarding such transfer, such report, filing or announcement shall include a statement that such transfer is in accordance with an established 10b5-1 Plan;</w:t>
      </w:r>
    </w:p>
    <w:p>
      <w:pPr>
        <w:spacing w:after="0" w:line="186" w:lineRule="exact"/>
        <w:rPr>
          <w:rFonts w:ascii="Arial" w:cs="Arial" w:eastAsia="Arial" w:hAnsi="Arial"/>
          <w:sz w:val="18"/>
          <w:szCs w:val="18"/>
          <w:color w:val="auto"/>
        </w:rPr>
      </w:pPr>
    </w:p>
    <w:p>
      <w:pPr>
        <w:jc w:val="both"/>
        <w:ind w:left="740" w:hanging="327"/>
        <w:spacing w:after="0" w:line="255"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sale of shares of common stock solely in connection with the payment of taxes due with respect to the vesting of restricted stock or restricted stock units granted under a stock incentive plan or pursuant to a contractual employment arrangement described or incorporated by reference in this prospectus, insofar as such restricted stock or restricted stock units are outstanding as of the date of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shall be voluntarily made during the restricted period and any filing under Section 16(a) of the Exchange Act that is required to be made shall include a note indicating that such sale was solely in connection with the payment of taxes due with respect to the vesting of such restricted stock or restricted stock units;</w:t>
      </w:r>
    </w:p>
    <w:p>
      <w:pPr>
        <w:spacing w:after="0" w:line="193" w:lineRule="exact"/>
        <w:rPr>
          <w:rFonts w:ascii="Arial" w:cs="Arial" w:eastAsia="Arial" w:hAnsi="Arial"/>
          <w:sz w:val="18"/>
          <w:szCs w:val="18"/>
          <w:color w:val="auto"/>
        </w:rPr>
      </w:pPr>
    </w:p>
    <w:p>
      <w:pPr>
        <w:jc w:val="both"/>
        <w:ind w:left="740" w:hanging="327"/>
        <w:spacing w:after="0" w:line="259"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we may the sell or issue shares of our common stock not to exceed 5% of our outstanding common stock in connection with our acquisition of one or more businesses, products or technologies (whether by means of merger, stock purchase, asset purchase or otherwise) or in connection with joint ventures, commercial relationships or other strategic transactions, </w:t>
      </w:r>
      <w:r>
        <w:rPr>
          <w:rFonts w:ascii="Arial" w:cs="Arial" w:eastAsia="Arial" w:hAnsi="Arial"/>
          <w:sz w:val="18"/>
          <w:szCs w:val="18"/>
          <w:i w:val="1"/>
          <w:iCs w:val="1"/>
          <w:color w:val="auto"/>
        </w:rPr>
        <w:t>provided</w:t>
      </w:r>
      <w:r>
        <w:rPr>
          <w:rFonts w:ascii="Arial" w:cs="Arial" w:eastAsia="Arial" w:hAnsi="Arial"/>
          <w:sz w:val="18"/>
          <w:szCs w:val="18"/>
          <w:color w:val="auto"/>
        </w:rPr>
        <w:t>, that the recipient agrees to enter into a lockup agreement similar to the lockup agreements entered into by our directors and officers; or</w:t>
      </w:r>
    </w:p>
    <w:p>
      <w:pPr>
        <w:spacing w:after="0" w:line="186"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Morgan Stanley &amp; Co. LLC and BofA Securities, Inc., in their sole discretion, may release the common stock and other securities subject to the lock-up agreements described above in whole or in part at any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976" w:right="239" w:bottom="1440" w:gutter="0" w:footer="0" w:header="0"/>
        </w:sectPr>
      </w:pPr>
    </w:p>
    <w:bookmarkStart w:id="25" w:name="page26"/>
    <w:bookmarkEnd w:id="25"/>
    <w:p>
      <w:pPr>
        <w:jc w:val="both"/>
        <w:ind w:firstLine="405"/>
        <w:spacing w:after="0" w:line="269"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option to purchase additional shares from us.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3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the selling stockholders and the underwriters have agreed to indemnify each other against certain liabilities, including liabilities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0" w:lineRule="exact"/>
        <w:rPr>
          <w:sz w:val="20"/>
          <w:szCs w:val="20"/>
          <w:color w:val="auto"/>
        </w:rPr>
      </w:pPr>
    </w:p>
    <w:p>
      <w:pPr>
        <w:spacing w:after="0" w:line="2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European Economic Area</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Regulation, if they have been implemented in that Member State:</w:t>
      </w:r>
    </w:p>
    <w:p>
      <w:pPr>
        <w:spacing w:after="0" w:line="397"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Regulation), as permitted under the Prospectus Regulation, subject to obtaining the prior consent of the representatives for any such offer; or</w:t>
      </w:r>
    </w:p>
    <w:p>
      <w:pPr>
        <w:spacing w:after="0" w:line="3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of our common stock shall result in a requirement for the publication by us or any underwriter of a prospectus pursuant to Article 3 of the Prospectus Regulation, or supplement a prospectus pursuant to Article 23 of the Prospectus Regulation.</w:t>
      </w:r>
    </w:p>
    <w:p>
      <w:pPr>
        <w:spacing w:after="0" w:line="3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Regulation in that Member State. For the purposes of this provision, the expression “Prospectus Regulation” means Regulation (EU) 2017/1129.</w:t>
      </w:r>
    </w:p>
    <w:p>
      <w:pPr>
        <w:sectPr>
          <w:pgSz w:w="11900" w:h="16838" w:orient="portrait"/>
          <w:cols w:equalWidth="0" w:num="1">
            <w:col w:w="11420"/>
          </w:cols>
          <w:pgMar w:left="240" w:top="976" w:right="239" w:bottom="406"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S-21</w:t>
      </w:r>
    </w:p>
    <w:p>
      <w:pPr>
        <w:sectPr>
          <w:pgSz w:w="11900" w:h="16838" w:orient="portrait"/>
          <w:cols w:equalWidth="0" w:num="1">
            <w:col w:w="11420"/>
          </w:cols>
          <w:pgMar w:left="240" w:top="976" w:right="239" w:bottom="406" w:gutter="0" w:footer="0" w:header="0"/>
          <w:type w:val="continuous"/>
        </w:sectPr>
      </w:pPr>
    </w:p>
    <w:bookmarkStart w:id="26" w:name="page27"/>
    <w:bookmarkEnd w:id="26"/>
    <w:p>
      <w:pPr>
        <w:ind w:left="660"/>
        <w:spacing w:after="0"/>
        <w:rPr>
          <w:sz w:val="20"/>
          <w:szCs w:val="20"/>
          <w:color w:val="auto"/>
        </w:rPr>
      </w:pPr>
      <w:r>
        <w:rPr>
          <w:rFonts w:ascii="Arial" w:cs="Arial" w:eastAsia="Arial" w:hAnsi="Arial"/>
          <w:sz w:val="18"/>
          <w:szCs w:val="18"/>
          <w:i w:val="1"/>
          <w:iCs w:val="1"/>
          <w:color w:val="auto"/>
        </w:rPr>
        <w:t>United Kingdom</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200" w:lineRule="exact"/>
        <w:rPr>
          <w:sz w:val="20"/>
          <w:szCs w:val="20"/>
          <w:color w:val="auto"/>
        </w:rPr>
      </w:pPr>
    </w:p>
    <w:p>
      <w:pPr>
        <w:spacing w:after="0" w:line="241" w:lineRule="exact"/>
        <w:rPr>
          <w:sz w:val="20"/>
          <w:szCs w:val="20"/>
          <w:color w:val="auto"/>
        </w:rPr>
      </w:pPr>
    </w:p>
    <w:p>
      <w:pPr>
        <w:jc w:val="both"/>
        <w:ind w:left="1300" w:hanging="644"/>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requirements of applicable securities laws.</w:t>
      </w:r>
    </w:p>
    <w:p>
      <w:pPr>
        <w:spacing w:after="0" w:line="3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3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ectPr>
          <w:pgSz w:w="11900" w:h="16838" w:orient="portrait"/>
          <w:cols w:equalWidth="0" w:num="1">
            <w:col w:w="11420"/>
          </w:cols>
          <w:pgMar w:left="240" w:top="976" w:right="239" w:bottom="142"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S-22</w:t>
      </w:r>
    </w:p>
    <w:p>
      <w:pPr>
        <w:sectPr>
          <w:pgSz w:w="11900" w:h="16838" w:orient="portrait"/>
          <w:cols w:equalWidth="0" w:num="1">
            <w:col w:w="9019"/>
          </w:cols>
          <w:pgMar w:left="1440" w:top="139" w:right="1440" w:bottom="1440" w:gutter="0" w:footer="0" w:header="0"/>
        </w:sectPr>
      </w:pPr>
    </w:p>
    <w:bookmarkStart w:id="28" w:name="page29"/>
    <w:bookmarkEnd w:id="28"/>
    <w:p>
      <w:pPr>
        <w:jc w:val="both"/>
        <w:ind w:firstLine="405"/>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3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387" w:lineRule="exact"/>
        <w:rPr>
          <w:sz w:val="20"/>
          <w:szCs w:val="20"/>
          <w:color w:val="auto"/>
        </w:rPr>
      </w:pPr>
    </w:p>
    <w:p>
      <w:pPr>
        <w:ind w:left="900" w:hanging="487"/>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78" w:lineRule="exact"/>
        <w:rPr>
          <w:rFonts w:ascii="Arial" w:cs="Arial" w:eastAsia="Arial" w:hAnsi="Arial"/>
          <w:sz w:val="18"/>
          <w:szCs w:val="18"/>
          <w:color w:val="auto"/>
        </w:rPr>
      </w:pPr>
    </w:p>
    <w:p>
      <w:pPr>
        <w:jc w:val="both"/>
        <w:ind w:left="900" w:hanging="487"/>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ectPr>
          <w:pgSz w:w="11900" w:h="16838" w:orient="portrait"/>
          <w:cols w:equalWidth="0" w:num="1">
            <w:col w:w="11420"/>
          </w:cols>
          <w:pgMar w:left="240" w:top="976"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S-23</w:t>
      </w:r>
    </w:p>
    <w:p>
      <w:pPr>
        <w:sectPr>
          <w:pgSz w:w="11900" w:h="16838" w:orient="portrait"/>
          <w:cols w:equalWidth="0" w:num="1">
            <w:col w:w="11420"/>
          </w:cols>
          <w:pgMar w:left="240" w:top="976" w:right="239" w:bottom="1440" w:gutter="0" w:footer="0" w:header="0"/>
          <w:type w:val="continuous"/>
        </w:sectPr>
      </w:pPr>
    </w:p>
    <w:bookmarkStart w:id="29" w:name="page30"/>
    <w:bookmarkEnd w:id="29"/>
    <w:p>
      <w:pPr>
        <w:ind w:left="1920" w:hanging="1093"/>
        <w:spacing w:after="0" w:line="277" w:lineRule="auto"/>
        <w:rPr>
          <w:sz w:val="20"/>
          <w:szCs w:val="20"/>
          <w:color w:val="auto"/>
        </w:rPr>
      </w:pPr>
      <w:r>
        <w:rPr>
          <w:rFonts w:ascii="Arial" w:cs="Arial" w:eastAsia="Arial" w:hAnsi="Arial"/>
          <w:sz w:val="18"/>
          <w:szCs w:val="18"/>
          <w:color w:val="auto"/>
        </w:rPr>
        <w:t>(a)to an institutional investor or to a relevant person defined in Section 275(2) of the SFA, or to any person arising from an offer referred to in Section 275(1A) or Section 276(4)(i)(B) of the SFA;</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(b)where no consideration is or will be given for the transfer;</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(c)where the transfer is by operation of law;</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(d)as specified in Section 276(7) of the SFA; or</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(e)as specified in Regulation 32 of the Securities and Futures (Offers of Investments) (Shares and Debentures) Regulations 2005 of Singapore.</w:t>
      </w:r>
    </w:p>
    <w:p>
      <w:pPr>
        <w:spacing w:after="0" w:line="20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Cooley LLP will pass upon the validity of the securities offered by this prospectus supplement. Latham &amp; Watkins LLP is representing the underwriters in this offering.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statements incorporated in this prospectus supplement and accompanying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This prospectus supplement is part of the registration statement on Form S-3 we filed with the SEC under the Securities Act and does not contain all the information set forth in the registration statement. Whenever a reference is made in this prospectus supplement or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000000"/>
        </w:rPr>
        <w:t>. The information on the SEC’s web site is not part of this prospectus supplement or the accompanying prospectus, and any references to this</w:t>
      </w:r>
      <w:r>
        <w:rPr>
          <w:rFonts w:ascii="Arial" w:cs="Arial" w:eastAsia="Arial" w:hAnsi="Arial"/>
          <w:sz w:val="17"/>
          <w:szCs w:val="17"/>
          <w:color w:val="0000FF"/>
        </w:rPr>
        <w:t xml:space="preserve"> </w:t>
      </w:r>
      <w:r>
        <w:rPr>
          <w:rFonts w:ascii="Arial" w:cs="Arial" w:eastAsia="Arial" w:hAnsi="Arial"/>
          <w:sz w:val="17"/>
          <w:szCs w:val="17"/>
          <w:color w:val="000000"/>
        </w:rPr>
        <w:t>web site or any other web site are inactive textual references only.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92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00" w:lineRule="exact"/>
        <w:rPr>
          <w:sz w:val="20"/>
          <w:szCs w:val="20"/>
          <w:color w:val="auto"/>
        </w:rPr>
      </w:pPr>
    </w:p>
    <w:p>
      <w:pPr>
        <w:spacing w:after="0" w:line="245" w:lineRule="exact"/>
        <w:rPr>
          <w:sz w:val="20"/>
          <w:szCs w:val="20"/>
          <w:color w:val="auto"/>
        </w:rPr>
      </w:pPr>
    </w:p>
    <w:p>
      <w:pPr>
        <w:jc w:val="both"/>
        <w:ind w:firstLine="297"/>
        <w:spacing w:after="0" w:line="272"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accompanying prospectus. Information in this prospectus supplement supersedes information in the accompanying prospectus supplement or incorporated by reference that we filed with the SEC prior to the date of this prospectus supplement, while information that we file later with the SEC will automatically update and supersede the information in this prospectus supplement and accompanying prospectus. We incorporate by reference into this prospectus supplement and accompanying prospectus and the registration statement of which this prospectus is a part the information or documents listed below that we have filed with the SEC (Commission File No. 001-38701):</w:t>
      </w:r>
    </w:p>
    <w:p>
      <w:pPr>
        <w:spacing w:after="0" w:line="394" w:lineRule="exact"/>
        <w:rPr>
          <w:sz w:val="20"/>
          <w:szCs w:val="20"/>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filed with the SEC on March 14,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19">
        <w:r>
          <w:rPr>
            <w:rFonts w:ascii="Arial" w:cs="Arial" w:eastAsia="Arial" w:hAnsi="Arial"/>
            <w:sz w:val="18"/>
            <w:szCs w:val="18"/>
            <w:u w:val="single" w:color="auto"/>
            <w:color w:val="0000EE"/>
          </w:rPr>
          <w:t>Quarterly Report on Form 10-Q, for the quarter ended March 31, 2019</w:t>
        </w:r>
      </w:hyperlink>
      <w:r>
        <w:rPr>
          <w:rFonts w:ascii="Arial" w:cs="Arial" w:eastAsia="Arial" w:hAnsi="Arial"/>
          <w:sz w:val="18"/>
          <w:szCs w:val="18"/>
          <w:color w:val="auto"/>
        </w:rPr>
        <w:t>, filed with the SEC on May 9,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20">
        <w:r>
          <w:rPr>
            <w:rFonts w:ascii="Arial" w:cs="Arial" w:eastAsia="Arial" w:hAnsi="Arial"/>
            <w:sz w:val="18"/>
            <w:szCs w:val="18"/>
            <w:u w:val="single" w:color="auto"/>
            <w:color w:val="0000EE"/>
          </w:rPr>
          <w:t>Quarterly Report on Form 10-Q, for the quarter ended June 30, 2019</w:t>
        </w:r>
      </w:hyperlink>
      <w:r>
        <w:rPr>
          <w:rFonts w:ascii="Arial" w:cs="Arial" w:eastAsia="Arial" w:hAnsi="Arial"/>
          <w:sz w:val="18"/>
          <w:szCs w:val="18"/>
          <w:color w:val="auto"/>
        </w:rPr>
        <w:t>, filed with the SEC on August 7,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21">
        <w:r>
          <w:rPr>
            <w:rFonts w:ascii="Arial" w:cs="Arial" w:eastAsia="Arial" w:hAnsi="Arial"/>
            <w:sz w:val="18"/>
            <w:szCs w:val="18"/>
            <w:u w:val="single" w:color="auto"/>
            <w:color w:val="0000EE"/>
          </w:rPr>
          <w:t>Quarterly Report on Form 10-Q, for the quarter ended September 30, 2019</w:t>
        </w:r>
      </w:hyperlink>
      <w:r>
        <w:rPr>
          <w:rFonts w:ascii="Arial" w:cs="Arial" w:eastAsia="Arial" w:hAnsi="Arial"/>
          <w:sz w:val="18"/>
          <w:szCs w:val="18"/>
          <w:color w:val="auto"/>
        </w:rPr>
        <w:t>, filed with the SEC on November 12,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2">
        <w:r>
          <w:rPr>
            <w:rFonts w:ascii="Arial" w:cs="Arial" w:eastAsia="Arial" w:hAnsi="Arial"/>
            <w:sz w:val="18"/>
            <w:szCs w:val="18"/>
            <w:u w:val="single" w:color="auto"/>
            <w:color w:val="0000EE"/>
          </w:rPr>
          <w:t>January 22, 2019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April 11, 2019</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August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related exhibit), </w:t>
      </w:r>
      <w:hyperlink r:id="rId26">
        <w:r>
          <w:rPr>
            <w:rFonts w:ascii="Arial" w:cs="Arial" w:eastAsia="Arial" w:hAnsi="Arial"/>
            <w:sz w:val="18"/>
            <w:szCs w:val="18"/>
            <w:u w:val="single" w:color="auto"/>
            <w:color w:val="0000EE"/>
          </w:rPr>
          <w:t>August 14, 2019</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December 4,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EE"/>
          </w:rPr>
          <w:t>January 3, 2020</w:t>
        </w:r>
      </w:hyperlink>
      <w:r>
        <w:rPr>
          <w:rFonts w:ascii="Arial" w:cs="Arial" w:eastAsia="Arial" w:hAnsi="Arial"/>
          <w:sz w:val="18"/>
          <w:szCs w:val="18"/>
          <w:color w:val="auto"/>
        </w:rPr>
        <w:t>;</w:t>
      </w:r>
    </w:p>
    <w:p>
      <w:pPr>
        <w:spacing w:after="0" w:line="3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29">
        <w:r>
          <w:rPr>
            <w:rFonts w:ascii="Arial" w:cs="Arial" w:eastAsia="Arial" w:hAnsi="Arial"/>
            <w:sz w:val="18"/>
            <w:szCs w:val="18"/>
            <w:u w:val="single" w:color="auto"/>
            <w:color w:val="0000EE"/>
          </w:rPr>
          <w:t>Definitive Proxy Statement on Schedule 14A, filed on April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2018, which information shall update and supersede information included in Part III of our Annual Report on Form 10-K for the year ended December 31, 2018); and</w:t>
      </w:r>
    </w:p>
    <w:p>
      <w:pPr>
        <w:spacing w:after="0" w:line="3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30">
        <w:r>
          <w:rPr>
            <w:rFonts w:ascii="Arial" w:cs="Arial" w:eastAsia="Arial" w:hAnsi="Arial"/>
            <w:sz w:val="18"/>
            <w:szCs w:val="18"/>
            <w:u w:val="single" w:color="auto"/>
            <w:color w:val="0000EE"/>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70" w:lineRule="exact"/>
        <w:rPr>
          <w:rFonts w:ascii="Arial" w:cs="Arial" w:eastAsia="Arial" w:hAnsi="Arial"/>
          <w:sz w:val="18"/>
          <w:szCs w:val="18"/>
          <w:color w:val="auto"/>
        </w:rPr>
      </w:pPr>
    </w:p>
    <w:p>
      <w:pPr>
        <w:jc w:val="both"/>
        <w:ind w:firstLine="297"/>
        <w:spacing w:after="0" w:line="287"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supplement and accompanying prospectus is delivered, upon written or oral request, a copy of any or all of the documents incorporated by reference into this prospectus supplement and accompanying prospectus but not delivered with the prospectus supplement and accompanying prospectus, including exhibits that are specifically incorporated by reference into such documents. You should direct any requests for documents to:</w:t>
      </w:r>
    </w:p>
    <w:p>
      <w:pPr>
        <w:spacing w:after="0" w:line="17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spacing w:after="0" w:line="207" w:lineRule="exact"/>
        <w:rPr>
          <w:sz w:val="20"/>
          <w:szCs w:val="20"/>
          <w:color w:val="auto"/>
        </w:rPr>
      </w:pPr>
      <w:r>
        <w:rPr>
          <w:rFonts w:ascii="Arial" w:cs="Arial" w:eastAsia="Arial" w:hAnsi="Arial"/>
          <w:sz w:val="18"/>
          <w:szCs w:val="18"/>
          <w:color w:val="auto"/>
        </w:rPr>
        <w:t>(408) 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ectPr>
          <w:pgSz w:w="11900" w:h="16838" w:orient="portrait"/>
          <w:cols w:equalWidth="0" w:num="1">
            <w:col w:w="11420"/>
          </w:cols>
          <w:pgMar w:left="240" w:top="972" w:right="23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S-25</w:t>
      </w:r>
    </w:p>
    <w:p>
      <w:pPr>
        <w:sectPr>
          <w:pgSz w:w="11900" w:h="16838" w:orient="portrait"/>
          <w:cols w:equalWidth="0" w:num="1">
            <w:col w:w="11420"/>
          </w:cols>
          <w:pgMar w:left="240" w:top="972" w:right="2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365760</wp:posOffset>
            </wp:positionV>
            <wp:extent cx="2573020" cy="995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257302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$200,000,000</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jc w:val="center"/>
        <w:ind w:right="-19"/>
        <w:spacing w:after="0" w:line="239" w:lineRule="auto"/>
        <w:rPr>
          <w:sz w:val="20"/>
          <w:szCs w:val="20"/>
          <w:color w:val="auto"/>
        </w:rPr>
      </w:pPr>
      <w:r>
        <w:rPr>
          <w:rFonts w:ascii="Arial" w:cs="Arial" w:eastAsia="Arial" w:hAnsi="Arial"/>
          <w:sz w:val="22"/>
          <w:szCs w:val="22"/>
          <w:b w:val="1"/>
          <w:bCs w:val="1"/>
          <w:color w:val="auto"/>
        </w:rPr>
        <w:t>Warrants</w:t>
      </w:r>
    </w:p>
    <w:p>
      <w:pPr>
        <w:ind w:left="4760"/>
        <w:spacing w:after="0"/>
        <w:rPr>
          <w:sz w:val="20"/>
          <w:szCs w:val="20"/>
          <w:color w:val="auto"/>
        </w:rPr>
      </w:pPr>
      <w:r>
        <w:rPr>
          <w:rFonts w:ascii="Arial" w:cs="Arial" w:eastAsia="Arial" w:hAnsi="Arial"/>
          <w:sz w:val="18"/>
          <w:szCs w:val="18"/>
          <w:color w:val="auto"/>
        </w:rPr>
        <w:t>_____________________</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2,000,000 Shares of Common Stock</w:t>
      </w:r>
    </w:p>
    <w:p>
      <w:pPr>
        <w:spacing w:after="0" w:line="21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306" w:lineRule="exact"/>
        <w:rPr>
          <w:sz w:val="20"/>
          <w:szCs w:val="20"/>
          <w:color w:val="auto"/>
        </w:rPr>
      </w:pPr>
    </w:p>
    <w:p>
      <w:pPr>
        <w:ind w:right="40" w:firstLine="297"/>
        <w:spacing w:after="0" w:line="264" w:lineRule="auto"/>
        <w:rPr>
          <w:sz w:val="20"/>
          <w:szCs w:val="20"/>
          <w:color w:val="auto"/>
        </w:rPr>
      </w:pPr>
      <w:r>
        <w:rPr>
          <w:rFonts w:ascii="Arial" w:cs="Arial" w:eastAsia="Arial" w:hAnsi="Arial"/>
          <w:sz w:val="18"/>
          <w:szCs w:val="18"/>
          <w:color w:val="auto"/>
        </w:rPr>
        <w:t>From time to time, we may offer and sell up to an aggregate amount of $200,000,000 of any combination of the securities described in this prospectus, either individually or in combination. We may also offer common stock or preferred stock upon conversion of debt securities, common stock upon conversion of preferred stock, or common stock, preferred stock or debt securities upon the exercise of warrants.</w:t>
      </w:r>
    </w:p>
    <w:p>
      <w:pPr>
        <w:spacing w:after="0" w:line="154" w:lineRule="exact"/>
        <w:rPr>
          <w:sz w:val="20"/>
          <w:szCs w:val="20"/>
          <w:color w:val="auto"/>
        </w:rPr>
      </w:pPr>
    </w:p>
    <w:p>
      <w:pPr>
        <w:ind w:right="240" w:firstLine="297"/>
        <w:spacing w:after="0" w:line="259" w:lineRule="auto"/>
        <w:rPr>
          <w:sz w:val="20"/>
          <w:szCs w:val="20"/>
          <w:color w:val="auto"/>
        </w:rPr>
      </w:pPr>
      <w:r>
        <w:rPr>
          <w:rFonts w:ascii="Arial" w:cs="Arial" w:eastAsia="Arial" w:hAnsi="Arial"/>
          <w:sz w:val="18"/>
          <w:szCs w:val="18"/>
          <w:color w:val="auto"/>
        </w:rPr>
        <w:t>In addition, selling stockholders to be named in a prospectus supplement may also offer and sell, from time to time, up to 2,000,000 shares of our common stock.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 We will not receive any proceeds from the sale of our common stock by selling stockholders.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4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common stock is listed on the Nasdaq Global Market under the symbol “SIBN.” On December 24, 2019, the last reported sale price of our common stock was $21.13 per share. The applicable prospectus supplement will contain information, where applicable, as to other listings, if any, on the Nasdaq Global Market or other securities exchange of the securities covered by the applicable prospectus supplement.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Before making an investment decision, you should review carefully the risks described under the heading “</w:t>
      </w:r>
      <w:r>
        <w:rPr>
          <w:rFonts w:ascii="Arial" w:cs="Arial" w:eastAsia="Arial" w:hAnsi="Arial"/>
          <w:sz w:val="18"/>
          <w:szCs w:val="18"/>
          <w:b w:val="1"/>
          <w:bCs w:val="1"/>
          <w:i w:val="1"/>
          <w:iCs w:val="1"/>
          <w:u w:val="single" w:color="auto"/>
          <w:color w:val="0000FF"/>
        </w:rPr>
        <w:t>Risk Factors</w:t>
      </w:r>
      <w:r>
        <w:rPr>
          <w:rFonts w:ascii="Arial" w:cs="Arial" w:eastAsia="Arial" w:hAnsi="Arial"/>
          <w:sz w:val="18"/>
          <w:szCs w:val="18"/>
          <w:b w:val="1"/>
          <w:bCs w:val="1"/>
          <w:i w:val="1"/>
          <w:iCs w:val="1"/>
          <w:color w:val="auto"/>
        </w:rPr>
        <w:t>” on page 6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ectPr>
          <w:pgSz w:w="11900" w:h="16838" w:orient="portrait"/>
          <w:cols w:equalWidth="0" w:num="1">
            <w:col w:w="11420"/>
          </w:cols>
          <w:pgMar w:left="240" w:top="1350" w:right="239" w:bottom="1440" w:gutter="0" w:footer="0" w:header="0"/>
        </w:sectPr>
      </w:pPr>
    </w:p>
    <w:bookmarkStart w:id="32" w:name="page33"/>
    <w:bookmarkEnd w:id="32"/>
    <w:p>
      <w:pPr>
        <w:jc w:val="both"/>
        <w:ind w:firstLine="324"/>
        <w:spacing w:after="0" w:line="276" w:lineRule="auto"/>
        <w:rPr>
          <w:sz w:val="20"/>
          <w:szCs w:val="20"/>
          <w:color w:val="auto"/>
        </w:rPr>
      </w:pPr>
      <w:r>
        <w:rPr>
          <w:rFonts w:ascii="Arial" w:cs="Arial" w:eastAsia="Arial" w:hAnsi="Arial"/>
          <w:sz w:val="17"/>
          <w:szCs w:val="17"/>
          <w:color w:val="auto"/>
        </w:rPr>
        <w:t>The securities may be sold directly by us or the selling stockholders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will be received from such sale will also be set forth in a prospectus supplement.</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we have elected to take advantage of certain reduced public company reporting requirements for this prospectus and future filings.</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354330</wp:posOffset>
            </wp:positionV>
            <wp:extent cx="20237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January 2, 2020.</w:t>
      </w:r>
    </w:p>
    <w:p>
      <w:pPr>
        <w:sectPr>
          <w:pgSz w:w="11900" w:h="16838" w:orient="portrait"/>
          <w:cols w:equalWidth="0" w:num="1">
            <w:col w:w="11420"/>
          </w:cols>
          <w:pgMar w:left="240" w:top="760" w:right="2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0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83"/>
              </w:rPr>
              <w:t>Page</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center"/>
              <w:ind w:right="30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ii</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20" w:type="dxa"/>
            <w:vAlign w:val="bottom"/>
            <w:gridSpan w:val="8"/>
          </w:tcPr>
          <w:p>
            <w:pPr>
              <w:spacing w:after="0" w:line="20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PROSPECTUS SUMMARY</w:t>
              </w:r>
            </w:hyperlink>
          </w:p>
        </w:tc>
        <w:tc>
          <w:tcPr>
            <w:tcW w:w="7340" w:type="dxa"/>
            <w:vAlign w:val="bottom"/>
            <w:gridSpan w:val="8"/>
          </w:tcPr>
          <w:p>
            <w:pPr>
              <w:spacing w:after="0"/>
              <w:rPr>
                <w:sz w:val="17"/>
                <w:szCs w:val="17"/>
                <w:color w:val="auto"/>
              </w:rPr>
            </w:pPr>
          </w:p>
        </w:tc>
        <w:tc>
          <w:tcPr>
            <w:tcW w:w="400" w:type="dxa"/>
            <w:vAlign w:val="bottom"/>
            <w:gridSpan w:val="4"/>
          </w:tcPr>
          <w:p>
            <w:pPr>
              <w:jc w:val="center"/>
              <w:ind w:left="191"/>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400" w:type="dxa"/>
            <w:vAlign w:val="bottom"/>
            <w:gridSpan w:val="4"/>
            <w:shd w:val="clear" w:color="auto" w:fill="CCEEFF"/>
          </w:tcPr>
          <w:p>
            <w:pPr>
              <w:jc w:val="center"/>
              <w:ind w:left="191"/>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5</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560" w:type="dxa"/>
            <w:vAlign w:val="bottom"/>
            <w:gridSpan w:val="16"/>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400" w:type="dxa"/>
            <w:vAlign w:val="bottom"/>
            <w:gridSpan w:val="4"/>
          </w:tcPr>
          <w:p>
            <w:pPr>
              <w:jc w:val="center"/>
              <w:ind w:left="191"/>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5</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580" w:type="dxa"/>
            <w:vAlign w:val="bottom"/>
            <w:gridSpan w:val="4"/>
            <w:shd w:val="clear" w:color="auto" w:fill="CCEEFF"/>
          </w:tcPr>
          <w:p>
            <w:pPr>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USE OF PROCEEDS</w:t>
              </w:r>
            </w:hyperlink>
          </w:p>
        </w:tc>
        <w:tc>
          <w:tcPr>
            <w:tcW w:w="7980" w:type="dxa"/>
            <w:vAlign w:val="bottom"/>
            <w:gridSpan w:val="12"/>
            <w:shd w:val="clear" w:color="auto" w:fill="CCEEFF"/>
          </w:tcPr>
          <w:p>
            <w:pPr>
              <w:spacing w:after="0"/>
              <w:rPr>
                <w:sz w:val="17"/>
                <w:szCs w:val="17"/>
                <w:color w:val="auto"/>
              </w:rPr>
            </w:pPr>
          </w:p>
        </w:tc>
        <w:tc>
          <w:tcPr>
            <w:tcW w:w="400" w:type="dxa"/>
            <w:vAlign w:val="bottom"/>
            <w:gridSpan w:val="4"/>
            <w:shd w:val="clear" w:color="auto" w:fill="CCEEFF"/>
          </w:tcPr>
          <w:p>
            <w:pPr>
              <w:jc w:val="center"/>
              <w:ind w:left="191"/>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6</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560" w:type="dxa"/>
            <w:vAlign w:val="bottom"/>
            <w:gridSpan w:val="16"/>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400" w:type="dxa"/>
            <w:vAlign w:val="bottom"/>
            <w:gridSpan w:val="4"/>
          </w:tcPr>
          <w:p>
            <w:pPr>
              <w:jc w:val="center"/>
              <w:ind w:left="191"/>
              <w:spacing w:after="0" w:line="202"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DEBT SECURITIES</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10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020" w:type="dxa"/>
            <w:vAlign w:val="bottom"/>
            <w:gridSpan w:val="12"/>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WARRANTS</w:t>
              </w:r>
            </w:hyperlink>
          </w:p>
        </w:tc>
        <w:tc>
          <w:tcPr>
            <w:tcW w:w="6540" w:type="dxa"/>
            <w:vAlign w:val="bottom"/>
            <w:gridSpan w:val="4"/>
          </w:tcPr>
          <w:p>
            <w:pPr>
              <w:spacing w:after="0"/>
              <w:rPr>
                <w:sz w:val="17"/>
                <w:szCs w:val="17"/>
                <w:color w:val="auto"/>
              </w:rPr>
            </w:pPr>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15</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OWNERSHIP SECURITIES</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16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740" w:type="dxa"/>
            <w:vAlign w:val="bottom"/>
            <w:gridSpan w:val="10"/>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SELLING STOCKHOLDERS</w:t>
              </w:r>
            </w:hyperlink>
          </w:p>
        </w:tc>
        <w:tc>
          <w:tcPr>
            <w:tcW w:w="6820" w:type="dxa"/>
            <w:vAlign w:val="bottom"/>
            <w:gridSpan w:val="6"/>
          </w:tcPr>
          <w:p>
            <w:pPr>
              <w:spacing w:after="0"/>
              <w:rPr>
                <w:sz w:val="17"/>
                <w:szCs w:val="17"/>
                <w:color w:val="auto"/>
              </w:rPr>
            </w:pPr>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19</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19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040" w:type="dxa"/>
            <w:vAlign w:val="bottom"/>
            <w:gridSpan w:val="5"/>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7520" w:type="dxa"/>
            <w:vAlign w:val="bottom"/>
            <w:gridSpan w:val="11"/>
          </w:tcPr>
          <w:p>
            <w:pPr>
              <w:spacing w:after="0"/>
              <w:rPr>
                <w:sz w:val="17"/>
                <w:szCs w:val="17"/>
                <w:color w:val="auto"/>
              </w:rPr>
            </w:pPr>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20</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560" w:type="dxa"/>
            <w:vAlign w:val="bottom"/>
            <w:gridSpan w:val="16"/>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ADDITIONAL INFORMATION</w:t>
              </w:r>
            </w:hyperlink>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INCORPORATION OF CERTAIN INFORMATION BY REFERENCE</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80"/>
          </w:cols>
          <w:pgMar w:left="820" w:top="769" w:right="7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$200,000,000 of any combination of the securities described in this prospectus. In addition, under this shelf process, the selling stockholders to be named in a supplement to this prospectus may, from time to time, offer or sell up to 2,000,000 shares of our common stock.</w:t>
      </w:r>
    </w:p>
    <w:p>
      <w:pPr>
        <w:spacing w:after="0" w:line="1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This prospectus provides you with a general description of the securities we and the selling stockholders may offer. Each time we and/or the selling stockholders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Neither we nor the selling stockholders have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5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468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250430" cy="8468360"/>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42,000 procedures have been performed by over 2,000 surgeons in the United States and 34 other countries. Published clinical studies have shown that 15% to 30% of all chronic lower back pain is associated with the sacroiliac joint. We believe iFuse is currently the market leading implantable device used in minimally invasive surgical fusions of the sacroiliac joint in the United States.</w:t>
      </w:r>
    </w:p>
    <w:p>
      <w:pPr>
        <w:spacing w:after="0" w:line="2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In April 2019, we received clearance from the U.S. Food and Drug Administration (FDA) to promote our iFuse Bedrock technique for fusion of the sacroiliac joint in conjunction with multi-level spinal fusion procedures to provide further stabilization and immobilization of the sacroiliac joint. We market our products with a direct sales force and a number of distributors in the United States, and with a combination of a direct sales force and distributors in other countries.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62" w:lineRule="exact"/>
        <w:rPr>
          <w:sz w:val="20"/>
          <w:szCs w:val="20"/>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62" w:lineRule="exact"/>
        <w:rPr>
          <w:rFonts w:ascii="Arial" w:cs="Arial" w:eastAsia="Arial" w:hAnsi="Arial"/>
          <w:sz w:val="18"/>
          <w:szCs w:val="18"/>
          <w:color w:val="auto"/>
        </w:rPr>
      </w:pPr>
    </w:p>
    <w:p>
      <w:pPr>
        <w:jc w:val="both"/>
        <w:ind w:left="660" w:hanging="334"/>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73"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initially anticipated;</w:t>
      </w:r>
    </w:p>
    <w:p>
      <w:pPr>
        <w:spacing w:after="0" w:line="62" w:lineRule="exact"/>
        <w:rPr>
          <w:rFonts w:ascii="Arial" w:cs="Arial" w:eastAsia="Arial" w:hAnsi="Arial"/>
          <w:sz w:val="18"/>
          <w:szCs w:val="18"/>
          <w:color w:val="auto"/>
        </w:rPr>
      </w:pPr>
    </w:p>
    <w:p>
      <w:pPr>
        <w:ind w:left="660" w:right="2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pressure from our competitors, healthcare provider consolidation and payor consolidation may impact our ability to sell our product at prices necessary to support our current business strategies;</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currently manufacture and sell products primarily used in a single procedure, which could negatively affect our operations and financial condition;</w:t>
      </w:r>
    </w:p>
    <w:p>
      <w:pPr>
        <w:spacing w:after="0" w:line="62" w:lineRule="exact"/>
        <w:rPr>
          <w:rFonts w:ascii="Arial" w:cs="Arial" w:eastAsia="Arial" w:hAnsi="Arial"/>
          <w:sz w:val="18"/>
          <w:szCs w:val="18"/>
          <w:color w:val="auto"/>
        </w:rPr>
      </w:pPr>
    </w:p>
    <w:p>
      <w:pPr>
        <w:ind w:left="660" w:right="20" w:hanging="334"/>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38" w:lineRule="exact"/>
        <w:rPr>
          <w:rFonts w:ascii="Arial" w:cs="Arial" w:eastAsia="Arial" w:hAnsi="Arial"/>
          <w:sz w:val="17"/>
          <w:szCs w:val="17"/>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pacing w:after="0" w:line="62" w:lineRule="exact"/>
        <w:rPr>
          <w:rFonts w:ascii="Arial" w:cs="Arial" w:eastAsia="Arial" w:hAnsi="Arial"/>
          <w:sz w:val="18"/>
          <w:szCs w:val="18"/>
          <w:color w:val="auto"/>
        </w:rPr>
      </w:pPr>
    </w:p>
    <w:p>
      <w:pPr>
        <w:ind w:left="660" w:hanging="334"/>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and our sales representatives must comply with U.S. federal and state fraud and abuse laws, including those relating to physician kickbacks and false claims for reimbursement, as well as equivalent foreign laws, which subjects us to risk of non-compliance.</w:t>
      </w:r>
    </w:p>
    <w:p>
      <w:pPr>
        <w:sectPr>
          <w:pgSz w:w="11900" w:h="16838" w:orient="portrait"/>
          <w:cols w:equalWidth="0" w:num="1">
            <w:col w:w="10580"/>
          </w:cols>
          <w:pgMar w:left="660" w:top="1175" w:right="6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80"/>
          </w:cols>
          <w:pgMar w:left="660" w:top="1175" w:right="6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89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250430" cy="8896985"/>
                    </a:xfrm>
                    <a:prstGeom prst="rect">
                      <a:avLst/>
                    </a:prstGeom>
                    <a:noFill/>
                  </pic:spPr>
                </pic:pic>
              </a:graphicData>
            </a:graphic>
          </wp:anchor>
        </w:drawing>
        <w:t>Corporate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up to a maximum aggregate sales price of $200,000,000.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297" w:lineRule="exact"/>
        <w:rPr>
          <w:sz w:val="20"/>
          <w:szCs w:val="20"/>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17"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2"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ranking;</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selling stockholders to be named in a prospectus supplement may also offer and sell, from time to time, up to 2,000,000 shares of our common stock.</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jc w:val="both"/>
        <w:ind w:firstLine="369"/>
        <w:spacing w:after="0" w:line="312" w:lineRule="auto"/>
        <w:rPr>
          <w:sz w:val="20"/>
          <w:szCs w:val="20"/>
          <w:color w:val="auto"/>
        </w:rPr>
      </w:pPr>
      <w:r>
        <w:rPr>
          <w:rFonts w:ascii="Arial" w:cs="Arial" w:eastAsia="Arial" w:hAnsi="Arial"/>
          <w:sz w:val="16"/>
          <w:szCs w:val="16"/>
          <w:color w:val="auto"/>
        </w:rPr>
        <w:t>We or the selling stockholders may sell the securities directly to investors or to or through agents, underwriters or dealers. We and the selling stockholders, and our or their agents or underwriters, reserve the right to accept or reject all or part of any proposed purchase of securities. If we or the selling stockholders do offer securities to or through agents or underwriters, we will include in the applicable prospectus supplement:</w:t>
      </w:r>
    </w:p>
    <w:p>
      <w:pPr>
        <w:spacing w:after="0" w:line="255" w:lineRule="exact"/>
        <w:rPr>
          <w:sz w:val="20"/>
          <w:szCs w:val="20"/>
          <w:color w:val="auto"/>
        </w:rPr>
      </w:pPr>
    </w:p>
    <w:p>
      <w:pPr>
        <w:ind w:left="660" w:hanging="3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net proceeds to us.</w:t>
      </w:r>
    </w:p>
    <w:p>
      <w:pPr>
        <w:sectPr>
          <w:pgSz w:w="11900" w:h="16838" w:orient="portrait"/>
          <w:cols w:equalWidth="0" w:num="1">
            <w:col w:w="10580"/>
          </w:cols>
          <w:pgMar w:left="660" w:top="1175" w:right="659" w:bottom="10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80"/>
          </w:cols>
          <w:pgMar w:left="660" w:top="1175" w:right="659" w:bottom="1084" w:gutter="0" w:footer="0" w:header="0"/>
          <w:type w:val="continuous"/>
        </w:sectPr>
      </w:pPr>
    </w:p>
    <w:bookmarkStart w:id="37" w:name="page38"/>
    <w:bookmarkEnd w:id="37"/>
    <w:p>
      <w:pPr>
        <w:jc w:val="both"/>
        <w:ind w:firstLine="324"/>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807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t>Common Stock</w:t>
      </w:r>
      <w:r>
        <w:rPr>
          <w:rFonts w:ascii="Arial" w:cs="Arial" w:eastAsia="Arial" w:hAnsi="Arial"/>
          <w:sz w:val="17"/>
          <w:szCs w:val="17"/>
          <w:color w:val="auto"/>
        </w:rPr>
        <w:t>. We may issue shares of our common stock from time to time. The selling stockholders may offer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such shares were issued and outstanding prior to the original date of filing of the registration statement to which this prospectus relates.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Preferred Stock. </w:t>
      </w:r>
      <w:r>
        <w:rPr>
          <w:rFonts w:ascii="Arial" w:cs="Arial" w:eastAsia="Arial" w:hAnsi="Arial"/>
          <w:sz w:val="16"/>
          <w:szCs w:val="16"/>
          <w:color w:val="auto"/>
        </w:rPr>
        <w:t>We may issue shares of our preferred stock from time to time, in one or more series. Our board of directors will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6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We may issue warrants for the purchase of common stock, preferred stock and/or debt securities in one or more series.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ectPr>
          <w:pgSz w:w="11900" w:h="16838" w:orient="portrait"/>
          <w:cols w:equalWidth="0" w:num="1">
            <w:col w:w="10580"/>
          </w:cols>
          <w:pgMar w:left="660" w:top="117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80"/>
          </w:cols>
          <w:pgMar w:left="660" w:top="1179" w:right="6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2327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250430" cy="2327910"/>
                    </a:xfrm>
                    <a:prstGeom prst="rect">
                      <a:avLst/>
                    </a:prstGeom>
                    <a:noFill/>
                  </pic:spPr>
                </pic:pic>
              </a:graphicData>
            </a:graphic>
          </wp:anchor>
        </w:drawing>
        <w:t>Use of Proceeds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proceeds from the sale of shares of our common stock by any selling stockholder. See “Use of Proceeds” in this prospectus.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jc w:val="both"/>
        <w:ind w:left="20" w:firstLine="297"/>
        <w:spacing w:after="0" w:line="264" w:lineRule="auto"/>
        <w:rPr>
          <w:sz w:val="20"/>
          <w:szCs w:val="20"/>
          <w:color w:val="auto"/>
        </w:rPr>
      </w:pPr>
      <w:r>
        <w:rPr>
          <w:rFonts w:ascii="Arial" w:cs="Arial" w:eastAsia="Arial" w:hAnsi="Arial"/>
          <w:sz w:val="18"/>
          <w:szCs w:val="18"/>
          <w:color w:val="auto"/>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660" w:top="1175" w:right="6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20" w:firstLine="297"/>
        <w:spacing w:after="0" w:line="255" w:lineRule="auto"/>
        <w:rPr>
          <w:sz w:val="20"/>
          <w:szCs w:val="20"/>
          <w:color w:val="auto"/>
        </w:rPr>
      </w:pPr>
      <w:r>
        <w:rPr>
          <w:rFonts w:ascii="Arial" w:cs="Arial" w:eastAsia="Arial" w:hAnsi="Arial"/>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favorable coverage and reimbursement determinations from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marketing authorization from the U.S. Food and Drug Administration or FDA;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reliance on a limited number of suppliers which may impact the availability of instruments and materials;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drive demand for our products and sustain or increase such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ectPr>
          <w:pgSz w:w="11900" w:h="16838" w:orient="portrait"/>
          <w:cols w:equalWidth="0" w:num="1">
            <w:col w:w="11420"/>
          </w:cols>
          <w:pgMar w:left="240" w:top="81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810" w:right="239" w:bottom="1440" w:gutter="0" w:footer="0" w:header="0"/>
          <w:type w:val="continuous"/>
        </w:sectPr>
      </w:pPr>
    </w:p>
    <w:bookmarkStart w:id="40" w:name="page41"/>
    <w:bookmarkEnd w:id="40"/>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will not receive any proceeds from the sale of shares of our common stock by any selling stockholder.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29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ectPr>
          <w:pgSz w:w="11900" w:h="16838" w:orient="portrait"/>
          <w:cols w:equalWidth="0" w:num="1">
            <w:col w:w="11420"/>
          </w:cols>
          <w:pgMar w:left="240" w:top="75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56" w:right="239" w:bottom="1440" w:gutter="0" w:footer="0" w:header="0"/>
          <w:type w:val="continuous"/>
        </w:sectPr>
      </w:pPr>
    </w:p>
    <w:bookmarkStart w:id="42" w:name="page43"/>
    <w:bookmarkEnd w:id="42"/>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for a sinking fund,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discussion of material United States federal income tax considerations applicable to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17"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8"/>
          <w:szCs w:val="18"/>
          <w:color w:val="000000"/>
        </w:rPr>
        <w:t>or</w:t>
      </w:r>
    </w:p>
    <w:p>
      <w:pPr>
        <w:spacing w:after="0" w:line="8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279"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8"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have the authority, without further action by the holders of common stock,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 to discourage an attempt to obtain control of us by means of a merger, tender offer, proxy contest, or otherwise.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Choice of Forum</w:t>
      </w:r>
    </w:p>
    <w:p>
      <w:pPr>
        <w:spacing w:after="0" w:line="14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8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33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56" w:right="239" w:bottom="1440" w:gutter="0" w:footer="0" w:header="0"/>
        </w:sectPr>
      </w:pPr>
    </w:p>
    <w:bookmarkStart w:id="45" w:name="page46"/>
    <w:bookmarkEnd w:id="45"/>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28"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279" w:lineRule="exact"/>
        <w:rPr>
          <w:sz w:val="20"/>
          <w:szCs w:val="20"/>
          <w:color w:val="auto"/>
        </w:rPr>
      </w:pPr>
    </w:p>
    <w:p>
      <w:pPr>
        <w:jc w:val="both"/>
        <w:ind w:left="660" w:hanging="328"/>
        <w:spacing w:after="0" w:line="28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7"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3"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28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27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56" w:right="239" w:bottom="1440" w:gutter="0" w:footer="0" w:header="0"/>
        </w:sectPr>
      </w:pPr>
    </w:p>
    <w:bookmarkStart w:id="47" w:name="page48"/>
    <w:bookmarkEnd w:id="47"/>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33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17"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3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29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27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0" w:right="239" w:bottom="1440" w:gutter="0" w:footer="0" w:header="0"/>
        </w:sectPr>
      </w:pPr>
    </w:p>
    <w:bookmarkStart w:id="48" w:name="page49"/>
    <w:bookmarkEnd w:id="48"/>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333" w:lineRule="exact"/>
        <w:rPr>
          <w:sz w:val="20"/>
          <w:szCs w:val="20"/>
          <w:color w:val="auto"/>
        </w:rPr>
      </w:pPr>
    </w:p>
    <w:p>
      <w:pPr>
        <w:jc w:val="both"/>
        <w:ind w:left="66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ectPr>
          <w:pgSz w:w="11900" w:h="16838" w:orient="portrait"/>
          <w:cols w:equalWidth="0" w:num="1">
            <w:col w:w="11420"/>
          </w:cols>
          <w:pgMar w:left="240" w:top="868"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868" w:right="239" w:bottom="1440" w:gutter="0" w:footer="0" w:header="0"/>
          <w:type w:val="continuous"/>
        </w:sectPr>
      </w:pPr>
    </w:p>
    <w:bookmarkStart w:id="49" w:name="page50"/>
    <w:bookmarkEnd w:id="49"/>
    <w:p>
      <w:pPr>
        <w:jc w:val="both"/>
        <w:ind w:firstLine="324"/>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33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60" w:right="239" w:bottom="1440" w:gutter="0" w:footer="0" w:header="0"/>
          <w:type w:val="continuous"/>
        </w:sectPr>
      </w:pPr>
    </w:p>
    <w:bookmarkStart w:id="50" w:name="page51"/>
    <w:bookmarkEnd w:id="50"/>
    <w:p>
      <w:pPr>
        <w:ind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279"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51" w:name="page52"/>
    <w:bookmarkEnd w:id="51"/>
    <w:p>
      <w:pPr>
        <w:jc w:val="both"/>
        <w:ind w:firstLine="324"/>
        <w:spacing w:after="0" w:line="264"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279"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whether and how you can instruct it to send you securities registered in your own name so you can be a holder, if that is permitted in the future;</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0" w:right="239" w:bottom="1440" w:gutter="0" w:footer="0" w:header="0"/>
        </w:sectPr>
      </w:pPr>
    </w:p>
    <w:bookmarkStart w:id="52" w:name="page53"/>
    <w:bookmarkEnd w:id="52"/>
    <w:p>
      <w:pPr>
        <w:jc w:val="both"/>
        <w:ind w:firstLine="324"/>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333"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we provide otherwise in the applicable prospectus supplement, the global security will terminate when the following special situations occur:</w:t>
      </w:r>
    </w:p>
    <w:p>
      <w:pPr>
        <w:spacing w:after="0" w:line="345"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ectPr>
          <w:pgSz w:w="11900" w:h="16838" w:orient="portrait"/>
          <w:cols w:equalWidth="0" w:num="1">
            <w:col w:w="11420"/>
          </w:cols>
          <w:pgMar w:left="240" w:top="760"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60" w:right="239" w:bottom="1440" w:gutter="0" w:footer="0" w:header="0"/>
          <w:type w:val="continuous"/>
        </w:sectPr>
      </w:pPr>
    </w:p>
    <w:bookmarkStart w:id="53" w:name="page54"/>
    <w:bookmarkEnd w:id="53"/>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5"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6"/>
          <w:szCs w:val="16"/>
          <w:color w:val="auto"/>
        </w:rPr>
        <w:t>This prospectus also relates to the possible resale by certain of our stockholders, who we refer to in this prospectus as the “selling stockholders,” of up to 2,000,000 shares of our common stock that were issued and outstanding prior to the original date of filing of the registration statement of which this prospectus forms a part, including shares that may be owned by affiliates. The selling stockholders are (1) former holders of our preferred stock that originally acquired the shares of our common stock included in this prospectus through several private placements of our convertible preferred stock prior to our initial public offering, all of which shares of preferred stock were converted into shares of our common stock in connection with our initial public offering, or (2) a holder who acquired shares of common stock in a private placement of our common stock or pursuant to the exercise of stock options.</w:t>
      </w:r>
    </w:p>
    <w:p>
      <w:pPr>
        <w:spacing w:after="0" w:line="111"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39" w:lineRule="exact"/>
        <w:rPr>
          <w:sz w:val="20"/>
          <w:szCs w:val="20"/>
          <w:color w:val="auto"/>
        </w:rPr>
      </w:pPr>
    </w:p>
    <w:p>
      <w:pPr>
        <w:jc w:val="both"/>
        <w:ind w:firstLine="297"/>
        <w:spacing w:after="0" w:line="312" w:lineRule="auto"/>
        <w:rPr>
          <w:sz w:val="20"/>
          <w:szCs w:val="20"/>
          <w:color w:val="auto"/>
        </w:rPr>
      </w:pPr>
      <w:r>
        <w:rPr>
          <w:rFonts w:ascii="Arial" w:cs="Arial" w:eastAsia="Arial" w:hAnsi="Arial"/>
          <w:sz w:val="16"/>
          <w:szCs w:val="16"/>
          <w:color w:val="auto"/>
        </w:rPr>
        <w:t>The selling stockholders shall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or the selling stockholders may sell the securities from time to time pursuant to underwritten public offerings, direct sales to the public, negotiated transactions, block trades or a combination of these methods. We or the selling stockholders may sell the securities to or through underwriters or dealers, through agents, or directly to one or more purchasers. We or the selling stockholders may distribute securities from time to time in one or more transactions:</w:t>
      </w:r>
    </w:p>
    <w:p>
      <w:pPr>
        <w:spacing w:after="0" w:line="25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279"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name or names of the underwriters,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68" w:right="239" w:bottom="1440" w:gutter="0" w:footer="0" w:header="0"/>
        </w:sectPr>
      </w:pPr>
    </w:p>
    <w:bookmarkStart w:id="54" w:name="page55"/>
    <w:bookmarkEnd w:id="54"/>
    <w:p>
      <w:pPr>
        <w:jc w:val="both"/>
        <w:ind w:firstLine="324"/>
        <w:spacing w:after="0" w:line="254"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stockholders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stockholders may use underwriters with whom we have a material relationship. We will describe in the prospectus supplement, naming the underwriter, the nature of any such relationship.</w:t>
      </w:r>
    </w:p>
    <w:p>
      <w:pPr>
        <w:spacing w:after="0" w:line="19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our or the selling stockholders’ agent will act on a best-efforts basis for the period of its appointment.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or the selling stockholders may authorize agents or underwriters to solicit offers by certain types of institutional investors to purchase securities from us or the selling stockholders at the public offering price set forth in the prospectus supplement pursuant to delayed delivery contracts providing for payment and delivery on a specified date in the future. We will describe the conditions to these contracts and the commissions we or the selling stockholders must pay for solicitation of these contracts in the prospectus supplement.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or the selling stockholders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stockholders in the ordinary course of business.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6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00" w:lineRule="exact"/>
        <w:rPr>
          <w:sz w:val="20"/>
          <w:szCs w:val="20"/>
          <w:color w:val="auto"/>
        </w:rPr>
      </w:pPr>
    </w:p>
    <w:p>
      <w:pPr>
        <w:spacing w:after="0" w:line="245"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001-38701):</w:t>
      </w:r>
    </w:p>
    <w:p>
      <w:pPr>
        <w:spacing w:after="0" w:line="37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filed with the SEC on March 14, 2019;</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19">
        <w:r>
          <w:rPr>
            <w:rFonts w:ascii="Arial" w:cs="Arial" w:eastAsia="Arial" w:hAnsi="Arial"/>
            <w:sz w:val="18"/>
            <w:szCs w:val="18"/>
            <w:u w:val="single" w:color="auto"/>
            <w:color w:val="0000EE"/>
          </w:rPr>
          <w:t>Quarterly Report on Form 10-Q, for the quarter ended March 31, 2019</w:t>
        </w:r>
      </w:hyperlink>
      <w:r>
        <w:rPr>
          <w:rFonts w:ascii="Arial" w:cs="Arial" w:eastAsia="Arial" w:hAnsi="Arial"/>
          <w:sz w:val="18"/>
          <w:szCs w:val="18"/>
          <w:color w:val="auto"/>
        </w:rPr>
        <w:t>, filed with the SEC on May 9, 2019;</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20">
        <w:r>
          <w:rPr>
            <w:rFonts w:ascii="Arial" w:cs="Arial" w:eastAsia="Arial" w:hAnsi="Arial"/>
            <w:sz w:val="18"/>
            <w:szCs w:val="18"/>
            <w:u w:val="single" w:color="auto"/>
            <w:color w:val="0000EE"/>
          </w:rPr>
          <w:t>Quarterly Report on Form 10-Q, for the quarter ended June 30, 2019</w:t>
        </w:r>
      </w:hyperlink>
      <w:r>
        <w:rPr>
          <w:rFonts w:ascii="Arial" w:cs="Arial" w:eastAsia="Arial" w:hAnsi="Arial"/>
          <w:sz w:val="18"/>
          <w:szCs w:val="18"/>
          <w:color w:val="auto"/>
        </w:rPr>
        <w:t>, filed with the SEC on August 7, 2019;</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21">
        <w:r>
          <w:rPr>
            <w:rFonts w:ascii="Arial" w:cs="Arial" w:eastAsia="Arial" w:hAnsi="Arial"/>
            <w:sz w:val="18"/>
            <w:szCs w:val="18"/>
            <w:u w:val="single" w:color="auto"/>
            <w:color w:val="0000EE"/>
          </w:rPr>
          <w:t>Quarterly Report on Form 10-Q, for the quarter ended September 30, 2019</w:t>
        </w:r>
      </w:hyperlink>
      <w:r>
        <w:rPr>
          <w:rFonts w:ascii="Arial" w:cs="Arial" w:eastAsia="Arial" w:hAnsi="Arial"/>
          <w:sz w:val="18"/>
          <w:szCs w:val="18"/>
          <w:color w:val="auto"/>
        </w:rPr>
        <w:t>, filed with the SEC on November 12, 2019;</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2">
        <w:r>
          <w:rPr>
            <w:rFonts w:ascii="Arial" w:cs="Arial" w:eastAsia="Arial" w:hAnsi="Arial"/>
            <w:sz w:val="18"/>
            <w:szCs w:val="18"/>
            <w:u w:val="single" w:color="auto"/>
            <w:color w:val="0000EE"/>
          </w:rPr>
          <w:t>January 22, 2019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April 11, 2019</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August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related exhibit), </w:t>
      </w:r>
      <w:hyperlink r:id="rId26">
        <w:r>
          <w:rPr>
            <w:rFonts w:ascii="Arial" w:cs="Arial" w:eastAsia="Arial" w:hAnsi="Arial"/>
            <w:sz w:val="18"/>
            <w:szCs w:val="18"/>
            <w:u w:val="single" w:color="auto"/>
            <w:color w:val="0000EE"/>
          </w:rPr>
          <w:t>August 14, 2019</w:t>
        </w:r>
      </w:hyperlink>
      <w:r>
        <w:rPr>
          <w:rFonts w:ascii="Arial" w:cs="Arial" w:eastAsia="Arial" w:hAnsi="Arial"/>
          <w:sz w:val="18"/>
          <w:szCs w:val="18"/>
          <w:color w:val="auto"/>
        </w:rPr>
        <w:t xml:space="preserve">, and </w:t>
      </w:r>
      <w:hyperlink r:id="rId27">
        <w:r>
          <w:rPr>
            <w:rFonts w:ascii="Arial" w:cs="Arial" w:eastAsia="Arial" w:hAnsi="Arial"/>
            <w:sz w:val="18"/>
            <w:szCs w:val="18"/>
            <w:u w:val="single" w:color="auto"/>
            <w:color w:val="0000EE"/>
          </w:rPr>
          <w:t>December 4, 2019</w:t>
        </w:r>
      </w:hyperlink>
      <w:r>
        <w:rPr>
          <w:rFonts w:ascii="Arial" w:cs="Arial" w:eastAsia="Arial" w:hAnsi="Arial"/>
          <w:sz w:val="18"/>
          <w:szCs w:val="18"/>
          <w:color w:val="auto"/>
        </w:rPr>
        <w:t>;</w:t>
      </w:r>
    </w:p>
    <w:p>
      <w:pPr>
        <w:spacing w:after="0" w:line="2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our </w:t>
      </w:r>
      <w:hyperlink r:id="rId29">
        <w:r>
          <w:rPr>
            <w:rFonts w:ascii="Arial" w:cs="Arial" w:eastAsia="Arial" w:hAnsi="Arial"/>
            <w:sz w:val="18"/>
            <w:szCs w:val="18"/>
            <w:u w:val="single" w:color="auto"/>
            <w:color w:val="0000EE"/>
          </w:rPr>
          <w:t>Definitive Proxy Statement on Schedule 14A, filed on April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2018, which information shall update and supersede information included in Part III of our Annual Report on Form 10-K for the year ended December 31, 2018); and</w:t>
      </w:r>
    </w:p>
    <w:p>
      <w:pPr>
        <w:spacing w:after="0" w:line="2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30">
        <w:r>
          <w:rPr>
            <w:rFonts w:ascii="Arial" w:cs="Arial" w:eastAsia="Arial" w:hAnsi="Arial"/>
            <w:sz w:val="18"/>
            <w:szCs w:val="18"/>
            <w:u w:val="single" w:color="auto"/>
            <w:color w:val="0000EE"/>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16" w:lineRule="exact"/>
        <w:rPr>
          <w:rFonts w:ascii="Arial" w:cs="Arial" w:eastAsia="Arial" w:hAnsi="Arial"/>
          <w:sz w:val="18"/>
          <w:szCs w:val="18"/>
          <w:color w:val="auto"/>
        </w:rPr>
      </w:pPr>
    </w:p>
    <w:p>
      <w:pPr>
        <w:jc w:val="both"/>
        <w:ind w:firstLine="435"/>
        <w:spacing w:after="0" w:line="272"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spacing w:after="0" w:line="207" w:lineRule="exact"/>
        <w:rPr>
          <w:sz w:val="20"/>
          <w:szCs w:val="20"/>
          <w:color w:val="auto"/>
        </w:rPr>
      </w:pPr>
      <w:r>
        <w:rPr>
          <w:rFonts w:ascii="Arial" w:cs="Arial" w:eastAsia="Arial" w:hAnsi="Arial"/>
          <w:sz w:val="18"/>
          <w:szCs w:val="18"/>
          <w:color w:val="auto"/>
        </w:rPr>
        <w:t>(408) 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ectPr>
          <w:pgSz w:w="11900" w:h="16838" w:orient="portrait"/>
          <w:cols w:equalWidth="0" w:num="1">
            <w:col w:w="11420"/>
          </w:cols>
          <w:pgMar w:left="240" w:top="756" w:right="239" w:bottom="1081" w:gutter="0" w:footer="0" w:header="0"/>
        </w:sectPr>
      </w:pPr>
    </w:p>
    <w:p>
      <w:pPr>
        <w:spacing w:after="0" w:line="22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56" w:right="239" w:bottom="1081"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4,300,000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826770</wp:posOffset>
            </wp:positionV>
            <wp:extent cx="2409825" cy="926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240982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420" w:val="left"/>
        </w:tabs>
        <w:rPr>
          <w:sz w:val="20"/>
          <w:szCs w:val="20"/>
          <w:color w:val="auto"/>
        </w:rPr>
      </w:pP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28"/>
          <w:szCs w:val="28"/>
          <w:b w:val="1"/>
          <w:bCs w:val="1"/>
          <w:color w:val="auto"/>
        </w:rPr>
        <w:t>BofA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2020</w:t>
      </w:r>
    </w:p>
    <w:sectPr>
      <w:pgSz w:w="11900" w:h="16838" w:orient="portrait"/>
      <w:cols w:equalWidth="0" w:num="1">
        <w:col w:w="10580"/>
      </w:cols>
      <w:pgMar w:left="66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lvl w:ilvl="1">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lvl w:ilvl="1">
      <w:lvlJc w:val="left"/>
      <w:lvlText w:val="(%2)"/>
      <w:numFmt w:val="lowerRoman"/>
      <w:start w:val="2"/>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Roman"/>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1" Type="http://schemas.openxmlformats.org/officeDocument/2006/relationships/image" Target="media/image11.jpe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jpeg"/><Relationship Id="rId18" Type="http://schemas.openxmlformats.org/officeDocument/2006/relationships/hyperlink" Target="http://www.sec.gov/Archives/edgar/data/1459839/000145983919000011/sibn1231201810-k.htm" TargetMode="External"/><Relationship Id="rId19" Type="http://schemas.openxmlformats.org/officeDocument/2006/relationships/hyperlink" Target="http://www.sec.gov/Archives/edgar/data/1459839/000145983919000026/sibn331201910-q.htm" TargetMode="External"/><Relationship Id="rId20" Type="http://schemas.openxmlformats.org/officeDocument/2006/relationships/hyperlink" Target="http://www.sec.gov/Archives/edgar/data/1459839/000145983919000035/sibn630201910-q.htm" TargetMode="External"/><Relationship Id="rId21" Type="http://schemas.openxmlformats.org/officeDocument/2006/relationships/hyperlink" Target="http://www.sec.gov/Archives/edgar/data/1459839/000145983919000044/sibn930201910-q.htm" TargetMode="External"/><Relationship Id="rId22" Type="http://schemas.openxmlformats.org/officeDocument/2006/relationships/hyperlink" Target="http://www.sec.gov/Archives/edgar/data/1459839/000145983919000004/sibn-8xkbonusplan.htm" TargetMode="External"/><Relationship Id="rId23" Type="http://schemas.openxmlformats.org/officeDocument/2006/relationships/hyperlink" Target="http://www.sec.gov/Archives/edgar/data/1459839/000145983919000017/sibn-8xkbodchange.htm" TargetMode="External"/><Relationship Id="rId24" Type="http://schemas.openxmlformats.org/officeDocument/2006/relationships/hyperlink" Target="http://www.sec.gov/Archives/edgar/data/1459839/000145983919000028/sibn8-k.htm" TargetMode="External"/><Relationship Id="rId25" Type="http://schemas.openxmlformats.org/officeDocument/2006/relationships/hyperlink" Target="http://www.sec.gov/Archives/edgar/data/1459839/000145983919000033/sibn630198-k.htm" TargetMode="External"/><Relationship Id="rId26" Type="http://schemas.openxmlformats.org/officeDocument/2006/relationships/hyperlink" Target="http://www.sec.gov/Archives/edgar/data/1459839/000145983919000037/sibn8-k8132019bodresignati.htm" TargetMode="External"/><Relationship Id="rId27" Type="http://schemas.openxmlformats.org/officeDocument/2006/relationships/hyperlink" Target="http://www.sec.gov/Archives/edgar/data/1459839/000145983919000053/sibn8-k12419bodadditionxhi.htm" TargetMode="External"/><Relationship Id="rId28" Type="http://schemas.openxmlformats.org/officeDocument/2006/relationships/hyperlink" Target="http://www.sec.gov/Archives/edgar/data/1459839/000145983920000003/sibn8-k132020fy2020bonuspl.htm" TargetMode="External"/><Relationship Id="rId29" Type="http://schemas.openxmlformats.org/officeDocument/2006/relationships/hyperlink" Target="http://www.sec.gov/Archives/edgar/data/1459839/000145983919000021/sibn2019proxystatement.htm" TargetMode="External"/><Relationship Id="rId30" Type="http://schemas.openxmlformats.org/officeDocument/2006/relationships/hyperlink" Target="http://www.sec.gov/Archives/edgar/data/1459839/000119312518297571/d486750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2020-01-21T15:08:00Z</dcterms:created>
  <dcterms:modified xsi:type="dcterms:W3CDTF">2020-01-21T15:08:00Z</dcterms:modified>
</cp:coreProperties>
</file>