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3"/>
          </w:tcPr>
          <w:p>
            <w:pPr>
              <w:ind w:left="2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Freund John Gordon</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180" w:type="dxa"/>
            <w:vAlign w:val="bottom"/>
            <w:gridSpan w:val="2"/>
          </w:tcPr>
          <w:p>
            <w:pPr>
              <w:ind w:left="2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SI-BONE,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60" w:type="dxa"/>
            <w:vAlign w:val="bottom"/>
            <w:gridSpan w:val="2"/>
            <w:vMerge w:val="continue"/>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2"/>
            <w:vMerge w:val="continue"/>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700" w:type="dxa"/>
            <w:vAlign w:val="bottom"/>
            <w:vMerge w:val="restart"/>
          </w:tcPr>
          <w:p>
            <w:pPr>
              <w:jc w:val="center"/>
              <w:ind w:left="149"/>
              <w:spacing w:after="0"/>
              <w:rPr>
                <w:sz w:val="20"/>
                <w:szCs w:val="20"/>
                <w:color w:val="auto"/>
              </w:rPr>
            </w:pPr>
            <w:r>
              <w:rPr>
                <w:rFonts w:ascii="Arial" w:cs="Arial" w:eastAsia="Arial" w:hAnsi="Arial"/>
                <w:sz w:val="17"/>
                <w:szCs w:val="17"/>
                <w:color w:val="0000FF"/>
              </w:rPr>
              <w:t>X</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10% Owner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820" w:type="dxa"/>
            <w:vAlign w:val="bottom"/>
            <w:gridSpan w:val="2"/>
            <w:vMerge w:val="restart"/>
          </w:tcPr>
          <w:p>
            <w:pPr>
              <w:ind w:left="280"/>
              <w:spacing w:after="0"/>
              <w:rPr>
                <w:sz w:val="20"/>
                <w:szCs w:val="20"/>
                <w:color w:val="auto"/>
              </w:rPr>
            </w:pPr>
            <w:r>
              <w:rPr>
                <w:rFonts w:ascii="Arial" w:cs="Arial" w:eastAsia="Arial" w:hAnsi="Arial"/>
                <w:sz w:val="13"/>
                <w:szCs w:val="13"/>
                <w:color w:val="auto"/>
              </w:rPr>
              <w:t>Officer (give title</w:t>
            </w: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Other (specify</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820" w:type="dxa"/>
            <w:vAlign w:val="bottom"/>
            <w:gridSpan w:val="2"/>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3"/>
            <w:vMerge w:val="restart"/>
          </w:tcPr>
          <w:p>
            <w:pPr>
              <w:ind w:left="2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80"/>
              <w:spacing w:after="0"/>
              <w:rPr>
                <w:sz w:val="20"/>
                <w:szCs w:val="20"/>
                <w:color w:val="auto"/>
              </w:rPr>
            </w:pPr>
            <w:r>
              <w:rPr>
                <w:rFonts w:ascii="Arial" w:cs="Arial" w:eastAsia="Arial" w:hAnsi="Arial"/>
                <w:sz w:val="13"/>
                <w:szCs w:val="13"/>
                <w:color w:val="auto"/>
              </w:rPr>
              <w:t>(First)</w:t>
            </w:r>
          </w:p>
        </w:tc>
        <w:tc>
          <w:tcPr>
            <w:tcW w:w="172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296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ind w:left="2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below)</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2"/>
            <w:vMerge w:val="restart"/>
          </w:tcPr>
          <w:p>
            <w:pPr>
              <w:spacing w:after="0"/>
              <w:rPr>
                <w:sz w:val="20"/>
                <w:szCs w:val="20"/>
                <w:color w:val="auto"/>
              </w:rPr>
            </w:pPr>
            <w:r>
              <w:rPr>
                <w:rFonts w:ascii="Arial" w:cs="Arial" w:eastAsia="Arial" w:hAnsi="Arial"/>
                <w:sz w:val="17"/>
                <w:szCs w:val="17"/>
                <w:color w:val="0000FF"/>
                <w:w w:val="99"/>
              </w:rPr>
              <w:t>C/O SKYLINE VENTURES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Pr>
          <w:p>
            <w:pPr>
              <w:ind w:left="20"/>
              <w:spacing w:after="0"/>
              <w:rPr>
                <w:sz w:val="20"/>
                <w:szCs w:val="20"/>
                <w:color w:val="auto"/>
              </w:rPr>
            </w:pPr>
            <w:r>
              <w:rPr>
                <w:rFonts w:ascii="Arial" w:cs="Arial" w:eastAsia="Arial" w:hAnsi="Arial"/>
                <w:sz w:val="17"/>
                <w:szCs w:val="17"/>
                <w:color w:val="0000FF"/>
              </w:rPr>
              <w:t>10/19/2020</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gridSpan w:val="2"/>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4"/>
            <w:vMerge w:val="restart"/>
          </w:tcPr>
          <w:p>
            <w:pPr>
              <w:spacing w:after="0"/>
              <w:rPr>
                <w:sz w:val="20"/>
                <w:szCs w:val="20"/>
                <w:color w:val="auto"/>
              </w:rPr>
            </w:pPr>
            <w:r>
              <w:rPr>
                <w:rFonts w:ascii="Arial" w:cs="Arial" w:eastAsia="Arial" w:hAnsi="Arial"/>
                <w:sz w:val="17"/>
                <w:szCs w:val="17"/>
                <w:color w:val="0000FF"/>
              </w:rPr>
              <w:t>525 UNIVERSITY AVENUE, SUITE 1350</w:t>
            </w:r>
          </w:p>
        </w:tc>
        <w:tc>
          <w:tcPr>
            <w:tcW w:w="6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3460" w:type="dxa"/>
            <w:vAlign w:val="bottom"/>
            <w:gridSpan w:val="4"/>
            <w:vMerge w:val="restart"/>
          </w:tcPr>
          <w:p>
            <w:pPr>
              <w:ind w:left="2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9"/>
                <w:szCs w:val="9"/>
                <w:color w:val="auto"/>
              </w:rPr>
            </w:pP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6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332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5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vMerge w:val="restart"/>
          </w:tcPr>
          <w:p>
            <w:pPr>
              <w:spacing w:after="0"/>
              <w:rPr>
                <w:sz w:val="5"/>
                <w:szCs w:val="5"/>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gridSpan w:val="6"/>
          </w:tcPr>
          <w:p>
            <w:pPr>
              <w:ind w:left="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PALO ALTO</w:t>
            </w:r>
          </w:p>
        </w:tc>
        <w:tc>
          <w:tcPr>
            <w:tcW w:w="920" w:type="dxa"/>
            <w:vAlign w:val="bottom"/>
          </w:tcPr>
          <w:p>
            <w:pPr>
              <w:ind w:left="80"/>
              <w:spacing w:after="0"/>
              <w:rPr>
                <w:sz w:val="20"/>
                <w:szCs w:val="20"/>
                <w:color w:val="auto"/>
              </w:rPr>
            </w:pPr>
            <w:r>
              <w:rPr>
                <w:rFonts w:ascii="Arial" w:cs="Arial" w:eastAsia="Arial" w:hAnsi="Arial"/>
                <w:sz w:val="17"/>
                <w:szCs w:val="17"/>
                <w:color w:val="0000FF"/>
              </w:rPr>
              <w:t>CA</w:t>
            </w:r>
          </w:p>
        </w:tc>
        <w:tc>
          <w:tcPr>
            <w:tcW w:w="1580" w:type="dxa"/>
            <w:vAlign w:val="bottom"/>
          </w:tcPr>
          <w:p>
            <w:pPr>
              <w:ind w:left="380"/>
              <w:spacing w:after="0"/>
              <w:rPr>
                <w:sz w:val="20"/>
                <w:szCs w:val="20"/>
                <w:color w:val="auto"/>
              </w:rPr>
            </w:pPr>
            <w:r>
              <w:rPr>
                <w:rFonts w:ascii="Arial" w:cs="Arial" w:eastAsia="Arial" w:hAnsi="Arial"/>
                <w:sz w:val="17"/>
                <w:szCs w:val="17"/>
                <w:color w:val="0000FF"/>
              </w:rPr>
              <w:t>94301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0" w:type="dxa"/>
            <w:vAlign w:val="bottom"/>
            <w:gridSpan w:val="5"/>
          </w:tcPr>
          <w:p>
            <w:pPr>
              <w:ind w:left="28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ind w:left="280"/>
              <w:spacing w:after="0" w:line="134" w:lineRule="exact"/>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72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6"/>
          </w:tcPr>
          <w:p>
            <w:pPr>
              <w:spacing w:after="0"/>
              <w:rPr>
                <w:sz w:val="11"/>
                <w:szCs w:val="11"/>
                <w:color w:val="auto"/>
              </w:rPr>
            </w:pPr>
          </w:p>
        </w:tc>
        <w:tc>
          <w:tcPr>
            <w:tcW w:w="320" w:type="dxa"/>
            <w:vAlign w:val="bottom"/>
            <w:tcBorders>
              <w:bottom w:val="single" w:sz="8" w:color="2C2C2C"/>
            </w:tcBorders>
            <w:gridSpan w:val="2"/>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69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6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920"/>
              <w:spacing w:after="0"/>
              <w:rPr>
                <w:sz w:val="20"/>
                <w:szCs w:val="20"/>
                <w:color w:val="auto"/>
              </w:rPr>
            </w:pPr>
            <w:r>
              <w:rPr>
                <w:rFonts w:ascii="Arial" w:cs="Arial" w:eastAsia="Arial" w:hAnsi="Arial"/>
                <w:sz w:val="12"/>
                <w:szCs w:val="12"/>
                <w:b w:val="1"/>
                <w:bCs w:val="1"/>
                <w:color w:val="auto"/>
                <w:w w:val="95"/>
              </w:rPr>
              <w:t>2. Transaction</w:t>
            </w:r>
          </w:p>
        </w:tc>
        <w:tc>
          <w:tcPr>
            <w:tcW w:w="1380" w:type="dxa"/>
            <w:vAlign w:val="bottom"/>
          </w:tcPr>
          <w:p>
            <w:pPr>
              <w:ind w:left="3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20" w:type="dxa"/>
            <w:vAlign w:val="bottom"/>
            <w:gridSpan w:val="3"/>
          </w:tcPr>
          <w:p>
            <w:pPr>
              <w:ind w:left="920"/>
              <w:spacing w:after="0" w:line="131" w:lineRule="exact"/>
              <w:rPr>
                <w:sz w:val="20"/>
                <w:szCs w:val="20"/>
                <w:color w:val="auto"/>
              </w:rPr>
            </w:pPr>
            <w:r>
              <w:rPr>
                <w:rFonts w:ascii="Arial" w:cs="Arial" w:eastAsia="Arial" w:hAnsi="Arial"/>
                <w:sz w:val="12"/>
                <w:szCs w:val="12"/>
                <w:b w:val="1"/>
                <w:bCs w:val="1"/>
                <w:color w:val="auto"/>
              </w:rPr>
              <w:t>Date</w:t>
            </w:r>
          </w:p>
        </w:tc>
        <w:tc>
          <w:tcPr>
            <w:tcW w:w="1380" w:type="dxa"/>
            <w:vAlign w:val="bottom"/>
          </w:tcPr>
          <w:p>
            <w:pPr>
              <w:ind w:left="3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100" w:type="dxa"/>
            <w:vAlign w:val="bottom"/>
            <w:gridSpan w:val="4"/>
          </w:tcPr>
          <w:p>
            <w:pPr>
              <w:ind w:left="92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(I) (Instr. 4)</w:t>
            </w:r>
          </w:p>
        </w:tc>
        <w:tc>
          <w:tcPr>
            <w:tcW w:w="2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jc w:val="right"/>
              <w:ind w:right="93"/>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Skyline</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920" w:type="dxa"/>
            <w:vAlign w:val="bottom"/>
          </w:tcPr>
          <w:p>
            <w:pPr>
              <w:spacing w:after="0"/>
              <w:rPr>
                <w:sz w:val="18"/>
                <w:szCs w:val="18"/>
                <w:color w:val="auto"/>
              </w:rPr>
            </w:pPr>
          </w:p>
        </w:tc>
        <w:tc>
          <w:tcPr>
            <w:tcW w:w="3100" w:type="dxa"/>
            <w:vAlign w:val="bottom"/>
            <w:gridSpan w:val="4"/>
            <w:vMerge w:val="restart"/>
          </w:tcPr>
          <w:p>
            <w:pPr>
              <w:ind w:left="1020"/>
              <w:spacing w:after="0"/>
              <w:rPr>
                <w:sz w:val="20"/>
                <w:szCs w:val="20"/>
                <w:color w:val="auto"/>
              </w:rPr>
            </w:pPr>
            <w:r>
              <w:rPr>
                <w:rFonts w:ascii="Arial" w:cs="Arial" w:eastAsia="Arial" w:hAnsi="Arial"/>
                <w:sz w:val="17"/>
                <w:szCs w:val="17"/>
                <w:color w:val="0000FF"/>
              </w:rPr>
              <w:t>10/19/2020</w:t>
            </w: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vMerge w:val="restart"/>
          </w:tcPr>
          <w:p>
            <w:pPr>
              <w:ind w:left="120"/>
              <w:spacing w:after="0"/>
              <w:rPr>
                <w:sz w:val="20"/>
                <w:szCs w:val="20"/>
                <w:color w:val="auto"/>
              </w:rPr>
            </w:pPr>
            <w:r>
              <w:rPr>
                <w:rFonts w:ascii="Arial" w:cs="Arial" w:eastAsia="Arial" w:hAnsi="Arial"/>
                <w:sz w:val="17"/>
                <w:szCs w:val="17"/>
                <w:color w:val="0000FF"/>
              </w:rPr>
              <w:t>190,053</w:t>
            </w:r>
          </w:p>
        </w:tc>
        <w:tc>
          <w:tcPr>
            <w:tcW w:w="50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540" w:type="dxa"/>
            <w:vAlign w:val="bottom"/>
            <w:gridSpan w:val="2"/>
            <w:vMerge w:val="restart"/>
          </w:tcPr>
          <w:p>
            <w:pPr>
              <w:jc w:val="right"/>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w:t>
            </w:r>
          </w:p>
        </w:tc>
        <w:tc>
          <w:tcPr>
            <w:tcW w:w="1200" w:type="dxa"/>
            <w:vAlign w:val="bottom"/>
            <w:gridSpan w:val="2"/>
            <w:vMerge w:val="restart"/>
          </w:tcPr>
          <w:p>
            <w:pPr>
              <w:jc w:val="right"/>
              <w:ind w:right="158"/>
              <w:spacing w:after="0"/>
              <w:rPr>
                <w:sz w:val="20"/>
                <w:szCs w:val="20"/>
                <w:color w:val="auto"/>
              </w:rPr>
            </w:pPr>
            <w:r>
              <w:rPr>
                <w:rFonts w:ascii="Arial" w:cs="Arial" w:eastAsia="Arial" w:hAnsi="Arial"/>
                <w:sz w:val="17"/>
                <w:szCs w:val="17"/>
                <w:color w:val="0000FF"/>
              </w:rPr>
              <w:t>2,129,932</w:t>
            </w:r>
          </w:p>
        </w:tc>
        <w:tc>
          <w:tcPr>
            <w:tcW w:w="700" w:type="dxa"/>
            <w:vAlign w:val="bottom"/>
            <w:vMerge w:val="restart"/>
          </w:tcPr>
          <w:p>
            <w:pPr>
              <w:jc w:val="center"/>
              <w:ind w:left="169"/>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Venture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920" w:type="dxa"/>
            <w:vAlign w:val="bottom"/>
          </w:tcPr>
          <w:p>
            <w:pPr>
              <w:spacing w:after="0"/>
              <w:rPr>
                <w:sz w:val="11"/>
                <w:szCs w:val="11"/>
                <w:color w:val="auto"/>
              </w:rPr>
            </w:pPr>
          </w:p>
        </w:tc>
        <w:tc>
          <w:tcPr>
            <w:tcW w:w="3100" w:type="dxa"/>
            <w:vAlign w:val="bottom"/>
            <w:gridSpan w:val="4"/>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7"/>
                <w:szCs w:val="17"/>
                <w:color w:val="0000FF"/>
              </w:rPr>
              <w:t>Partners V,</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By John</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Freund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178"/>
              <w:spacing w:after="0" w:line="213" w:lineRule="exact"/>
              <w:rPr>
                <w:sz w:val="20"/>
                <w:szCs w:val="20"/>
                <w:color w:val="auto"/>
              </w:rPr>
            </w:pPr>
            <w:r>
              <w:rPr>
                <w:rFonts w:ascii="Arial" w:cs="Arial" w:eastAsia="Arial" w:hAnsi="Arial"/>
                <w:sz w:val="17"/>
                <w:szCs w:val="17"/>
                <w:color w:val="0000FF"/>
              </w:rPr>
              <w:t>50,285</w:t>
            </w:r>
            <w:r>
              <w:rPr>
                <w:rFonts w:ascii="Arial" w:cs="Arial" w:eastAsia="Arial" w:hAnsi="Arial"/>
                <w:sz w:val="22"/>
                <w:szCs w:val="22"/>
                <w:color w:val="008000"/>
                <w:vertAlign w:val="superscript"/>
              </w:rPr>
              <w:t>(3)</w:t>
            </w:r>
          </w:p>
        </w:tc>
        <w:tc>
          <w:tcPr>
            <w:tcW w:w="700" w:type="dxa"/>
            <w:vAlign w:val="bottom"/>
          </w:tcPr>
          <w:p>
            <w:pPr>
              <w:jc w:val="center"/>
              <w:ind w:left="169"/>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rPr>
              <w:t>Family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7"/>
                <w:szCs w:val="17"/>
                <w:color w:val="0000FF"/>
                <w:w w:val="98"/>
              </w:rPr>
              <w:t>Partnership</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IV, L.P.</w:t>
            </w:r>
            <w:r>
              <w:rPr>
                <w:rFonts w:ascii="Arial" w:cs="Arial" w:eastAsia="Arial" w:hAnsi="Arial"/>
                <w:sz w:val="22"/>
                <w:szCs w:val="22"/>
                <w:color w:val="008000"/>
                <w:vertAlign w:val="superscript"/>
              </w:rPr>
              <w:t>(4)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15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13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-2309495</wp:posOffset>
            </wp:positionV>
            <wp:extent cx="7031355" cy="4086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086860"/>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in conjunction with the Issuer's public offering of common stock announced on October 14, 2020.</w:t>
      </w:r>
    </w:p>
    <w:p>
      <w:pPr>
        <w:spacing w:after="0" w:line="50" w:lineRule="exact"/>
        <w:rPr>
          <w:rFonts w:ascii="Arial" w:cs="Arial" w:eastAsia="Arial" w:hAnsi="Arial"/>
          <w:sz w:val="13"/>
          <w:szCs w:val="13"/>
          <w:color w:val="008000"/>
        </w:rPr>
      </w:pPr>
    </w:p>
    <w:p>
      <w:pPr>
        <w:ind w:left="40" w:right="34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by Skyline Venture Partners V, L.P. ("SVP V"). Skyline Venture Management V, LLC ("LLC") is the general partner of SVP V and as such may be deemed to have voting and investment power with respect to the securities of SVP V. Reporting Person, a member of Issuer's board of directors, is a managing director of LLC and may be deemed to have voting and investment power with respect to the securities held by SVP V. Reporting Person disclaims beneficial ownership of such securities, except to the extent of his pecuniary interest therein.</w:t>
      </w:r>
    </w:p>
    <w:p>
      <w:pPr>
        <w:spacing w:after="0" w:line="8" w:lineRule="exact"/>
        <w:rPr>
          <w:rFonts w:ascii="Arial" w:cs="Arial" w:eastAsia="Arial" w:hAnsi="Arial"/>
          <w:sz w:val="12"/>
          <w:szCs w:val="12"/>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acquired in a pro rata distribution from Skyline Venture Partners V, L.P.</w:t>
      </w:r>
    </w:p>
    <w:p>
      <w:pPr>
        <w:spacing w:after="0" w:line="50" w:lineRule="exact"/>
        <w:rPr>
          <w:rFonts w:ascii="Arial" w:cs="Arial" w:eastAsia="Arial" w:hAnsi="Arial"/>
          <w:sz w:val="13"/>
          <w:szCs w:val="13"/>
          <w:color w:val="008000"/>
        </w:rPr>
      </w:pPr>
    </w:p>
    <w:p>
      <w:pPr>
        <w:ind w:left="40" w:right="28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by John Freund Family Partnership IV, L.P. ("Family LP"). Reporting Person, a member of Issuer's board of directors, is a general partner of Family LP and may be deemed to have voting and investment power with respect to the securities held by Family LP. Reporting Person disclaims beneficial ownership of such securities, except to the extent of his pecuniary interest therein.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John G.</w:t>
      </w:r>
      <w:r>
        <w:rPr>
          <w:sz w:val="20"/>
          <w:szCs w:val="20"/>
          <w:color w:val="auto"/>
        </w:rPr>
        <w:tab/>
      </w:r>
      <w:r>
        <w:rPr>
          <w:rFonts w:ascii="Arial" w:cs="Arial" w:eastAsia="Arial" w:hAnsi="Arial"/>
          <w:sz w:val="15"/>
          <w:szCs w:val="15"/>
          <w:color w:val="0000FF"/>
        </w:rPr>
        <w:t>10/20/2020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96771"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2020-10-20T17:28:59Z</dcterms:created>
  <dcterms:modified xsi:type="dcterms:W3CDTF">2020-10-20T17:28:59Z</dcterms:modified>
</cp:coreProperties>
</file>