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71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RECUPERO ANTHONY J</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12/16/2020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97"/>
        <w:spacing w:after="0"/>
        <w:rPr>
          <w:sz w:val="20"/>
          <w:szCs w:val="20"/>
          <w:color w:val="auto"/>
        </w:rPr>
      </w:pPr>
      <w:r>
        <w:rPr>
          <w:rFonts w:ascii="Arial" w:cs="Arial" w:eastAsia="Arial" w:hAnsi="Arial"/>
          <w:sz w:val="17"/>
          <w:szCs w:val="17"/>
          <w:color w:val="0000FF"/>
        </w:rPr>
        <w:t>Chief Commercial Officer</w:t>
      </w:r>
    </w:p>
    <w:p>
      <w:pPr>
        <w:spacing w:after="0" w:line="390" w:lineRule="exact"/>
        <w:rPr>
          <w:sz w:val="24"/>
          <w:szCs w:val="24"/>
          <w:color w:val="auto"/>
        </w:rPr>
      </w:pPr>
    </w:p>
    <w:p>
      <w:pPr>
        <w:sectPr>
          <w:pgSz w:w="11900" w:h="16838" w:orient="portrait"/>
          <w:cols w:equalWidth="0" w:num="3">
            <w:col w:w="3200" w:space="720"/>
            <w:col w:w="3103" w:space="720"/>
            <w:col w:w="3337"/>
          </w:cols>
          <w:pgMar w:left="460" w:top="222" w:right="359" w:bottom="718"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2"/>
          </w:tcPr>
          <w:p>
            <w:pPr>
              <w:ind w:left="44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780" w:type="dxa"/>
            <w:vAlign w:val="bottom"/>
            <w:gridSpan w:val="12"/>
            <w:vMerge w:val="restart"/>
          </w:tcPr>
          <w:p>
            <w:pPr>
              <w:ind w:left="6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SANTA CLARA 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95050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80" w:type="dxa"/>
            <w:vAlign w:val="bottom"/>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9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gridSpan w:val="3"/>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3"/>
          </w:tcPr>
          <w:p>
            <w:pPr>
              <w:jc w:val="right"/>
              <w:ind w:right="95"/>
              <w:spacing w:after="0"/>
              <w:rPr>
                <w:sz w:val="20"/>
                <w:szCs w:val="20"/>
                <w:color w:val="auto"/>
              </w:rPr>
            </w:pPr>
            <w:r>
              <w:rPr>
                <w:rFonts w:ascii="Arial" w:cs="Arial" w:eastAsia="Arial" w:hAnsi="Arial"/>
                <w:sz w:val="17"/>
                <w:szCs w:val="17"/>
                <w:color w:val="0000FF"/>
              </w:rPr>
              <w:t>12/16/2020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3,000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7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4.32</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3"/>
          </w:tcPr>
          <w:p>
            <w:pPr>
              <w:jc w:val="center"/>
              <w:spacing w:after="0"/>
              <w:rPr>
                <w:sz w:val="20"/>
                <w:szCs w:val="20"/>
                <w:color w:val="auto"/>
              </w:rPr>
            </w:pPr>
            <w:r>
              <w:rPr>
                <w:rFonts w:ascii="Arial" w:cs="Arial" w:eastAsia="Arial" w:hAnsi="Arial"/>
                <w:sz w:val="17"/>
                <w:szCs w:val="17"/>
                <w:color w:val="0000FF"/>
                <w:w w:val="88"/>
              </w:rPr>
              <w:t>71,882</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Arial" w:cs="Arial" w:eastAsia="Arial" w:hAnsi="Arial"/>
                <w:sz w:val="17"/>
                <w:szCs w:val="17"/>
                <w:color w:val="0000FF"/>
              </w:rPr>
              <w:t>12/16/2020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1,872</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29.2896</w:t>
            </w:r>
            <w:r>
              <w:rPr>
                <w:rFonts w:ascii="Arial" w:cs="Arial" w:eastAsia="Arial" w:hAnsi="Arial"/>
                <w:sz w:val="21"/>
                <w:szCs w:val="21"/>
                <w:color w:val="008000"/>
                <w:w w:val="86"/>
                <w:vertAlign w:val="superscript"/>
              </w:rPr>
              <w:t>(2)</w:t>
            </w: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70,010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Arial" w:cs="Arial" w:eastAsia="Arial" w:hAnsi="Arial"/>
                <w:sz w:val="17"/>
                <w:szCs w:val="17"/>
                <w:color w:val="0000FF"/>
              </w:rPr>
              <w:t>12/16/2020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ind w:left="5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27.9</w:t>
            </w:r>
            <w:r>
              <w:rPr>
                <w:rFonts w:ascii="Arial" w:cs="Arial" w:eastAsia="Arial" w:hAnsi="Arial"/>
                <w:sz w:val="21"/>
                <w:szCs w:val="21"/>
                <w:color w:val="008000"/>
                <w:w w:val="87"/>
                <w:vertAlign w:val="superscript"/>
              </w:rPr>
              <w:t>(3)</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69,810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Arial" w:cs="Arial" w:eastAsia="Arial" w:hAnsi="Arial"/>
                <w:sz w:val="17"/>
                <w:szCs w:val="17"/>
                <w:color w:val="0000FF"/>
              </w:rPr>
              <w:t>12/16/2020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928</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29.8821</w:t>
            </w:r>
            <w:r>
              <w:rPr>
                <w:rFonts w:ascii="Arial" w:cs="Arial" w:eastAsia="Arial" w:hAnsi="Arial"/>
                <w:sz w:val="21"/>
                <w:szCs w:val="21"/>
                <w:color w:val="008000"/>
                <w:w w:val="86"/>
                <w:vertAlign w:val="superscript"/>
              </w:rPr>
              <w:t>(4)</w:t>
            </w: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68,882</w:t>
            </w:r>
            <w:r>
              <w:rPr>
                <w:rFonts w:ascii="Arial" w:cs="Arial" w:eastAsia="Arial" w:hAnsi="Arial"/>
                <w:sz w:val="21"/>
                <w:szCs w:val="21"/>
                <w:color w:val="008000"/>
                <w:w w:val="86"/>
                <w:vertAlign w:val="superscript"/>
              </w:rPr>
              <w:t>(5)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center"/>
              <w:ind w:left="49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4.32</w:t>
            </w:r>
          </w:p>
        </w:tc>
        <w:tc>
          <w:tcPr>
            <w:tcW w:w="1040" w:type="dxa"/>
            <w:vAlign w:val="bottom"/>
            <w:vMerge w:val="restart"/>
          </w:tcPr>
          <w:p>
            <w:pPr>
              <w:ind w:left="240"/>
              <w:spacing w:after="0"/>
              <w:rPr>
                <w:sz w:val="20"/>
                <w:szCs w:val="20"/>
                <w:color w:val="auto"/>
              </w:rPr>
            </w:pPr>
            <w:r>
              <w:rPr>
                <w:rFonts w:ascii="Arial" w:cs="Arial" w:eastAsia="Arial" w:hAnsi="Arial"/>
                <w:sz w:val="13"/>
                <w:szCs w:val="13"/>
                <w:color w:val="0000FF"/>
              </w:rPr>
              <w:t>12/16/2020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jc w:val="right"/>
              <w:ind w:right="75"/>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w w:val="98"/>
              </w:rPr>
              <w:t>3,000</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2"/>
              </w:rPr>
              <w:t>07/26/2026</w:t>
            </w:r>
          </w:p>
        </w:tc>
        <w:tc>
          <w:tcPr>
            <w:tcW w:w="560" w:type="dxa"/>
            <w:vAlign w:val="bottom"/>
          </w:tcPr>
          <w:p>
            <w:pPr>
              <w:ind w:left="80"/>
              <w:spacing w:after="0" w:line="143" w:lineRule="exact"/>
              <w:rPr>
                <w:sz w:val="20"/>
                <w:szCs w:val="20"/>
                <w:color w:val="auto"/>
              </w:rPr>
            </w:pPr>
            <w:r>
              <w:rPr>
                <w:rFonts w:ascii="Arial" w:cs="Arial" w:eastAsia="Arial" w:hAnsi="Arial"/>
                <w:sz w:val="13"/>
                <w:szCs w:val="13"/>
                <w:color w:val="0000FF"/>
                <w:w w:val="87"/>
              </w:rPr>
              <w:t>Common</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3,000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99,190</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-3792855</wp:posOffset>
            </wp:positionV>
            <wp:extent cx="7033260" cy="3933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9331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45" w:lineRule="exact"/>
        <w:rPr>
          <w:rFonts w:ascii="Arial" w:cs="Arial" w:eastAsia="Arial" w:hAnsi="Arial"/>
          <w:sz w:val="13"/>
          <w:szCs w:val="13"/>
          <w:color w:val="008000"/>
        </w:rPr>
      </w:pPr>
    </w:p>
    <w:p>
      <w:pPr>
        <w:ind w:left="40" w:right="3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$28.72 to $29.69,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31" w:lineRule="exact"/>
        <w:rPr>
          <w:rFonts w:ascii="Arial" w:cs="Arial" w:eastAsia="Arial" w:hAnsi="Arial"/>
          <w:sz w:val="13"/>
          <w:szCs w:val="13"/>
          <w:color w:val="008000"/>
        </w:rPr>
      </w:pPr>
    </w:p>
    <w:p>
      <w:pPr>
        <w:ind w:left="40" w:right="3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$27.72 to $28.08,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31" w:lineRule="exact"/>
        <w:rPr>
          <w:rFonts w:ascii="Arial" w:cs="Arial" w:eastAsia="Arial" w:hAnsi="Arial"/>
          <w:sz w:val="13"/>
          <w:szCs w:val="13"/>
          <w:color w:val="008000"/>
        </w:rPr>
      </w:pPr>
    </w:p>
    <w:p>
      <w:pPr>
        <w:ind w:left="40" w:right="3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$29.72 to $30.15,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31" w:lineRule="exact"/>
        <w:rPr>
          <w:rFonts w:ascii="Arial" w:cs="Arial" w:eastAsia="Arial" w:hAnsi="Arial"/>
          <w:sz w:val="13"/>
          <w:szCs w:val="13"/>
          <w:color w:val="008000"/>
        </w:rPr>
      </w:pPr>
    </w:p>
    <w:p>
      <w:pPr>
        <w:ind w:left="40" w:right="22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57,057 shares issuable on the settlement of restricted stock units granted to the Reporting Person. Each restricted stock unit represents a contingent right to receive one share of the Issuer's common stock.</w:t>
      </w:r>
    </w:p>
    <w:p>
      <w:pPr>
        <w:spacing w:after="0" w:line="23" w:lineRule="exact"/>
        <w:rPr>
          <w:rFonts w:ascii="Arial" w:cs="Arial" w:eastAsia="Arial" w:hAnsi="Arial"/>
          <w:sz w:val="13"/>
          <w:szCs w:val="13"/>
          <w:color w:val="008000"/>
        </w:rPr>
      </w:pPr>
    </w:p>
    <w:p>
      <w:pPr>
        <w:ind w:left="40" w:right="16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vest in equal monthly installments over four years commencing on vesting commencement date, subject to Reporting Person's continued service through each relevant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014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Anthony</w:t>
      </w:r>
      <w:r>
        <w:rPr>
          <w:sz w:val="20"/>
          <w:szCs w:val="20"/>
          <w:color w:val="auto"/>
        </w:rPr>
        <w:tab/>
      </w:r>
      <w:r>
        <w:rPr>
          <w:rFonts w:ascii="Arial" w:cs="Arial" w:eastAsia="Arial" w:hAnsi="Arial"/>
          <w:sz w:val="15"/>
          <w:szCs w:val="15"/>
          <w:color w:val="0000FF"/>
        </w:rPr>
        <w:t>12/18/2020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506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71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0230"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2020-12-18T15:58:58Z</dcterms:created>
  <dcterms:modified xsi:type="dcterms:W3CDTF">2020-12-18T15:58:58Z</dcterms:modified>
</cp:coreProperties>
</file>