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LAURA</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01/05/2021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1"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vMerge w:val="continue"/>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01/05/2021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49,280</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180,616</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January 1, 2021 and will be released in quarterly installments commencing on May 15, 2021, subject to the Reporting Person's continued service through each relevant vesting date.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1"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121,456 shares issuable on the settlement of restricted stock units granted to the Reporting Person. Each restricted stock unit represents a contingent right to receive one share of the Issuer's common stock.</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Laura A.</w:t>
        <w:tab/>
        <w:t>01/07/2021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238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2385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2021-01-07T16:36:43Z</dcterms:created>
  <dcterms:modified xsi:type="dcterms:W3CDTF">2021-01-07T16:36:43Z</dcterms:modified>
</cp:coreProperties>
</file>