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
        <w:spacing w:after="0"/>
        <w:rPr>
          <w:sz w:val="20"/>
          <w:szCs w:val="20"/>
          <w:color w:val="auto"/>
        </w:rPr>
      </w:pPr>
      <w:r>
        <w:rPr>
          <w:rFonts w:ascii="Arial" w:cs="Arial" w:eastAsia="Arial" w:hAnsi="Arial"/>
          <w:sz w:val="34"/>
          <w:szCs w:val="34"/>
          <w:b w:val="1"/>
          <w:bCs w:val="1"/>
          <w:color w:val="auto"/>
        </w:rPr>
        <w:drawing>
          <wp:anchor simplePos="0" relativeHeight="251657728" behindDoc="1" locked="0" layoutInCell="0" allowOverlap="1">
            <wp:simplePos x="0" y="0"/>
            <wp:positionH relativeFrom="page">
              <wp:posOffset>59690</wp:posOffset>
            </wp:positionH>
            <wp:positionV relativeFrom="page">
              <wp:posOffset>349250</wp:posOffset>
            </wp:positionV>
            <wp:extent cx="7650480" cy="438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50480" cy="43815"/>
                    </a:xfrm>
                    <a:prstGeom prst="rect">
                      <a:avLst/>
                    </a:prstGeom>
                    <a:noFill/>
                  </pic:spPr>
                </pic:pic>
              </a:graphicData>
            </a:graphic>
          </wp:anchor>
        </w:drawing>
        <w:t>UNITED STATES</w:t>
      </w:r>
    </w:p>
    <w:p>
      <w:pPr>
        <w:spacing w:after="0" w:line="48"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SECURITIES AND EXCHANGE COMMISSION</w:t>
      </w:r>
    </w:p>
    <w:p>
      <w:pPr>
        <w:spacing w:after="0" w:line="10"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57150</wp:posOffset>
            </wp:positionV>
            <wp:extent cx="7650480" cy="438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1" w:lineRule="exact"/>
        <w:rPr>
          <w:sz w:val="24"/>
          <w:szCs w:val="24"/>
          <w:color w:val="auto"/>
        </w:rPr>
      </w:pPr>
    </w:p>
    <w:p>
      <w:pPr>
        <w:jc w:val="center"/>
        <w:ind w:right="-5"/>
        <w:spacing w:after="0"/>
        <w:rPr>
          <w:sz w:val="20"/>
          <w:szCs w:val="20"/>
          <w:color w:val="auto"/>
        </w:rPr>
      </w:pPr>
      <w:r>
        <w:rPr>
          <w:rFonts w:ascii="Arial" w:cs="Arial" w:eastAsia="Arial" w:hAnsi="Arial"/>
          <w:sz w:val="34"/>
          <w:szCs w:val="34"/>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257175</wp:posOffset>
            </wp:positionV>
            <wp:extent cx="7650480" cy="438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5"/>
        <w:spacing w:after="0"/>
        <w:rPr>
          <w:sz w:val="20"/>
          <w:szCs w:val="20"/>
          <w:color w:val="auto"/>
        </w:rPr>
      </w:pPr>
      <w:r>
        <w:rPr>
          <w:rFonts w:ascii="Arial" w:cs="Arial" w:eastAsia="Arial" w:hAnsi="Arial"/>
          <w:sz w:val="23"/>
          <w:szCs w:val="23"/>
          <w:b w:val="1"/>
          <w:bCs w:val="1"/>
          <w:color w:val="auto"/>
        </w:rPr>
        <w:t>CURRENT REPORT</w:t>
      </w:r>
    </w:p>
    <w:p>
      <w:pPr>
        <w:spacing w:after="0" w:line="32" w:lineRule="exact"/>
        <w:rPr>
          <w:sz w:val="24"/>
          <w:szCs w:val="24"/>
          <w:color w:val="auto"/>
        </w:rPr>
      </w:pPr>
    </w:p>
    <w:p>
      <w:pPr>
        <w:jc w:val="center"/>
        <w:ind w:right="-5"/>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Date of Report (Date of earliest event reported): January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78740</wp:posOffset>
            </wp:positionV>
            <wp:extent cx="7650480" cy="438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pacing w:after="0" w:line="236" w:lineRule="exact"/>
        <w:rPr>
          <w:sz w:val="24"/>
          <w:szCs w:val="24"/>
          <w:color w:val="auto"/>
        </w:rPr>
      </w:pPr>
    </w:p>
    <w:p>
      <w:pPr>
        <w:jc w:val="center"/>
        <w:ind w:right="-5"/>
        <w:spacing w:after="0"/>
        <w:rPr>
          <w:sz w:val="20"/>
          <w:szCs w:val="20"/>
          <w:color w:val="auto"/>
        </w:rPr>
      </w:pPr>
      <w:r>
        <w:rPr>
          <w:rFonts w:ascii="Arial" w:cs="Arial" w:eastAsia="Arial" w:hAnsi="Arial"/>
          <w:sz w:val="46"/>
          <w:szCs w:val="46"/>
          <w:b w:val="1"/>
          <w:bCs w:val="1"/>
          <w:color w:val="auto"/>
        </w:rPr>
        <w:t>SI-BONE, INC.</w:t>
      </w:r>
    </w:p>
    <w:p>
      <w:pPr>
        <w:spacing w:after="0" w:line="45" w:lineRule="exact"/>
        <w:rPr>
          <w:sz w:val="24"/>
          <w:szCs w:val="24"/>
          <w:color w:val="auto"/>
        </w:rPr>
      </w:pPr>
    </w:p>
    <w:p>
      <w:pPr>
        <w:jc w:val="center"/>
        <w:ind w:right="-5"/>
        <w:spacing w:after="0"/>
        <w:rPr>
          <w:sz w:val="20"/>
          <w:szCs w:val="20"/>
          <w:color w:val="auto"/>
        </w:rPr>
      </w:pPr>
      <w:r>
        <w:rPr>
          <w:rFonts w:ascii="Arial" w:cs="Arial" w:eastAsia="Arial" w:hAnsi="Arial"/>
          <w:sz w:val="19"/>
          <w:szCs w:val="19"/>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236855</wp:posOffset>
            </wp:positionV>
            <wp:extent cx="7650480" cy="438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6"/>
          </w:cols>
          <w:pgMar w:left="114" w:top="753" w:right="12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ind w:left="1666"/>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360"/>
        <w:spacing w:after="0"/>
        <w:rPr>
          <w:sz w:val="20"/>
          <w:szCs w:val="20"/>
          <w:color w:val="auto"/>
        </w:rPr>
      </w:pPr>
      <w:r>
        <w:rPr>
          <w:rFonts w:ascii="Arial" w:cs="Arial" w:eastAsia="Arial" w:hAnsi="Arial"/>
          <w:sz w:val="17"/>
          <w:szCs w:val="17"/>
          <w:b w:val="1"/>
          <w:bCs w:val="1"/>
          <w:color w:val="auto"/>
        </w:rPr>
        <w:t>001-38701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26-2216351</w:t>
      </w:r>
    </w:p>
    <w:p>
      <w:pPr>
        <w:spacing w:after="0" w:line="95" w:lineRule="exact"/>
        <w:rPr>
          <w:sz w:val="24"/>
          <w:szCs w:val="24"/>
          <w:color w:val="auto"/>
        </w:rPr>
      </w:pPr>
    </w:p>
    <w:p>
      <w:pPr>
        <w:sectPr>
          <w:pgSz w:w="12240" w:h="15840" w:orient="portrait"/>
          <w:cols w:equalWidth="0" w:num="3">
            <w:col w:w="4946" w:space="720"/>
            <w:col w:w="3180" w:space="720"/>
            <w:col w:w="2440"/>
          </w:cols>
          <w:pgMar w:left="114" w:top="753" w:right="120" w:bottom="1440" w:gutter="0" w:footer="0" w:header="0"/>
          <w:type w:val="continuous"/>
        </w:sectPr>
      </w:pPr>
    </w:p>
    <w:p>
      <w:pPr>
        <w:jc w:val="center"/>
        <w:ind w:right="434"/>
        <w:spacing w:after="0"/>
        <w:rPr>
          <w:sz w:val="20"/>
          <w:szCs w:val="20"/>
          <w:color w:val="auto"/>
        </w:rPr>
      </w:pPr>
      <w:r>
        <w:rPr>
          <w:rFonts w:ascii="Arial" w:cs="Arial" w:eastAsia="Arial" w:hAnsi="Arial"/>
          <w:sz w:val="12"/>
          <w:szCs w:val="12"/>
          <w:b w:val="1"/>
          <w:bCs w:val="1"/>
          <w:color w:val="auto"/>
        </w:rPr>
        <w:t>(State or Other Jurisdiction</w:t>
      </w:r>
    </w:p>
    <w:p>
      <w:pPr>
        <w:spacing w:after="0" w:line="35" w:lineRule="exact"/>
        <w:rPr>
          <w:sz w:val="24"/>
          <w:szCs w:val="24"/>
          <w:color w:val="auto"/>
        </w:rPr>
      </w:pPr>
    </w:p>
    <w:p>
      <w:pPr>
        <w:jc w:val="center"/>
        <w:ind w:right="434"/>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1840"/>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1420"/>
        <w:spacing w:after="0"/>
        <w:rPr>
          <w:sz w:val="20"/>
          <w:szCs w:val="20"/>
          <w:color w:val="auto"/>
        </w:rPr>
      </w:pPr>
      <w:r>
        <w:rPr>
          <w:rFonts w:ascii="Arial" w:cs="Arial" w:eastAsia="Arial" w:hAnsi="Arial"/>
          <w:sz w:val="14"/>
          <w:szCs w:val="14"/>
          <w:b w:val="1"/>
          <w:bCs w:val="1"/>
          <w:color w:val="auto"/>
        </w:rPr>
        <w:t>(IRS Employer</w:t>
      </w:r>
    </w:p>
    <w:p>
      <w:pPr>
        <w:spacing w:after="0" w:line="12" w:lineRule="exact"/>
        <w:rPr>
          <w:sz w:val="24"/>
          <w:szCs w:val="24"/>
          <w:color w:val="auto"/>
        </w:rPr>
      </w:pPr>
    </w:p>
    <w:p>
      <w:pPr>
        <w:jc w:val="center"/>
        <w:ind w:right="14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2240" w:h="15840" w:orient="portrait"/>
          <w:cols w:equalWidth="0" w:num="3">
            <w:col w:w="4526" w:space="720"/>
            <w:col w:w="3500" w:space="720"/>
            <w:col w:w="2540"/>
          </w:cols>
          <w:pgMar w:left="114" w:top="753" w:right="120" w:bottom="1440" w:gutter="0" w:footer="0" w:header="0"/>
          <w:type w:val="continuous"/>
        </w:sectPr>
      </w:pPr>
    </w:p>
    <w:p>
      <w:pPr>
        <w:spacing w:after="0" w:line="117" w:lineRule="exact"/>
        <w:rPr>
          <w:sz w:val="24"/>
          <w:szCs w:val="24"/>
          <w:color w:val="auto"/>
        </w:rPr>
      </w:pPr>
    </w:p>
    <w:p>
      <w:pPr>
        <w:jc w:val="center"/>
        <w:ind w:left="3086"/>
        <w:spacing w:after="0"/>
        <w:rPr>
          <w:sz w:val="20"/>
          <w:szCs w:val="20"/>
          <w:color w:val="auto"/>
        </w:rPr>
      </w:pPr>
      <w:r>
        <w:rPr>
          <w:rFonts w:ascii="Arial" w:cs="Arial" w:eastAsia="Arial" w:hAnsi="Arial"/>
          <w:sz w:val="17"/>
          <w:szCs w:val="17"/>
          <w:b w:val="1"/>
          <w:bCs w:val="1"/>
          <w:color w:val="auto"/>
        </w:rPr>
        <w:t>471 El Camino Real</w:t>
      </w:r>
    </w:p>
    <w:p>
      <w:pPr>
        <w:spacing w:after="0" w:line="52" w:lineRule="exact"/>
        <w:rPr>
          <w:sz w:val="24"/>
          <w:szCs w:val="24"/>
          <w:color w:val="auto"/>
        </w:rPr>
      </w:pPr>
    </w:p>
    <w:p>
      <w:pPr>
        <w:jc w:val="center"/>
        <w:ind w:left="3086"/>
        <w:spacing w:after="0"/>
        <w:rPr>
          <w:sz w:val="20"/>
          <w:szCs w:val="20"/>
          <w:color w:val="auto"/>
        </w:rPr>
      </w:pPr>
      <w:r>
        <w:rPr>
          <w:rFonts w:ascii="Arial" w:cs="Arial" w:eastAsia="Arial" w:hAnsi="Arial"/>
          <w:sz w:val="19"/>
          <w:szCs w:val="19"/>
          <w:b w:val="1"/>
          <w:bCs w:val="1"/>
          <w:color w:val="auto"/>
        </w:rPr>
        <w:t>Suite 101</w:t>
      </w:r>
    </w:p>
    <w:p>
      <w:pPr>
        <w:spacing w:after="0" w:line="10" w:lineRule="exact"/>
        <w:rPr>
          <w:sz w:val="24"/>
          <w:szCs w:val="24"/>
          <w:color w:val="auto"/>
        </w:rPr>
      </w:pPr>
    </w:p>
    <w:p>
      <w:pPr>
        <w:jc w:val="center"/>
        <w:ind w:left="3086"/>
        <w:spacing w:after="0"/>
        <w:rPr>
          <w:sz w:val="20"/>
          <w:szCs w:val="20"/>
          <w:color w:val="auto"/>
        </w:rPr>
      </w:pPr>
      <w:r>
        <w:rPr>
          <w:rFonts w:ascii="Arial" w:cs="Arial" w:eastAsia="Arial" w:hAnsi="Arial"/>
          <w:sz w:val="19"/>
          <w:szCs w:val="19"/>
          <w:b w:val="1"/>
          <w:bCs w:val="1"/>
          <w:color w:val="auto"/>
        </w:rPr>
        <w:t>Santa Clara, CA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95050</w:t>
      </w:r>
    </w:p>
    <w:p>
      <w:pPr>
        <w:spacing w:after="0" w:line="166" w:lineRule="exact"/>
        <w:rPr>
          <w:sz w:val="24"/>
          <w:szCs w:val="24"/>
          <w:color w:val="auto"/>
        </w:rPr>
      </w:pPr>
    </w:p>
    <w:p>
      <w:pPr>
        <w:sectPr>
          <w:pgSz w:w="12240" w:h="15840" w:orient="portrait"/>
          <w:cols w:equalWidth="0" w:num="2">
            <w:col w:w="9066" w:space="720"/>
            <w:col w:w="2220"/>
          </w:cols>
          <w:pgMar w:left="114" w:top="753" w:right="120" w:bottom="1440" w:gutter="0" w:footer="0" w:header="0"/>
          <w:type w:val="continuous"/>
        </w:sectPr>
      </w:pPr>
    </w:p>
    <w:p>
      <w:pPr>
        <w:spacing w:after="0" w:line="4" w:lineRule="exact"/>
        <w:rPr>
          <w:sz w:val="24"/>
          <w:szCs w:val="24"/>
          <w:color w:val="auto"/>
        </w:rPr>
      </w:pPr>
    </w:p>
    <w:p>
      <w:pPr>
        <w:ind w:left="4906"/>
        <w:spacing w:after="0"/>
        <w:rPr>
          <w:sz w:val="20"/>
          <w:szCs w:val="20"/>
          <w:color w:val="auto"/>
        </w:rPr>
      </w:pPr>
      <w:r>
        <w:rPr>
          <w:rFonts w:ascii="Arial" w:cs="Arial" w:eastAsia="Arial" w:hAnsi="Arial"/>
          <w:sz w:val="13"/>
          <w:szCs w:val="13"/>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1" w:lineRule="exact"/>
        <w:rPr>
          <w:sz w:val="24"/>
          <w:szCs w:val="24"/>
          <w:color w:val="auto"/>
        </w:rPr>
      </w:pPr>
    </w:p>
    <w:p>
      <w:pPr>
        <w:sectPr>
          <w:pgSz w:w="12240" w:h="15840" w:orient="portrait"/>
          <w:cols w:equalWidth="0" w:num="2">
            <w:col w:w="8986" w:space="720"/>
            <w:col w:w="2300"/>
          </w:cols>
          <w:pgMar w:left="114" w:top="753" w:right="120" w:bottom="1440" w:gutter="0" w:footer="0" w:header="0"/>
          <w:type w:val="continuous"/>
        </w:sectPr>
      </w:pPr>
    </w:p>
    <w:p>
      <w:pPr>
        <w:jc w:val="center"/>
        <w:ind w:right="14"/>
        <w:spacing w:after="0"/>
        <w:rPr>
          <w:sz w:val="20"/>
          <w:szCs w:val="20"/>
          <w:color w:val="auto"/>
        </w:rPr>
      </w:pPr>
      <w:r>
        <w:rPr>
          <w:rFonts w:ascii="Arial" w:cs="Arial" w:eastAsia="Arial" w:hAnsi="Arial"/>
          <w:sz w:val="17"/>
          <w:szCs w:val="17"/>
          <w:b w:val="1"/>
          <w:bCs w:val="1"/>
          <w:color w:val="auto"/>
        </w:rPr>
        <w:t>Registrant’s Telephone Number, Including Area Code: (408) 207-0700</w:t>
      </w:r>
    </w:p>
    <w:p>
      <w:pPr>
        <w:spacing w:after="0" w:line="204" w:lineRule="exact"/>
        <w:rPr>
          <w:sz w:val="24"/>
          <w:szCs w:val="24"/>
          <w:color w:val="auto"/>
        </w:rPr>
      </w:pPr>
    </w:p>
    <w:p>
      <w:pPr>
        <w:jc w:val="center"/>
        <w:ind w:right="14"/>
        <w:spacing w:after="0"/>
        <w:rPr>
          <w:sz w:val="20"/>
          <w:szCs w:val="20"/>
          <w:color w:val="auto"/>
        </w:rPr>
      </w:pPr>
      <w:r>
        <w:rPr>
          <w:rFonts w:ascii="Arial" w:cs="Arial" w:eastAsia="Arial" w:hAnsi="Arial"/>
          <w:sz w:val="19"/>
          <w:szCs w:val="19"/>
          <w:b w:val="1"/>
          <w:bCs w:val="1"/>
          <w:color w:val="auto"/>
        </w:rPr>
        <w:t>Not Applicable</w:t>
      </w:r>
    </w:p>
    <w:p>
      <w:pPr>
        <w:spacing w:after="0" w:line="23" w:lineRule="exact"/>
        <w:rPr>
          <w:sz w:val="24"/>
          <w:szCs w:val="24"/>
          <w:color w:val="auto"/>
        </w:rPr>
      </w:pPr>
    </w:p>
    <w:p>
      <w:pPr>
        <w:jc w:val="center"/>
        <w:ind w:right="-5"/>
        <w:spacing w:after="0"/>
        <w:rPr>
          <w:sz w:val="20"/>
          <w:szCs w:val="20"/>
          <w:color w:val="auto"/>
        </w:rPr>
      </w:pPr>
      <w:r>
        <w:rPr>
          <w:rFonts w:ascii="Arial" w:cs="Arial" w:eastAsia="Arial" w:hAnsi="Arial"/>
          <w:sz w:val="15"/>
          <w:szCs w:val="15"/>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63500</wp:posOffset>
            </wp:positionV>
            <wp:extent cx="7650480" cy="438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6"/>
          </w:cols>
          <w:pgMar w:left="114" w:top="753" w:right="120" w:bottom="1440" w:gutter="0" w:footer="0" w:header="0"/>
          <w:type w:val="continuous"/>
        </w:sectPr>
      </w:pPr>
    </w:p>
    <w:p>
      <w:pPr>
        <w:spacing w:after="0" w:line="248" w:lineRule="exact"/>
        <w:rPr>
          <w:sz w:val="24"/>
          <w:szCs w:val="24"/>
          <w:color w:val="auto"/>
        </w:rPr>
      </w:pPr>
    </w:p>
    <w:p>
      <w:pPr>
        <w:ind w:left="6" w:right="80"/>
        <w:spacing w:after="0" w:line="275"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 (see General Instructions A.2. below):</w:t>
      </w:r>
    </w:p>
    <w:p>
      <w:pPr>
        <w:spacing w:after="0" w:line="70" w:lineRule="exact"/>
        <w:rPr>
          <w:sz w:val="24"/>
          <w:szCs w:val="24"/>
          <w:color w:val="auto"/>
        </w:rPr>
      </w:pPr>
    </w:p>
    <w:p>
      <w:pPr>
        <w:ind w:left="466" w:hanging="466"/>
        <w:spacing w:after="0"/>
        <w:tabs>
          <w:tab w:leader="none" w:pos="4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123" w:lineRule="exact"/>
        <w:rPr>
          <w:rFonts w:ascii="MS PGothic" w:cs="MS PGothic" w:eastAsia="MS PGothic" w:hAnsi="MS PGothic"/>
          <w:sz w:val="19"/>
          <w:szCs w:val="19"/>
          <w:color w:val="auto"/>
        </w:rPr>
      </w:pPr>
    </w:p>
    <w:p>
      <w:pPr>
        <w:ind w:left="466" w:hanging="466"/>
        <w:spacing w:after="0"/>
        <w:tabs>
          <w:tab w:leader="none" w:pos="4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123" w:lineRule="exact"/>
        <w:rPr>
          <w:rFonts w:ascii="MS PGothic" w:cs="MS PGothic" w:eastAsia="MS PGothic" w:hAnsi="MS PGothic"/>
          <w:sz w:val="19"/>
          <w:szCs w:val="19"/>
          <w:color w:val="auto"/>
        </w:rPr>
      </w:pPr>
    </w:p>
    <w:p>
      <w:pPr>
        <w:ind w:left="466" w:hanging="466"/>
        <w:spacing w:after="0"/>
        <w:tabs>
          <w:tab w:leader="none" w:pos="4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123" w:lineRule="exact"/>
        <w:rPr>
          <w:rFonts w:ascii="MS PGothic" w:cs="MS PGothic" w:eastAsia="MS PGothic" w:hAnsi="MS PGothic"/>
          <w:sz w:val="19"/>
          <w:szCs w:val="19"/>
          <w:color w:val="auto"/>
        </w:rPr>
      </w:pPr>
    </w:p>
    <w:p>
      <w:pPr>
        <w:ind w:left="466" w:hanging="466"/>
        <w:spacing w:after="0"/>
        <w:tabs>
          <w:tab w:leader="none" w:pos="466"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181" w:lineRule="exact"/>
        <w:rPr>
          <w:sz w:val="24"/>
          <w:szCs w:val="24"/>
          <w:color w:val="auto"/>
        </w:rPr>
      </w:pPr>
    </w:p>
    <w:p>
      <w:pPr>
        <w:ind w:left="6" w:right="640"/>
        <w:spacing w:after="0" w:line="275"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41" w:lineRule="exact"/>
        <w:rPr>
          <w:sz w:val="24"/>
          <w:szCs w:val="24"/>
          <w:color w:val="auto"/>
        </w:rPr>
      </w:pPr>
    </w:p>
    <w:p>
      <w:pPr>
        <w:ind w:left="9806"/>
        <w:spacing w:after="0"/>
        <w:rPr>
          <w:sz w:val="20"/>
          <w:szCs w:val="20"/>
          <w:color w:val="auto"/>
        </w:rPr>
      </w:pPr>
      <w:r>
        <w:rPr>
          <w:rFonts w:ascii="Arial" w:cs="Arial" w:eastAsia="Arial" w:hAnsi="Arial"/>
          <w:sz w:val="17"/>
          <w:szCs w:val="17"/>
          <w:color w:val="auto"/>
        </w:rPr>
        <w:t xml:space="preserve">Emerging growth company </w:t>
      </w:r>
      <w:r>
        <w:rPr>
          <w:rFonts w:ascii="Arial" w:cs="Arial" w:eastAsia="Arial" w:hAnsi="Arial"/>
          <w:sz w:val="15"/>
          <w:szCs w:val="15"/>
          <w:color w:val="auto"/>
        </w:rPr>
        <w:t>ý</w:t>
      </w:r>
    </w:p>
    <w:p>
      <w:pPr>
        <w:spacing w:after="0" w:line="190" w:lineRule="exact"/>
        <w:rPr>
          <w:sz w:val="24"/>
          <w:szCs w:val="24"/>
          <w:color w:val="auto"/>
        </w:rPr>
      </w:pPr>
    </w:p>
    <w:p>
      <w:pPr>
        <w:ind w:left="6" w:right="100"/>
        <w:spacing w:after="0" w:line="245"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47625</wp:posOffset>
            </wp:positionV>
            <wp:extent cx="7650480" cy="438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50480" cy="43815"/>
                    </a:xfrm>
                    <a:prstGeom prst="rect">
                      <a:avLst/>
                    </a:prstGeom>
                    <a:noFill/>
                  </pic:spPr>
                </pic:pic>
              </a:graphicData>
            </a:graphic>
          </wp:anchor>
        </w:drawing>
      </w:r>
    </w:p>
    <w:p>
      <w:pPr>
        <w:sectPr>
          <w:pgSz w:w="12240" w:h="15840" w:orient="portrait"/>
          <w:cols w:equalWidth="0" w:num="1">
            <w:col w:w="12006"/>
          </w:cols>
          <w:pgMar w:left="114" w:top="753" w:right="120" w:bottom="1440" w:gutter="0" w:footer="0" w:header="0"/>
          <w:type w:val="continuous"/>
        </w:sectPr>
      </w:pPr>
    </w:p>
    <w:bookmarkStart w:id="1" w:name="page2"/>
    <w:bookmarkEnd w:id="1"/>
    <w:p>
      <w:pPr>
        <w:ind w:right="340"/>
        <w:spacing w:after="0" w:line="282" w:lineRule="auto"/>
        <w:rPr>
          <w:sz w:val="20"/>
          <w:szCs w:val="20"/>
          <w:color w:val="auto"/>
        </w:rPr>
      </w:pPr>
      <w:r>
        <w:rPr>
          <w:rFonts w:ascii="Arial" w:cs="Arial" w:eastAsia="Arial" w:hAnsi="Arial"/>
          <w:sz w:val="19"/>
          <w:szCs w:val="19"/>
          <w:b w:val="1"/>
          <w:bCs w:val="1"/>
          <w:color w:val="auto"/>
        </w:rPr>
        <w:t>Item 5.02 Departure of Directors or Certain Officers; Election of Directors; Appointment of Certain Officers; Compensatory Arrangements of Certain Officers.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2019 Corporate Bonus Plan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On January 15, 2019, the Compensation Committee of the Board of Directors of SI-BONE, Inc.,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adopted the 2019 US Bonus Plan, (the</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2019 Bonus Plan</w:t>
      </w:r>
      <w:r>
        <w:rPr>
          <w:rFonts w:ascii="Arial" w:cs="Arial" w:eastAsia="Arial" w:hAnsi="Arial"/>
          <w:sz w:val="17"/>
          <w:szCs w:val="17"/>
          <w:color w:val="auto"/>
        </w:rPr>
        <w:t>”) which provides eligible employees the opportunity to earn a variable cash payment based on the level of achievement by the Company of revenue goals (50%), EBITDA goals (20%) and non-financial business goals (30%), each through December 31, 2019 (the “</w:t>
      </w:r>
      <w:r>
        <w:rPr>
          <w:rFonts w:ascii="Arial" w:cs="Arial" w:eastAsia="Arial" w:hAnsi="Arial"/>
          <w:sz w:val="17"/>
          <w:szCs w:val="17"/>
          <w:b w:val="1"/>
          <w:bCs w:val="1"/>
          <w:i w:val="1"/>
          <w:iCs w:val="1"/>
          <w:color w:val="auto"/>
        </w:rPr>
        <w:t>Goals</w:t>
      </w:r>
      <w:r>
        <w:rPr>
          <w:rFonts w:ascii="Arial" w:cs="Arial" w:eastAsia="Arial" w:hAnsi="Arial"/>
          <w:sz w:val="17"/>
          <w:szCs w:val="17"/>
          <w:color w:val="auto"/>
        </w:rPr>
        <w:t>”). Actual bonuses will be calculated based on actual achievement of the Goals as a percentage multiplied by target bonus, where actual performance can range from 80% to 125%.</w:t>
      </w:r>
    </w:p>
    <w:p>
      <w:pPr>
        <w:spacing w:after="0" w:line="52" w:lineRule="exact"/>
        <w:rPr>
          <w:sz w:val="20"/>
          <w:szCs w:val="20"/>
          <w:color w:val="auto"/>
        </w:rPr>
      </w:pPr>
    </w:p>
    <w:p>
      <w:pPr>
        <w:ind w:right="200"/>
        <w:spacing w:after="0" w:line="263" w:lineRule="auto"/>
        <w:rPr>
          <w:sz w:val="20"/>
          <w:szCs w:val="20"/>
          <w:color w:val="auto"/>
        </w:rPr>
      </w:pPr>
      <w:r>
        <w:rPr>
          <w:rFonts w:ascii="Arial" w:cs="Arial" w:eastAsia="Arial" w:hAnsi="Arial"/>
          <w:sz w:val="19"/>
          <w:szCs w:val="19"/>
          <w:color w:val="auto"/>
        </w:rPr>
        <w:t>In addition, on January 15, 2019, the Compensation Committee established the target bonuses for each of the Company’s named executive officers (the officers appearing in the Company’s most recent summary compensation table, which appears in the Company’s prospectus dated October 16, 2018, filed with the Securities and Exchange Commission on October 18, 2018),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1440" w:type="dxa"/>
        <w:tblCellMar>
          <w:top w:w="0" w:type="dxa"/>
          <w:left w:w="0" w:type="dxa"/>
          <w:bottom w:w="0" w:type="dxa"/>
          <w:right w:w="0" w:type="dxa"/>
        </w:tblCellMar>
      </w:tblPr>
      <w:tr>
        <w:trPr>
          <w:trHeight w:val="172"/>
        </w:trPr>
        <w:tc>
          <w:tcPr>
            <w:tcW w:w="7120" w:type="dxa"/>
            <w:vAlign w:val="bottom"/>
          </w:tcPr>
          <w:p>
            <w:pPr>
              <w:spacing w:after="0"/>
              <w:rPr>
                <w:sz w:val="14"/>
                <w:szCs w:val="14"/>
                <w:color w:val="auto"/>
              </w:rPr>
            </w:pPr>
          </w:p>
        </w:tc>
        <w:tc>
          <w:tcPr>
            <w:tcW w:w="1980" w:type="dxa"/>
            <w:vAlign w:val="bottom"/>
          </w:tcPr>
          <w:p>
            <w:pPr>
              <w:jc w:val="center"/>
              <w:ind w:right="477"/>
              <w:spacing w:after="0"/>
              <w:rPr>
                <w:sz w:val="20"/>
                <w:szCs w:val="20"/>
                <w:color w:val="auto"/>
              </w:rPr>
            </w:pPr>
            <w:r>
              <w:rPr>
                <w:rFonts w:ascii="Arial" w:cs="Arial" w:eastAsia="Arial" w:hAnsi="Arial"/>
                <w:sz w:val="15"/>
                <w:szCs w:val="15"/>
                <w:b w:val="1"/>
                <w:bCs w:val="1"/>
                <w:color w:val="auto"/>
                <w:w w:val="92"/>
              </w:rPr>
              <w:t>Total 2019 Target</w:t>
            </w:r>
          </w:p>
        </w:tc>
      </w:tr>
      <w:tr>
        <w:trPr>
          <w:trHeight w:val="157"/>
        </w:trPr>
        <w:tc>
          <w:tcPr>
            <w:tcW w:w="7120" w:type="dxa"/>
            <w:vAlign w:val="bottom"/>
          </w:tcPr>
          <w:p>
            <w:pPr>
              <w:spacing w:after="0"/>
              <w:rPr>
                <w:sz w:val="13"/>
                <w:szCs w:val="13"/>
                <w:color w:val="auto"/>
              </w:rPr>
            </w:pPr>
          </w:p>
        </w:tc>
        <w:tc>
          <w:tcPr>
            <w:tcW w:w="1980" w:type="dxa"/>
            <w:vAlign w:val="bottom"/>
          </w:tcPr>
          <w:p>
            <w:pPr>
              <w:jc w:val="center"/>
              <w:ind w:right="497"/>
              <w:spacing w:after="0" w:line="157" w:lineRule="exact"/>
              <w:rPr>
                <w:sz w:val="20"/>
                <w:szCs w:val="20"/>
                <w:color w:val="auto"/>
              </w:rPr>
            </w:pPr>
            <w:r>
              <w:rPr>
                <w:rFonts w:ascii="Arial" w:cs="Arial" w:eastAsia="Arial" w:hAnsi="Arial"/>
                <w:sz w:val="15"/>
                <w:szCs w:val="15"/>
                <w:b w:val="1"/>
                <w:bCs w:val="1"/>
                <w:color w:val="auto"/>
                <w:w w:val="91"/>
              </w:rPr>
              <w:t>Performance</w:t>
            </w:r>
          </w:p>
        </w:tc>
      </w:tr>
      <w:tr>
        <w:trPr>
          <w:trHeight w:val="157"/>
        </w:trPr>
        <w:tc>
          <w:tcPr>
            <w:tcW w:w="7120" w:type="dxa"/>
            <w:vAlign w:val="bottom"/>
          </w:tcPr>
          <w:p>
            <w:pPr>
              <w:spacing w:after="0"/>
              <w:rPr>
                <w:sz w:val="13"/>
                <w:szCs w:val="13"/>
                <w:color w:val="auto"/>
              </w:rPr>
            </w:pPr>
          </w:p>
        </w:tc>
        <w:tc>
          <w:tcPr>
            <w:tcW w:w="1980" w:type="dxa"/>
            <w:vAlign w:val="bottom"/>
          </w:tcPr>
          <w:p>
            <w:pPr>
              <w:jc w:val="center"/>
              <w:ind w:right="477"/>
              <w:spacing w:after="0" w:line="157" w:lineRule="exact"/>
              <w:rPr>
                <w:sz w:val="20"/>
                <w:szCs w:val="20"/>
                <w:color w:val="auto"/>
              </w:rPr>
            </w:pPr>
            <w:r>
              <w:rPr>
                <w:rFonts w:ascii="Arial" w:cs="Arial" w:eastAsia="Arial" w:hAnsi="Arial"/>
                <w:sz w:val="15"/>
                <w:szCs w:val="15"/>
                <w:b w:val="1"/>
                <w:bCs w:val="1"/>
                <w:color w:val="auto"/>
                <w:w w:val="87"/>
              </w:rPr>
              <w:t>Bonus as a</w:t>
            </w:r>
          </w:p>
        </w:tc>
      </w:tr>
      <w:tr>
        <w:trPr>
          <w:trHeight w:val="157"/>
        </w:trPr>
        <w:tc>
          <w:tcPr>
            <w:tcW w:w="7120" w:type="dxa"/>
            <w:vAlign w:val="bottom"/>
          </w:tcPr>
          <w:p>
            <w:pPr>
              <w:spacing w:after="0"/>
              <w:rPr>
                <w:sz w:val="13"/>
                <w:szCs w:val="13"/>
                <w:color w:val="auto"/>
              </w:rPr>
            </w:pPr>
          </w:p>
        </w:tc>
        <w:tc>
          <w:tcPr>
            <w:tcW w:w="1980" w:type="dxa"/>
            <w:vAlign w:val="bottom"/>
          </w:tcPr>
          <w:p>
            <w:pPr>
              <w:jc w:val="center"/>
              <w:ind w:right="497"/>
              <w:spacing w:after="0" w:line="157" w:lineRule="exact"/>
              <w:rPr>
                <w:sz w:val="20"/>
                <w:szCs w:val="20"/>
                <w:color w:val="auto"/>
              </w:rPr>
            </w:pPr>
            <w:r>
              <w:rPr>
                <w:rFonts w:ascii="Arial" w:cs="Arial" w:eastAsia="Arial" w:hAnsi="Arial"/>
                <w:sz w:val="15"/>
                <w:szCs w:val="15"/>
                <w:b w:val="1"/>
                <w:bCs w:val="1"/>
                <w:color w:val="auto"/>
                <w:w w:val="88"/>
              </w:rPr>
              <w:t>Percentage of</w:t>
            </w:r>
          </w:p>
        </w:tc>
      </w:tr>
      <w:tr>
        <w:trPr>
          <w:trHeight w:val="203"/>
        </w:trPr>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Name</w:t>
            </w:r>
          </w:p>
        </w:tc>
        <w:tc>
          <w:tcPr>
            <w:tcW w:w="1980" w:type="dxa"/>
            <w:vAlign w:val="bottom"/>
            <w:tcBorders>
              <w:bottom w:val="single" w:sz="8" w:color="auto"/>
            </w:tcBorders>
          </w:tcPr>
          <w:p>
            <w:pPr>
              <w:jc w:val="center"/>
              <w:ind w:right="457"/>
              <w:spacing w:after="0"/>
              <w:rPr>
                <w:sz w:val="20"/>
                <w:szCs w:val="20"/>
                <w:color w:val="auto"/>
              </w:rPr>
            </w:pPr>
            <w:r>
              <w:rPr>
                <w:rFonts w:ascii="Arial" w:cs="Arial" w:eastAsia="Arial" w:hAnsi="Arial"/>
                <w:sz w:val="15"/>
                <w:szCs w:val="15"/>
                <w:b w:val="1"/>
                <w:bCs w:val="1"/>
                <w:color w:val="auto"/>
                <w:w w:val="89"/>
              </w:rPr>
              <w:t>Base Salary</w:t>
            </w:r>
          </w:p>
        </w:tc>
      </w:tr>
      <w:tr>
        <w:trPr>
          <w:trHeight w:val="256"/>
        </w:trPr>
        <w:tc>
          <w:tcPr>
            <w:tcW w:w="7120" w:type="dxa"/>
            <w:vAlign w:val="bottom"/>
            <w:shd w:val="clear" w:color="auto" w:fill="CCEEFF"/>
          </w:tcPr>
          <w:p>
            <w:pPr>
              <w:ind w:left="20"/>
              <w:spacing w:after="0"/>
              <w:rPr>
                <w:sz w:val="20"/>
                <w:szCs w:val="20"/>
                <w:color w:val="auto"/>
              </w:rPr>
            </w:pPr>
            <w:r>
              <w:rPr>
                <w:rFonts w:ascii="Arial" w:cs="Arial" w:eastAsia="Arial" w:hAnsi="Arial"/>
                <w:sz w:val="19"/>
                <w:szCs w:val="19"/>
                <w:color w:val="auto"/>
              </w:rPr>
              <w:t>Jeffrey W. Dunn</w:t>
            </w:r>
          </w:p>
        </w:tc>
        <w:tc>
          <w:tcPr>
            <w:tcW w:w="1980" w:type="dxa"/>
            <w:vAlign w:val="bottom"/>
            <w:shd w:val="clear" w:color="auto" w:fill="CCEEFF"/>
          </w:tcPr>
          <w:p>
            <w:pPr>
              <w:jc w:val="right"/>
              <w:ind w:right="257"/>
              <w:spacing w:after="0"/>
              <w:rPr>
                <w:sz w:val="20"/>
                <w:szCs w:val="20"/>
                <w:color w:val="auto"/>
              </w:rPr>
            </w:pPr>
            <w:r>
              <w:rPr>
                <w:rFonts w:ascii="Arial" w:cs="Arial" w:eastAsia="Arial" w:hAnsi="Arial"/>
                <w:sz w:val="19"/>
                <w:szCs w:val="19"/>
                <w:color w:val="auto"/>
              </w:rPr>
              <w:t>75 %</w:t>
            </w:r>
          </w:p>
        </w:tc>
      </w:tr>
      <w:tr>
        <w:trPr>
          <w:trHeight w:val="295"/>
        </w:trPr>
        <w:tc>
          <w:tcPr>
            <w:tcW w:w="712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9"/>
                <w:szCs w:val="19"/>
                <w:i w:val="1"/>
                <w:iCs w:val="1"/>
                <w:color w:val="auto"/>
              </w:rPr>
              <w:t>President and Chief Executive Officer</w:t>
            </w:r>
          </w:p>
        </w:tc>
        <w:tc>
          <w:tcPr>
            <w:tcW w:w="1980" w:type="dxa"/>
            <w:vAlign w:val="bottom"/>
            <w:tcBorders>
              <w:bottom w:val="single" w:sz="8" w:color="CCEEFF"/>
            </w:tcBorders>
            <w:shd w:val="clear" w:color="auto" w:fill="CCEEFF"/>
          </w:tcPr>
          <w:p>
            <w:pPr>
              <w:spacing w:after="0"/>
              <w:rPr>
                <w:sz w:val="24"/>
                <w:szCs w:val="24"/>
                <w:color w:val="auto"/>
              </w:rPr>
            </w:pPr>
          </w:p>
        </w:tc>
      </w:tr>
      <w:tr>
        <w:trPr>
          <w:trHeight w:val="256"/>
        </w:trPr>
        <w:tc>
          <w:tcPr>
            <w:tcW w:w="7120" w:type="dxa"/>
            <w:vAlign w:val="bottom"/>
          </w:tcPr>
          <w:p>
            <w:pPr>
              <w:ind w:left="20"/>
              <w:spacing w:after="0"/>
              <w:rPr>
                <w:sz w:val="20"/>
                <w:szCs w:val="20"/>
                <w:color w:val="auto"/>
              </w:rPr>
            </w:pPr>
            <w:r>
              <w:rPr>
                <w:rFonts w:ascii="Arial" w:cs="Arial" w:eastAsia="Arial" w:hAnsi="Arial"/>
                <w:sz w:val="19"/>
                <w:szCs w:val="19"/>
                <w:color w:val="auto"/>
              </w:rPr>
              <w:t>Laura A. Francis</w:t>
            </w:r>
          </w:p>
        </w:tc>
        <w:tc>
          <w:tcPr>
            <w:tcW w:w="1980" w:type="dxa"/>
            <w:vAlign w:val="bottom"/>
          </w:tcPr>
          <w:p>
            <w:pPr>
              <w:jc w:val="right"/>
              <w:ind w:right="257"/>
              <w:spacing w:after="0"/>
              <w:rPr>
                <w:sz w:val="20"/>
                <w:szCs w:val="20"/>
                <w:color w:val="auto"/>
              </w:rPr>
            </w:pPr>
            <w:r>
              <w:rPr>
                <w:rFonts w:ascii="Arial" w:cs="Arial" w:eastAsia="Arial" w:hAnsi="Arial"/>
                <w:sz w:val="19"/>
                <w:szCs w:val="19"/>
                <w:color w:val="auto"/>
              </w:rPr>
              <w:t>45 %</w:t>
            </w:r>
          </w:p>
        </w:tc>
      </w:tr>
      <w:tr>
        <w:trPr>
          <w:trHeight w:val="285"/>
        </w:trPr>
        <w:tc>
          <w:tcPr>
            <w:tcW w:w="7120" w:type="dxa"/>
            <w:vAlign w:val="bottom"/>
          </w:tcPr>
          <w:p>
            <w:pPr>
              <w:ind w:left="400"/>
              <w:spacing w:after="0"/>
              <w:rPr>
                <w:sz w:val="20"/>
                <w:szCs w:val="20"/>
                <w:color w:val="auto"/>
              </w:rPr>
            </w:pPr>
            <w:r>
              <w:rPr>
                <w:rFonts w:ascii="Arial" w:cs="Arial" w:eastAsia="Arial" w:hAnsi="Arial"/>
                <w:sz w:val="19"/>
                <w:szCs w:val="19"/>
                <w:i w:val="1"/>
                <w:iCs w:val="1"/>
                <w:color w:val="auto"/>
              </w:rPr>
              <w:t>Chief Financial Officer</w:t>
            </w:r>
          </w:p>
        </w:tc>
        <w:tc>
          <w:tcPr>
            <w:tcW w:w="1980" w:type="dxa"/>
            <w:vAlign w:val="bottom"/>
          </w:tcPr>
          <w:p>
            <w:pPr>
              <w:spacing w:after="0"/>
              <w:rPr>
                <w:sz w:val="24"/>
                <w:szCs w:val="24"/>
                <w:color w:val="auto"/>
              </w:rPr>
            </w:pPr>
          </w:p>
        </w:tc>
      </w:tr>
      <w:tr>
        <w:trPr>
          <w:trHeight w:val="30"/>
        </w:trPr>
        <w:tc>
          <w:tcPr>
            <w:tcW w:w="7120" w:type="dxa"/>
            <w:vAlign w:val="bottom"/>
          </w:tcPr>
          <w:p>
            <w:pPr>
              <w:spacing w:after="0"/>
              <w:rPr>
                <w:sz w:val="2"/>
                <w:szCs w:val="2"/>
                <w:color w:val="auto"/>
              </w:rPr>
            </w:pPr>
          </w:p>
        </w:tc>
        <w:tc>
          <w:tcPr>
            <w:tcW w:w="1980" w:type="dxa"/>
            <w:vAlign w:val="bottom"/>
          </w:tcPr>
          <w:p>
            <w:pPr>
              <w:spacing w:after="0"/>
              <w:rPr>
                <w:sz w:val="2"/>
                <w:szCs w:val="2"/>
                <w:color w:val="auto"/>
              </w:rPr>
            </w:pPr>
          </w:p>
        </w:tc>
      </w:tr>
      <w:tr>
        <w:trPr>
          <w:trHeight w:val="256"/>
        </w:trPr>
        <w:tc>
          <w:tcPr>
            <w:tcW w:w="7120" w:type="dxa"/>
            <w:vAlign w:val="bottom"/>
            <w:shd w:val="clear" w:color="auto" w:fill="CCEEFF"/>
          </w:tcPr>
          <w:p>
            <w:pPr>
              <w:ind w:left="20"/>
              <w:spacing w:after="0"/>
              <w:rPr>
                <w:sz w:val="20"/>
                <w:szCs w:val="20"/>
                <w:color w:val="auto"/>
              </w:rPr>
            </w:pPr>
            <w:r>
              <w:rPr>
                <w:rFonts w:ascii="Arial" w:cs="Arial" w:eastAsia="Arial" w:hAnsi="Arial"/>
                <w:sz w:val="19"/>
                <w:szCs w:val="19"/>
                <w:color w:val="auto"/>
              </w:rPr>
              <w:t>Anthony J. Recupero</w:t>
            </w:r>
          </w:p>
        </w:tc>
        <w:tc>
          <w:tcPr>
            <w:tcW w:w="1980" w:type="dxa"/>
            <w:vAlign w:val="bottom"/>
            <w:shd w:val="clear" w:color="auto" w:fill="CCEEFF"/>
          </w:tcPr>
          <w:p>
            <w:pPr>
              <w:jc w:val="right"/>
              <w:ind w:right="257"/>
              <w:spacing w:after="0"/>
              <w:rPr>
                <w:sz w:val="20"/>
                <w:szCs w:val="20"/>
                <w:color w:val="auto"/>
              </w:rPr>
            </w:pPr>
            <w:r>
              <w:rPr>
                <w:rFonts w:ascii="Arial" w:cs="Arial" w:eastAsia="Arial" w:hAnsi="Arial"/>
                <w:sz w:val="19"/>
                <w:szCs w:val="19"/>
                <w:color w:val="auto"/>
              </w:rPr>
              <w:t>45 %</w:t>
            </w:r>
          </w:p>
        </w:tc>
      </w:tr>
      <w:tr>
        <w:trPr>
          <w:trHeight w:val="285"/>
        </w:trPr>
        <w:tc>
          <w:tcPr>
            <w:tcW w:w="7120" w:type="dxa"/>
            <w:vAlign w:val="bottom"/>
            <w:shd w:val="clear" w:color="auto" w:fill="CCEEFF"/>
          </w:tcPr>
          <w:p>
            <w:pPr>
              <w:ind w:left="400"/>
              <w:spacing w:after="0"/>
              <w:rPr>
                <w:sz w:val="20"/>
                <w:szCs w:val="20"/>
                <w:color w:val="auto"/>
              </w:rPr>
            </w:pPr>
            <w:r>
              <w:rPr>
                <w:rFonts w:ascii="Arial" w:cs="Arial" w:eastAsia="Arial" w:hAnsi="Arial"/>
                <w:sz w:val="19"/>
                <w:szCs w:val="19"/>
                <w:i w:val="1"/>
                <w:iCs w:val="1"/>
                <w:color w:val="auto"/>
              </w:rPr>
              <w:t>Chief Commercial Officer</w:t>
            </w:r>
          </w:p>
        </w:tc>
        <w:tc>
          <w:tcPr>
            <w:tcW w:w="1980" w:type="dxa"/>
            <w:vAlign w:val="bottom"/>
            <w:shd w:val="clear" w:color="auto" w:fill="CCEEFF"/>
          </w:tcPr>
          <w:p>
            <w:pPr>
              <w:spacing w:after="0"/>
              <w:rPr>
                <w:sz w:val="24"/>
                <w:szCs w:val="24"/>
                <w:color w:val="auto"/>
              </w:rPr>
            </w:pPr>
          </w:p>
        </w:tc>
      </w:tr>
      <w:tr>
        <w:trPr>
          <w:trHeight w:val="30"/>
        </w:trPr>
        <w:tc>
          <w:tcPr>
            <w:tcW w:w="712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ectPr>
          <w:pgSz w:w="12240" w:h="15840" w:orient="portrait"/>
          <w:cols w:equalWidth="0" w:num="1">
            <w:col w:w="11880"/>
          </w:cols>
          <w:pgMar w:left="120" w:top="236" w:right="240"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9"/>
          <w:szCs w:val="19"/>
          <w:b w:val="1"/>
          <w:bCs w:val="1"/>
          <w:color w:val="auto"/>
        </w:rPr>
        <w:t>SIGNATURES</w:t>
      </w: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Arial" w:cs="Arial" w:eastAsia="Arial" w:hAnsi="Arial"/>
          <w:sz w:val="19"/>
          <w:szCs w:val="19"/>
          <w:b w:val="1"/>
          <w:bCs w:val="1"/>
          <w:color w:val="auto"/>
        </w:rPr>
        <w:t>SI-BONE, INC.</w:t>
      </w:r>
    </w:p>
    <w:p>
      <w:pPr>
        <w:spacing w:after="0" w:line="358" w:lineRule="exact"/>
        <w:rPr>
          <w:sz w:val="20"/>
          <w:szCs w:val="20"/>
          <w:color w:val="auto"/>
        </w:rPr>
      </w:pPr>
    </w:p>
    <w:p>
      <w:pPr>
        <w:ind w:left="80"/>
        <w:spacing w:after="0"/>
        <w:rPr>
          <w:sz w:val="20"/>
          <w:szCs w:val="20"/>
          <w:color w:val="auto"/>
        </w:rPr>
      </w:pPr>
      <w:r>
        <w:rPr>
          <w:rFonts w:ascii="Arial" w:cs="Arial" w:eastAsia="Arial" w:hAnsi="Arial"/>
          <w:sz w:val="19"/>
          <w:szCs w:val="19"/>
          <w:color w:val="auto"/>
        </w:rPr>
        <w:t>Dated: January 22, 2019</w:t>
      </w:r>
    </w:p>
    <w:p>
      <w:pPr>
        <w:spacing w:after="0" w:line="352" w:lineRule="exact"/>
        <w:rPr>
          <w:sz w:val="20"/>
          <w:szCs w:val="20"/>
          <w:color w:val="auto"/>
        </w:rPr>
      </w:pPr>
    </w:p>
    <w:p>
      <w:pPr>
        <w:ind w:left="5240"/>
        <w:spacing w:after="0"/>
        <w:tabs>
          <w:tab w:leader="none" w:pos="60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3817620</wp:posOffset>
            </wp:positionH>
            <wp:positionV relativeFrom="paragraph">
              <wp:posOffset>42545</wp:posOffset>
            </wp:positionV>
            <wp:extent cx="36315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31565" cy="8890"/>
                    </a:xfrm>
                    <a:prstGeom prst="rect">
                      <a:avLst/>
                    </a:prstGeom>
                    <a:noFill/>
                  </pic:spPr>
                </pic:pic>
              </a:graphicData>
            </a:graphic>
          </wp:anchor>
        </w:drawing>
      </w:r>
    </w:p>
    <w:p>
      <w:pPr>
        <w:spacing w:after="0" w:line="75"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Laura A. Francis</w:t>
      </w:r>
    </w:p>
    <w:p>
      <w:pPr>
        <w:spacing w:after="0" w:line="67" w:lineRule="exact"/>
        <w:rPr>
          <w:sz w:val="20"/>
          <w:szCs w:val="20"/>
          <w:color w:val="auto"/>
        </w:rPr>
      </w:pPr>
    </w:p>
    <w:p>
      <w:pPr>
        <w:ind w:left="6040"/>
        <w:spacing w:after="0"/>
        <w:rPr>
          <w:sz w:val="20"/>
          <w:szCs w:val="20"/>
          <w:color w:val="auto"/>
        </w:rPr>
      </w:pPr>
      <w:r>
        <w:rPr>
          <w:rFonts w:ascii="Arial" w:cs="Arial" w:eastAsia="Arial" w:hAnsi="Arial"/>
          <w:sz w:val="19"/>
          <w:szCs w:val="19"/>
          <w:color w:val="auto"/>
        </w:rPr>
        <w:t>Chief Financial Officer</w:t>
      </w:r>
    </w:p>
    <w:sectPr>
      <w:pgSz w:w="12240" w:h="15840" w:orient="portrait"/>
      <w:cols w:equalWidth="0" w:num="1">
        <w:col w:w="11880"/>
      </w:cols>
      <w:pgMar w:left="120" w:top="478" w:right="2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2019-11-24T22:05:37Z</dcterms:created>
  <dcterms:modified xsi:type="dcterms:W3CDTF">2019-11-24T22:05:37Z</dcterms:modified>
</cp:coreProperties>
</file>