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DUNN JEFFREY W</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4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SI-BONE,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SIBN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56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320" w:type="dxa"/>
            <w:vAlign w:val="bottom"/>
            <w:tcBorders>
              <w:top w:val="single" w:sz="8" w:color="EEEEEE"/>
            </w:tcBorders>
          </w:tcPr>
          <w:p>
            <w:pPr>
              <w:spacing w:after="0"/>
              <w:rPr>
                <w:sz w:val="4"/>
                <w:szCs w:val="4"/>
                <w:color w:val="auto"/>
              </w:rPr>
            </w:pPr>
          </w:p>
        </w:tc>
        <w:tc>
          <w:tcPr>
            <w:tcW w:w="50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SI-BONE, INC.</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01/08/2026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471 EL CAMINO REAL, SUITE 101</w:t>
            </w:r>
          </w:p>
        </w:tc>
        <w:tc>
          <w:tcPr>
            <w:tcW w:w="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8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9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gridSpan w:val="2"/>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48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420" w:type="dxa"/>
            <w:vAlign w:val="bottom"/>
            <w:tcBorders>
              <w:top w:val="single" w:sz="8" w:color="2C2C2C"/>
            </w:tcBorders>
            <w:gridSpan w:val="19"/>
          </w:tcPr>
          <w:p>
            <w:pPr>
              <w:ind w:left="2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4"/>
          </w:tcPr>
          <w:p>
            <w:pPr>
              <w:ind w:left="2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2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18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00" w:type="dxa"/>
            <w:vAlign w:val="bottom"/>
            <w:gridSpan w:val="4"/>
            <w:vMerge w:val="restart"/>
          </w:tcPr>
          <w:p>
            <w:pPr>
              <w:ind w:left="680"/>
              <w:spacing w:after="0"/>
              <w:rPr>
                <w:sz w:val="20"/>
                <w:szCs w:val="20"/>
                <w:color w:val="auto"/>
              </w:rPr>
            </w:pPr>
            <w:r>
              <w:rPr>
                <w:rFonts w:ascii="Times New Roman" w:cs="Times New Roman" w:eastAsia="Times New Roman" w:hAnsi="Times New Roman"/>
                <w:sz w:val="17"/>
                <w:szCs w:val="17"/>
                <w:color w:val="0000FF"/>
              </w:rPr>
              <w:t>01/08/2026</w:t>
            </w: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135"/>
              <w:spacing w:after="0"/>
              <w:rPr>
                <w:sz w:val="20"/>
                <w:szCs w:val="20"/>
                <w:color w:val="auto"/>
              </w:rPr>
            </w:pPr>
            <w:r>
              <w:rPr>
                <w:rFonts w:ascii="Times New Roman" w:cs="Times New Roman" w:eastAsia="Times New Roman" w:hAnsi="Times New Roman"/>
                <w:sz w:val="17"/>
                <w:szCs w:val="17"/>
                <w:color w:val="0000FF"/>
              </w:rPr>
              <w:t>20,000</w:t>
            </w: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4"/>
            <w:vMerge w:val="restart"/>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21.2753</w:t>
            </w:r>
            <w:r>
              <w:rPr>
                <w:rFonts w:ascii="Times New Roman" w:cs="Times New Roman" w:eastAsia="Times New Roman" w:hAnsi="Times New Roman"/>
                <w:sz w:val="22"/>
                <w:szCs w:val="22"/>
                <w:color w:val="008000"/>
                <w:vertAlign w:val="superscript"/>
              </w:rPr>
              <w:t>(2)</w:t>
            </w:r>
          </w:p>
        </w:tc>
        <w:tc>
          <w:tcPr>
            <w:tcW w:w="11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80,115</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60" w:type="dxa"/>
            <w:vAlign w:val="bottom"/>
            <w:gridSpan w:val="4"/>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2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6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220" w:type="dxa"/>
            <w:vAlign w:val="bottom"/>
            <w:tcBorders>
              <w:top w:val="single" w:sz="8" w:color="2C2C2C"/>
              <w:bottom w:val="single" w:sz="8" w:color="2C2C2C"/>
            </w:tcBorders>
          </w:tcPr>
          <w:p>
            <w:pPr>
              <w:spacing w:after="0"/>
              <w:rPr>
                <w:sz w:val="24"/>
                <w:szCs w:val="24"/>
                <w:color w:val="auto"/>
              </w:rPr>
            </w:pPr>
          </w:p>
        </w:tc>
        <w:tc>
          <w:tcPr>
            <w:tcW w:w="1180" w:type="dxa"/>
            <w:vAlign w:val="bottom"/>
            <w:tcBorders>
              <w:top w:val="single" w:sz="8" w:color="2C2C2C"/>
              <w:bottom w:val="single" w:sz="8" w:color="2C2C2C"/>
            </w:tcBorders>
            <w:gridSpan w:val="2"/>
          </w:tcPr>
          <w:p>
            <w:pPr>
              <w:jc w:val="center"/>
              <w:ind w:right="220"/>
              <w:spacing w:after="0"/>
              <w:rPr>
                <w:sz w:val="20"/>
                <w:szCs w:val="20"/>
                <w:color w:val="auto"/>
              </w:rPr>
            </w:pPr>
            <w:r>
              <w:rPr>
                <w:rFonts w:ascii="Times New Roman" w:cs="Times New Roman" w:eastAsia="Times New Roman" w:hAnsi="Times New Roman"/>
                <w:sz w:val="17"/>
                <w:szCs w:val="17"/>
                <w:color w:val="0000FF"/>
              </w:rPr>
              <w:t>10,307</w:t>
            </w:r>
            <w:r>
              <w:rPr>
                <w:rFonts w:ascii="Times New Roman" w:cs="Times New Roman" w:eastAsia="Times New Roman" w:hAnsi="Times New Roman"/>
                <w:sz w:val="22"/>
                <w:szCs w:val="22"/>
                <w:color w:val="008000"/>
                <w:vertAlign w:val="superscript"/>
              </w:rPr>
              <w:t>(4)</w:t>
            </w:r>
          </w:p>
        </w:tc>
        <w:tc>
          <w:tcPr>
            <w:tcW w:w="920" w:type="dxa"/>
            <w:vAlign w:val="bottom"/>
            <w:tcBorders>
              <w:top w:val="single" w:sz="8" w:color="2C2C2C"/>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effected pursuant to a 10b5-1 trading plan dated May 7th, 2025.</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 shares were sold in multiple transactions ranging from $20.84 to $21.84, inclusive. The Reporting Person undertakes to provide the Issuer, any securityholder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Jeffrey W. Dunn Living Trust Dated May 17, 2012.</w:t>
      </w:r>
    </w:p>
    <w:p>
      <w:pPr>
        <w:spacing w:after="0" w:line="50" w:lineRule="exact"/>
        <w:rPr>
          <w:rFonts w:ascii="Times New Roman" w:cs="Times New Roman" w:eastAsia="Times New Roman" w:hAnsi="Times New Roman"/>
          <w:sz w:val="13"/>
          <w:szCs w:val="13"/>
          <w:color w:val="008000"/>
        </w:rPr>
      </w:pPr>
    </w:p>
    <w:p>
      <w:pPr>
        <w:ind w:left="40" w:right="6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10,307 shares issuable on settlement of restricted stock units granted to the Reporting Person. Each restricted stock unit represents a contingent right to receive on shares of the Issuer's common stock.</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Jeffrey</w:t>
        <w:tab/>
        <w:t>01/12/2026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30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306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35986"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2026-01-12T18:09:43Z</dcterms:created>
  <dcterms:modified xsi:type="dcterms:W3CDTF">2026-01-12T18:09:43Z</dcterms:modified>
</cp:coreProperties>
</file>