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9380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93802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60" w:type="dxa"/>
            <w:vAlign w:val="bottom"/>
            <w:gridSpan w:val="5"/>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20" w:type="dxa"/>
            <w:vAlign w:val="bottom"/>
            <w:gridSpan w:val="10"/>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3"/>
            <w:vMerge w:val="restart"/>
          </w:tcPr>
          <w:p>
            <w:pPr>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HILLEMAN JERYL L</w:t>
              </w:r>
            </w:hyperlink>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340" w:type="dxa"/>
            <w:vAlign w:val="bottom"/>
            <w:gridSpan w:val="4"/>
          </w:tcPr>
          <w:p>
            <w:pPr>
              <w:ind w:left="80"/>
              <w:spacing w:after="0" w:line="107" w:lineRule="exact"/>
              <w:rPr>
                <w:rFonts w:ascii="Arial" w:cs="Arial" w:eastAsia="Arial" w:hAnsi="Arial"/>
                <w:sz w:val="12"/>
                <w:szCs w:val="12"/>
                <w:color w:val="0000EE"/>
              </w:rPr>
            </w:pPr>
            <w:hyperlink r:id="rId14">
              <w:r>
                <w:rPr>
                  <w:rFonts w:ascii="Arial" w:cs="Arial" w:eastAsia="Arial" w:hAnsi="Arial"/>
                  <w:sz w:val="12"/>
                  <w:szCs w:val="12"/>
                  <w:u w:val="single" w:color="auto"/>
                  <w:color w:val="0000EE"/>
                </w:rPr>
                <w:t>SI-BONE, Inc.</w:t>
              </w:r>
              <w:r>
                <w:rPr>
                  <w:rFonts w:ascii="Arial" w:cs="Arial" w:eastAsia="Arial" w:hAnsi="Arial"/>
                  <w:sz w:val="12"/>
                  <w:szCs w:val="12"/>
                  <w:color w:val="0000EE"/>
                </w:rPr>
                <w:t xml:space="preserve">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SIBN</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7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300" w:type="dxa"/>
            <w:vAlign w:val="bottom"/>
            <w:gridSpan w:val="3"/>
            <w:vMerge w:val="continue"/>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0" w:type="dxa"/>
            <w:vAlign w:val="bottom"/>
          </w:tcPr>
          <w:p>
            <w:pPr>
              <w:spacing w:after="0"/>
              <w:rPr>
                <w:sz w:val="4"/>
                <w:szCs w:val="4"/>
                <w:color w:val="auto"/>
              </w:rPr>
            </w:pPr>
          </w:p>
        </w:tc>
        <w:tc>
          <w:tcPr>
            <w:tcW w:w="420" w:type="dxa"/>
            <w:vAlign w:val="bottom"/>
          </w:tcPr>
          <w:p>
            <w:pPr>
              <w:spacing w:after="0"/>
              <w:rPr>
                <w:sz w:val="4"/>
                <w:szCs w:val="4"/>
                <w:color w:val="auto"/>
              </w:rPr>
            </w:pPr>
          </w:p>
        </w:tc>
        <w:tc>
          <w:tcPr>
            <w:tcW w:w="740" w:type="dxa"/>
            <w:vAlign w:val="bottom"/>
          </w:tcPr>
          <w:p>
            <w:pPr>
              <w:spacing w:after="0"/>
              <w:rPr>
                <w:sz w:val="4"/>
                <w:szCs w:val="4"/>
                <w:color w:val="auto"/>
              </w:rPr>
            </w:pPr>
          </w:p>
        </w:tc>
        <w:tc>
          <w:tcPr>
            <w:tcW w:w="780" w:type="dxa"/>
            <w:vAlign w:val="bottom"/>
          </w:tcPr>
          <w:p>
            <w:pPr>
              <w:spacing w:after="0"/>
              <w:rPr>
                <w:sz w:val="4"/>
                <w:szCs w:val="4"/>
                <w:color w:val="auto"/>
              </w:rPr>
            </w:pPr>
          </w:p>
        </w:tc>
        <w:tc>
          <w:tcPr>
            <w:tcW w:w="720" w:type="dxa"/>
            <w:vAlign w:val="bottom"/>
          </w:tcPr>
          <w:p>
            <w:pPr>
              <w:spacing w:after="0"/>
              <w:rPr>
                <w:sz w:val="4"/>
                <w:szCs w:val="4"/>
                <w:color w:val="auto"/>
              </w:rPr>
            </w:pPr>
          </w:p>
        </w:tc>
        <w:tc>
          <w:tcPr>
            <w:tcW w:w="4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60" w:type="dxa"/>
            <w:vAlign w:val="bottom"/>
            <w:gridSpan w:val="5"/>
            <w:vMerge w:val="continue"/>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300" w:type="dxa"/>
            <w:vAlign w:val="bottom"/>
            <w:gridSpan w:val="3"/>
            <w:vMerge w:val="continue"/>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5"/>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76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5"/>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760" w:type="dxa"/>
            <w:vAlign w:val="bottom"/>
            <w:gridSpan w:val="5"/>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(Last)</w:t>
            </w:r>
          </w:p>
        </w:tc>
        <w:tc>
          <w:tcPr>
            <w:tcW w:w="1660" w:type="dxa"/>
            <w:vAlign w:val="bottom"/>
            <w:gridSpan w:val="2"/>
          </w:tcPr>
          <w:p>
            <w:pPr>
              <w:ind w:left="58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60" w:type="dxa"/>
            <w:vAlign w:val="bottom"/>
            <w:gridSpan w:val="5"/>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below)</w:t>
            </w:r>
          </w:p>
        </w:tc>
        <w:tc>
          <w:tcPr>
            <w:tcW w:w="940" w:type="dxa"/>
            <w:vAlign w:val="bottom"/>
          </w:tcPr>
          <w:p>
            <w:pPr>
              <w:ind w:left="50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gridSpan w:val="2"/>
            <w:vMerge w:val="restart"/>
          </w:tcPr>
          <w:p>
            <w:pPr>
              <w:spacing w:after="0"/>
              <w:rPr>
                <w:sz w:val="20"/>
                <w:szCs w:val="20"/>
                <w:color w:val="auto"/>
              </w:rPr>
            </w:pPr>
            <w:r>
              <w:rPr>
                <w:rFonts w:ascii="Arial" w:cs="Arial" w:eastAsia="Arial" w:hAnsi="Arial"/>
                <w:sz w:val="17"/>
                <w:szCs w:val="17"/>
                <w:color w:val="0000FF"/>
                <w:w w:val="98"/>
              </w:rPr>
              <w:t>C/O SI-BONE, INC.</w:t>
            </w:r>
          </w:p>
        </w:tc>
        <w:tc>
          <w:tcPr>
            <w:tcW w:w="8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640" w:type="dxa"/>
            <w:vAlign w:val="bottom"/>
            <w:gridSpan w:val="5"/>
          </w:tcPr>
          <w:p>
            <w:pPr>
              <w:ind w:left="160"/>
              <w:spacing w:after="0"/>
              <w:rPr>
                <w:sz w:val="20"/>
                <w:szCs w:val="20"/>
                <w:color w:val="auto"/>
              </w:rPr>
            </w:pPr>
            <w:r>
              <w:rPr>
                <w:rFonts w:ascii="Arial" w:cs="Arial" w:eastAsia="Arial" w:hAnsi="Arial"/>
                <w:sz w:val="17"/>
                <w:szCs w:val="17"/>
                <w:color w:val="0000FF"/>
              </w:rPr>
              <w:t>06/16/2020</w:t>
            </w: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80" w:type="dxa"/>
            <w:vAlign w:val="bottom"/>
            <w:gridSpan w:val="2"/>
            <w:vMerge w:val="continue"/>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460" w:type="dxa"/>
            <w:vAlign w:val="bottom"/>
          </w:tcPr>
          <w:p>
            <w:pPr>
              <w:spacing w:after="0"/>
              <w:rPr>
                <w:sz w:val="6"/>
                <w:szCs w:val="6"/>
                <w:color w:val="auto"/>
              </w:rPr>
            </w:pPr>
          </w:p>
        </w:tc>
        <w:tc>
          <w:tcPr>
            <w:tcW w:w="740" w:type="dxa"/>
            <w:vAlign w:val="bottom"/>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40" w:type="dxa"/>
            <w:vAlign w:val="bottom"/>
            <w:gridSpan w:val="4"/>
          </w:tcPr>
          <w:p>
            <w:pPr>
              <w:spacing w:after="0"/>
              <w:rPr>
                <w:sz w:val="20"/>
                <w:szCs w:val="20"/>
                <w:color w:val="auto"/>
              </w:rPr>
            </w:pPr>
            <w:r>
              <w:rPr>
                <w:rFonts w:ascii="Arial" w:cs="Arial" w:eastAsia="Arial" w:hAnsi="Arial"/>
                <w:sz w:val="17"/>
                <w:szCs w:val="17"/>
                <w:color w:val="0000FF"/>
              </w:rPr>
              <w:t>471 EL CAMINO REAL, SUITE 101</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0" w:type="dxa"/>
            <w:vAlign w:val="bottom"/>
            <w:tcBorders>
              <w:bottom w:val="single" w:sz="8" w:color="2C2C2C"/>
            </w:tcBorders>
          </w:tcPr>
          <w:p>
            <w:pPr>
              <w:spacing w:after="0"/>
              <w:rPr>
                <w:sz w:val="21"/>
                <w:szCs w:val="21"/>
                <w:color w:val="auto"/>
              </w:rPr>
            </w:pPr>
          </w:p>
        </w:tc>
        <w:tc>
          <w:tcPr>
            <w:tcW w:w="420" w:type="dxa"/>
            <w:vAlign w:val="bottom"/>
            <w:tcBorders>
              <w:bottom w:val="single" w:sz="8" w:color="2C2C2C"/>
            </w:tcBorders>
          </w:tcPr>
          <w:p>
            <w:pPr>
              <w:spacing w:after="0"/>
              <w:rPr>
                <w:sz w:val="21"/>
                <w:szCs w:val="21"/>
                <w:color w:val="auto"/>
              </w:rPr>
            </w:pPr>
          </w:p>
        </w:tc>
        <w:tc>
          <w:tcPr>
            <w:tcW w:w="740" w:type="dxa"/>
            <w:vAlign w:val="bottom"/>
            <w:tcBorders>
              <w:bottom w:val="single" w:sz="8" w:color="2C2C2C"/>
            </w:tcBorders>
          </w:tcPr>
          <w:p>
            <w:pPr>
              <w:spacing w:after="0"/>
              <w:rPr>
                <w:sz w:val="21"/>
                <w:szCs w:val="21"/>
                <w:color w:val="auto"/>
              </w:rPr>
            </w:pPr>
          </w:p>
        </w:tc>
        <w:tc>
          <w:tcPr>
            <w:tcW w:w="780" w:type="dxa"/>
            <w:vAlign w:val="bottom"/>
            <w:tcBorders>
              <w:bottom w:val="single" w:sz="8" w:color="2C2C2C"/>
            </w:tcBorders>
          </w:tcPr>
          <w:p>
            <w:pPr>
              <w:spacing w:after="0"/>
              <w:rPr>
                <w:sz w:val="21"/>
                <w:szCs w:val="21"/>
                <w:color w:val="auto"/>
              </w:rPr>
            </w:pPr>
          </w:p>
        </w:tc>
        <w:tc>
          <w:tcPr>
            <w:tcW w:w="720" w:type="dxa"/>
            <w:vAlign w:val="bottom"/>
            <w:tcBorders>
              <w:bottom w:val="single" w:sz="8" w:color="2C2C2C"/>
            </w:tcBorders>
          </w:tcPr>
          <w:p>
            <w:pPr>
              <w:spacing w:after="0"/>
              <w:rPr>
                <w:sz w:val="21"/>
                <w:szCs w:val="21"/>
                <w:color w:val="auto"/>
              </w:rPr>
            </w:pPr>
          </w:p>
        </w:tc>
        <w:tc>
          <w:tcPr>
            <w:tcW w:w="420" w:type="dxa"/>
            <w:vAlign w:val="bottom"/>
            <w:tcBorders>
              <w:bottom w:val="single" w:sz="8" w:color="2C2C2C"/>
            </w:tcBorders>
          </w:tcPr>
          <w:p>
            <w:pPr>
              <w:spacing w:after="0"/>
              <w:rPr>
                <w:sz w:val="21"/>
                <w:szCs w:val="21"/>
                <w:color w:val="auto"/>
              </w:rPr>
            </w:pPr>
          </w:p>
        </w:tc>
        <w:tc>
          <w:tcPr>
            <w:tcW w:w="240" w:type="dxa"/>
            <w:vAlign w:val="bottom"/>
            <w:tcBorders>
              <w:bottom w:val="single" w:sz="8" w:color="2C2C2C"/>
            </w:tcBorders>
          </w:tcPr>
          <w:p>
            <w:pPr>
              <w:spacing w:after="0"/>
              <w:rPr>
                <w:sz w:val="21"/>
                <w:szCs w:val="21"/>
                <w:color w:val="auto"/>
              </w:rPr>
            </w:pPr>
          </w:p>
        </w:tc>
        <w:tc>
          <w:tcPr>
            <w:tcW w:w="10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180" w:type="dxa"/>
            <w:vAlign w:val="bottom"/>
            <w:tcBorders>
              <w:bottom w:val="single" w:sz="8" w:color="2C2C2C"/>
            </w:tcBorders>
          </w:tcPr>
          <w:p>
            <w:pPr>
              <w:spacing w:after="0"/>
              <w:rPr>
                <w:sz w:val="21"/>
                <w:szCs w:val="21"/>
                <w:color w:val="auto"/>
              </w:rPr>
            </w:pPr>
          </w:p>
        </w:tc>
        <w:tc>
          <w:tcPr>
            <w:tcW w:w="460" w:type="dxa"/>
            <w:vAlign w:val="bottom"/>
            <w:tcBorders>
              <w:bottom w:val="single" w:sz="8" w:color="2C2C2C"/>
            </w:tcBorders>
          </w:tcPr>
          <w:p>
            <w:pPr>
              <w:spacing w:after="0"/>
              <w:rPr>
                <w:sz w:val="21"/>
                <w:szCs w:val="21"/>
                <w:color w:val="auto"/>
              </w:rPr>
            </w:pPr>
          </w:p>
        </w:tc>
        <w:tc>
          <w:tcPr>
            <w:tcW w:w="740" w:type="dxa"/>
            <w:vAlign w:val="bottom"/>
            <w:tcBorders>
              <w:bottom w:val="single" w:sz="8" w:color="2C2C2C"/>
            </w:tcBorders>
          </w:tcPr>
          <w:p>
            <w:pPr>
              <w:spacing w:after="0"/>
              <w:rPr>
                <w:sz w:val="21"/>
                <w:szCs w:val="21"/>
                <w:color w:val="auto"/>
              </w:rPr>
            </w:pPr>
          </w:p>
        </w:tc>
        <w:tc>
          <w:tcPr>
            <w:tcW w:w="94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80" w:type="dxa"/>
            <w:vAlign w:val="bottom"/>
            <w:gridSpan w:val="6"/>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20" w:type="dxa"/>
            <w:vAlign w:val="bottom"/>
            <w:gridSpan w:val="10"/>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gridSpan w:val="3"/>
          </w:tcPr>
          <w:p>
            <w:pPr>
              <w:ind w:left="8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8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3140" w:type="dxa"/>
            <w:vAlign w:val="bottom"/>
            <w:gridSpan w:val="8"/>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vMerge w:val="restart"/>
          </w:tcPr>
          <w:p>
            <w:pPr>
              <w:spacing w:after="0"/>
              <w:rPr>
                <w:sz w:val="20"/>
                <w:szCs w:val="20"/>
                <w:color w:val="auto"/>
              </w:rPr>
            </w:pPr>
            <w:r>
              <w:rPr>
                <w:rFonts w:ascii="Arial" w:cs="Arial" w:eastAsia="Arial" w:hAnsi="Arial"/>
                <w:sz w:val="17"/>
                <w:szCs w:val="17"/>
                <w:color w:val="0000FF"/>
              </w:rPr>
              <w:t>SANTA</w:t>
            </w:r>
          </w:p>
        </w:tc>
        <w:tc>
          <w:tcPr>
            <w:tcW w:w="840" w:type="dxa"/>
            <w:vAlign w:val="bottom"/>
            <w:vMerge w:val="restart"/>
          </w:tcPr>
          <w:p>
            <w:pPr>
              <w:ind w:left="580"/>
              <w:spacing w:after="0"/>
              <w:rPr>
                <w:sz w:val="20"/>
                <w:szCs w:val="20"/>
                <w:color w:val="auto"/>
              </w:rPr>
            </w:pPr>
            <w:r>
              <w:rPr>
                <w:rFonts w:ascii="Arial" w:cs="Arial" w:eastAsia="Arial" w:hAnsi="Arial"/>
                <w:sz w:val="17"/>
                <w:szCs w:val="17"/>
                <w:color w:val="0000FF"/>
              </w:rPr>
              <w:t>CA</w:t>
            </w:r>
          </w:p>
        </w:tc>
        <w:tc>
          <w:tcPr>
            <w:tcW w:w="820" w:type="dxa"/>
            <w:vAlign w:val="bottom"/>
          </w:tcPr>
          <w:p>
            <w:pPr>
              <w:spacing w:after="0"/>
              <w:rPr>
                <w:sz w:val="13"/>
                <w:szCs w:val="13"/>
                <w:color w:val="auto"/>
              </w:rPr>
            </w:pP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95050</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140" w:type="dxa"/>
            <w:vAlign w:val="bottom"/>
            <w:gridSpan w:val="8"/>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840" w:type="dxa"/>
            <w:vAlign w:val="bottom"/>
            <w:vMerge w:val="continue"/>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vMerge w:val="restart"/>
          </w:tcPr>
          <w:p>
            <w:pPr>
              <w:spacing w:after="0" w:line="168" w:lineRule="exact"/>
              <w:rPr>
                <w:sz w:val="20"/>
                <w:szCs w:val="20"/>
                <w:color w:val="auto"/>
              </w:rPr>
            </w:pPr>
            <w:r>
              <w:rPr>
                <w:rFonts w:ascii="Arial" w:cs="Arial" w:eastAsia="Arial" w:hAnsi="Arial"/>
                <w:sz w:val="17"/>
                <w:szCs w:val="17"/>
                <w:color w:val="0000FF"/>
              </w:rPr>
              <w:t>CLARA</w:t>
            </w:r>
          </w:p>
        </w:tc>
        <w:tc>
          <w:tcPr>
            <w:tcW w:w="84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4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8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0" w:type="dxa"/>
            <w:vAlign w:val="bottom"/>
          </w:tcPr>
          <w:p>
            <w:pPr>
              <w:spacing w:after="0"/>
              <w:rPr>
                <w:sz w:val="4"/>
                <w:szCs w:val="4"/>
                <w:color w:val="auto"/>
              </w:rPr>
            </w:pPr>
          </w:p>
        </w:tc>
        <w:tc>
          <w:tcPr>
            <w:tcW w:w="420" w:type="dxa"/>
            <w:vAlign w:val="bottom"/>
          </w:tcPr>
          <w:p>
            <w:pPr>
              <w:spacing w:after="0"/>
              <w:rPr>
                <w:sz w:val="4"/>
                <w:szCs w:val="4"/>
                <w:color w:val="auto"/>
              </w:rPr>
            </w:pPr>
          </w:p>
        </w:tc>
        <w:tc>
          <w:tcPr>
            <w:tcW w:w="740" w:type="dxa"/>
            <w:vAlign w:val="bottom"/>
          </w:tcPr>
          <w:p>
            <w:pPr>
              <w:spacing w:after="0"/>
              <w:rPr>
                <w:sz w:val="4"/>
                <w:szCs w:val="4"/>
                <w:color w:val="auto"/>
              </w:rPr>
            </w:pPr>
          </w:p>
        </w:tc>
        <w:tc>
          <w:tcPr>
            <w:tcW w:w="780" w:type="dxa"/>
            <w:vAlign w:val="bottom"/>
          </w:tcPr>
          <w:p>
            <w:pPr>
              <w:spacing w:after="0"/>
              <w:rPr>
                <w:sz w:val="4"/>
                <w:szCs w:val="4"/>
                <w:color w:val="auto"/>
              </w:rPr>
            </w:pPr>
          </w:p>
        </w:tc>
        <w:tc>
          <w:tcPr>
            <w:tcW w:w="720" w:type="dxa"/>
            <w:vAlign w:val="bottom"/>
          </w:tcPr>
          <w:p>
            <w:pPr>
              <w:spacing w:after="0"/>
              <w:rPr>
                <w:sz w:val="4"/>
                <w:szCs w:val="4"/>
                <w:color w:val="auto"/>
              </w:rPr>
            </w:pPr>
          </w:p>
        </w:tc>
        <w:tc>
          <w:tcPr>
            <w:tcW w:w="4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960" w:type="dxa"/>
            <w:vAlign w:val="bottom"/>
            <w:gridSpan w:val="7"/>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Borders>
              <w:bottom w:val="single" w:sz="8" w:color="9A9A9A"/>
            </w:tcBorders>
          </w:tcPr>
          <w:p>
            <w:pPr>
              <w:spacing w:after="0"/>
              <w:rPr>
                <w:sz w:val="3"/>
                <w:szCs w:val="3"/>
                <w:color w:val="auto"/>
              </w:rPr>
            </w:pPr>
          </w:p>
        </w:tc>
        <w:tc>
          <w:tcPr>
            <w:tcW w:w="1660" w:type="dxa"/>
            <w:vAlign w:val="bottom"/>
            <w:tcBorders>
              <w:bottom w:val="single" w:sz="8" w:color="9A9A9A"/>
            </w:tcBorders>
            <w:gridSpan w:val="2"/>
          </w:tcPr>
          <w:p>
            <w:pPr>
              <w:spacing w:after="0"/>
              <w:rPr>
                <w:sz w:val="3"/>
                <w:szCs w:val="3"/>
                <w:color w:val="auto"/>
              </w:rPr>
            </w:pPr>
          </w:p>
        </w:tc>
        <w:tc>
          <w:tcPr>
            <w:tcW w:w="1340" w:type="dxa"/>
            <w:vAlign w:val="bottom"/>
            <w:tcBorders>
              <w:bottom w:val="single" w:sz="8" w:color="9A9A9A"/>
            </w:tcBorders>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1660" w:type="dxa"/>
            <w:vAlign w:val="bottom"/>
            <w:gridSpan w:val="2"/>
          </w:tcPr>
          <w:p>
            <w:pPr>
              <w:ind w:left="58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840" w:type="dxa"/>
            <w:vAlign w:val="bottom"/>
            <w:tcBorders>
              <w:bottom w:val="single" w:sz="8" w:color="2C2C2C"/>
            </w:tcBorders>
          </w:tcPr>
          <w:p>
            <w:pPr>
              <w:spacing w:after="0"/>
              <w:rPr>
                <w:sz w:val="11"/>
                <w:szCs w:val="11"/>
                <w:color w:val="auto"/>
              </w:rPr>
            </w:pPr>
          </w:p>
        </w:tc>
        <w:tc>
          <w:tcPr>
            <w:tcW w:w="2180" w:type="dxa"/>
            <w:vAlign w:val="bottom"/>
            <w:tcBorders>
              <w:bottom w:val="single" w:sz="8" w:color="2C2C2C"/>
            </w:tcBorders>
            <w:gridSpan w:val="3"/>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3820" w:type="dxa"/>
            <w:vAlign w:val="bottom"/>
            <w:tcBorders>
              <w:bottom w:val="single" w:sz="8" w:color="2C2C2C"/>
            </w:tcBorders>
            <w:gridSpan w:val="8"/>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gridSpan w:val="4"/>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840" w:type="dxa"/>
            <w:vAlign w:val="bottom"/>
            <w:tcBorders>
              <w:top w:val="single" w:sz="8" w:color="2C2C2C"/>
            </w:tcBorders>
          </w:tcPr>
          <w:p>
            <w:pPr>
              <w:spacing w:after="0"/>
              <w:rPr>
                <w:sz w:val="21"/>
                <w:szCs w:val="21"/>
                <w:color w:val="auto"/>
              </w:rPr>
            </w:pPr>
          </w:p>
        </w:tc>
        <w:tc>
          <w:tcPr>
            <w:tcW w:w="7720" w:type="dxa"/>
            <w:vAlign w:val="bottom"/>
            <w:tcBorders>
              <w:top w:val="single" w:sz="8" w:color="2C2C2C"/>
            </w:tcBorders>
            <w:gridSpan w:val="17"/>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4"/>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gridSpan w:val="2"/>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5"/>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4"/>
          </w:tcPr>
          <w:p>
            <w:pPr>
              <w:ind w:left="80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6"/>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80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6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7"/>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4"/>
          </w:tcPr>
          <w:p>
            <w:pPr>
              <w:ind w:left="8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8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tcPr>
          <w:p>
            <w:pPr>
              <w:spacing w:after="0"/>
              <w:rPr>
                <w:sz w:val="7"/>
                <w:szCs w:val="7"/>
                <w:color w:val="auto"/>
              </w:rPr>
            </w:pPr>
          </w:p>
        </w:tc>
        <w:tc>
          <w:tcPr>
            <w:tcW w:w="4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7"/>
                <w:szCs w:val="7"/>
                <w:color w:val="auto"/>
              </w:rPr>
            </w:pPr>
          </w:p>
        </w:tc>
        <w:tc>
          <w:tcPr>
            <w:tcW w:w="38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4"/>
          </w:tcPr>
          <w:p>
            <w:pPr>
              <w:ind w:left="900"/>
              <w:spacing w:after="0"/>
              <w:rPr>
                <w:sz w:val="20"/>
                <w:szCs w:val="20"/>
                <w:color w:val="auto"/>
              </w:rPr>
            </w:pPr>
            <w:r>
              <w:rPr>
                <w:rFonts w:ascii="Arial" w:cs="Arial" w:eastAsia="Arial" w:hAnsi="Arial"/>
                <w:sz w:val="17"/>
                <w:szCs w:val="17"/>
                <w:color w:val="0000FF"/>
              </w:rPr>
              <w:t>06/16/2020</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Arial" w:cs="Arial" w:eastAsia="Arial" w:hAnsi="Arial"/>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w w:val="89"/>
              </w:rPr>
              <w:t>8,797</w:t>
            </w:r>
            <w:r>
              <w:rPr>
                <w:rFonts w:ascii="Arial" w:cs="Arial" w:eastAsia="Arial" w:hAnsi="Arial"/>
                <w:sz w:val="22"/>
                <w:szCs w:val="22"/>
                <w:color w:val="008000"/>
                <w:w w:val="89"/>
                <w:vertAlign w:val="superscript"/>
              </w:rPr>
              <w:t>(1)</w:t>
            </w:r>
          </w:p>
        </w:tc>
        <w:tc>
          <w:tcPr>
            <w:tcW w:w="42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A</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4"/>
          </w:tcPr>
          <w:p>
            <w:pPr>
              <w:jc w:val="right"/>
              <w:ind w:right="51"/>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0.00</w:t>
            </w:r>
          </w:p>
        </w:tc>
        <w:tc>
          <w:tcPr>
            <w:tcW w:w="1200" w:type="dxa"/>
            <w:vAlign w:val="bottom"/>
            <w:tcBorders>
              <w:bottom w:val="single" w:sz="8" w:color="2C2C2C"/>
            </w:tcBorders>
            <w:gridSpan w:val="2"/>
          </w:tcPr>
          <w:p>
            <w:pPr>
              <w:ind w:left="320"/>
              <w:spacing w:after="0"/>
              <w:rPr>
                <w:sz w:val="20"/>
                <w:szCs w:val="20"/>
                <w:color w:val="auto"/>
              </w:rPr>
            </w:pPr>
            <w:r>
              <w:rPr>
                <w:rFonts w:ascii="Arial" w:cs="Arial" w:eastAsia="Arial" w:hAnsi="Arial"/>
                <w:sz w:val="17"/>
                <w:szCs w:val="17"/>
                <w:color w:val="0000FF"/>
              </w:rPr>
              <w:t>8,797</w:t>
            </w:r>
            <w:r>
              <w:rPr>
                <w:rFonts w:ascii="Arial" w:cs="Arial" w:eastAsia="Arial" w:hAnsi="Arial"/>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6"/>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3"/>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3"/>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5"/>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9"/>
              </w:rPr>
              <w:t>Amount of</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3"/>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20" w:type="dxa"/>
            <w:vAlign w:val="bottom"/>
            <w:gridSpan w:val="4"/>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4"/>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-2874010</wp:posOffset>
            </wp:positionV>
            <wp:extent cx="7031355" cy="29190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1355" cy="2919095"/>
                    </a:xfrm>
                    <a:prstGeom prst="rect">
                      <a:avLst/>
                    </a:prstGeom>
                    <a:noFill/>
                  </pic:spPr>
                </pic:pic>
              </a:graphicData>
            </a:graphic>
          </wp:anchor>
        </w:drawing>
      </w:r>
    </w:p>
    <w:p>
      <w:pPr>
        <w:spacing w:after="0" w:line="7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36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Reflects shares issuable on the settlement of restricted stock units granted to the Reporting Person. Each restricted stock unit represents a contingent right to receive one share of the Issuer's common stock. The shares subject to the restricted stock unit will be vesting 100% upon the earlier of (i) the next annual general meeting of the stockholders of the Company or (ii) the date one year from the Vesting Commencement Date, subject to the Reporting Person's continuous service as a member of the Company's Board of Directors until such date.</w:t>
      </w:r>
    </w:p>
    <w:p>
      <w:pPr>
        <w:spacing w:after="0" w:line="25" w:lineRule="exact"/>
        <w:rPr>
          <w:rFonts w:ascii="Arial" w:cs="Arial" w:eastAsia="Arial" w:hAnsi="Arial"/>
          <w:sz w:val="13"/>
          <w:szCs w:val="13"/>
          <w:color w:val="008000"/>
        </w:rPr>
      </w:pPr>
    </w:p>
    <w:p>
      <w:pPr>
        <w:ind w:left="40" w:right="500" w:firstLine="7"/>
        <w:spacing w:after="0" w:line="26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Includes 8,797 shares issuable on the settlement of restricted stock units granted to the Reporting Person. Each restricted stock unit represents a contingent right to receive one share of the Issuer's common stock.</w:t>
      </w:r>
    </w:p>
    <w:p>
      <w:pPr>
        <w:spacing w:after="0" w:line="5"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30" w:lineRule="auto"/>
        <w:rPr>
          <w:sz w:val="20"/>
          <w:szCs w:val="20"/>
          <w:color w:val="auto"/>
        </w:rPr>
      </w:pPr>
      <w:r>
        <w:rPr>
          <w:rFonts w:ascii="Arial" w:cs="Arial" w:eastAsia="Arial" w:hAnsi="Arial"/>
          <w:sz w:val="17"/>
          <w:szCs w:val="17"/>
          <w:color w:val="0000FF"/>
        </w:rPr>
        <w:t xml:space="preserve">/s /Michael Pisetsky, Attorney- </w:t>
      </w:r>
      <w:r>
        <w:rPr>
          <w:rFonts w:ascii="Arial" w:cs="Arial" w:eastAsia="Arial" w:hAnsi="Arial"/>
          <w:sz w:val="34"/>
          <w:szCs w:val="34"/>
          <w:color w:val="0000FF"/>
          <w:vertAlign w:val="subscript"/>
        </w:rPr>
        <w:t>06/18/2020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3614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6144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in-Fact for Jeryl L Hilleman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2401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24015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45"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5"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POWER OF ATTORNEY</w:t>
      </w:r>
    </w:p>
    <w:p>
      <w:pPr>
        <w:spacing w:after="0" w:line="207" w:lineRule="exact"/>
        <w:rPr>
          <w:sz w:val="20"/>
          <w:szCs w:val="20"/>
          <w:color w:val="auto"/>
        </w:rPr>
      </w:pPr>
    </w:p>
    <w:p>
      <w:pPr>
        <w:ind w:right="1679"/>
        <w:spacing w:after="0" w:line="249"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each of LAURA A. FRANCIS, MICHAEL A. PISETSKY, MATTHEW B. HEMINGTON and JOHN T. MCKENNA, signing individually, the undersigned's true and lawful attorneys-in-fact and agents to:</w:t>
      </w:r>
    </w:p>
    <w:p>
      <w:pPr>
        <w:spacing w:after="0" w:line="200" w:lineRule="exact"/>
        <w:rPr>
          <w:sz w:val="20"/>
          <w:szCs w:val="20"/>
          <w:color w:val="auto"/>
        </w:rPr>
      </w:pPr>
    </w:p>
    <w:p>
      <w:pPr>
        <w:ind w:right="1359" w:firstLine="7"/>
        <w:spacing w:after="0" w:line="249" w:lineRule="auto"/>
        <w:tabs>
          <w:tab w:leader="none" w:pos="832"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in the undersigned's capacity as an officer, director or beneficial owner of more than 10% of a registered class of securities of SI-BONE, INC. (the "Company"), Forms 3, 4 and 5 (including any amendments thereto) in accordance with Section 16(a) of the Securities Exchange Act of 1934, as amended (the "Exchange Act") and the rules thereunder and a Form ID, Uniform Application for Access Codes to File on EDGAR;</w:t>
      </w:r>
    </w:p>
    <w:p>
      <w:pPr>
        <w:spacing w:after="0" w:line="200" w:lineRule="exact"/>
        <w:rPr>
          <w:rFonts w:ascii="Courier New" w:cs="Courier New" w:eastAsia="Courier New" w:hAnsi="Courier New"/>
          <w:sz w:val="17"/>
          <w:szCs w:val="17"/>
          <w:color w:val="auto"/>
        </w:rPr>
      </w:pPr>
    </w:p>
    <w:p>
      <w:pPr>
        <w:ind w:right="1579" w:firstLine="7"/>
        <w:spacing w:after="0" w:line="249" w:lineRule="auto"/>
        <w:tabs>
          <w:tab w:leader="none" w:pos="832"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that may be necessary or desirable to execute such Forms 3, 4 or 5 or Form ID (including any amendments thereto) and timely file such forms with the United States Securities and Exchange Commission and any stock exchange or similar authority; and</w:t>
      </w:r>
    </w:p>
    <w:p>
      <w:pPr>
        <w:spacing w:after="0" w:line="200" w:lineRule="exact"/>
        <w:rPr>
          <w:rFonts w:ascii="Courier New" w:cs="Courier New" w:eastAsia="Courier New" w:hAnsi="Courier New"/>
          <w:sz w:val="17"/>
          <w:szCs w:val="17"/>
          <w:color w:val="auto"/>
        </w:rPr>
      </w:pPr>
    </w:p>
    <w:p>
      <w:pPr>
        <w:ind w:right="1679" w:firstLine="7"/>
        <w:spacing w:after="0" w:line="249" w:lineRule="auto"/>
        <w:tabs>
          <w:tab w:leader="none" w:pos="832"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nature whatsoever in connection with the foregoing which, in the opinion of such attorney-in-fact, may be of benefit,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00" w:lineRule="exact"/>
        <w:rPr>
          <w:sz w:val="20"/>
          <w:szCs w:val="20"/>
          <w:color w:val="auto"/>
        </w:rPr>
      </w:pPr>
    </w:p>
    <w:p>
      <w:pPr>
        <w:ind w:right="1679"/>
        <w:spacing w:after="0" w:line="249" w:lineRule="auto"/>
        <w:rPr>
          <w:sz w:val="20"/>
          <w:szCs w:val="20"/>
          <w:color w:val="auto"/>
        </w:rPr>
      </w:pPr>
      <w:r>
        <w:rPr>
          <w:rFonts w:ascii="Courier New" w:cs="Courier New" w:eastAsia="Courier New" w:hAnsi="Courier New"/>
          <w:sz w:val="17"/>
          <w:szCs w:val="17"/>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 -in-fact's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w:t>
      </w:r>
    </w:p>
    <w:p>
      <w:pPr>
        <w:spacing w:after="0" w:line="201" w:lineRule="exact"/>
        <w:rPr>
          <w:sz w:val="20"/>
          <w:szCs w:val="20"/>
          <w:color w:val="auto"/>
        </w:rPr>
      </w:pPr>
    </w:p>
    <w:p>
      <w:pPr>
        <w:ind w:right="1779"/>
        <w:spacing w:after="0" w:line="249" w:lineRule="auto"/>
        <w:rPr>
          <w:sz w:val="20"/>
          <w:szCs w:val="20"/>
          <w:color w:val="auto"/>
        </w:rPr>
      </w:pPr>
      <w:r>
        <w:rPr>
          <w:rFonts w:ascii="Courier New" w:cs="Courier New" w:eastAsia="Courier New" w:hAnsi="Courier New"/>
          <w:sz w:val="17"/>
          <w:szCs w:val="17"/>
          <w:color w:val="auto"/>
        </w:rPr>
        <w:t>This Power of Attorney shall remain in full force and effect until the earliest to occur of (a) the undersigned is no longer required to file Forms 3, 4 and 5 with respect to the undersigned's holdings of and transactions in securities issued by the Company, (b) revocation by the undersigned in a signed writing delivered to the foregoing attorneys-in-fact or (c) as to any attorney-in-fact individually, until such attorney-in-fact is no longer employed by the Company or Cooley LLP.</w:t>
      </w:r>
    </w:p>
    <w:p>
      <w:pPr>
        <w:spacing w:after="0" w:line="200" w:lineRule="exact"/>
        <w:rPr>
          <w:sz w:val="20"/>
          <w:szCs w:val="20"/>
          <w:color w:val="auto"/>
        </w:rPr>
      </w:pPr>
    </w:p>
    <w:p>
      <w:pPr>
        <w:ind w:right="2199"/>
        <w:spacing w:after="0" w:line="251" w:lineRule="auto"/>
        <w:rPr>
          <w:sz w:val="20"/>
          <w:szCs w:val="20"/>
          <w:color w:val="auto"/>
        </w:rPr>
      </w:pPr>
      <w:r>
        <w:rPr>
          <w:rFonts w:ascii="Courier New" w:cs="Courier New" w:eastAsia="Courier New" w:hAnsi="Courier New"/>
          <w:sz w:val="17"/>
          <w:szCs w:val="17"/>
          <w:color w:val="auto"/>
        </w:rPr>
        <w:t>IN WITNESS WHEREOF, the undersigned has caused this Power of Attorney to be executed as of December 3, 2019.</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Jeryl L. Hilleman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Jeryl L. Hilleman</w:t>
      </w:r>
    </w:p>
    <w:sectPr>
      <w:pgSz w:w="11900" w:h="16838" w:orient="portrait"/>
      <w:cols w:equalWidth="0" w:num="1">
        <w:col w:w="9999"/>
      </w:cols>
      <w:pgMar w:left="46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216628" TargetMode="External"/><Relationship Id="rId14" Type="http://schemas.openxmlformats.org/officeDocument/2006/relationships/hyperlink" Target="http://www.sec.gov/cgi-bin/browse-edgar?action=getcompany&amp;CIK=00014598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2020-06-18T17:25:44Z</dcterms:created>
  <dcterms:modified xsi:type="dcterms:W3CDTF">2020-06-18T17:25:44Z</dcterms:modified>
</cp:coreProperties>
</file>