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gif" ContentType="image/gif"/>
  <Override PartName="/word/media/image1.gif" ContentType="image/gif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2"/>
        <w:rPr/>
      </w:pPr>
      <w:r>
        <w:rPr/>
      </w:r>
    </w:p>
    <w:p>
      <w:pPr>
        <w:pStyle w:val="TextBody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UNITED STATES</w:t>
      </w:r>
    </w:p>
    <w:p>
      <w:pPr>
        <w:pStyle w:val="TextBody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SECURITIES AND EXCHANGE COMMISSION</w:t>
      </w:r>
    </w:p>
    <w:p>
      <w:pPr>
        <w:pStyle w:val="TextBody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WASHINGTON, D.C. 20549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SCHEDULE 14A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6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Proxy Statement Pursuant to Section 14(a) of the Securities Exchange Act of 1934</w:t>
      </w:r>
    </w:p>
    <w:p>
      <w:pPr>
        <w:pStyle w:val="TextBody"/>
        <w:spacing w:lineRule="auto" w:line="268" w:before="0" w:after="0"/>
        <w:jc w:val="center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(Amendment No.__)</w:t>
      </w:r>
    </w:p>
    <w:p>
      <w:pPr>
        <w:pStyle w:val="TextBody"/>
        <w:spacing w:lineRule="auto" w:line="268" w:before="0" w:after="0"/>
        <w:jc w:val="both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>Filed by the Registrant</w:t>
      </w:r>
      <w:r>
        <w:rPr>
          <w:color w:val="000000"/>
        </w:rPr>
        <w:t xml:space="preserve"> ☑</w:t>
      </w:r>
    </w:p>
    <w:p>
      <w:pPr>
        <w:pStyle w:val="TextBody"/>
        <w:spacing w:lineRule="auto" w:line="268" w:before="0" w:after="0"/>
        <w:jc w:val="both"/>
        <w:rPr/>
      </w:pPr>
      <w:r>
        <w:rPr>
          <w:rFonts w:ascii="Times New Roman;sans-serif" w:hAnsi="Times New Roman;sans-serif"/>
          <w:b w:val="false"/>
          <w:color w:val="000000"/>
          <w:sz w:val="20"/>
        </w:rPr>
        <w:t>Filed by a Party other than the Registrant</w:t>
      </w:r>
      <w:r>
        <w:rPr>
          <w:color w:val="000000"/>
        </w:rPr>
        <w:t xml:space="preserve"> ☐</w:t>
      </w:r>
    </w:p>
    <w:p>
      <w:pPr>
        <w:pStyle w:val="TextBody"/>
        <w:spacing w:lineRule="auto" w:line="268" w:before="0" w:after="0"/>
        <w:jc w:val="both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Check the appropriate box:</w:t>
      </w:r>
    </w:p>
    <w:p>
      <w:pPr>
        <w:pStyle w:val="TextBody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Preliminary Proxy Statement</w:t>
      </w:r>
    </w:p>
    <w:p>
      <w:pPr>
        <w:pStyle w:val="TextBody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Definitive Proxy Statement</w:t>
      </w:r>
    </w:p>
    <w:p>
      <w:pPr>
        <w:pStyle w:val="TextBody"/>
        <w:spacing w:lineRule="auto" w:line="268" w:before="0" w:after="0"/>
        <w:jc w:val="both"/>
        <w:rPr/>
      </w:pPr>
      <w:r>
        <w:rPr>
          <w:color w:val="000000"/>
        </w:rPr>
        <w:t xml:space="preserve">☑ </w:t>
      </w:r>
      <w:r>
        <w:rPr>
          <w:rFonts w:ascii="Times New Roman;sans-serif" w:hAnsi="Times New Roman;sans-serif"/>
          <w:b w:val="false"/>
          <w:color w:val="000000"/>
          <w:sz w:val="20"/>
        </w:rPr>
        <w:t>Definitive Additional Materials</w:t>
      </w:r>
    </w:p>
    <w:p>
      <w:pPr>
        <w:pStyle w:val="TextBody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Soliciting Material Pursuant to § 240.14a-12</w:t>
      </w:r>
    </w:p>
    <w:p>
      <w:pPr>
        <w:pStyle w:val="TextBody"/>
        <w:spacing w:lineRule="auto" w:line="268" w:before="0" w:after="0"/>
        <w:rPr/>
      </w:pPr>
      <w:r>
        <w:rPr>
          <w:rFonts w:ascii="Times New Roman;sans-serif" w:hAnsi="Times New Roman;sans-serif"/>
          <w:b/>
          <w:color w:val="000000"/>
          <w:sz w:val="28"/>
          <w:u w:val="single"/>
        </w:rPr>
        <w:t>SI-BONE, Inc.</w:t>
      </w:r>
      <w:r>
        <w:rPr>
          <w:color w:val="000000"/>
          <w:u w:val="single"/>
        </w:rPr>
        <w:t xml:space="preserve"> </w:t>
      </w:r>
    </w:p>
    <w:p>
      <w:pPr>
        <w:pStyle w:val="TextBody"/>
        <w:spacing w:lineRule="auto" w:line="268" w:before="0" w:after="0"/>
        <w:jc w:val="center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(Name of Registrant as Specified In Its Charter)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lineRule="auto" w:line="268" w:before="0" w:after="0"/>
        <w:jc w:val="center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(Name of Person(s) Filing Proxy Statement if Other Than the Registrant)</w:t>
      </w:r>
    </w:p>
    <w:p>
      <w:pPr>
        <w:pStyle w:val="TextBody"/>
        <w:spacing w:lineRule="auto" w:line="268" w:before="0" w:after="0"/>
        <w:jc w:val="both"/>
        <w:rPr>
          <w:rFonts w:ascii="Times New Roman;sans-serif" w:hAnsi="Times New Roman;sans-serif"/>
          <w:b w:val="false"/>
          <w:color w:val="000000"/>
          <w:sz w:val="20"/>
        </w:rPr>
      </w:pPr>
      <w:r>
        <w:rPr>
          <w:rFonts w:ascii="Times New Roman;sans-serif" w:hAnsi="Times New Roman;sans-serif"/>
          <w:b w:val="false"/>
          <w:color w:val="000000"/>
          <w:sz w:val="20"/>
        </w:rPr>
        <w:t>Payment of Filing Fee (Check all boxes that apply)</w:t>
      </w:r>
    </w:p>
    <w:p>
      <w:pPr>
        <w:pStyle w:val="TextBody"/>
        <w:spacing w:lineRule="auto" w:line="268" w:before="0" w:after="0"/>
        <w:jc w:val="both"/>
        <w:rPr/>
      </w:pPr>
      <w:r>
        <w:rPr>
          <w:color w:val="000000"/>
        </w:rPr>
        <w:t xml:space="preserve">☑ </w:t>
      </w:r>
      <w:r>
        <w:rPr>
          <w:rFonts w:ascii="Times New Roman;sans-serif" w:hAnsi="Times New Roman;sans-serif"/>
          <w:b w:val="false"/>
          <w:color w:val="000000"/>
          <w:sz w:val="20"/>
        </w:rPr>
        <w:t>No fee required.</w:t>
      </w:r>
    </w:p>
    <w:p>
      <w:pPr>
        <w:pStyle w:val="TextBody"/>
        <w:spacing w:lineRule="auto" w:line="268" w:before="0" w:after="0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</w:rPr>
        <w:t>Fee paid previously with preliminary materials.</w:t>
      </w:r>
    </w:p>
    <w:p>
      <w:pPr>
        <w:pStyle w:val="TextBody"/>
        <w:spacing w:lineRule="auto" w:line="268"/>
        <w:jc w:val="both"/>
        <w:rPr/>
      </w:pPr>
      <w:r>
        <w:rPr>
          <w:color w:val="000000"/>
        </w:rPr>
        <w:t xml:space="preserve">☐ </w:t>
      </w:r>
      <w:r>
        <w:rPr>
          <w:rFonts w:ascii="Times New Roman;sans-serif" w:hAnsi="Times New Roman;sans-serif"/>
          <w:b w:val="false"/>
          <w:color w:val="000000"/>
          <w:sz w:val="20"/>
          <w:highlight w:val="white"/>
        </w:rPr>
        <w:t>Fee computed on table in exhibit required by Item 25(b) per Exchange Act Rules 14a-6(i)(1) and 0-11</w:t>
      </w:r>
      <w:r>
        <w:rPr>
          <w:rFonts w:ascii="Times New Roman;sans-serif" w:hAnsi="Times New Roman;sans-serif"/>
          <w:b w:val="false"/>
          <w:color w:val="000000"/>
          <w:sz w:val="20"/>
        </w:rPr>
        <w:t>.</w:t>
      </w:r>
      <w:r>
        <w:br w:type="page"/>
      </w:r>
    </w:p>
    <w:p>
      <w:pPr>
        <w:pStyle w:val="TextBody"/>
        <w:spacing w:before="0" w:after="2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200"/>
        <w:rPr/>
      </w:pPr>
      <w:r>
        <w:rPr/>
        <w:drawing>
          <wp:inline distT="0" distB="63500" distL="0" distR="0">
            <wp:extent cx="5943600" cy="76962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2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200"/>
        <w:rPr/>
      </w:pPr>
      <w:r>
        <w:rPr/>
        <w:drawing>
          <wp:inline distT="0" distB="63500" distL="0" distR="0">
            <wp:extent cx="5943600" cy="76962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283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2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2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gif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135</Words>
  <CharactersWithSpaces>842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