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01/06/2022</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01/06/2022</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24,385</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173,785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73,932</w:t>
            </w:r>
            <w:r>
              <w:rPr>
                <w:rFonts w:ascii="Arial" w:cs="Arial" w:eastAsia="Arial" w:hAnsi="Arial"/>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two years beginning on January 1, 2022, and will be released in quarterly installments commencing on May 15, 2022, subject to the Reporting Person's continued service through each relevant vesting date.</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transfer of shares from the Reporting Person to The Jeffrey W. Dunn Living Trust Dated May 17,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01/10/2022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2022-01-10T14:08:38Z</dcterms:created>
  <dcterms:modified xsi:type="dcterms:W3CDTF">2022-01-10T14:08:38Z</dcterms:modified>
</cp:coreProperties>
</file>