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5"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September 19, 2023</w:t>
      </w:r>
    </w:p>
    <w:p>
      <w:pPr>
        <w:spacing w:after="0" w:line="26"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207"/>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7"/>
                <w:szCs w:val="17"/>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20" w:type="dxa"/>
            <w:vAlign w:val="bottom"/>
          </w:tcPr>
          <w:p>
            <w:pPr>
              <w:spacing w:after="0"/>
              <w:rPr>
                <w:sz w:val="17"/>
                <w:szCs w:val="17"/>
                <w:color w:val="auto"/>
              </w:rPr>
            </w:pPr>
          </w:p>
        </w:tc>
      </w:tr>
      <w:tr>
        <w:trPr>
          <w:trHeight w:val="428"/>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8" w:lineRule="exact"/>
        <w:rPr>
          <w:sz w:val="24"/>
          <w:szCs w:val="24"/>
          <w:color w:val="auto"/>
        </w:rPr>
      </w:pPr>
    </w:p>
    <w:p>
      <w:pPr>
        <w:jc w:val="cente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1304290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September 19, 2023, in connection with the adoption of Rule 14a-19 by the U.S. Securities and Exchange Commission (the "Universal Proxy Rules"), the Board of Directors (the “Board”) of SI-BONE, Inc. (the “Company”) adopted and approved the Company’s Second Amended and Restated Bylaws (as so amended, the “Amended Bylaws”), which became effective upon approval. Among other things, the Amended Bylaws:</w:t>
      </w:r>
    </w:p>
    <w:p>
      <w:pPr>
        <w:ind w:left="66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enhance procedural mechanics and disclosure requirements in connection with stockholder nominations of directors and submissions of stockholder proposals at stockholder meetings by, among other things:</w:t>
      </w:r>
    </w:p>
    <w:p>
      <w:pPr>
        <w:spacing w:after="0" w:line="1" w:lineRule="exact"/>
        <w:rPr>
          <w:rFonts w:ascii="Arial" w:cs="Arial" w:eastAsia="Arial" w:hAnsi="Arial"/>
          <w:sz w:val="18"/>
          <w:szCs w:val="18"/>
          <w:color w:val="auto"/>
        </w:rPr>
      </w:pPr>
    </w:p>
    <w:p>
      <w:pPr>
        <w:ind w:left="1300" w:right="20" w:hanging="320"/>
        <w:spacing w:after="0" w:line="226"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requiring additional disclosures and notice to the Company from nominating or proposing stockholders, proposed director nominees and other persons associated with nominating or proposing stockholders;</w:t>
      </w:r>
    </w:p>
    <w:p>
      <w:pPr>
        <w:spacing w:after="0" w:line="1" w:lineRule="exact"/>
        <w:rPr>
          <w:rFonts w:ascii="Arial" w:cs="Arial" w:eastAsia="Arial" w:hAnsi="Arial"/>
          <w:sz w:val="18"/>
          <w:szCs w:val="18"/>
          <w:color w:val="auto"/>
        </w:rPr>
      </w:pPr>
    </w:p>
    <w:p>
      <w:pPr>
        <w:jc w:val="both"/>
        <w:ind w:left="1300" w:hanging="320"/>
        <w:spacing w:after="0" w:line="234" w:lineRule="auto"/>
        <w:tabs>
          <w:tab w:leader="none" w:pos="1337" w:val="left"/>
        </w:tabs>
        <w:numPr>
          <w:ilvl w:val="1"/>
          <w:numId w:val="2"/>
        </w:numPr>
        <w:rPr>
          <w:rFonts w:ascii="Arial" w:cs="Arial" w:eastAsia="Arial" w:hAnsi="Arial"/>
          <w:sz w:val="18"/>
          <w:szCs w:val="18"/>
          <w:color w:val="auto"/>
        </w:rPr>
      </w:pPr>
      <w:r>
        <w:rPr>
          <w:rFonts w:ascii="Arial" w:cs="Arial" w:eastAsia="Arial" w:hAnsi="Arial"/>
          <w:sz w:val="18"/>
          <w:szCs w:val="18"/>
          <w:color w:val="auto"/>
        </w:rPr>
        <w:t>addressing other matters required by the Universal Proxy Rules including the use of universal proxy cards and solicitations by stockholders and requiring a nominating stockholder to provide advance notice and reasonable evidence that the stockholder has complied with the requirements of the Universal Proxy Rules;</w:t>
      </w:r>
    </w:p>
    <w:p>
      <w:pPr>
        <w:spacing w:after="0" w:line="2" w:lineRule="exact"/>
        <w:rPr>
          <w:rFonts w:ascii="Arial" w:cs="Arial" w:eastAsia="Arial" w:hAnsi="Arial"/>
          <w:sz w:val="18"/>
          <w:szCs w:val="18"/>
          <w:color w:val="auto"/>
        </w:rPr>
      </w:pPr>
    </w:p>
    <w:p>
      <w:pPr>
        <w:jc w:val="both"/>
        <w:ind w:left="1300" w:hanging="320"/>
        <w:spacing w:after="0" w:line="234"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providing that no person may solicit proxies in support of a nominee other than the Board’s nominees unless such person has complied with the Amended Bylaws and the Universal Proxy Rules, including applicable notice and solicitation requirements, and reserving the use of a white proxy card for exclusive use by the Board; and</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certain additional technical, conforming, modernizing and clarifying changes.</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foregoing summary and description of the Amended and Restated Bylaws does not purport to be complete and is qualified in its entirety by reference to, and should be read in conjunction with, the full text of the Amended Bylaws, a copy of which is filed as Exhibit 3.1 hereto and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0000FF"/>
              </w:rPr>
              <w:t>Second Amended and Restated Bylaws</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08"/>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740" w:type="dxa"/>
            <w:vAlign w:val="bottom"/>
            <w:gridSpan w:val="2"/>
          </w:tcPr>
          <w:p>
            <w:pPr>
              <w:ind w:left="120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200"/>
              <w:spacing w:after="0"/>
              <w:rPr>
                <w:sz w:val="20"/>
                <w:szCs w:val="20"/>
                <w:color w:val="auto"/>
              </w:rPr>
            </w:pPr>
            <w:r>
              <w:rPr>
                <w:rFonts w:ascii="Arial" w:cs="Arial" w:eastAsia="Arial" w:hAnsi="Arial"/>
                <w:sz w:val="18"/>
                <w:szCs w:val="18"/>
                <w:color w:val="auto"/>
              </w:rPr>
              <w:t>September 20, 2023</w:t>
            </w:r>
          </w:p>
        </w:tc>
        <w:tc>
          <w:tcPr>
            <w:tcW w:w="1920" w:type="dxa"/>
            <w:vAlign w:val="bottom"/>
          </w:tcPr>
          <w:p>
            <w:pPr>
              <w:ind w:left="120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4"/>
        </w:trPr>
        <w:tc>
          <w:tcPr>
            <w:tcW w:w="6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bl>
    <w:p>
      <w:pPr>
        <w:ind w:left="54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560" w:type="dxa"/>
            <w:vAlign w:val="bottom"/>
            <w:gridSpan w:val="7"/>
          </w:tcPr>
          <w:p>
            <w:pPr>
              <w:jc w:val="center"/>
              <w:ind w:right="472"/>
              <w:spacing w:after="0"/>
              <w:rPr>
                <w:sz w:val="20"/>
                <w:szCs w:val="20"/>
                <w:color w:val="auto"/>
              </w:rPr>
            </w:pPr>
            <w:r>
              <w:rPr>
                <w:rFonts w:ascii="Arial" w:cs="Arial" w:eastAsia="Arial" w:hAnsi="Arial"/>
                <w:sz w:val="22"/>
                <w:szCs w:val="22"/>
                <w:b w:val="1"/>
                <w:bCs w:val="1"/>
                <w:color w:val="auto"/>
                <w:w w:val="96"/>
              </w:rPr>
              <w:t>SECOND AMENDED AND RESTATED BYLAWS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60" w:type="dxa"/>
            <w:vAlign w:val="bottom"/>
          </w:tcPr>
          <w:p>
            <w:pPr>
              <w:jc w:val="center"/>
              <w:ind w:right="2672"/>
              <w:spacing w:after="0"/>
              <w:rPr>
                <w:sz w:val="20"/>
                <w:szCs w:val="20"/>
                <w:color w:val="auto"/>
              </w:rPr>
            </w:pPr>
            <w:r>
              <w:rPr>
                <w:rFonts w:ascii="Arial" w:cs="Arial" w:eastAsia="Arial" w:hAnsi="Arial"/>
                <w:sz w:val="22"/>
                <w:szCs w:val="22"/>
                <w:b w:val="1"/>
                <w:bCs w:val="1"/>
                <w:color w:val="auto"/>
                <w:w w:val="98"/>
              </w:rPr>
              <w:t>OF</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gridSpan w:val="2"/>
          </w:tcPr>
          <w:p>
            <w:pPr>
              <w:jc w:val="center"/>
              <w:ind w:right="1572"/>
              <w:spacing w:after="0"/>
              <w:rPr>
                <w:sz w:val="20"/>
                <w:szCs w:val="20"/>
                <w:color w:val="auto"/>
              </w:rPr>
            </w:pPr>
            <w:r>
              <w:rPr>
                <w:rFonts w:ascii="Arial" w:cs="Arial" w:eastAsia="Arial" w:hAnsi="Arial"/>
                <w:sz w:val="22"/>
                <w:szCs w:val="22"/>
                <w:b w:val="1"/>
                <w:bCs w:val="1"/>
                <w:color w:val="auto"/>
                <w:w w:val="97"/>
              </w:rPr>
              <w:t>SI-BONE, INC.</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60" w:type="dxa"/>
            <w:vAlign w:val="bottom"/>
            <w:gridSpan w:val="3"/>
          </w:tcPr>
          <w:p>
            <w:pPr>
              <w:jc w:val="center"/>
              <w:ind w:right="972"/>
              <w:spacing w:after="0"/>
              <w:rPr>
                <w:sz w:val="20"/>
                <w:szCs w:val="20"/>
                <w:color w:val="auto"/>
              </w:rPr>
            </w:pPr>
            <w:r>
              <w:rPr>
                <w:rFonts w:ascii="Arial" w:cs="Arial" w:eastAsia="Arial" w:hAnsi="Arial"/>
                <w:sz w:val="22"/>
                <w:szCs w:val="22"/>
                <w:b w:val="1"/>
                <w:bCs w:val="1"/>
                <w:color w:val="auto"/>
                <w:w w:val="97"/>
              </w:rPr>
              <w:t>(A DELAWARE CORPORATION)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8700" w:type="dxa"/>
            <w:vAlign w:val="bottom"/>
            <w:gridSpan w:val="35"/>
          </w:tcPr>
          <w:p>
            <w:pPr>
              <w:spacing w:after="0"/>
              <w:rPr>
                <w:sz w:val="20"/>
                <w:szCs w:val="20"/>
                <w:color w:val="auto"/>
              </w:rPr>
            </w:pPr>
            <w:r>
              <w:rPr>
                <w:rFonts w:ascii="Arial" w:cs="Arial" w:eastAsia="Arial" w:hAnsi="Arial"/>
                <w:sz w:val="22"/>
                <w:szCs w:val="22"/>
                <w:b w:val="1"/>
                <w:bCs w:val="1"/>
                <w:color w:val="auto"/>
              </w:rPr>
              <w:t>Table of Contents Page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1940" w:type="dxa"/>
            <w:vAlign w:val="bottom"/>
            <w:tcBorders>
              <w:bottom w:val="single" w:sz="8" w:color="0563C1"/>
            </w:tcBorders>
            <w:gridSpan w:val="9"/>
          </w:tcPr>
          <w:p>
            <w:pPr>
              <w:spacing w:after="0" w:line="224" w:lineRule="exact"/>
              <w:rPr>
                <w:sz w:val="20"/>
                <w:szCs w:val="20"/>
                <w:color w:val="auto"/>
              </w:rPr>
            </w:pPr>
            <w:r>
              <w:rPr>
                <w:rFonts w:ascii="Arial" w:cs="Arial" w:eastAsia="Arial" w:hAnsi="Arial"/>
                <w:sz w:val="22"/>
                <w:szCs w:val="22"/>
                <w:color w:val="0563C1"/>
                <w:w w:val="92"/>
              </w:rPr>
              <w:t>ARTICLE I OFFICES</w:t>
            </w:r>
          </w:p>
        </w:tc>
        <w:tc>
          <w:tcPr>
            <w:tcW w:w="6680" w:type="dxa"/>
            <w:vAlign w:val="bottom"/>
            <w:gridSpan w:val="25"/>
          </w:tcPr>
          <w:p>
            <w:pPr>
              <w:spacing w:after="0"/>
              <w:rPr>
                <w:sz w:val="19"/>
                <w:szCs w:val="19"/>
                <w:color w:val="auto"/>
              </w:rPr>
            </w:pPr>
          </w:p>
        </w:tc>
        <w:tc>
          <w:tcPr>
            <w:tcW w:w="920" w:type="dxa"/>
            <w:vAlign w:val="bottom"/>
          </w:tcPr>
          <w:p>
            <w:pPr>
              <w:ind w:left="700"/>
              <w:spacing w:after="0" w:line="224"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60" w:type="dxa"/>
            <w:vAlign w:val="bottom"/>
            <w:tcBorders>
              <w:bottom w:val="single" w:sz="8" w:color="0563C1"/>
            </w:tcBorders>
          </w:tcPr>
          <w:p>
            <w:pPr>
              <w:spacing w:after="0" w:line="237" w:lineRule="exact"/>
              <w:rPr>
                <w:sz w:val="20"/>
                <w:szCs w:val="20"/>
                <w:color w:val="auto"/>
              </w:rPr>
            </w:pPr>
            <w:r>
              <w:rPr>
                <w:rFonts w:ascii="Arial" w:cs="Arial" w:eastAsia="Arial" w:hAnsi="Arial"/>
                <w:sz w:val="22"/>
                <w:szCs w:val="22"/>
                <w:color w:val="0563C1"/>
                <w:w w:val="85"/>
              </w:rPr>
              <w:t>Section 1.</w:t>
            </w:r>
          </w:p>
        </w:tc>
        <w:tc>
          <w:tcPr>
            <w:tcW w:w="100" w:type="dxa"/>
            <w:vAlign w:val="bottom"/>
            <w:tcBorders>
              <w:bottom w:val="single" w:sz="8" w:color="0563C1"/>
            </w:tcBorders>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Borders>
              <w:bottom w:val="single" w:sz="8" w:color="0563C1"/>
            </w:tcBorders>
            <w:gridSpan w:val="17"/>
          </w:tcPr>
          <w:p>
            <w:pPr>
              <w:spacing w:after="0" w:line="237" w:lineRule="exact"/>
              <w:rPr>
                <w:sz w:val="20"/>
                <w:szCs w:val="20"/>
                <w:color w:val="auto"/>
              </w:rPr>
            </w:pPr>
            <w:r>
              <w:rPr>
                <w:rFonts w:ascii="Arial" w:cs="Arial" w:eastAsia="Arial" w:hAnsi="Arial"/>
                <w:sz w:val="22"/>
                <w:szCs w:val="22"/>
                <w:color w:val="0563C1"/>
                <w:w w:val="88"/>
              </w:rPr>
              <w:t>Registered Office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920" w:type="dxa"/>
            <w:vAlign w:val="bottom"/>
          </w:tcPr>
          <w:p>
            <w:pPr>
              <w:ind w:left="700"/>
              <w:spacing w:after="0" w:line="250"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860" w:type="dxa"/>
            <w:vAlign w:val="bottom"/>
            <w:tcBorders>
              <w:bottom w:val="single" w:sz="8" w:color="0563C1"/>
            </w:tcBorders>
          </w:tcPr>
          <w:p>
            <w:pPr>
              <w:spacing w:after="0"/>
              <w:rPr>
                <w:sz w:val="20"/>
                <w:szCs w:val="20"/>
                <w:color w:val="auto"/>
              </w:rPr>
            </w:pPr>
            <w:r>
              <w:rPr>
                <w:rFonts w:ascii="Arial" w:cs="Arial" w:eastAsia="Arial" w:hAnsi="Arial"/>
                <w:sz w:val="22"/>
                <w:szCs w:val="22"/>
                <w:color w:val="0563C1"/>
                <w:w w:val="85"/>
              </w:rPr>
              <w:t>Section 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0563C1"/>
            </w:tcBorders>
            <w:gridSpan w:val="11"/>
          </w:tcPr>
          <w:p>
            <w:pPr>
              <w:spacing w:after="0"/>
              <w:rPr>
                <w:sz w:val="20"/>
                <w:szCs w:val="20"/>
                <w:color w:val="auto"/>
              </w:rPr>
            </w:pPr>
            <w:r>
              <w:rPr>
                <w:rFonts w:ascii="Arial" w:cs="Arial" w:eastAsia="Arial" w:hAnsi="Arial"/>
                <w:sz w:val="22"/>
                <w:szCs w:val="22"/>
                <w:color w:val="0563C1"/>
                <w:w w:val="89"/>
              </w:rPr>
              <w:t>Other Offices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533"/>
        </w:trPr>
        <w:tc>
          <w:tcPr>
            <w:tcW w:w="80" w:type="dxa"/>
            <w:vAlign w:val="bottom"/>
          </w:tcPr>
          <w:p>
            <w:pPr>
              <w:spacing w:after="0"/>
              <w:rPr>
                <w:sz w:val="24"/>
                <w:szCs w:val="24"/>
                <w:color w:val="auto"/>
              </w:rPr>
            </w:pPr>
          </w:p>
        </w:tc>
        <w:tc>
          <w:tcPr>
            <w:tcW w:w="8620" w:type="dxa"/>
            <w:vAlign w:val="bottom"/>
            <w:gridSpan w:val="34"/>
          </w:tcPr>
          <w:p>
            <w:pPr>
              <w:spacing w:after="0"/>
              <w:rPr>
                <w:sz w:val="20"/>
                <w:szCs w:val="20"/>
                <w:color w:val="auto"/>
              </w:rPr>
            </w:pPr>
            <w:r>
              <w:rPr>
                <w:rFonts w:ascii="Arial" w:cs="Arial" w:eastAsia="Arial" w:hAnsi="Arial"/>
                <w:sz w:val="22"/>
                <w:szCs w:val="22"/>
                <w:color w:val="0563C1"/>
              </w:rPr>
              <w:t>ARTICLE II CORPORATE SEAL</w:t>
            </w:r>
          </w:p>
        </w:tc>
        <w:tc>
          <w:tcPr>
            <w:tcW w:w="920" w:type="dxa"/>
            <w:vAlign w:val="bottom"/>
          </w:tcPr>
          <w:p>
            <w:pPr>
              <w:ind w:left="7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60" w:type="dxa"/>
            <w:vAlign w:val="bottom"/>
            <w:tcBorders>
              <w:top w:val="single" w:sz="8" w:color="0563C1"/>
              <w:bottom w:val="single" w:sz="8" w:color="0563C1"/>
            </w:tcBorders>
          </w:tcPr>
          <w:p>
            <w:pPr>
              <w:spacing w:after="0" w:line="237" w:lineRule="exact"/>
              <w:rPr>
                <w:sz w:val="20"/>
                <w:szCs w:val="20"/>
                <w:color w:val="auto"/>
              </w:rPr>
            </w:pPr>
            <w:r>
              <w:rPr>
                <w:rFonts w:ascii="Arial" w:cs="Arial" w:eastAsia="Arial" w:hAnsi="Arial"/>
                <w:sz w:val="22"/>
                <w:szCs w:val="22"/>
                <w:color w:val="0563C1"/>
                <w:w w:val="85"/>
              </w:rPr>
              <w:t>Section 3.</w:t>
            </w:r>
          </w:p>
        </w:tc>
        <w:tc>
          <w:tcPr>
            <w:tcW w:w="100" w:type="dxa"/>
            <w:vAlign w:val="bottom"/>
            <w:tcBorders>
              <w:top w:val="single" w:sz="8" w:color="0563C1"/>
              <w:bottom w:val="single" w:sz="8" w:color="0563C1"/>
            </w:tcBorders>
          </w:tcPr>
          <w:p>
            <w:pPr>
              <w:spacing w:after="0"/>
              <w:rPr>
                <w:sz w:val="21"/>
                <w:szCs w:val="21"/>
                <w:color w:val="auto"/>
              </w:rPr>
            </w:pPr>
          </w:p>
        </w:tc>
        <w:tc>
          <w:tcPr>
            <w:tcW w:w="80" w:type="dxa"/>
            <w:vAlign w:val="bottom"/>
            <w:tcBorders>
              <w:top w:val="single" w:sz="8" w:color="0563C1"/>
              <w:bottom w:val="single" w:sz="8" w:color="0563C1"/>
            </w:tcBorders>
          </w:tcPr>
          <w:p>
            <w:pPr>
              <w:spacing w:after="0"/>
              <w:rPr>
                <w:sz w:val="21"/>
                <w:szCs w:val="21"/>
                <w:color w:val="auto"/>
              </w:rPr>
            </w:pPr>
          </w:p>
        </w:tc>
        <w:tc>
          <w:tcPr>
            <w:tcW w:w="1280" w:type="dxa"/>
            <w:vAlign w:val="bottom"/>
            <w:tcBorders>
              <w:top w:val="single" w:sz="8" w:color="0563C1"/>
              <w:bottom w:val="single" w:sz="8" w:color="0563C1"/>
            </w:tcBorders>
            <w:gridSpan w:val="13"/>
          </w:tcPr>
          <w:p>
            <w:pPr>
              <w:spacing w:after="0" w:line="237" w:lineRule="exact"/>
              <w:rPr>
                <w:sz w:val="20"/>
                <w:szCs w:val="20"/>
                <w:color w:val="auto"/>
              </w:rPr>
            </w:pPr>
            <w:r>
              <w:rPr>
                <w:rFonts w:ascii="Arial" w:cs="Arial" w:eastAsia="Arial" w:hAnsi="Arial"/>
                <w:sz w:val="22"/>
                <w:szCs w:val="22"/>
                <w:color w:val="0563C1"/>
                <w:w w:val="85"/>
              </w:rPr>
              <w:t>Corporate Seal</w:t>
            </w:r>
          </w:p>
        </w:tc>
        <w:tc>
          <w:tcPr>
            <w:tcW w:w="20" w:type="dxa"/>
            <w:vAlign w:val="bottom"/>
            <w:tcBorders>
              <w:top w:val="single" w:sz="8" w:color="0563C1"/>
              <w:bottom w:val="single" w:sz="8" w:color="0563C1"/>
            </w:tcBorders>
          </w:tcPr>
          <w:p>
            <w:pPr>
              <w:spacing w:after="0"/>
              <w:rPr>
                <w:sz w:val="21"/>
                <w:szCs w:val="21"/>
                <w:color w:val="auto"/>
              </w:rPr>
            </w:pPr>
          </w:p>
        </w:tc>
        <w:tc>
          <w:tcPr>
            <w:tcW w:w="80" w:type="dxa"/>
            <w:vAlign w:val="bottom"/>
            <w:tcBorders>
              <w:top w:val="single" w:sz="8" w:color="0563C1"/>
              <w:bottom w:val="single" w:sz="8" w:color="0563C1"/>
            </w:tcBorders>
          </w:tcPr>
          <w:p>
            <w:pPr>
              <w:spacing w:after="0"/>
              <w:rPr>
                <w:sz w:val="21"/>
                <w:szCs w:val="21"/>
                <w:color w:val="auto"/>
              </w:rPr>
            </w:pPr>
          </w:p>
        </w:tc>
        <w:tc>
          <w:tcPr>
            <w:tcW w:w="120" w:type="dxa"/>
            <w:vAlign w:val="bottom"/>
            <w:tcBorders>
              <w:top w:val="single" w:sz="8" w:color="0563C1"/>
              <w:bottom w:val="single" w:sz="8" w:color="0563C1"/>
            </w:tcBorders>
          </w:tcPr>
          <w:p>
            <w:pPr>
              <w:spacing w:after="0"/>
              <w:rPr>
                <w:sz w:val="21"/>
                <w:szCs w:val="21"/>
                <w:color w:val="auto"/>
              </w:rPr>
            </w:pPr>
          </w:p>
        </w:tc>
        <w:tc>
          <w:tcPr>
            <w:tcW w:w="60" w:type="dxa"/>
            <w:vAlign w:val="bottom"/>
            <w:tcBorders>
              <w:top w:val="single" w:sz="8" w:color="0563C1"/>
              <w:bottom w:val="single" w:sz="8" w:color="0563C1"/>
            </w:tcBorders>
            <w:gridSpan w:val="2"/>
          </w:tcPr>
          <w:p>
            <w:pPr>
              <w:spacing w:after="0"/>
              <w:rPr>
                <w:sz w:val="21"/>
                <w:szCs w:val="21"/>
                <w:color w:val="auto"/>
              </w:rPr>
            </w:pPr>
          </w:p>
        </w:tc>
        <w:tc>
          <w:tcPr>
            <w:tcW w:w="100" w:type="dxa"/>
            <w:vAlign w:val="bottom"/>
            <w:tcBorders>
              <w:top w:val="single" w:sz="8" w:color="0563C1"/>
              <w:bottom w:val="single" w:sz="8" w:color="0563C1"/>
            </w:tcBorders>
          </w:tcPr>
          <w:p>
            <w:pPr>
              <w:spacing w:after="0"/>
              <w:rPr>
                <w:sz w:val="21"/>
                <w:szCs w:val="21"/>
                <w:color w:val="auto"/>
              </w:rPr>
            </w:pPr>
          </w:p>
        </w:tc>
        <w:tc>
          <w:tcPr>
            <w:tcW w:w="160" w:type="dxa"/>
            <w:vAlign w:val="bottom"/>
            <w:tcBorders>
              <w:top w:val="single" w:sz="8" w:color="0563C1"/>
              <w:bottom w:val="single" w:sz="8" w:color="0563C1"/>
            </w:tcBorders>
          </w:tcPr>
          <w:p>
            <w:pPr>
              <w:spacing w:after="0"/>
              <w:rPr>
                <w:sz w:val="21"/>
                <w:szCs w:val="21"/>
                <w:color w:val="auto"/>
              </w:rPr>
            </w:pPr>
          </w:p>
        </w:tc>
        <w:tc>
          <w:tcPr>
            <w:tcW w:w="20" w:type="dxa"/>
            <w:vAlign w:val="bottom"/>
            <w:tcBorders>
              <w:top w:val="single" w:sz="8" w:color="0563C1"/>
              <w:bottom w:val="single" w:sz="8" w:color="0563C1"/>
            </w:tcBorders>
          </w:tcPr>
          <w:p>
            <w:pPr>
              <w:spacing w:after="0"/>
              <w:rPr>
                <w:sz w:val="21"/>
                <w:szCs w:val="21"/>
                <w:color w:val="auto"/>
              </w:rPr>
            </w:pPr>
          </w:p>
        </w:tc>
        <w:tc>
          <w:tcPr>
            <w:tcW w:w="20" w:type="dxa"/>
            <w:vAlign w:val="bottom"/>
            <w:tcBorders>
              <w:top w:val="single" w:sz="8" w:color="0563C1"/>
              <w:bottom w:val="single" w:sz="8" w:color="0563C1"/>
            </w:tcBorders>
          </w:tcPr>
          <w:p>
            <w:pPr>
              <w:spacing w:after="0"/>
              <w:rPr>
                <w:sz w:val="21"/>
                <w:szCs w:val="21"/>
                <w:color w:val="auto"/>
              </w:rPr>
            </w:pPr>
          </w:p>
        </w:tc>
        <w:tc>
          <w:tcPr>
            <w:tcW w:w="100" w:type="dxa"/>
            <w:vAlign w:val="bottom"/>
            <w:tcBorders>
              <w:top w:val="single" w:sz="8" w:color="0563C1"/>
              <w:bottom w:val="single" w:sz="8" w:color="0563C1"/>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920" w:type="dxa"/>
            <w:vAlign w:val="bottom"/>
          </w:tcPr>
          <w:p>
            <w:pPr>
              <w:ind w:left="700"/>
              <w:spacing w:after="0" w:line="250"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533"/>
        </w:trPr>
        <w:tc>
          <w:tcPr>
            <w:tcW w:w="80" w:type="dxa"/>
            <w:vAlign w:val="bottom"/>
          </w:tcPr>
          <w:p>
            <w:pPr>
              <w:spacing w:after="0"/>
              <w:rPr>
                <w:sz w:val="24"/>
                <w:szCs w:val="24"/>
                <w:color w:val="auto"/>
              </w:rPr>
            </w:pPr>
          </w:p>
        </w:tc>
        <w:tc>
          <w:tcPr>
            <w:tcW w:w="4140" w:type="dxa"/>
            <w:vAlign w:val="bottom"/>
            <w:tcBorders>
              <w:bottom w:val="single" w:sz="8" w:color="0563C1"/>
            </w:tcBorders>
            <w:gridSpan w:val="32"/>
          </w:tcPr>
          <w:p>
            <w:pPr>
              <w:spacing w:after="0"/>
              <w:rPr>
                <w:sz w:val="20"/>
                <w:szCs w:val="20"/>
                <w:color w:val="auto"/>
              </w:rPr>
            </w:pPr>
            <w:r>
              <w:rPr>
                <w:rFonts w:ascii="Arial" w:cs="Arial" w:eastAsia="Arial" w:hAnsi="Arial"/>
                <w:sz w:val="22"/>
                <w:szCs w:val="22"/>
                <w:color w:val="0563C1"/>
                <w:w w:val="95"/>
              </w:rPr>
              <w:t>ARTICLE III STOCKHOLDERS’ MEETINGS</w:t>
            </w:r>
          </w:p>
        </w:tc>
        <w:tc>
          <w:tcPr>
            <w:tcW w:w="4480" w:type="dxa"/>
            <w:vAlign w:val="bottom"/>
            <w:gridSpan w:val="2"/>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60" w:type="dxa"/>
            <w:vAlign w:val="bottom"/>
            <w:tcBorders>
              <w:bottom w:val="single" w:sz="8" w:color="0563C1"/>
            </w:tcBorders>
          </w:tcPr>
          <w:p>
            <w:pPr>
              <w:spacing w:after="0" w:line="237" w:lineRule="exact"/>
              <w:rPr>
                <w:sz w:val="20"/>
                <w:szCs w:val="20"/>
                <w:color w:val="auto"/>
              </w:rPr>
            </w:pPr>
            <w:r>
              <w:rPr>
                <w:rFonts w:ascii="Arial" w:cs="Arial" w:eastAsia="Arial" w:hAnsi="Arial"/>
                <w:sz w:val="22"/>
                <w:szCs w:val="22"/>
                <w:color w:val="0563C1"/>
                <w:w w:val="85"/>
              </w:rPr>
              <w:t>Section 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Borders>
              <w:bottom w:val="single" w:sz="8" w:color="0563C1"/>
            </w:tcBorders>
            <w:gridSpan w:val="18"/>
          </w:tcPr>
          <w:p>
            <w:pPr>
              <w:spacing w:after="0" w:line="237" w:lineRule="exact"/>
              <w:rPr>
                <w:sz w:val="20"/>
                <w:szCs w:val="20"/>
                <w:color w:val="auto"/>
              </w:rPr>
            </w:pPr>
            <w:r>
              <w:rPr>
                <w:rFonts w:ascii="Arial" w:cs="Arial" w:eastAsia="Arial" w:hAnsi="Arial"/>
                <w:sz w:val="22"/>
                <w:szCs w:val="22"/>
                <w:color w:val="0563C1"/>
                <w:w w:val="88"/>
              </w:rPr>
              <w:t>Place of Meetings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gridSpan w:val="2"/>
          </w:tcPr>
          <w:p>
            <w:pPr>
              <w:spacing w:after="0"/>
              <w:rPr>
                <w:sz w:val="21"/>
                <w:szCs w:val="21"/>
                <w:color w:val="auto"/>
              </w:rPr>
            </w:pPr>
          </w:p>
        </w:tc>
        <w:tc>
          <w:tcPr>
            <w:tcW w:w="3360" w:type="dxa"/>
            <w:vAlign w:val="bottom"/>
          </w:tcPr>
          <w:p>
            <w:pPr>
              <w:spacing w:after="0"/>
              <w:rPr>
                <w:sz w:val="21"/>
                <w:szCs w:val="21"/>
                <w:color w:val="auto"/>
              </w:rPr>
            </w:pPr>
          </w:p>
        </w:tc>
        <w:tc>
          <w:tcPr>
            <w:tcW w:w="920" w:type="dxa"/>
            <w:vAlign w:val="bottom"/>
          </w:tcPr>
          <w:p>
            <w:pPr>
              <w:ind w:left="700"/>
              <w:spacing w:after="0" w:line="250"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Arial" w:cs="Arial" w:eastAsia="Arial" w:hAnsi="Arial"/>
                <w:sz w:val="22"/>
                <w:szCs w:val="22"/>
                <w:color w:val="0563C1"/>
                <w:w w:val="85"/>
              </w:rPr>
              <w:t>Section 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16"/>
          </w:tcPr>
          <w:p>
            <w:pPr>
              <w:spacing w:after="0"/>
              <w:rPr>
                <w:sz w:val="20"/>
                <w:szCs w:val="20"/>
                <w:color w:val="auto"/>
              </w:rPr>
            </w:pPr>
            <w:r>
              <w:rPr>
                <w:rFonts w:ascii="Arial" w:cs="Arial" w:eastAsia="Arial" w:hAnsi="Arial"/>
                <w:sz w:val="22"/>
                <w:szCs w:val="22"/>
                <w:color w:val="0563C1"/>
                <w:w w:val="90"/>
              </w:rPr>
              <w:t>Annual Meetings</w:t>
            </w:r>
          </w:p>
        </w:tc>
        <w:tc>
          <w:tcPr>
            <w:tcW w:w="16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700" w:type="dxa"/>
            <w:vAlign w:val="bottom"/>
            <w:gridSpan w:val="2"/>
            <w:vMerge w:val="restart"/>
          </w:tcPr>
          <w:p>
            <w:pPr>
              <w:spacing w:after="0"/>
              <w:rPr>
                <w:sz w:val="24"/>
                <w:szCs w:val="24"/>
                <w:color w:val="auto"/>
              </w:rPr>
            </w:pPr>
          </w:p>
        </w:tc>
        <w:tc>
          <w:tcPr>
            <w:tcW w:w="3360" w:type="dxa"/>
            <w:vAlign w:val="bottom"/>
            <w:vMerge w:val="restart"/>
          </w:tcPr>
          <w:p>
            <w:pPr>
              <w:spacing w:after="0"/>
              <w:rPr>
                <w:sz w:val="24"/>
                <w:szCs w:val="24"/>
                <w:color w:val="auto"/>
              </w:rPr>
            </w:pPr>
          </w:p>
        </w:tc>
        <w:tc>
          <w:tcPr>
            <w:tcW w:w="920" w:type="dxa"/>
            <w:vAlign w:val="bottom"/>
            <w:vMerge w:val="restart"/>
          </w:tcPr>
          <w:p>
            <w:pPr>
              <w:ind w:left="7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0" w:type="dxa"/>
            <w:vAlign w:val="bottom"/>
            <w:tcBorders>
              <w:bottom w:val="single" w:sz="8" w:color="0563C1"/>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60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14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60" w:type="dxa"/>
            <w:vAlign w:val="bottom"/>
            <w:tcBorders>
              <w:bottom w:val="single" w:sz="8" w:color="0563C1"/>
            </w:tcBorders>
            <w:shd w:val="clear" w:color="auto" w:fill="0563C1"/>
          </w:tcPr>
          <w:p>
            <w:pPr>
              <w:spacing w:after="0" w:line="20" w:lineRule="exact"/>
              <w:rPr>
                <w:sz w:val="1"/>
                <w:szCs w:val="1"/>
                <w:color w:val="auto"/>
              </w:rPr>
            </w:pPr>
          </w:p>
        </w:tc>
        <w:tc>
          <w:tcPr>
            <w:tcW w:w="16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60" w:type="dxa"/>
            <w:vAlign w:val="bottom"/>
            <w:tcBorders>
              <w:bottom w:val="single" w:sz="8" w:color="0563C1"/>
            </w:tcBorders>
            <w:gridSpan w:val="2"/>
            <w:shd w:val="clear" w:color="auto" w:fill="0563C1"/>
          </w:tcPr>
          <w:p>
            <w:pPr>
              <w:spacing w:after="0" w:line="20" w:lineRule="exact"/>
              <w:rPr>
                <w:sz w:val="1"/>
                <w:szCs w:val="1"/>
                <w:color w:val="auto"/>
              </w:rPr>
            </w:pPr>
          </w:p>
        </w:tc>
        <w:tc>
          <w:tcPr>
            <w:tcW w:w="80" w:type="dxa"/>
            <w:vAlign w:val="bottom"/>
            <w:tcBorders>
              <w:bottom w:val="single" w:sz="8" w:color="0563C1"/>
            </w:tcBorders>
            <w:gridSpan w:val="2"/>
            <w:shd w:val="clear" w:color="auto" w:fill="0563C1"/>
          </w:tcPr>
          <w:p>
            <w:pPr>
              <w:spacing w:after="0" w:line="20" w:lineRule="exact"/>
              <w:rPr>
                <w:sz w:val="1"/>
                <w:szCs w:val="1"/>
                <w:color w:val="auto"/>
              </w:rPr>
            </w:pPr>
          </w:p>
        </w:tc>
        <w:tc>
          <w:tcPr>
            <w:tcW w:w="80" w:type="dxa"/>
            <w:vAlign w:val="bottom"/>
            <w:tcBorders>
              <w:bottom w:val="single" w:sz="8" w:color="0563C1"/>
            </w:tcBorders>
            <w:shd w:val="clear" w:color="auto" w:fill="0563C1"/>
          </w:tcPr>
          <w:p>
            <w:pPr>
              <w:spacing w:after="0" w:line="20" w:lineRule="exact"/>
              <w:rPr>
                <w:sz w:val="1"/>
                <w:szCs w:val="1"/>
                <w:color w:val="auto"/>
              </w:rPr>
            </w:pPr>
          </w:p>
        </w:tc>
        <w:tc>
          <w:tcPr>
            <w:tcW w:w="120" w:type="dxa"/>
            <w:vAlign w:val="bottom"/>
            <w:tcBorders>
              <w:bottom w:val="single" w:sz="8" w:color="0563C1"/>
            </w:tcBorders>
            <w:shd w:val="clear" w:color="auto" w:fill="0563C1"/>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33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0" w:type="dxa"/>
            <w:vAlign w:val="bottom"/>
          </w:tcPr>
          <w:p>
            <w:pPr>
              <w:spacing w:after="0"/>
              <w:rPr>
                <w:sz w:val="22"/>
                <w:szCs w:val="22"/>
                <w:color w:val="auto"/>
              </w:rPr>
            </w:pPr>
          </w:p>
        </w:tc>
        <w:tc>
          <w:tcPr>
            <w:tcW w:w="860" w:type="dxa"/>
            <w:vAlign w:val="bottom"/>
            <w:tcBorders>
              <w:bottom w:val="single" w:sz="8" w:color="0563C1"/>
            </w:tcBorders>
          </w:tcPr>
          <w:p>
            <w:pPr>
              <w:spacing w:after="0"/>
              <w:rPr>
                <w:sz w:val="20"/>
                <w:szCs w:val="20"/>
                <w:color w:val="auto"/>
              </w:rPr>
            </w:pPr>
            <w:r>
              <w:rPr>
                <w:rFonts w:ascii="Arial" w:cs="Arial" w:eastAsia="Arial" w:hAnsi="Arial"/>
                <w:sz w:val="22"/>
                <w:szCs w:val="22"/>
                <w:color w:val="0563C1"/>
                <w:w w:val="85"/>
              </w:rPr>
              <w:t>Section 6.</w:t>
            </w:r>
          </w:p>
        </w:tc>
        <w:tc>
          <w:tcPr>
            <w:tcW w:w="100" w:type="dxa"/>
            <w:vAlign w:val="bottom"/>
            <w:tcBorders>
              <w:bottom w:val="single" w:sz="8" w:color="0563C1"/>
            </w:tcBorders>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Borders>
              <w:bottom w:val="single" w:sz="8" w:color="0563C1"/>
            </w:tcBorders>
            <w:gridSpan w:val="16"/>
          </w:tcPr>
          <w:p>
            <w:pPr>
              <w:spacing w:after="0"/>
              <w:rPr>
                <w:sz w:val="20"/>
                <w:szCs w:val="20"/>
                <w:color w:val="auto"/>
              </w:rPr>
            </w:pPr>
            <w:r>
              <w:rPr>
                <w:rFonts w:ascii="Arial" w:cs="Arial" w:eastAsia="Arial" w:hAnsi="Arial"/>
                <w:sz w:val="22"/>
                <w:szCs w:val="22"/>
                <w:color w:val="0563C1"/>
                <w:w w:val="88"/>
              </w:rPr>
              <w:t>Special Meetings</w:t>
            </w:r>
          </w:p>
        </w:tc>
        <w:tc>
          <w:tcPr>
            <w:tcW w:w="160" w:type="dxa"/>
            <w:vAlign w:val="bottom"/>
            <w:gridSpan w:val="3"/>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gridSpan w:val="2"/>
          </w:tcPr>
          <w:p>
            <w:pPr>
              <w:spacing w:after="0"/>
              <w:rPr>
                <w:sz w:val="22"/>
                <w:szCs w:val="22"/>
                <w:color w:val="auto"/>
              </w:rPr>
            </w:pPr>
          </w:p>
        </w:tc>
        <w:tc>
          <w:tcPr>
            <w:tcW w:w="3360" w:type="dxa"/>
            <w:vAlign w:val="bottom"/>
          </w:tcPr>
          <w:p>
            <w:pPr>
              <w:spacing w:after="0"/>
              <w:rPr>
                <w:sz w:val="22"/>
                <w:szCs w:val="22"/>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Arial" w:cs="Arial" w:eastAsia="Arial" w:hAnsi="Arial"/>
                <w:sz w:val="22"/>
                <w:szCs w:val="22"/>
                <w:color w:val="0563C1"/>
                <w:w w:val="85"/>
              </w:rPr>
              <w:t>Section 7.</w:t>
            </w:r>
          </w:p>
        </w:tc>
        <w:tc>
          <w:tcPr>
            <w:tcW w:w="10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660" w:type="dxa"/>
            <w:vAlign w:val="bottom"/>
            <w:gridSpan w:val="19"/>
          </w:tcPr>
          <w:p>
            <w:pPr>
              <w:spacing w:after="0"/>
              <w:rPr>
                <w:sz w:val="20"/>
                <w:szCs w:val="20"/>
                <w:color w:val="auto"/>
              </w:rPr>
            </w:pPr>
            <w:r>
              <w:rPr>
                <w:rFonts w:ascii="Arial" w:cs="Arial" w:eastAsia="Arial" w:hAnsi="Arial"/>
                <w:sz w:val="22"/>
                <w:szCs w:val="22"/>
                <w:color w:val="0563C1"/>
                <w:w w:val="89"/>
              </w:rPr>
              <w:t>Notice of Meetings</w:t>
            </w:r>
          </w:p>
        </w:tc>
        <w:tc>
          <w:tcPr>
            <w:tcW w:w="1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700" w:type="dxa"/>
            <w:vAlign w:val="bottom"/>
            <w:gridSpan w:val="2"/>
            <w:vMerge w:val="restart"/>
          </w:tcPr>
          <w:p>
            <w:pPr>
              <w:spacing w:after="0"/>
              <w:rPr>
                <w:sz w:val="24"/>
                <w:szCs w:val="24"/>
                <w:color w:val="auto"/>
              </w:rPr>
            </w:pPr>
          </w:p>
        </w:tc>
        <w:tc>
          <w:tcPr>
            <w:tcW w:w="3360" w:type="dxa"/>
            <w:vAlign w:val="bottom"/>
            <w:vMerge w:val="restart"/>
          </w:tcPr>
          <w:p>
            <w:pPr>
              <w:spacing w:after="0"/>
              <w:rPr>
                <w:sz w:val="24"/>
                <w:szCs w:val="24"/>
                <w:color w:val="auto"/>
              </w:rPr>
            </w:pPr>
          </w:p>
        </w:tc>
        <w:tc>
          <w:tcPr>
            <w:tcW w:w="920" w:type="dxa"/>
            <w:vAlign w:val="bottom"/>
            <w:vMerge w:val="restart"/>
          </w:tcPr>
          <w:p>
            <w:pPr>
              <w:ind w:left="70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0" w:type="dxa"/>
            <w:vAlign w:val="bottom"/>
            <w:tcBorders>
              <w:bottom w:val="single" w:sz="8" w:color="0563C1"/>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0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60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14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60" w:type="dxa"/>
            <w:vAlign w:val="bottom"/>
            <w:tcBorders>
              <w:bottom w:val="single" w:sz="8" w:color="0563C1"/>
            </w:tcBorders>
            <w:shd w:val="clear" w:color="auto" w:fill="0563C1"/>
          </w:tcPr>
          <w:p>
            <w:pPr>
              <w:spacing w:after="0" w:line="20" w:lineRule="exact"/>
              <w:rPr>
                <w:sz w:val="1"/>
                <w:szCs w:val="1"/>
                <w:color w:val="auto"/>
              </w:rPr>
            </w:pPr>
          </w:p>
        </w:tc>
        <w:tc>
          <w:tcPr>
            <w:tcW w:w="16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60" w:type="dxa"/>
            <w:vAlign w:val="bottom"/>
            <w:tcBorders>
              <w:bottom w:val="single" w:sz="8" w:color="0563C1"/>
            </w:tcBorders>
            <w:gridSpan w:val="2"/>
            <w:shd w:val="clear" w:color="auto" w:fill="0563C1"/>
          </w:tcPr>
          <w:p>
            <w:pPr>
              <w:spacing w:after="0" w:line="20" w:lineRule="exact"/>
              <w:rPr>
                <w:sz w:val="1"/>
                <w:szCs w:val="1"/>
                <w:color w:val="auto"/>
              </w:rPr>
            </w:pPr>
          </w:p>
        </w:tc>
        <w:tc>
          <w:tcPr>
            <w:tcW w:w="80" w:type="dxa"/>
            <w:vAlign w:val="bottom"/>
            <w:tcBorders>
              <w:bottom w:val="single" w:sz="8" w:color="0563C1"/>
            </w:tcBorders>
            <w:gridSpan w:val="2"/>
            <w:shd w:val="clear" w:color="auto" w:fill="0563C1"/>
          </w:tcPr>
          <w:p>
            <w:pPr>
              <w:spacing w:after="0" w:line="20" w:lineRule="exact"/>
              <w:rPr>
                <w:sz w:val="1"/>
                <w:szCs w:val="1"/>
                <w:color w:val="auto"/>
              </w:rPr>
            </w:pPr>
          </w:p>
        </w:tc>
        <w:tc>
          <w:tcPr>
            <w:tcW w:w="80" w:type="dxa"/>
            <w:vAlign w:val="bottom"/>
            <w:tcBorders>
              <w:bottom w:val="single" w:sz="8" w:color="0563C1"/>
            </w:tcBorders>
            <w:shd w:val="clear" w:color="auto" w:fill="0563C1"/>
          </w:tcPr>
          <w:p>
            <w:pPr>
              <w:spacing w:after="0" w:line="20" w:lineRule="exact"/>
              <w:rPr>
                <w:sz w:val="1"/>
                <w:szCs w:val="1"/>
                <w:color w:val="auto"/>
              </w:rPr>
            </w:pPr>
          </w:p>
        </w:tc>
        <w:tc>
          <w:tcPr>
            <w:tcW w:w="280" w:type="dxa"/>
            <w:vAlign w:val="bottom"/>
            <w:tcBorders>
              <w:bottom w:val="single" w:sz="8" w:color="0563C1"/>
            </w:tcBorders>
            <w:gridSpan w:val="4"/>
            <w:shd w:val="clear" w:color="auto" w:fill="0563C1"/>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33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0" w:type="dxa"/>
            <w:vAlign w:val="bottom"/>
          </w:tcPr>
          <w:p>
            <w:pPr>
              <w:spacing w:after="0"/>
              <w:rPr>
                <w:sz w:val="22"/>
                <w:szCs w:val="22"/>
                <w:color w:val="auto"/>
              </w:rPr>
            </w:pPr>
          </w:p>
        </w:tc>
        <w:tc>
          <w:tcPr>
            <w:tcW w:w="860" w:type="dxa"/>
            <w:vAlign w:val="bottom"/>
            <w:tcBorders>
              <w:bottom w:val="single" w:sz="8" w:color="0563C1"/>
            </w:tcBorders>
          </w:tcPr>
          <w:p>
            <w:pPr>
              <w:spacing w:after="0"/>
              <w:rPr>
                <w:sz w:val="20"/>
                <w:szCs w:val="20"/>
                <w:color w:val="auto"/>
              </w:rPr>
            </w:pPr>
            <w:r>
              <w:rPr>
                <w:rFonts w:ascii="Arial" w:cs="Arial" w:eastAsia="Arial" w:hAnsi="Arial"/>
                <w:sz w:val="22"/>
                <w:szCs w:val="22"/>
                <w:color w:val="0563C1"/>
                <w:w w:val="85"/>
              </w:rPr>
              <w:t>Section 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bottom w:val="single" w:sz="8" w:color="0563C1"/>
            </w:tcBorders>
            <w:gridSpan w:val="3"/>
          </w:tcPr>
          <w:p>
            <w:pPr>
              <w:spacing w:after="0"/>
              <w:rPr>
                <w:sz w:val="20"/>
                <w:szCs w:val="20"/>
                <w:color w:val="auto"/>
              </w:rPr>
            </w:pPr>
            <w:r>
              <w:rPr>
                <w:rFonts w:ascii="Arial" w:cs="Arial" w:eastAsia="Arial" w:hAnsi="Arial"/>
                <w:sz w:val="22"/>
                <w:szCs w:val="22"/>
                <w:color w:val="0563C1"/>
                <w:w w:val="88"/>
              </w:rPr>
              <w:t>Quorum</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8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gridSpan w:val="2"/>
          </w:tcPr>
          <w:p>
            <w:pPr>
              <w:spacing w:after="0"/>
              <w:rPr>
                <w:sz w:val="22"/>
                <w:szCs w:val="22"/>
                <w:color w:val="auto"/>
              </w:rPr>
            </w:pPr>
          </w:p>
        </w:tc>
        <w:tc>
          <w:tcPr>
            <w:tcW w:w="3360" w:type="dxa"/>
            <w:vAlign w:val="bottom"/>
          </w:tcPr>
          <w:p>
            <w:pPr>
              <w:spacing w:after="0"/>
              <w:rPr>
                <w:sz w:val="22"/>
                <w:szCs w:val="22"/>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860" w:type="dxa"/>
            <w:vAlign w:val="bottom"/>
            <w:tcBorders>
              <w:bottom w:val="single" w:sz="8" w:color="0563C1"/>
            </w:tcBorders>
          </w:tcPr>
          <w:p>
            <w:pPr>
              <w:spacing w:after="0"/>
              <w:rPr>
                <w:sz w:val="20"/>
                <w:szCs w:val="20"/>
                <w:color w:val="auto"/>
              </w:rPr>
            </w:pPr>
            <w:r>
              <w:rPr>
                <w:rFonts w:ascii="Arial" w:cs="Arial" w:eastAsia="Arial" w:hAnsi="Arial"/>
                <w:sz w:val="22"/>
                <w:szCs w:val="22"/>
                <w:color w:val="0563C1"/>
                <w:w w:val="85"/>
              </w:rPr>
              <w:t>Section 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Borders>
              <w:bottom w:val="single" w:sz="8" w:color="0563C1"/>
            </w:tcBorders>
            <w:gridSpan w:val="30"/>
          </w:tcPr>
          <w:p>
            <w:pPr>
              <w:spacing w:after="0"/>
              <w:rPr>
                <w:sz w:val="20"/>
                <w:szCs w:val="20"/>
                <w:color w:val="auto"/>
              </w:rPr>
            </w:pPr>
            <w:r>
              <w:rPr>
                <w:rFonts w:ascii="Arial" w:cs="Arial" w:eastAsia="Arial" w:hAnsi="Arial"/>
                <w:sz w:val="22"/>
                <w:szCs w:val="22"/>
                <w:color w:val="0563C1"/>
                <w:w w:val="90"/>
              </w:rPr>
              <w:t>Adjournment and Notice of Adjourned Meetings</w:t>
            </w:r>
          </w:p>
        </w:tc>
        <w:tc>
          <w:tcPr>
            <w:tcW w:w="3360" w:type="dxa"/>
            <w:vAlign w:val="bottom"/>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gridSpan w:val="2"/>
            <w:vMerge w:val="restart"/>
          </w:tcPr>
          <w:p>
            <w:pPr>
              <w:spacing w:after="0"/>
              <w:rPr>
                <w:sz w:val="20"/>
                <w:szCs w:val="20"/>
                <w:color w:val="auto"/>
              </w:rPr>
            </w:pPr>
            <w:r>
              <w:rPr>
                <w:rFonts w:ascii="Arial" w:cs="Arial" w:eastAsia="Arial" w:hAnsi="Arial"/>
                <w:sz w:val="22"/>
                <w:szCs w:val="22"/>
                <w:color w:val="0563C1"/>
                <w:w w:val="83"/>
              </w:rPr>
              <w:t>Section 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12"/>
          </w:tcPr>
          <w:p>
            <w:pPr>
              <w:spacing w:after="0"/>
              <w:rPr>
                <w:sz w:val="20"/>
                <w:szCs w:val="20"/>
                <w:color w:val="auto"/>
              </w:rPr>
            </w:pPr>
            <w:r>
              <w:rPr>
                <w:rFonts w:ascii="Arial" w:cs="Arial" w:eastAsia="Arial" w:hAnsi="Arial"/>
                <w:sz w:val="22"/>
                <w:szCs w:val="22"/>
                <w:color w:val="0563C1"/>
                <w:w w:val="88"/>
              </w:rPr>
              <w:t>Voting Rights</w:t>
            </w:r>
          </w:p>
        </w:tc>
        <w:tc>
          <w:tcPr>
            <w:tcW w:w="80" w:type="dxa"/>
            <w:vAlign w:val="bottom"/>
            <w:vMerge w:val="restart"/>
          </w:tcPr>
          <w:p>
            <w:pPr>
              <w:spacing w:after="0"/>
              <w:rPr>
                <w:sz w:val="24"/>
                <w:szCs w:val="24"/>
                <w:color w:val="auto"/>
              </w:rPr>
            </w:pPr>
          </w:p>
        </w:tc>
        <w:tc>
          <w:tcPr>
            <w:tcW w:w="440" w:type="dxa"/>
            <w:vAlign w:val="bottom"/>
            <w:gridSpan w:val="5"/>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5060" w:type="dxa"/>
            <w:vAlign w:val="bottom"/>
            <w:gridSpan w:val="3"/>
            <w:vMerge w:val="restart"/>
          </w:tcPr>
          <w:p>
            <w:pPr>
              <w:spacing w:after="0"/>
              <w:rPr>
                <w:sz w:val="24"/>
                <w:szCs w:val="24"/>
                <w:color w:val="auto"/>
              </w:rPr>
            </w:pPr>
          </w:p>
        </w:tc>
        <w:tc>
          <w:tcPr>
            <w:tcW w:w="920" w:type="dxa"/>
            <w:vAlign w:val="bottom"/>
            <w:vMerge w:val="restart"/>
          </w:tcPr>
          <w:p>
            <w:pPr>
              <w:ind w:left="70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tcBorders>
              <w:bottom w:val="single" w:sz="8" w:color="0563C1"/>
            </w:tcBorders>
            <w:gridSpan w:val="2"/>
            <w:vMerge w:val="continue"/>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0563C1"/>
            </w:tcBorders>
            <w:gridSpan w:val="2"/>
            <w:shd w:val="clear" w:color="auto" w:fill="0563C1"/>
          </w:tcPr>
          <w:p>
            <w:pPr>
              <w:spacing w:after="0" w:line="20" w:lineRule="exact"/>
              <w:rPr>
                <w:sz w:val="1"/>
                <w:szCs w:val="1"/>
                <w:color w:val="auto"/>
              </w:rPr>
            </w:pPr>
          </w:p>
        </w:tc>
        <w:tc>
          <w:tcPr>
            <w:tcW w:w="14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60" w:type="dxa"/>
            <w:vAlign w:val="bottom"/>
            <w:tcBorders>
              <w:bottom w:val="single" w:sz="8" w:color="0563C1"/>
            </w:tcBorders>
            <w:shd w:val="clear" w:color="auto" w:fill="0563C1"/>
          </w:tcPr>
          <w:p>
            <w:pPr>
              <w:spacing w:after="0" w:line="20" w:lineRule="exact"/>
              <w:rPr>
                <w:sz w:val="1"/>
                <w:szCs w:val="1"/>
                <w:color w:val="auto"/>
              </w:rPr>
            </w:pPr>
          </w:p>
        </w:tc>
        <w:tc>
          <w:tcPr>
            <w:tcW w:w="16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20" w:type="dxa"/>
            <w:vAlign w:val="bottom"/>
            <w:tcBorders>
              <w:bottom w:val="single" w:sz="8" w:color="0563C1"/>
            </w:tcBorders>
            <w:shd w:val="clear" w:color="auto" w:fill="0563C1"/>
          </w:tcPr>
          <w:p>
            <w:pPr>
              <w:spacing w:after="0" w:line="20" w:lineRule="exact"/>
              <w:rPr>
                <w:sz w:val="1"/>
                <w:szCs w:val="1"/>
                <w:color w:val="auto"/>
              </w:rPr>
            </w:pPr>
          </w:p>
        </w:tc>
        <w:tc>
          <w:tcPr>
            <w:tcW w:w="60" w:type="dxa"/>
            <w:vAlign w:val="bottom"/>
            <w:tcBorders>
              <w:bottom w:val="single" w:sz="8" w:color="0563C1"/>
            </w:tcBorders>
            <w:gridSpan w:val="2"/>
            <w:shd w:val="clear" w:color="auto" w:fill="0563C1"/>
          </w:tcPr>
          <w:p>
            <w:pPr>
              <w:spacing w:after="0" w:line="20" w:lineRule="exact"/>
              <w:rPr>
                <w:sz w:val="1"/>
                <w:szCs w:val="1"/>
                <w:color w:val="auto"/>
              </w:rPr>
            </w:pPr>
          </w:p>
        </w:tc>
        <w:tc>
          <w:tcPr>
            <w:tcW w:w="80" w:type="dxa"/>
            <w:vAlign w:val="bottom"/>
            <w:tcBorders>
              <w:bottom w:val="single" w:sz="8" w:color="0563C1"/>
            </w:tcBorders>
            <w:gridSpan w:val="2"/>
            <w:shd w:val="clear" w:color="auto" w:fill="0563C1"/>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4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060" w:type="dxa"/>
            <w:vAlign w:val="bottom"/>
            <w:gridSpan w:val="3"/>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0" w:type="dxa"/>
            <w:vAlign w:val="bottom"/>
          </w:tcPr>
          <w:p>
            <w:pPr>
              <w:spacing w:after="0"/>
              <w:rPr>
                <w:sz w:val="22"/>
                <w:szCs w:val="22"/>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11.</w:t>
            </w:r>
          </w:p>
        </w:tc>
        <w:tc>
          <w:tcPr>
            <w:tcW w:w="180" w:type="dxa"/>
            <w:vAlign w:val="bottom"/>
            <w:gridSpan w:val="2"/>
          </w:tcPr>
          <w:p>
            <w:pPr>
              <w:spacing w:after="0"/>
              <w:rPr>
                <w:sz w:val="22"/>
                <w:szCs w:val="22"/>
                <w:color w:val="auto"/>
              </w:rPr>
            </w:pPr>
          </w:p>
        </w:tc>
        <w:tc>
          <w:tcPr>
            <w:tcW w:w="1920" w:type="dxa"/>
            <w:vAlign w:val="bottom"/>
            <w:tcBorders>
              <w:bottom w:val="single" w:sz="8" w:color="0563C1"/>
            </w:tcBorders>
            <w:gridSpan w:val="23"/>
          </w:tcPr>
          <w:p>
            <w:pPr>
              <w:spacing w:after="0"/>
              <w:rPr>
                <w:sz w:val="20"/>
                <w:szCs w:val="20"/>
                <w:color w:val="auto"/>
              </w:rPr>
            </w:pPr>
            <w:r>
              <w:rPr>
                <w:rFonts w:ascii="Arial" w:cs="Arial" w:eastAsia="Arial" w:hAnsi="Arial"/>
                <w:sz w:val="22"/>
                <w:szCs w:val="22"/>
                <w:color w:val="0563C1"/>
                <w:w w:val="88"/>
              </w:rPr>
              <w:t>Joint Owners of Stock</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60" w:type="dxa"/>
            <w:vAlign w:val="bottom"/>
            <w:gridSpan w:val="3"/>
          </w:tcPr>
          <w:p>
            <w:pPr>
              <w:spacing w:after="0"/>
              <w:rPr>
                <w:sz w:val="22"/>
                <w:szCs w:val="22"/>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12.</w:t>
            </w:r>
          </w:p>
        </w:tc>
        <w:tc>
          <w:tcPr>
            <w:tcW w:w="200" w:type="dxa"/>
            <w:vAlign w:val="bottom"/>
            <w:gridSpan w:val="3"/>
          </w:tcPr>
          <w:p>
            <w:pPr>
              <w:spacing w:after="0"/>
              <w:rPr>
                <w:sz w:val="24"/>
                <w:szCs w:val="24"/>
                <w:color w:val="auto"/>
              </w:rPr>
            </w:pPr>
          </w:p>
        </w:tc>
        <w:tc>
          <w:tcPr>
            <w:tcW w:w="1740" w:type="dxa"/>
            <w:vAlign w:val="bottom"/>
            <w:tcBorders>
              <w:bottom w:val="single" w:sz="8" w:color="0563C1"/>
            </w:tcBorders>
            <w:gridSpan w:val="20"/>
          </w:tcPr>
          <w:p>
            <w:pPr>
              <w:spacing w:after="0"/>
              <w:rPr>
                <w:sz w:val="20"/>
                <w:szCs w:val="20"/>
                <w:color w:val="auto"/>
              </w:rPr>
            </w:pPr>
            <w:r>
              <w:rPr>
                <w:rFonts w:ascii="Arial" w:cs="Arial" w:eastAsia="Arial" w:hAnsi="Arial"/>
                <w:sz w:val="22"/>
                <w:szCs w:val="22"/>
                <w:color w:val="0563C1"/>
                <w:w w:val="89"/>
              </w:rPr>
              <w:t>List of Stockholders</w:t>
            </w:r>
          </w:p>
        </w:tc>
        <w:tc>
          <w:tcPr>
            <w:tcW w:w="3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60" w:type="dxa"/>
            <w:vAlign w:val="bottom"/>
            <w:gridSpan w:val="3"/>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13.</w:t>
            </w:r>
          </w:p>
        </w:tc>
        <w:tc>
          <w:tcPr>
            <w:tcW w:w="200" w:type="dxa"/>
            <w:vAlign w:val="bottom"/>
            <w:gridSpan w:val="3"/>
          </w:tcPr>
          <w:p>
            <w:pPr>
              <w:spacing w:after="0"/>
              <w:rPr>
                <w:sz w:val="24"/>
                <w:szCs w:val="24"/>
                <w:color w:val="auto"/>
              </w:rPr>
            </w:pPr>
          </w:p>
        </w:tc>
        <w:tc>
          <w:tcPr>
            <w:tcW w:w="2100" w:type="dxa"/>
            <w:vAlign w:val="bottom"/>
            <w:tcBorders>
              <w:bottom w:val="single" w:sz="8" w:color="0563C1"/>
            </w:tcBorders>
            <w:gridSpan w:val="24"/>
          </w:tcPr>
          <w:p>
            <w:pPr>
              <w:spacing w:after="0"/>
              <w:rPr>
                <w:sz w:val="20"/>
                <w:szCs w:val="20"/>
                <w:color w:val="auto"/>
              </w:rPr>
            </w:pPr>
            <w:r>
              <w:rPr>
                <w:rFonts w:ascii="Arial" w:cs="Arial" w:eastAsia="Arial" w:hAnsi="Arial"/>
                <w:sz w:val="22"/>
                <w:szCs w:val="22"/>
                <w:color w:val="0563C1"/>
                <w:w w:val="91"/>
              </w:rPr>
              <w:t>Action Without Meeting</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60" w:type="dxa"/>
            <w:vAlign w:val="bottom"/>
            <w:gridSpan w:val="3"/>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14.</w:t>
            </w:r>
          </w:p>
        </w:tc>
        <w:tc>
          <w:tcPr>
            <w:tcW w:w="80" w:type="dxa"/>
            <w:vAlign w:val="bottom"/>
            <w:tcBorders>
              <w:bottom w:val="single" w:sz="8" w:color="0563C1"/>
            </w:tcBorders>
          </w:tcPr>
          <w:p>
            <w:pPr>
              <w:spacing w:after="0"/>
              <w:rPr>
                <w:sz w:val="24"/>
                <w:szCs w:val="24"/>
                <w:color w:val="auto"/>
              </w:rPr>
            </w:pPr>
          </w:p>
        </w:tc>
        <w:tc>
          <w:tcPr>
            <w:tcW w:w="100" w:type="dxa"/>
            <w:vAlign w:val="bottom"/>
            <w:tcBorders>
              <w:bottom w:val="single" w:sz="8" w:color="0563C1"/>
            </w:tcBorders>
          </w:tcPr>
          <w:p>
            <w:pPr>
              <w:spacing w:after="0"/>
              <w:rPr>
                <w:sz w:val="24"/>
                <w:szCs w:val="24"/>
                <w:color w:val="auto"/>
              </w:rPr>
            </w:pPr>
          </w:p>
        </w:tc>
        <w:tc>
          <w:tcPr>
            <w:tcW w:w="20" w:type="dxa"/>
            <w:vAlign w:val="bottom"/>
            <w:tcBorders>
              <w:bottom w:val="single" w:sz="8" w:color="0563C1"/>
            </w:tcBorders>
          </w:tcPr>
          <w:p>
            <w:pPr>
              <w:spacing w:after="0"/>
              <w:rPr>
                <w:sz w:val="24"/>
                <w:szCs w:val="24"/>
                <w:color w:val="auto"/>
              </w:rPr>
            </w:pPr>
          </w:p>
        </w:tc>
        <w:tc>
          <w:tcPr>
            <w:tcW w:w="1100" w:type="dxa"/>
            <w:vAlign w:val="bottom"/>
            <w:tcBorders>
              <w:bottom w:val="single" w:sz="8" w:color="0563C1"/>
            </w:tcBorders>
            <w:gridSpan w:val="10"/>
          </w:tcPr>
          <w:p>
            <w:pPr>
              <w:spacing w:after="0"/>
              <w:rPr>
                <w:sz w:val="20"/>
                <w:szCs w:val="20"/>
                <w:color w:val="auto"/>
              </w:rPr>
            </w:pPr>
            <w:r>
              <w:rPr>
                <w:rFonts w:ascii="Arial" w:cs="Arial" w:eastAsia="Arial" w:hAnsi="Arial"/>
                <w:sz w:val="22"/>
                <w:szCs w:val="22"/>
                <w:color w:val="0563C1"/>
                <w:w w:val="86"/>
              </w:rPr>
              <w:t>Organization</w:t>
            </w:r>
          </w:p>
        </w:tc>
        <w:tc>
          <w:tcPr>
            <w:tcW w:w="160" w:type="dxa"/>
            <w:vAlign w:val="bottom"/>
            <w:gridSpan w:val="3"/>
          </w:tcPr>
          <w:p>
            <w:pPr>
              <w:spacing w:after="0"/>
              <w:rPr>
                <w:sz w:val="24"/>
                <w:szCs w:val="24"/>
                <w:color w:val="auto"/>
              </w:rPr>
            </w:pPr>
          </w:p>
        </w:tc>
        <w:tc>
          <w:tcPr>
            <w:tcW w:w="4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spacing w:after="0"/>
              <w:rPr>
                <w:sz w:val="24"/>
                <w:szCs w:val="24"/>
                <w:color w:val="auto"/>
              </w:rPr>
            </w:pPr>
          </w:p>
        </w:tc>
        <w:tc>
          <w:tcPr>
            <w:tcW w:w="2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5060" w:type="dxa"/>
            <w:vAlign w:val="bottom"/>
            <w:gridSpan w:val="3"/>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534"/>
        </w:trPr>
        <w:tc>
          <w:tcPr>
            <w:tcW w:w="80" w:type="dxa"/>
            <w:vAlign w:val="bottom"/>
          </w:tcPr>
          <w:p>
            <w:pPr>
              <w:spacing w:after="0"/>
              <w:rPr>
                <w:sz w:val="24"/>
                <w:szCs w:val="24"/>
                <w:color w:val="auto"/>
              </w:rPr>
            </w:pPr>
          </w:p>
        </w:tc>
        <w:tc>
          <w:tcPr>
            <w:tcW w:w="8620" w:type="dxa"/>
            <w:vAlign w:val="bottom"/>
            <w:gridSpan w:val="34"/>
          </w:tcPr>
          <w:p>
            <w:pPr>
              <w:spacing w:after="0"/>
              <w:rPr>
                <w:sz w:val="20"/>
                <w:szCs w:val="20"/>
                <w:color w:val="auto"/>
              </w:rPr>
            </w:pPr>
            <w:r>
              <w:rPr>
                <w:rFonts w:ascii="Arial" w:cs="Arial" w:eastAsia="Arial" w:hAnsi="Arial"/>
                <w:sz w:val="22"/>
                <w:szCs w:val="22"/>
                <w:color w:val="0563C1"/>
              </w:rPr>
              <w:t>ARTICLE IV DIRECTORS</w:t>
            </w: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780" w:type="dxa"/>
            <w:vAlign w:val="bottom"/>
            <w:gridSpan w:val="7"/>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gridSpan w:val="5"/>
            <w:shd w:val="clear" w:color="auto" w:fill="0563C1"/>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60" w:type="dxa"/>
            <w:vAlign w:val="bottom"/>
            <w:tcBorders>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3"/>
              </w:rPr>
              <w:t>Section 15.</w:t>
            </w:r>
          </w:p>
        </w:tc>
        <w:tc>
          <w:tcPr>
            <w:tcW w:w="200" w:type="dxa"/>
            <w:vAlign w:val="bottom"/>
            <w:gridSpan w:val="3"/>
          </w:tcPr>
          <w:p>
            <w:pPr>
              <w:spacing w:after="0"/>
              <w:rPr>
                <w:sz w:val="21"/>
                <w:szCs w:val="21"/>
                <w:color w:val="auto"/>
              </w:rPr>
            </w:pPr>
          </w:p>
        </w:tc>
        <w:tc>
          <w:tcPr>
            <w:tcW w:w="2400" w:type="dxa"/>
            <w:vAlign w:val="bottom"/>
            <w:tcBorders>
              <w:bottom w:val="single" w:sz="8" w:color="0563C1"/>
            </w:tcBorders>
            <w:gridSpan w:val="26"/>
          </w:tcPr>
          <w:p>
            <w:pPr>
              <w:spacing w:after="0" w:line="237" w:lineRule="exact"/>
              <w:rPr>
                <w:sz w:val="20"/>
                <w:szCs w:val="20"/>
                <w:color w:val="auto"/>
              </w:rPr>
            </w:pPr>
            <w:r>
              <w:rPr>
                <w:rFonts w:ascii="Arial" w:cs="Arial" w:eastAsia="Arial" w:hAnsi="Arial"/>
                <w:sz w:val="22"/>
                <w:szCs w:val="22"/>
                <w:color w:val="0563C1"/>
                <w:w w:val="89"/>
              </w:rPr>
              <w:t>Number and Term of Office</w:t>
            </w:r>
          </w:p>
        </w:tc>
        <w:tc>
          <w:tcPr>
            <w:tcW w:w="5060" w:type="dxa"/>
            <w:vAlign w:val="bottom"/>
            <w:gridSpan w:val="3"/>
          </w:tcPr>
          <w:p>
            <w:pPr>
              <w:spacing w:after="0"/>
              <w:rPr>
                <w:sz w:val="21"/>
                <w:szCs w:val="21"/>
                <w:color w:val="auto"/>
              </w:rPr>
            </w:pPr>
          </w:p>
        </w:tc>
        <w:tc>
          <w:tcPr>
            <w:tcW w:w="920" w:type="dxa"/>
            <w:vAlign w:val="bottom"/>
          </w:tcPr>
          <w:p>
            <w:pPr>
              <w:ind w:left="700"/>
              <w:spacing w:after="0" w:line="250" w:lineRule="exact"/>
              <w:rPr>
                <w:sz w:val="20"/>
                <w:szCs w:val="20"/>
                <w:color w:val="auto"/>
              </w:rPr>
            </w:pPr>
            <w:r>
              <w:rPr>
                <w:rFonts w:ascii="Arial" w:cs="Arial" w:eastAsia="Arial" w:hAnsi="Arial"/>
                <w:sz w:val="22"/>
                <w:szCs w:val="22"/>
                <w:color w:val="auto"/>
                <w:w w:val="81"/>
              </w:rPr>
              <w:t>10</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1"/>
              </w:rPr>
              <w:t>Powers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spacing w:after="0"/>
              <w:rPr>
                <w:sz w:val="24"/>
                <w:szCs w:val="24"/>
                <w:color w:val="auto"/>
              </w:rPr>
            </w:pPr>
          </w:p>
        </w:tc>
        <w:tc>
          <w:tcPr>
            <w:tcW w:w="280" w:type="dxa"/>
            <w:vAlign w:val="bottom"/>
            <w:gridSpan w:val="2"/>
          </w:tcPr>
          <w:p>
            <w:pPr>
              <w:spacing w:after="0"/>
              <w:rPr>
                <w:sz w:val="24"/>
                <w:szCs w:val="24"/>
                <w:color w:val="auto"/>
              </w:rPr>
            </w:pP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10</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17.</w:t>
            </w:r>
          </w:p>
        </w:tc>
        <w:tc>
          <w:tcPr>
            <w:tcW w:w="200" w:type="dxa"/>
            <w:vAlign w:val="bottom"/>
            <w:gridSpan w:val="3"/>
          </w:tcPr>
          <w:p>
            <w:pPr>
              <w:spacing w:after="0"/>
              <w:rPr>
                <w:sz w:val="24"/>
                <w:szCs w:val="24"/>
                <w:color w:val="auto"/>
              </w:rPr>
            </w:pPr>
          </w:p>
        </w:tc>
        <w:tc>
          <w:tcPr>
            <w:tcW w:w="1720" w:type="dxa"/>
            <w:vAlign w:val="bottom"/>
            <w:tcBorders>
              <w:bottom w:val="single" w:sz="8" w:color="0563C1"/>
            </w:tcBorders>
            <w:gridSpan w:val="19"/>
          </w:tcPr>
          <w:p>
            <w:pPr>
              <w:spacing w:after="0"/>
              <w:rPr>
                <w:sz w:val="20"/>
                <w:szCs w:val="20"/>
                <w:color w:val="auto"/>
              </w:rPr>
            </w:pPr>
            <w:r>
              <w:rPr>
                <w:rFonts w:ascii="Arial" w:cs="Arial" w:eastAsia="Arial" w:hAnsi="Arial"/>
                <w:sz w:val="22"/>
                <w:szCs w:val="22"/>
                <w:color w:val="0563C1"/>
                <w:w w:val="86"/>
              </w:rPr>
              <w:t>Classes of Directors</w:t>
            </w:r>
          </w:p>
        </w:tc>
        <w:tc>
          <w:tcPr>
            <w:tcW w:w="320" w:type="dxa"/>
            <w:vAlign w:val="bottom"/>
            <w:gridSpan w:val="4"/>
          </w:tcPr>
          <w:p>
            <w:pPr>
              <w:spacing w:after="0"/>
              <w:rPr>
                <w:sz w:val="24"/>
                <w:szCs w:val="24"/>
                <w:color w:val="auto"/>
              </w:rPr>
            </w:pPr>
          </w:p>
        </w:tc>
        <w:tc>
          <w:tcPr>
            <w:tcW w:w="280" w:type="dxa"/>
            <w:vAlign w:val="bottom"/>
            <w:gridSpan w:val="2"/>
          </w:tcPr>
          <w:p>
            <w:pPr>
              <w:spacing w:after="0"/>
              <w:rPr>
                <w:sz w:val="24"/>
                <w:szCs w:val="24"/>
                <w:color w:val="auto"/>
              </w:rPr>
            </w:pP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10</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0563C1"/>
            </w:tcBorders>
            <w:gridSpan w:val="5"/>
          </w:tcPr>
          <w:p>
            <w:pPr>
              <w:spacing w:after="0"/>
              <w:rPr>
                <w:sz w:val="20"/>
                <w:szCs w:val="20"/>
                <w:color w:val="auto"/>
              </w:rPr>
            </w:pPr>
            <w:r>
              <w:rPr>
                <w:rFonts w:ascii="Arial" w:cs="Arial" w:eastAsia="Arial" w:hAnsi="Arial"/>
                <w:sz w:val="22"/>
                <w:szCs w:val="22"/>
                <w:color w:val="0563C1"/>
                <w:w w:val="80"/>
              </w:rPr>
              <w:t>Vacancies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10"/>
          </w:tcPr>
          <w:p>
            <w:pPr>
              <w:spacing w:after="0"/>
              <w:rPr>
                <w:sz w:val="24"/>
                <w:szCs w:val="24"/>
                <w:color w:val="auto"/>
              </w:rPr>
            </w:pPr>
          </w:p>
        </w:tc>
        <w:tc>
          <w:tcPr>
            <w:tcW w:w="34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11</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0563C1"/>
            </w:tcBorders>
            <w:gridSpan w:val="7"/>
          </w:tcPr>
          <w:p>
            <w:pPr>
              <w:spacing w:after="0"/>
              <w:rPr>
                <w:sz w:val="20"/>
                <w:szCs w:val="20"/>
                <w:color w:val="auto"/>
              </w:rPr>
            </w:pPr>
            <w:r>
              <w:rPr>
                <w:rFonts w:ascii="Arial" w:cs="Arial" w:eastAsia="Arial" w:hAnsi="Arial"/>
                <w:sz w:val="22"/>
                <w:szCs w:val="22"/>
                <w:color w:val="0563C1"/>
                <w:w w:val="86"/>
              </w:rPr>
              <w:t>Resignation</w:t>
            </w:r>
          </w:p>
        </w:tc>
        <w:tc>
          <w:tcPr>
            <w:tcW w:w="20" w:type="dxa"/>
            <w:vAlign w:val="bottom"/>
          </w:tcPr>
          <w:p>
            <w:pPr>
              <w:spacing w:after="0"/>
              <w:rPr>
                <w:sz w:val="24"/>
                <w:szCs w:val="24"/>
                <w:color w:val="auto"/>
              </w:rPr>
            </w:pPr>
          </w:p>
        </w:tc>
        <w:tc>
          <w:tcPr>
            <w:tcW w:w="660" w:type="dxa"/>
            <w:vAlign w:val="bottom"/>
            <w:gridSpan w:val="10"/>
          </w:tcPr>
          <w:p>
            <w:pPr>
              <w:spacing w:after="0"/>
              <w:rPr>
                <w:sz w:val="24"/>
                <w:szCs w:val="24"/>
                <w:color w:val="auto"/>
              </w:rPr>
            </w:pPr>
          </w:p>
        </w:tc>
        <w:tc>
          <w:tcPr>
            <w:tcW w:w="34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11</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bottom w:val="single" w:sz="8" w:color="0563C1"/>
            </w:tcBorders>
            <w:gridSpan w:val="3"/>
          </w:tcPr>
          <w:p>
            <w:pPr>
              <w:spacing w:after="0"/>
              <w:rPr>
                <w:sz w:val="20"/>
                <w:szCs w:val="20"/>
                <w:color w:val="auto"/>
              </w:rPr>
            </w:pPr>
            <w:r>
              <w:rPr>
                <w:rFonts w:ascii="Arial" w:cs="Arial" w:eastAsia="Arial" w:hAnsi="Arial"/>
                <w:sz w:val="22"/>
                <w:szCs w:val="22"/>
                <w:color w:val="0563C1"/>
                <w:w w:val="85"/>
              </w:rPr>
              <w:t>Removal</w:t>
            </w:r>
          </w:p>
        </w:tc>
        <w:tc>
          <w:tcPr>
            <w:tcW w:w="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660" w:type="dxa"/>
            <w:vAlign w:val="bottom"/>
            <w:gridSpan w:val="10"/>
          </w:tcPr>
          <w:p>
            <w:pPr>
              <w:spacing w:after="0"/>
              <w:rPr>
                <w:sz w:val="24"/>
                <w:szCs w:val="24"/>
                <w:color w:val="auto"/>
              </w:rPr>
            </w:pPr>
          </w:p>
        </w:tc>
        <w:tc>
          <w:tcPr>
            <w:tcW w:w="34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11</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0563C1"/>
            </w:tcBorders>
            <w:gridSpan w:val="4"/>
          </w:tcPr>
          <w:p>
            <w:pPr>
              <w:spacing w:after="0"/>
              <w:rPr>
                <w:sz w:val="20"/>
                <w:szCs w:val="20"/>
                <w:color w:val="auto"/>
              </w:rPr>
            </w:pPr>
            <w:r>
              <w:rPr>
                <w:rFonts w:ascii="Arial" w:cs="Arial" w:eastAsia="Arial" w:hAnsi="Arial"/>
                <w:sz w:val="22"/>
                <w:szCs w:val="22"/>
                <w:color w:val="0563C1"/>
                <w:w w:val="85"/>
              </w:rPr>
              <w:t>Meetings</w:t>
            </w:r>
          </w:p>
        </w:tc>
        <w:tc>
          <w:tcPr>
            <w:tcW w:w="22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660" w:type="dxa"/>
            <w:vAlign w:val="bottom"/>
            <w:gridSpan w:val="10"/>
          </w:tcPr>
          <w:p>
            <w:pPr>
              <w:spacing w:after="0"/>
              <w:rPr>
                <w:sz w:val="24"/>
                <w:szCs w:val="24"/>
                <w:color w:val="auto"/>
              </w:rPr>
            </w:pPr>
          </w:p>
        </w:tc>
        <w:tc>
          <w:tcPr>
            <w:tcW w:w="34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11</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22.</w:t>
            </w:r>
          </w:p>
        </w:tc>
        <w:tc>
          <w:tcPr>
            <w:tcW w:w="200" w:type="dxa"/>
            <w:vAlign w:val="bottom"/>
            <w:gridSpan w:val="3"/>
          </w:tcPr>
          <w:p>
            <w:pPr>
              <w:spacing w:after="0"/>
              <w:rPr>
                <w:sz w:val="24"/>
                <w:szCs w:val="24"/>
                <w:color w:val="auto"/>
              </w:rPr>
            </w:pPr>
          </w:p>
        </w:tc>
        <w:tc>
          <w:tcPr>
            <w:tcW w:w="1700" w:type="dxa"/>
            <w:vAlign w:val="bottom"/>
            <w:tcBorders>
              <w:bottom w:val="single" w:sz="8" w:color="0563C1"/>
            </w:tcBorders>
            <w:gridSpan w:val="18"/>
          </w:tcPr>
          <w:p>
            <w:pPr>
              <w:spacing w:after="0"/>
              <w:rPr>
                <w:sz w:val="20"/>
                <w:szCs w:val="20"/>
                <w:color w:val="auto"/>
              </w:rPr>
            </w:pPr>
            <w:r>
              <w:rPr>
                <w:rFonts w:ascii="Arial" w:cs="Arial" w:eastAsia="Arial" w:hAnsi="Arial"/>
                <w:sz w:val="22"/>
                <w:szCs w:val="22"/>
                <w:color w:val="0563C1"/>
                <w:w w:val="88"/>
              </w:rPr>
              <w:t>Quorum and Voting</w:t>
            </w:r>
          </w:p>
        </w:tc>
        <w:tc>
          <w:tcPr>
            <w:tcW w:w="34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12</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23.</w:t>
            </w:r>
          </w:p>
        </w:tc>
        <w:tc>
          <w:tcPr>
            <w:tcW w:w="200" w:type="dxa"/>
            <w:vAlign w:val="bottom"/>
            <w:gridSpan w:val="3"/>
          </w:tcPr>
          <w:p>
            <w:pPr>
              <w:spacing w:after="0"/>
              <w:rPr>
                <w:sz w:val="24"/>
                <w:szCs w:val="24"/>
                <w:color w:val="auto"/>
              </w:rPr>
            </w:pPr>
          </w:p>
        </w:tc>
        <w:tc>
          <w:tcPr>
            <w:tcW w:w="2100" w:type="dxa"/>
            <w:vAlign w:val="bottom"/>
            <w:tcBorders>
              <w:bottom w:val="single" w:sz="8" w:color="0563C1"/>
            </w:tcBorders>
            <w:gridSpan w:val="24"/>
          </w:tcPr>
          <w:p>
            <w:pPr>
              <w:spacing w:after="0"/>
              <w:rPr>
                <w:sz w:val="20"/>
                <w:szCs w:val="20"/>
                <w:color w:val="auto"/>
              </w:rPr>
            </w:pPr>
            <w:r>
              <w:rPr>
                <w:rFonts w:ascii="Arial" w:cs="Arial" w:eastAsia="Arial" w:hAnsi="Arial"/>
                <w:sz w:val="22"/>
                <w:szCs w:val="22"/>
                <w:color w:val="0563C1"/>
                <w:w w:val="91"/>
              </w:rPr>
              <w:t>Action Without Meeting</w:t>
            </w:r>
          </w:p>
        </w:tc>
        <w:tc>
          <w:tcPr>
            <w:tcW w:w="220" w:type="dxa"/>
            <w:vAlign w:val="bottom"/>
          </w:tcPr>
          <w:p>
            <w:pPr>
              <w:spacing w:after="0"/>
              <w:rPr>
                <w:sz w:val="24"/>
                <w:szCs w:val="24"/>
                <w:color w:val="auto"/>
              </w:rPr>
            </w:pP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24.</w:t>
            </w:r>
          </w:p>
        </w:tc>
        <w:tc>
          <w:tcPr>
            <w:tcW w:w="200" w:type="dxa"/>
            <w:vAlign w:val="bottom"/>
            <w:gridSpan w:val="3"/>
          </w:tcPr>
          <w:p>
            <w:pPr>
              <w:spacing w:after="0"/>
              <w:rPr>
                <w:sz w:val="22"/>
                <w:szCs w:val="22"/>
                <w:color w:val="auto"/>
              </w:rPr>
            </w:pPr>
          </w:p>
        </w:tc>
        <w:tc>
          <w:tcPr>
            <w:tcW w:w="2040" w:type="dxa"/>
            <w:vAlign w:val="bottom"/>
            <w:tcBorders>
              <w:bottom w:val="single" w:sz="8" w:color="0563C1"/>
            </w:tcBorders>
            <w:gridSpan w:val="23"/>
          </w:tcPr>
          <w:p>
            <w:pPr>
              <w:spacing w:after="0"/>
              <w:rPr>
                <w:sz w:val="20"/>
                <w:szCs w:val="20"/>
                <w:color w:val="auto"/>
              </w:rPr>
            </w:pPr>
            <w:r>
              <w:rPr>
                <w:rFonts w:ascii="Arial" w:cs="Arial" w:eastAsia="Arial" w:hAnsi="Arial"/>
                <w:sz w:val="22"/>
                <w:szCs w:val="22"/>
                <w:color w:val="0563C1"/>
                <w:w w:val="84"/>
              </w:rPr>
              <w:t>Fees and Compensation</w:t>
            </w:r>
          </w:p>
        </w:tc>
        <w:tc>
          <w:tcPr>
            <w:tcW w:w="280" w:type="dxa"/>
            <w:vAlign w:val="bottom"/>
            <w:gridSpan w:val="2"/>
          </w:tcPr>
          <w:p>
            <w:pPr>
              <w:spacing w:after="0"/>
              <w:rPr>
                <w:sz w:val="22"/>
                <w:szCs w:val="22"/>
                <w:color w:val="auto"/>
              </w:rPr>
            </w:pPr>
          </w:p>
        </w:tc>
        <w:tc>
          <w:tcPr>
            <w:tcW w:w="5140" w:type="dxa"/>
            <w:vAlign w:val="bottom"/>
            <w:gridSpan w:val="4"/>
          </w:tcPr>
          <w:p>
            <w:pPr>
              <w:spacing w:after="0"/>
              <w:rPr>
                <w:sz w:val="22"/>
                <w:szCs w:val="22"/>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0563C1"/>
            </w:tcBorders>
            <w:gridSpan w:val="8"/>
          </w:tcPr>
          <w:p>
            <w:pPr>
              <w:spacing w:after="0"/>
              <w:rPr>
                <w:sz w:val="20"/>
                <w:szCs w:val="20"/>
                <w:color w:val="auto"/>
              </w:rPr>
            </w:pPr>
            <w:r>
              <w:rPr>
                <w:rFonts w:ascii="Arial" w:cs="Arial" w:eastAsia="Arial" w:hAnsi="Arial"/>
                <w:sz w:val="22"/>
                <w:szCs w:val="22"/>
                <w:color w:val="0563C1"/>
                <w:w w:val="86"/>
              </w:rPr>
              <w:t>Committees</w:t>
            </w:r>
          </w:p>
        </w:tc>
        <w:tc>
          <w:tcPr>
            <w:tcW w:w="1280" w:type="dxa"/>
            <w:vAlign w:val="bottom"/>
            <w:gridSpan w:val="17"/>
          </w:tcPr>
          <w:p>
            <w:pPr>
              <w:spacing w:after="0"/>
              <w:rPr>
                <w:sz w:val="24"/>
                <w:szCs w:val="24"/>
                <w:color w:val="auto"/>
              </w:rPr>
            </w:pP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26.</w:t>
            </w:r>
          </w:p>
        </w:tc>
        <w:tc>
          <w:tcPr>
            <w:tcW w:w="200" w:type="dxa"/>
            <w:vAlign w:val="bottom"/>
            <w:gridSpan w:val="3"/>
          </w:tcPr>
          <w:p>
            <w:pPr>
              <w:spacing w:after="0"/>
              <w:rPr>
                <w:sz w:val="24"/>
                <w:szCs w:val="24"/>
                <w:color w:val="auto"/>
              </w:rPr>
            </w:pPr>
          </w:p>
        </w:tc>
        <w:tc>
          <w:tcPr>
            <w:tcW w:w="2320" w:type="dxa"/>
            <w:vAlign w:val="bottom"/>
            <w:tcBorders>
              <w:bottom w:val="single" w:sz="8" w:color="0563C1"/>
            </w:tcBorders>
            <w:gridSpan w:val="25"/>
          </w:tcPr>
          <w:p>
            <w:pPr>
              <w:spacing w:after="0"/>
              <w:rPr>
                <w:sz w:val="20"/>
                <w:szCs w:val="20"/>
                <w:color w:val="auto"/>
              </w:rPr>
            </w:pPr>
            <w:r>
              <w:rPr>
                <w:rFonts w:ascii="Arial" w:cs="Arial" w:eastAsia="Arial" w:hAnsi="Arial"/>
                <w:sz w:val="22"/>
                <w:szCs w:val="22"/>
                <w:color w:val="0563C1"/>
                <w:w w:val="88"/>
              </w:rPr>
              <w:t>Lead Independent Director</w:t>
            </w:r>
          </w:p>
        </w:tc>
        <w:tc>
          <w:tcPr>
            <w:tcW w:w="5140" w:type="dxa"/>
            <w:vAlign w:val="bottom"/>
            <w:gridSpan w:val="4"/>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14</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3"/>
              </w:rPr>
              <w:t>Section 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0563C1"/>
            </w:tcBorders>
            <w:gridSpan w:val="10"/>
          </w:tcPr>
          <w:p>
            <w:pPr>
              <w:spacing w:after="0"/>
              <w:rPr>
                <w:sz w:val="20"/>
                <w:szCs w:val="20"/>
                <w:color w:val="auto"/>
              </w:rPr>
            </w:pPr>
            <w:r>
              <w:rPr>
                <w:rFonts w:ascii="Arial" w:cs="Arial" w:eastAsia="Arial" w:hAnsi="Arial"/>
                <w:sz w:val="22"/>
                <w:szCs w:val="22"/>
                <w:color w:val="0563C1"/>
                <w:w w:val="86"/>
              </w:rPr>
              <w:t>Organization</w:t>
            </w:r>
          </w:p>
        </w:tc>
        <w:tc>
          <w:tcPr>
            <w:tcW w:w="6360" w:type="dxa"/>
            <w:vAlign w:val="bottom"/>
            <w:gridSpan w:val="19"/>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14</w:t>
            </w:r>
          </w:p>
        </w:tc>
        <w:tc>
          <w:tcPr>
            <w:tcW w:w="0" w:type="dxa"/>
            <w:vAlign w:val="bottom"/>
          </w:tcPr>
          <w:p>
            <w:pPr>
              <w:spacing w:after="0"/>
              <w:rPr>
                <w:sz w:val="1"/>
                <w:szCs w:val="1"/>
                <w:color w:val="auto"/>
              </w:rPr>
            </w:pPr>
          </w:p>
        </w:tc>
      </w:tr>
      <w:tr>
        <w:trPr>
          <w:trHeight w:val="514"/>
        </w:trPr>
        <w:tc>
          <w:tcPr>
            <w:tcW w:w="80" w:type="dxa"/>
            <w:vAlign w:val="bottom"/>
          </w:tcPr>
          <w:p>
            <w:pPr>
              <w:spacing w:after="0"/>
              <w:rPr>
                <w:sz w:val="24"/>
                <w:szCs w:val="24"/>
                <w:color w:val="auto"/>
              </w:rPr>
            </w:pPr>
          </w:p>
        </w:tc>
        <w:tc>
          <w:tcPr>
            <w:tcW w:w="8620" w:type="dxa"/>
            <w:vAlign w:val="bottom"/>
            <w:gridSpan w:val="34"/>
          </w:tcPr>
          <w:p>
            <w:pPr>
              <w:spacing w:after="0"/>
              <w:rPr>
                <w:sz w:val="20"/>
                <w:szCs w:val="20"/>
                <w:color w:val="auto"/>
              </w:rPr>
            </w:pPr>
            <w:r>
              <w:rPr>
                <w:rFonts w:ascii="Arial" w:cs="Arial" w:eastAsia="Arial" w:hAnsi="Arial"/>
                <w:sz w:val="22"/>
                <w:szCs w:val="22"/>
                <w:color w:val="0563C1"/>
              </w:rPr>
              <w:t>ARTICLE V OFFICERS</w:t>
            </w:r>
          </w:p>
        </w:tc>
        <w:tc>
          <w:tcPr>
            <w:tcW w:w="920" w:type="dxa"/>
            <w:vAlign w:val="bottom"/>
          </w:tcPr>
          <w:p>
            <w:pPr>
              <w:ind w:left="700"/>
              <w:spacing w:after="0"/>
              <w:rPr>
                <w:sz w:val="20"/>
                <w:szCs w:val="20"/>
                <w:color w:val="auto"/>
              </w:rPr>
            </w:pPr>
            <w:r>
              <w:rPr>
                <w:rFonts w:ascii="Arial" w:cs="Arial" w:eastAsia="Arial" w:hAnsi="Arial"/>
                <w:sz w:val="22"/>
                <w:szCs w:val="22"/>
                <w:color w:val="auto"/>
                <w:w w:val="81"/>
              </w:rPr>
              <w:t>15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39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60" w:type="dxa"/>
            <w:vAlign w:val="bottom"/>
            <w:gridSpan w:val="2"/>
            <w:vMerge w:val="restart"/>
          </w:tcPr>
          <w:p>
            <w:pPr>
              <w:spacing w:after="0"/>
              <w:rPr>
                <w:sz w:val="20"/>
                <w:szCs w:val="20"/>
                <w:color w:val="auto"/>
              </w:rPr>
            </w:pPr>
            <w:r>
              <w:rPr>
                <w:rFonts w:ascii="Arial" w:cs="Arial" w:eastAsia="Arial" w:hAnsi="Arial"/>
                <w:sz w:val="22"/>
                <w:szCs w:val="22"/>
                <w:color w:val="0563C1"/>
                <w:w w:val="85"/>
              </w:rPr>
              <w:t>Section 28.</w:t>
            </w:r>
          </w:p>
        </w:tc>
        <w:tc>
          <w:tcPr>
            <w:tcW w:w="180" w:type="dxa"/>
            <w:vAlign w:val="bottom"/>
          </w:tcPr>
          <w:p>
            <w:pPr>
              <w:spacing w:after="0"/>
              <w:rPr>
                <w:sz w:val="23"/>
                <w:szCs w:val="23"/>
                <w:color w:val="auto"/>
              </w:rPr>
            </w:pPr>
          </w:p>
        </w:tc>
        <w:tc>
          <w:tcPr>
            <w:tcW w:w="1740" w:type="dxa"/>
            <w:vAlign w:val="bottom"/>
            <w:gridSpan w:val="13"/>
          </w:tcPr>
          <w:p>
            <w:pPr>
              <w:spacing w:after="0"/>
              <w:rPr>
                <w:sz w:val="20"/>
                <w:szCs w:val="20"/>
                <w:color w:val="auto"/>
              </w:rPr>
            </w:pPr>
            <w:r>
              <w:rPr>
                <w:rFonts w:ascii="Arial" w:cs="Arial" w:eastAsia="Arial" w:hAnsi="Arial"/>
                <w:sz w:val="22"/>
                <w:szCs w:val="22"/>
                <w:color w:val="0563C1"/>
                <w:w w:val="89"/>
              </w:rPr>
              <w:t>Officers Designated</w:t>
            </w:r>
          </w:p>
        </w:tc>
        <w:tc>
          <w:tcPr>
            <w:tcW w:w="60" w:type="dxa"/>
            <w:vAlign w:val="bottom"/>
            <w:vMerge w:val="restart"/>
          </w:tcPr>
          <w:p>
            <w:pPr>
              <w:spacing w:after="0"/>
              <w:rPr>
                <w:sz w:val="23"/>
                <w:szCs w:val="23"/>
                <w:color w:val="auto"/>
              </w:rPr>
            </w:pPr>
          </w:p>
        </w:tc>
        <w:tc>
          <w:tcPr>
            <w:tcW w:w="180" w:type="dxa"/>
            <w:vAlign w:val="bottom"/>
            <w:vMerge w:val="restart"/>
          </w:tcPr>
          <w:p>
            <w:pPr>
              <w:spacing w:after="0"/>
              <w:rPr>
                <w:sz w:val="23"/>
                <w:szCs w:val="23"/>
                <w:color w:val="auto"/>
              </w:rPr>
            </w:pPr>
          </w:p>
        </w:tc>
        <w:tc>
          <w:tcPr>
            <w:tcW w:w="40" w:type="dxa"/>
            <w:vAlign w:val="bottom"/>
            <w:vMerge w:val="restart"/>
          </w:tcPr>
          <w:p>
            <w:pPr>
              <w:spacing w:after="0"/>
              <w:rPr>
                <w:sz w:val="23"/>
                <w:szCs w:val="23"/>
                <w:color w:val="auto"/>
              </w:rPr>
            </w:pPr>
          </w:p>
        </w:tc>
        <w:tc>
          <w:tcPr>
            <w:tcW w:w="6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60" w:type="dxa"/>
            <w:vAlign w:val="bottom"/>
            <w:vMerge w:val="restart"/>
          </w:tcPr>
          <w:p>
            <w:pPr>
              <w:spacing w:after="0"/>
              <w:rPr>
                <w:sz w:val="23"/>
                <w:szCs w:val="23"/>
                <w:color w:val="auto"/>
              </w:rPr>
            </w:pPr>
          </w:p>
        </w:tc>
        <w:tc>
          <w:tcPr>
            <w:tcW w:w="180" w:type="dxa"/>
            <w:vAlign w:val="bottom"/>
            <w:vMerge w:val="restart"/>
          </w:tcPr>
          <w:p>
            <w:pPr>
              <w:spacing w:after="0"/>
              <w:rPr>
                <w:sz w:val="23"/>
                <w:szCs w:val="23"/>
                <w:color w:val="auto"/>
              </w:rPr>
            </w:pPr>
          </w:p>
        </w:tc>
        <w:tc>
          <w:tcPr>
            <w:tcW w:w="200" w:type="dxa"/>
            <w:vAlign w:val="bottom"/>
            <w:vMerge w:val="restart"/>
          </w:tcPr>
          <w:p>
            <w:pPr>
              <w:spacing w:after="0"/>
              <w:rPr>
                <w:sz w:val="23"/>
                <w:szCs w:val="23"/>
                <w:color w:val="auto"/>
              </w:rPr>
            </w:pPr>
          </w:p>
        </w:tc>
        <w:tc>
          <w:tcPr>
            <w:tcW w:w="20" w:type="dxa"/>
            <w:vAlign w:val="bottom"/>
            <w:vMerge w:val="restart"/>
          </w:tcPr>
          <w:p>
            <w:pPr>
              <w:spacing w:after="0"/>
              <w:rPr>
                <w:sz w:val="23"/>
                <w:szCs w:val="23"/>
                <w:color w:val="auto"/>
              </w:rPr>
            </w:pPr>
          </w:p>
        </w:tc>
        <w:tc>
          <w:tcPr>
            <w:tcW w:w="480" w:type="dxa"/>
            <w:vAlign w:val="bottom"/>
            <w:vMerge w:val="restart"/>
          </w:tcPr>
          <w:p>
            <w:pPr>
              <w:spacing w:after="0"/>
              <w:rPr>
                <w:sz w:val="23"/>
                <w:szCs w:val="23"/>
                <w:color w:val="auto"/>
              </w:rPr>
            </w:pPr>
          </w:p>
        </w:tc>
        <w:tc>
          <w:tcPr>
            <w:tcW w:w="40" w:type="dxa"/>
            <w:vAlign w:val="bottom"/>
            <w:vMerge w:val="restart"/>
          </w:tcPr>
          <w:p>
            <w:pPr>
              <w:spacing w:after="0"/>
              <w:rPr>
                <w:sz w:val="23"/>
                <w:szCs w:val="23"/>
                <w:color w:val="auto"/>
              </w:rPr>
            </w:pPr>
          </w:p>
        </w:tc>
        <w:tc>
          <w:tcPr>
            <w:tcW w:w="240" w:type="dxa"/>
            <w:vAlign w:val="bottom"/>
            <w:vMerge w:val="restart"/>
          </w:tcPr>
          <w:p>
            <w:pPr>
              <w:spacing w:after="0"/>
              <w:rPr>
                <w:sz w:val="23"/>
                <w:szCs w:val="23"/>
                <w:color w:val="auto"/>
              </w:rPr>
            </w:pPr>
          </w:p>
        </w:tc>
        <w:tc>
          <w:tcPr>
            <w:tcW w:w="740" w:type="dxa"/>
            <w:vAlign w:val="bottom"/>
            <w:vMerge w:val="restart"/>
          </w:tcPr>
          <w:p>
            <w:pPr>
              <w:spacing w:after="0"/>
              <w:rPr>
                <w:sz w:val="23"/>
                <w:szCs w:val="23"/>
                <w:color w:val="auto"/>
              </w:rPr>
            </w:pPr>
          </w:p>
        </w:tc>
        <w:tc>
          <w:tcPr>
            <w:tcW w:w="520" w:type="dxa"/>
            <w:vAlign w:val="bottom"/>
            <w:vMerge w:val="restart"/>
          </w:tcPr>
          <w:p>
            <w:pPr>
              <w:spacing w:after="0"/>
              <w:rPr>
                <w:sz w:val="23"/>
                <w:szCs w:val="23"/>
                <w:color w:val="auto"/>
              </w:rPr>
            </w:pPr>
          </w:p>
        </w:tc>
        <w:tc>
          <w:tcPr>
            <w:tcW w:w="1680" w:type="dxa"/>
            <w:vAlign w:val="bottom"/>
            <w:vMerge w:val="restart"/>
          </w:tcPr>
          <w:p>
            <w:pPr>
              <w:spacing w:after="0"/>
              <w:rPr>
                <w:sz w:val="23"/>
                <w:szCs w:val="23"/>
                <w:color w:val="auto"/>
              </w:rPr>
            </w:pPr>
          </w:p>
        </w:tc>
        <w:tc>
          <w:tcPr>
            <w:tcW w:w="1260" w:type="dxa"/>
            <w:vAlign w:val="bottom"/>
            <w:vMerge w:val="restart"/>
          </w:tcPr>
          <w:p>
            <w:pPr>
              <w:spacing w:after="0"/>
              <w:rPr>
                <w:sz w:val="23"/>
                <w:szCs w:val="23"/>
                <w:color w:val="auto"/>
              </w:rPr>
            </w:pPr>
          </w:p>
        </w:tc>
        <w:tc>
          <w:tcPr>
            <w:tcW w:w="320" w:type="dxa"/>
            <w:vAlign w:val="bottom"/>
            <w:vMerge w:val="restart"/>
          </w:tcPr>
          <w:p>
            <w:pPr>
              <w:spacing w:after="0"/>
              <w:rPr>
                <w:sz w:val="23"/>
                <w:szCs w:val="23"/>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0"/>
        </w:trPr>
        <w:tc>
          <w:tcPr>
            <w:tcW w:w="960" w:type="dxa"/>
            <w:vAlign w:val="bottom"/>
            <w:tcBorders>
              <w:bottom w:val="single" w:sz="8" w:color="0563C1"/>
            </w:tcBorders>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0563C1"/>
            </w:tcBorders>
            <w:shd w:val="clear" w:color="auto" w:fill="0563C1"/>
          </w:tcPr>
          <w:p>
            <w:pPr>
              <w:spacing w:after="0" w:line="20" w:lineRule="exact"/>
              <w:rPr>
                <w:sz w:val="1"/>
                <w:szCs w:val="1"/>
                <w:color w:val="auto"/>
              </w:rPr>
            </w:pPr>
          </w:p>
        </w:tc>
        <w:tc>
          <w:tcPr>
            <w:tcW w:w="80" w:type="dxa"/>
            <w:vAlign w:val="bottom"/>
            <w:tcBorders>
              <w:bottom w:val="single" w:sz="8" w:color="0563C1"/>
            </w:tcBorders>
            <w:shd w:val="clear" w:color="auto" w:fill="0563C1"/>
          </w:tcPr>
          <w:p>
            <w:pPr>
              <w:spacing w:after="0" w:line="20" w:lineRule="exact"/>
              <w:rPr>
                <w:sz w:val="1"/>
                <w:szCs w:val="1"/>
                <w:color w:val="auto"/>
              </w:rPr>
            </w:pPr>
          </w:p>
        </w:tc>
        <w:tc>
          <w:tcPr>
            <w:tcW w:w="120" w:type="dxa"/>
            <w:vAlign w:val="bottom"/>
            <w:tcBorders>
              <w:bottom w:val="single" w:sz="8" w:color="0563C1"/>
            </w:tcBorders>
            <w:shd w:val="clear" w:color="auto" w:fill="0563C1"/>
          </w:tcPr>
          <w:p>
            <w:pPr>
              <w:spacing w:after="0" w:line="20" w:lineRule="exact"/>
              <w:rPr>
                <w:sz w:val="1"/>
                <w:szCs w:val="1"/>
                <w:color w:val="auto"/>
              </w:rPr>
            </w:pPr>
          </w:p>
        </w:tc>
        <w:tc>
          <w:tcPr>
            <w:tcW w:w="40" w:type="dxa"/>
            <w:vAlign w:val="bottom"/>
            <w:tcBorders>
              <w:bottom w:val="single" w:sz="8" w:color="0563C1"/>
            </w:tcBorders>
            <w:shd w:val="clear" w:color="auto" w:fill="0563C1"/>
          </w:tcPr>
          <w:p>
            <w:pPr>
              <w:spacing w:after="0" w:line="20" w:lineRule="exact"/>
              <w:rPr>
                <w:sz w:val="1"/>
                <w:szCs w:val="1"/>
                <w:color w:val="auto"/>
              </w:rPr>
            </w:pPr>
          </w:p>
        </w:tc>
        <w:tc>
          <w:tcPr>
            <w:tcW w:w="160" w:type="dxa"/>
            <w:vAlign w:val="bottom"/>
            <w:tcBorders>
              <w:bottom w:val="single" w:sz="8" w:color="0563C1"/>
            </w:tcBorders>
            <w:shd w:val="clear" w:color="auto" w:fill="0563C1"/>
          </w:tcPr>
          <w:p>
            <w:pPr>
              <w:spacing w:after="0" w:line="20" w:lineRule="exact"/>
              <w:rPr>
                <w:sz w:val="1"/>
                <w:szCs w:val="1"/>
                <w:color w:val="auto"/>
              </w:rPr>
            </w:pPr>
          </w:p>
        </w:tc>
        <w:tc>
          <w:tcPr>
            <w:tcW w:w="100" w:type="dxa"/>
            <w:vAlign w:val="bottom"/>
            <w:tcBorders>
              <w:bottom w:val="single" w:sz="8" w:color="0563C1"/>
            </w:tcBorders>
            <w:shd w:val="clear" w:color="auto" w:fill="0563C1"/>
          </w:tcPr>
          <w:p>
            <w:pPr>
              <w:spacing w:after="0" w:line="20" w:lineRule="exact"/>
              <w:rPr>
                <w:sz w:val="1"/>
                <w:szCs w:val="1"/>
                <w:color w:val="auto"/>
              </w:rPr>
            </w:pPr>
          </w:p>
        </w:tc>
        <w:tc>
          <w:tcPr>
            <w:tcW w:w="40" w:type="dxa"/>
            <w:vAlign w:val="bottom"/>
            <w:tcBorders>
              <w:bottom w:val="single" w:sz="8" w:color="0563C1"/>
            </w:tcBorders>
            <w:shd w:val="clear" w:color="auto" w:fill="0563C1"/>
          </w:tcPr>
          <w:p>
            <w:pPr>
              <w:spacing w:after="0" w:line="20" w:lineRule="exact"/>
              <w:rPr>
                <w:sz w:val="1"/>
                <w:szCs w:val="1"/>
                <w:color w:val="auto"/>
              </w:rPr>
            </w:pPr>
          </w:p>
        </w:tc>
        <w:tc>
          <w:tcPr>
            <w:tcW w:w="140" w:type="dxa"/>
            <w:vAlign w:val="bottom"/>
            <w:tcBorders>
              <w:bottom w:val="single" w:sz="8" w:color="0563C1"/>
            </w:tcBorders>
            <w:shd w:val="clear" w:color="auto" w:fill="0563C1"/>
          </w:tcPr>
          <w:p>
            <w:pPr>
              <w:spacing w:after="0" w:line="20" w:lineRule="exact"/>
              <w:rPr>
                <w:sz w:val="1"/>
                <w:szCs w:val="1"/>
                <w:color w:val="auto"/>
              </w:rPr>
            </w:pPr>
          </w:p>
        </w:tc>
        <w:tc>
          <w:tcPr>
            <w:tcW w:w="140" w:type="dxa"/>
            <w:vAlign w:val="bottom"/>
            <w:tcBorders>
              <w:bottom w:val="single" w:sz="8" w:color="0563C1"/>
            </w:tcBorders>
            <w:shd w:val="clear" w:color="auto" w:fill="0563C1"/>
          </w:tcPr>
          <w:p>
            <w:pPr>
              <w:spacing w:after="0" w:line="20" w:lineRule="exact"/>
              <w:rPr>
                <w:sz w:val="1"/>
                <w:szCs w:val="1"/>
                <w:color w:val="auto"/>
              </w:rPr>
            </w:pPr>
          </w:p>
        </w:tc>
        <w:tc>
          <w:tcPr>
            <w:tcW w:w="40" w:type="dxa"/>
            <w:vAlign w:val="bottom"/>
            <w:tcBorders>
              <w:bottom w:val="single" w:sz="8" w:color="0563C1"/>
            </w:tcBorders>
            <w:shd w:val="clear" w:color="auto" w:fill="0563C1"/>
          </w:tcPr>
          <w:p>
            <w:pPr>
              <w:spacing w:after="0" w:line="20" w:lineRule="exact"/>
              <w:rPr>
                <w:sz w:val="1"/>
                <w:szCs w:val="1"/>
                <w:color w:val="auto"/>
              </w:rPr>
            </w:pPr>
          </w:p>
        </w:tc>
        <w:tc>
          <w:tcPr>
            <w:tcW w:w="80" w:type="dxa"/>
            <w:vAlign w:val="bottom"/>
            <w:tcBorders>
              <w:bottom w:val="single" w:sz="8" w:color="0563C1"/>
            </w:tcBorders>
            <w:shd w:val="clear" w:color="auto" w:fill="0563C1"/>
          </w:tcPr>
          <w:p>
            <w:pPr>
              <w:spacing w:after="0" w:line="20" w:lineRule="exact"/>
              <w:rPr>
                <w:sz w:val="1"/>
                <w:szCs w:val="1"/>
                <w:color w:val="auto"/>
              </w:rPr>
            </w:pPr>
          </w:p>
        </w:tc>
        <w:tc>
          <w:tcPr>
            <w:tcW w:w="40" w:type="dxa"/>
            <w:vAlign w:val="bottom"/>
            <w:tcBorders>
              <w:bottom w:val="single" w:sz="8" w:color="0563C1"/>
            </w:tcBorders>
            <w:shd w:val="clear" w:color="auto" w:fill="0563C1"/>
          </w:tcPr>
          <w:p>
            <w:pPr>
              <w:spacing w:after="0" w:line="20" w:lineRule="exact"/>
              <w:rPr>
                <w:sz w:val="1"/>
                <w:szCs w:val="1"/>
                <w:color w:val="auto"/>
              </w:rPr>
            </w:pPr>
          </w:p>
        </w:tc>
        <w:tc>
          <w:tcPr>
            <w:tcW w:w="180" w:type="dxa"/>
            <w:vAlign w:val="bottom"/>
            <w:tcBorders>
              <w:bottom w:val="single" w:sz="8" w:color="0563C1"/>
            </w:tcBorders>
            <w:shd w:val="clear" w:color="auto" w:fill="0563C1"/>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5"/>
              </w:rPr>
              <w:t>Section 29.</w:t>
            </w:r>
          </w:p>
        </w:tc>
        <w:tc>
          <w:tcPr>
            <w:tcW w:w="180" w:type="dxa"/>
            <w:vAlign w:val="bottom"/>
          </w:tcPr>
          <w:p>
            <w:pPr>
              <w:spacing w:after="0"/>
              <w:rPr>
                <w:sz w:val="22"/>
                <w:szCs w:val="22"/>
                <w:color w:val="auto"/>
              </w:rPr>
            </w:pPr>
          </w:p>
        </w:tc>
        <w:tc>
          <w:tcPr>
            <w:tcW w:w="2580" w:type="dxa"/>
            <w:vAlign w:val="bottom"/>
            <w:tcBorders>
              <w:bottom w:val="single" w:sz="8" w:color="0563C1"/>
            </w:tcBorders>
            <w:gridSpan w:val="23"/>
          </w:tcPr>
          <w:p>
            <w:pPr>
              <w:spacing w:after="0"/>
              <w:rPr>
                <w:sz w:val="20"/>
                <w:szCs w:val="20"/>
                <w:color w:val="auto"/>
              </w:rPr>
            </w:pPr>
            <w:r>
              <w:rPr>
                <w:rFonts w:ascii="Arial" w:cs="Arial" w:eastAsia="Arial" w:hAnsi="Arial"/>
                <w:sz w:val="22"/>
                <w:szCs w:val="22"/>
                <w:color w:val="0563C1"/>
                <w:w w:val="89"/>
              </w:rPr>
              <w:t>Tenure and Duties of Officers</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77"/>
        </w:trPr>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5"/>
              </w:rPr>
              <w:t>Section 30.</w:t>
            </w:r>
          </w:p>
        </w:tc>
        <w:tc>
          <w:tcPr>
            <w:tcW w:w="180" w:type="dxa"/>
            <w:vAlign w:val="bottom"/>
          </w:tcPr>
          <w:p>
            <w:pPr>
              <w:spacing w:after="0"/>
              <w:rPr>
                <w:sz w:val="24"/>
                <w:szCs w:val="24"/>
                <w:color w:val="auto"/>
              </w:rPr>
            </w:pPr>
          </w:p>
        </w:tc>
        <w:tc>
          <w:tcPr>
            <w:tcW w:w="2100" w:type="dxa"/>
            <w:vAlign w:val="bottom"/>
            <w:tcBorders>
              <w:bottom w:val="single" w:sz="8" w:color="0563C1"/>
            </w:tcBorders>
            <w:gridSpan w:val="18"/>
          </w:tcPr>
          <w:p>
            <w:pPr>
              <w:spacing w:after="0"/>
              <w:rPr>
                <w:sz w:val="20"/>
                <w:szCs w:val="20"/>
                <w:color w:val="auto"/>
              </w:rPr>
            </w:pPr>
            <w:r>
              <w:rPr>
                <w:rFonts w:ascii="Arial" w:cs="Arial" w:eastAsia="Arial" w:hAnsi="Arial"/>
                <w:sz w:val="22"/>
                <w:szCs w:val="22"/>
                <w:color w:val="0563C1"/>
                <w:w w:val="93"/>
              </w:rPr>
              <w:t>Delegation of Authority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77"/>
        </w:trPr>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5"/>
              </w:rPr>
              <w:t>Section 31.</w:t>
            </w:r>
          </w:p>
        </w:tc>
        <w:tc>
          <w:tcPr>
            <w:tcW w:w="180" w:type="dxa"/>
            <w:vAlign w:val="bottom"/>
          </w:tcPr>
          <w:p>
            <w:pPr>
              <w:spacing w:after="0"/>
              <w:rPr>
                <w:sz w:val="24"/>
                <w:szCs w:val="24"/>
                <w:color w:val="auto"/>
              </w:rPr>
            </w:pPr>
          </w:p>
        </w:tc>
        <w:tc>
          <w:tcPr>
            <w:tcW w:w="1120" w:type="dxa"/>
            <w:vAlign w:val="bottom"/>
            <w:tcBorders>
              <w:bottom w:val="single" w:sz="8" w:color="0563C1"/>
            </w:tcBorders>
            <w:gridSpan w:val="7"/>
          </w:tcPr>
          <w:p>
            <w:pPr>
              <w:spacing w:after="0"/>
              <w:rPr>
                <w:sz w:val="20"/>
                <w:szCs w:val="20"/>
                <w:color w:val="auto"/>
              </w:rPr>
            </w:pPr>
            <w:r>
              <w:rPr>
                <w:rFonts w:ascii="Arial" w:cs="Arial" w:eastAsia="Arial" w:hAnsi="Arial"/>
                <w:sz w:val="22"/>
                <w:szCs w:val="22"/>
                <w:color w:val="0563C1"/>
                <w:w w:val="86"/>
              </w:rPr>
              <w:t>Resignations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77"/>
        </w:trPr>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5"/>
              </w:rPr>
              <w:t>Section 32.</w:t>
            </w:r>
          </w:p>
        </w:tc>
        <w:tc>
          <w:tcPr>
            <w:tcW w:w="180" w:type="dxa"/>
            <w:vAlign w:val="bottom"/>
          </w:tcPr>
          <w:p>
            <w:pPr>
              <w:spacing w:after="0"/>
              <w:rPr>
                <w:sz w:val="24"/>
                <w:szCs w:val="24"/>
                <w:color w:val="auto"/>
              </w:rPr>
            </w:pPr>
          </w:p>
        </w:tc>
        <w:tc>
          <w:tcPr>
            <w:tcW w:w="780" w:type="dxa"/>
            <w:vAlign w:val="bottom"/>
            <w:tcBorders>
              <w:bottom w:val="single" w:sz="8" w:color="0563C1"/>
            </w:tcBorders>
            <w:gridSpan w:val="3"/>
          </w:tcPr>
          <w:p>
            <w:pPr>
              <w:spacing w:after="0"/>
              <w:rPr>
                <w:sz w:val="20"/>
                <w:szCs w:val="20"/>
                <w:color w:val="auto"/>
              </w:rPr>
            </w:pPr>
            <w:r>
              <w:rPr>
                <w:rFonts w:ascii="Arial" w:cs="Arial" w:eastAsia="Arial" w:hAnsi="Arial"/>
                <w:sz w:val="22"/>
                <w:szCs w:val="22"/>
                <w:color w:val="0563C1"/>
                <w:w w:val="87"/>
              </w:rPr>
              <w:t>Removal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547"/>
        </w:trPr>
        <w:tc>
          <w:tcPr>
            <w:tcW w:w="9000" w:type="dxa"/>
            <w:vAlign w:val="bottom"/>
            <w:gridSpan w:val="34"/>
          </w:tcPr>
          <w:p>
            <w:pPr>
              <w:spacing w:after="0"/>
              <w:rPr>
                <w:sz w:val="20"/>
                <w:szCs w:val="20"/>
                <w:color w:val="auto"/>
              </w:rPr>
            </w:pPr>
            <w:r>
              <w:rPr>
                <w:rFonts w:ascii="Arial" w:cs="Arial" w:eastAsia="Arial" w:hAnsi="Arial"/>
                <w:sz w:val="22"/>
                <w:szCs w:val="22"/>
                <w:color w:val="0563C1"/>
              </w:rPr>
              <w:t>ARTICLE VI EXECUTION OF CORPORATE INSTRUMENTS AND VOTING OF</w:t>
            </w: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196"/>
        </w:trPr>
        <w:tc>
          <w:tcPr>
            <w:tcW w:w="4480" w:type="dxa"/>
            <w:vAlign w:val="bottom"/>
            <w:tcBorders>
              <w:top w:val="single" w:sz="8" w:color="0563C1"/>
              <w:bottom w:val="single" w:sz="8" w:color="0563C1"/>
            </w:tcBorders>
            <w:gridSpan w:val="29"/>
          </w:tcPr>
          <w:p>
            <w:pPr>
              <w:spacing w:after="0" w:line="195" w:lineRule="exact"/>
              <w:rPr>
                <w:sz w:val="20"/>
                <w:szCs w:val="20"/>
                <w:color w:val="auto"/>
              </w:rPr>
            </w:pPr>
            <w:r>
              <w:rPr>
                <w:rFonts w:ascii="Arial" w:cs="Arial" w:eastAsia="Arial" w:hAnsi="Arial"/>
                <w:sz w:val="22"/>
                <w:szCs w:val="22"/>
                <w:color w:val="0563C1"/>
                <w:w w:val="93"/>
              </w:rPr>
              <w:t>SECURITIES OWNED BY THE CORPORATION</w:t>
            </w:r>
          </w:p>
        </w:tc>
        <w:tc>
          <w:tcPr>
            <w:tcW w:w="2940" w:type="dxa"/>
            <w:vAlign w:val="bottom"/>
            <w:tcBorders>
              <w:top w:val="single" w:sz="8" w:color="0563C1"/>
            </w:tcBorders>
            <w:gridSpan w:val="3"/>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tcBorders>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5"/>
              </w:rPr>
              <w:t>Section 33.</w:t>
            </w:r>
          </w:p>
        </w:tc>
        <w:tc>
          <w:tcPr>
            <w:tcW w:w="180" w:type="dxa"/>
            <w:vAlign w:val="bottom"/>
          </w:tcPr>
          <w:p>
            <w:pPr>
              <w:spacing w:after="0"/>
              <w:rPr>
                <w:sz w:val="21"/>
                <w:szCs w:val="21"/>
                <w:color w:val="auto"/>
              </w:rPr>
            </w:pPr>
          </w:p>
        </w:tc>
        <w:tc>
          <w:tcPr>
            <w:tcW w:w="3100" w:type="dxa"/>
            <w:vAlign w:val="bottom"/>
            <w:tcBorders>
              <w:bottom w:val="single" w:sz="8" w:color="0563C1"/>
            </w:tcBorders>
            <w:gridSpan w:val="25"/>
          </w:tcPr>
          <w:p>
            <w:pPr>
              <w:spacing w:after="0" w:line="237" w:lineRule="exact"/>
              <w:rPr>
                <w:sz w:val="20"/>
                <w:szCs w:val="20"/>
                <w:color w:val="auto"/>
              </w:rPr>
            </w:pPr>
            <w:r>
              <w:rPr>
                <w:rFonts w:ascii="Arial" w:cs="Arial" w:eastAsia="Arial" w:hAnsi="Arial"/>
                <w:sz w:val="22"/>
                <w:szCs w:val="22"/>
                <w:color w:val="0563C1"/>
                <w:w w:val="88"/>
              </w:rPr>
              <w:t>Execution of Corporate Instruments</w:t>
            </w:r>
          </w:p>
        </w:tc>
        <w:tc>
          <w:tcPr>
            <w:tcW w:w="98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29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line="250"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77"/>
        </w:trPr>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5"/>
              </w:rPr>
              <w:t>Section 34.</w:t>
            </w:r>
          </w:p>
        </w:tc>
        <w:tc>
          <w:tcPr>
            <w:tcW w:w="180" w:type="dxa"/>
            <w:vAlign w:val="bottom"/>
          </w:tcPr>
          <w:p>
            <w:pPr>
              <w:spacing w:after="0"/>
              <w:rPr>
                <w:sz w:val="24"/>
                <w:szCs w:val="24"/>
                <w:color w:val="auto"/>
              </w:rPr>
            </w:pPr>
          </w:p>
        </w:tc>
        <w:tc>
          <w:tcPr>
            <w:tcW w:w="4080" w:type="dxa"/>
            <w:vAlign w:val="bottom"/>
            <w:tcBorders>
              <w:bottom w:val="single" w:sz="8" w:color="0563C1"/>
            </w:tcBorders>
            <w:gridSpan w:val="27"/>
          </w:tcPr>
          <w:p>
            <w:pPr>
              <w:spacing w:after="0"/>
              <w:rPr>
                <w:sz w:val="20"/>
                <w:szCs w:val="20"/>
                <w:color w:val="auto"/>
              </w:rPr>
            </w:pPr>
            <w:r>
              <w:rPr>
                <w:rFonts w:ascii="Arial" w:cs="Arial" w:eastAsia="Arial" w:hAnsi="Arial"/>
                <w:sz w:val="22"/>
                <w:szCs w:val="22"/>
                <w:color w:val="0563C1"/>
                <w:w w:val="89"/>
              </w:rPr>
              <w:t>Voting of Securities Owned by the Corporation</w:t>
            </w:r>
          </w:p>
        </w:tc>
        <w:tc>
          <w:tcPr>
            <w:tcW w:w="520" w:type="dxa"/>
            <w:vAlign w:val="bottom"/>
          </w:tcPr>
          <w:p>
            <w:pPr>
              <w:spacing w:after="0"/>
              <w:rPr>
                <w:sz w:val="24"/>
                <w:szCs w:val="24"/>
                <w:color w:val="auto"/>
              </w:rPr>
            </w:pPr>
          </w:p>
        </w:tc>
        <w:tc>
          <w:tcPr>
            <w:tcW w:w="29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534"/>
        </w:trPr>
        <w:tc>
          <w:tcPr>
            <w:tcW w:w="3220" w:type="dxa"/>
            <w:vAlign w:val="bottom"/>
            <w:tcBorders>
              <w:bottom w:val="single" w:sz="8" w:color="0563C1"/>
            </w:tcBorders>
            <w:gridSpan w:val="20"/>
          </w:tcPr>
          <w:p>
            <w:pPr>
              <w:spacing w:after="0"/>
              <w:rPr>
                <w:sz w:val="20"/>
                <w:szCs w:val="20"/>
                <w:color w:val="auto"/>
              </w:rPr>
            </w:pPr>
            <w:r>
              <w:rPr>
                <w:rFonts w:ascii="Arial" w:cs="Arial" w:eastAsia="Arial" w:hAnsi="Arial"/>
                <w:sz w:val="22"/>
                <w:szCs w:val="22"/>
                <w:color w:val="0563C1"/>
                <w:w w:val="93"/>
              </w:rPr>
              <w:t>ARTICLE VII SHARES OF STOCK</w:t>
            </w:r>
          </w:p>
        </w:tc>
        <w:tc>
          <w:tcPr>
            <w:tcW w:w="5780" w:type="dxa"/>
            <w:vAlign w:val="bottom"/>
            <w:gridSpan w:val="1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50"/>
        </w:trPr>
        <w:tc>
          <w:tcPr>
            <w:tcW w:w="960" w:type="dxa"/>
            <w:vAlign w:val="bottom"/>
            <w:tcBorders>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5"/>
              </w:rPr>
              <w:t>Section 35.</w:t>
            </w:r>
          </w:p>
        </w:tc>
        <w:tc>
          <w:tcPr>
            <w:tcW w:w="180" w:type="dxa"/>
            <w:vAlign w:val="bottom"/>
          </w:tcPr>
          <w:p>
            <w:pPr>
              <w:spacing w:after="0"/>
              <w:rPr>
                <w:sz w:val="21"/>
                <w:szCs w:val="21"/>
                <w:color w:val="auto"/>
              </w:rPr>
            </w:pPr>
          </w:p>
        </w:tc>
        <w:tc>
          <w:tcPr>
            <w:tcW w:w="3060" w:type="dxa"/>
            <w:vAlign w:val="bottom"/>
            <w:tcBorders>
              <w:bottom w:val="single" w:sz="8" w:color="0563C1"/>
            </w:tcBorders>
            <w:gridSpan w:val="24"/>
          </w:tcPr>
          <w:p>
            <w:pPr>
              <w:spacing w:after="0" w:line="237" w:lineRule="exact"/>
              <w:rPr>
                <w:sz w:val="20"/>
                <w:szCs w:val="20"/>
                <w:color w:val="auto"/>
              </w:rPr>
            </w:pPr>
            <w:r>
              <w:rPr>
                <w:rFonts w:ascii="Arial" w:cs="Arial" w:eastAsia="Arial" w:hAnsi="Arial"/>
                <w:sz w:val="22"/>
                <w:szCs w:val="22"/>
                <w:color w:val="0563C1"/>
                <w:w w:val="90"/>
              </w:rPr>
              <w:t>Form and Execution of Certificates</w:t>
            </w:r>
          </w:p>
        </w:tc>
        <w:tc>
          <w:tcPr>
            <w:tcW w:w="1540" w:type="dxa"/>
            <w:vAlign w:val="bottom"/>
            <w:gridSpan w:val="4"/>
          </w:tcPr>
          <w:p>
            <w:pPr>
              <w:spacing w:after="0"/>
              <w:rPr>
                <w:sz w:val="21"/>
                <w:szCs w:val="21"/>
                <w:color w:val="auto"/>
              </w:rPr>
            </w:pPr>
          </w:p>
        </w:tc>
        <w:tc>
          <w:tcPr>
            <w:tcW w:w="29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line="250"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77"/>
        </w:trPr>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5"/>
              </w:rPr>
              <w:t>Section 36.</w:t>
            </w:r>
          </w:p>
        </w:tc>
        <w:tc>
          <w:tcPr>
            <w:tcW w:w="180" w:type="dxa"/>
            <w:vAlign w:val="bottom"/>
          </w:tcPr>
          <w:p>
            <w:pPr>
              <w:spacing w:after="0"/>
              <w:rPr>
                <w:sz w:val="24"/>
                <w:szCs w:val="24"/>
                <w:color w:val="auto"/>
              </w:rPr>
            </w:pPr>
          </w:p>
        </w:tc>
        <w:tc>
          <w:tcPr>
            <w:tcW w:w="1440" w:type="dxa"/>
            <w:vAlign w:val="bottom"/>
            <w:tcBorders>
              <w:bottom w:val="single" w:sz="8" w:color="0563C1"/>
            </w:tcBorders>
            <w:gridSpan w:val="10"/>
          </w:tcPr>
          <w:p>
            <w:pPr>
              <w:spacing w:after="0"/>
              <w:rPr>
                <w:sz w:val="20"/>
                <w:szCs w:val="20"/>
                <w:color w:val="auto"/>
              </w:rPr>
            </w:pPr>
            <w:r>
              <w:rPr>
                <w:rFonts w:ascii="Arial" w:cs="Arial" w:eastAsia="Arial" w:hAnsi="Arial"/>
                <w:sz w:val="22"/>
                <w:szCs w:val="22"/>
                <w:color w:val="0563C1"/>
                <w:w w:val="90"/>
              </w:rPr>
              <w:t>Lost Certificates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6"/>
          </w:tcPr>
          <w:p>
            <w:pPr>
              <w:spacing w:after="0"/>
              <w:rPr>
                <w:sz w:val="24"/>
                <w:szCs w:val="24"/>
                <w:color w:val="auto"/>
              </w:rPr>
            </w:pPr>
          </w:p>
        </w:tc>
        <w:tc>
          <w:tcPr>
            <w:tcW w:w="29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77"/>
        </w:trPr>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5"/>
              </w:rPr>
              <w:t>Section 37.</w:t>
            </w:r>
          </w:p>
        </w:tc>
        <w:tc>
          <w:tcPr>
            <w:tcW w:w="180" w:type="dxa"/>
            <w:vAlign w:val="bottom"/>
          </w:tcPr>
          <w:p>
            <w:pPr>
              <w:spacing w:after="0"/>
              <w:rPr>
                <w:sz w:val="24"/>
                <w:szCs w:val="24"/>
                <w:color w:val="auto"/>
              </w:rPr>
            </w:pPr>
          </w:p>
        </w:tc>
        <w:tc>
          <w:tcPr>
            <w:tcW w:w="820" w:type="dxa"/>
            <w:vAlign w:val="bottom"/>
            <w:tcBorders>
              <w:bottom w:val="single" w:sz="8" w:color="0563C1"/>
            </w:tcBorders>
            <w:gridSpan w:val="4"/>
          </w:tcPr>
          <w:p>
            <w:pPr>
              <w:spacing w:after="0"/>
              <w:rPr>
                <w:sz w:val="20"/>
                <w:szCs w:val="20"/>
                <w:color w:val="auto"/>
              </w:rPr>
            </w:pPr>
            <w:r>
              <w:rPr>
                <w:rFonts w:ascii="Arial" w:cs="Arial" w:eastAsia="Arial" w:hAnsi="Arial"/>
                <w:sz w:val="22"/>
                <w:szCs w:val="22"/>
                <w:color w:val="0563C1"/>
                <w:w w:val="86"/>
              </w:rPr>
              <w:t>Transfers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6"/>
          </w:tcPr>
          <w:p>
            <w:pPr>
              <w:spacing w:after="0"/>
              <w:rPr>
                <w:sz w:val="24"/>
                <w:szCs w:val="24"/>
                <w:color w:val="auto"/>
              </w:rPr>
            </w:pPr>
          </w:p>
        </w:tc>
        <w:tc>
          <w:tcPr>
            <w:tcW w:w="29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77"/>
        </w:trPr>
        <w:tc>
          <w:tcPr>
            <w:tcW w:w="960" w:type="dxa"/>
            <w:vAlign w:val="bottom"/>
            <w:gridSpan w:val="2"/>
            <w:vMerge w:val="restart"/>
          </w:tcPr>
          <w:p>
            <w:pPr>
              <w:spacing w:after="0"/>
              <w:rPr>
                <w:sz w:val="20"/>
                <w:szCs w:val="20"/>
                <w:color w:val="auto"/>
              </w:rPr>
            </w:pPr>
            <w:r>
              <w:rPr>
                <w:rFonts w:ascii="Arial" w:cs="Arial" w:eastAsia="Arial" w:hAnsi="Arial"/>
                <w:sz w:val="22"/>
                <w:szCs w:val="22"/>
                <w:color w:val="0563C1"/>
                <w:w w:val="85"/>
              </w:rPr>
              <w:t>Section 38.</w:t>
            </w:r>
          </w:p>
        </w:tc>
        <w:tc>
          <w:tcPr>
            <w:tcW w:w="180" w:type="dxa"/>
            <w:vAlign w:val="bottom"/>
            <w:vMerge w:val="restart"/>
          </w:tcPr>
          <w:p>
            <w:pPr>
              <w:spacing w:after="0"/>
              <w:rPr>
                <w:sz w:val="24"/>
                <w:szCs w:val="24"/>
                <w:color w:val="auto"/>
              </w:rPr>
            </w:pPr>
          </w:p>
        </w:tc>
        <w:tc>
          <w:tcPr>
            <w:tcW w:w="1800" w:type="dxa"/>
            <w:vAlign w:val="bottom"/>
            <w:gridSpan w:val="14"/>
          </w:tcPr>
          <w:p>
            <w:pPr>
              <w:spacing w:after="0"/>
              <w:rPr>
                <w:sz w:val="20"/>
                <w:szCs w:val="20"/>
                <w:color w:val="auto"/>
              </w:rPr>
            </w:pPr>
            <w:r>
              <w:rPr>
                <w:rFonts w:ascii="Arial" w:cs="Arial" w:eastAsia="Arial" w:hAnsi="Arial"/>
                <w:sz w:val="22"/>
                <w:szCs w:val="22"/>
                <w:color w:val="0563C1"/>
                <w:w w:val="88"/>
              </w:rPr>
              <w:t>Fixing Record Dates</w:t>
            </w:r>
          </w:p>
        </w:tc>
        <w:tc>
          <w:tcPr>
            <w:tcW w:w="1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gridSpan w:val="3"/>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2040" w:type="dxa"/>
            <w:vAlign w:val="bottom"/>
            <w:gridSpan w:val="6"/>
            <w:vMerge w:val="restart"/>
          </w:tcPr>
          <w:p>
            <w:pPr>
              <w:spacing w:after="0"/>
              <w:rPr>
                <w:sz w:val="24"/>
                <w:szCs w:val="24"/>
                <w:color w:val="auto"/>
              </w:rPr>
            </w:pPr>
          </w:p>
        </w:tc>
        <w:tc>
          <w:tcPr>
            <w:tcW w:w="2940" w:type="dxa"/>
            <w:vAlign w:val="bottom"/>
            <w:gridSpan w:val="2"/>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0"/>
        </w:trPr>
        <w:tc>
          <w:tcPr>
            <w:tcW w:w="960" w:type="dxa"/>
            <w:vAlign w:val="bottom"/>
            <w:tcBorders>
              <w:bottom w:val="single" w:sz="8" w:color="0563C1"/>
            </w:tcBorders>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80" w:type="dxa"/>
            <w:vAlign w:val="bottom"/>
            <w:tcBorders>
              <w:bottom w:val="single" w:sz="8" w:color="0563C1"/>
            </w:tcBorders>
            <w:shd w:val="clear" w:color="auto" w:fill="0563C1"/>
          </w:tcPr>
          <w:p>
            <w:pPr>
              <w:spacing w:after="0" w:line="20" w:lineRule="exact"/>
              <w:rPr>
                <w:sz w:val="1"/>
                <w:szCs w:val="1"/>
                <w:color w:val="auto"/>
              </w:rPr>
            </w:pPr>
          </w:p>
        </w:tc>
        <w:tc>
          <w:tcPr>
            <w:tcW w:w="80" w:type="dxa"/>
            <w:vAlign w:val="bottom"/>
            <w:tcBorders>
              <w:bottom w:val="single" w:sz="8" w:color="0563C1"/>
            </w:tcBorders>
            <w:shd w:val="clear" w:color="auto" w:fill="0563C1"/>
          </w:tcPr>
          <w:p>
            <w:pPr>
              <w:spacing w:after="0" w:line="20" w:lineRule="exact"/>
              <w:rPr>
                <w:sz w:val="1"/>
                <w:szCs w:val="1"/>
                <w:color w:val="auto"/>
              </w:rPr>
            </w:pPr>
          </w:p>
        </w:tc>
        <w:tc>
          <w:tcPr>
            <w:tcW w:w="320" w:type="dxa"/>
            <w:vAlign w:val="bottom"/>
            <w:tcBorders>
              <w:bottom w:val="single" w:sz="8" w:color="0563C1"/>
            </w:tcBorders>
            <w:gridSpan w:val="3"/>
            <w:shd w:val="clear" w:color="auto" w:fill="0563C1"/>
          </w:tcPr>
          <w:p>
            <w:pPr>
              <w:spacing w:after="0" w:line="20" w:lineRule="exact"/>
              <w:rPr>
                <w:sz w:val="1"/>
                <w:szCs w:val="1"/>
                <w:color w:val="auto"/>
              </w:rPr>
            </w:pPr>
          </w:p>
        </w:tc>
        <w:tc>
          <w:tcPr>
            <w:tcW w:w="100" w:type="dxa"/>
            <w:vAlign w:val="bottom"/>
            <w:tcBorders>
              <w:bottom w:val="single" w:sz="8" w:color="0563C1"/>
            </w:tcBorders>
            <w:shd w:val="clear" w:color="auto" w:fill="0563C1"/>
          </w:tcPr>
          <w:p>
            <w:pPr>
              <w:spacing w:after="0" w:line="20" w:lineRule="exact"/>
              <w:rPr>
                <w:sz w:val="1"/>
                <w:szCs w:val="1"/>
                <w:color w:val="auto"/>
              </w:rPr>
            </w:pPr>
          </w:p>
        </w:tc>
        <w:tc>
          <w:tcPr>
            <w:tcW w:w="180" w:type="dxa"/>
            <w:vAlign w:val="bottom"/>
            <w:tcBorders>
              <w:bottom w:val="single" w:sz="8" w:color="0563C1"/>
            </w:tcBorders>
            <w:gridSpan w:val="2"/>
            <w:shd w:val="clear" w:color="auto" w:fill="0563C1"/>
          </w:tcPr>
          <w:p>
            <w:pPr>
              <w:spacing w:after="0" w:line="20" w:lineRule="exact"/>
              <w:rPr>
                <w:sz w:val="1"/>
                <w:szCs w:val="1"/>
                <w:color w:val="auto"/>
              </w:rPr>
            </w:pPr>
          </w:p>
        </w:tc>
        <w:tc>
          <w:tcPr>
            <w:tcW w:w="140" w:type="dxa"/>
            <w:vAlign w:val="bottom"/>
            <w:tcBorders>
              <w:bottom w:val="single" w:sz="8" w:color="0563C1"/>
            </w:tcBorders>
            <w:shd w:val="clear" w:color="auto" w:fill="0563C1"/>
          </w:tcPr>
          <w:p>
            <w:pPr>
              <w:spacing w:after="0" w:line="20" w:lineRule="exact"/>
              <w:rPr>
                <w:sz w:val="1"/>
                <w:szCs w:val="1"/>
                <w:color w:val="auto"/>
              </w:rPr>
            </w:pPr>
          </w:p>
        </w:tc>
        <w:tc>
          <w:tcPr>
            <w:tcW w:w="120" w:type="dxa"/>
            <w:vAlign w:val="bottom"/>
            <w:tcBorders>
              <w:bottom w:val="single" w:sz="8" w:color="0563C1"/>
            </w:tcBorders>
            <w:gridSpan w:val="2"/>
            <w:shd w:val="clear" w:color="auto" w:fill="0563C1"/>
          </w:tcPr>
          <w:p>
            <w:pPr>
              <w:spacing w:after="0" w:line="20" w:lineRule="exact"/>
              <w:rPr>
                <w:sz w:val="1"/>
                <w:szCs w:val="1"/>
                <w:color w:val="auto"/>
              </w:rPr>
            </w:pPr>
          </w:p>
        </w:tc>
        <w:tc>
          <w:tcPr>
            <w:tcW w:w="40" w:type="dxa"/>
            <w:vAlign w:val="bottom"/>
            <w:tcBorders>
              <w:bottom w:val="single" w:sz="8" w:color="0563C1"/>
            </w:tcBorders>
            <w:shd w:val="clear" w:color="auto" w:fill="0563C1"/>
          </w:tcPr>
          <w:p>
            <w:pPr>
              <w:spacing w:after="0" w:line="20" w:lineRule="exact"/>
              <w:rPr>
                <w:sz w:val="1"/>
                <w:szCs w:val="1"/>
                <w:color w:val="auto"/>
              </w:rPr>
            </w:pPr>
          </w:p>
        </w:tc>
        <w:tc>
          <w:tcPr>
            <w:tcW w:w="240" w:type="dxa"/>
            <w:vAlign w:val="bottom"/>
            <w:tcBorders>
              <w:bottom w:val="single" w:sz="8" w:color="0563C1"/>
              <w:right w:val="single" w:sz="8" w:color="0563C1"/>
            </w:tcBorders>
            <w:gridSpan w:val="2"/>
            <w:shd w:val="clear" w:color="auto" w:fill="0563C1"/>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40" w:type="dxa"/>
            <w:vAlign w:val="bottom"/>
            <w:gridSpan w:val="6"/>
            <w:vMerge w:val="continue"/>
          </w:tcPr>
          <w:p>
            <w:pPr>
              <w:spacing w:after="0" w:line="20" w:lineRule="exact"/>
              <w:rPr>
                <w:sz w:val="1"/>
                <w:szCs w:val="1"/>
                <w:color w:val="auto"/>
              </w:rPr>
            </w:pPr>
          </w:p>
        </w:tc>
        <w:tc>
          <w:tcPr>
            <w:tcW w:w="294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60" w:type="dxa"/>
            <w:vAlign w:val="bottom"/>
            <w:gridSpan w:val="2"/>
            <w:vMerge w:val="restart"/>
          </w:tcPr>
          <w:p>
            <w:pPr>
              <w:spacing w:after="0"/>
              <w:rPr>
                <w:sz w:val="20"/>
                <w:szCs w:val="20"/>
                <w:color w:val="auto"/>
              </w:rPr>
            </w:pPr>
            <w:r>
              <w:rPr>
                <w:rFonts w:ascii="Arial" w:cs="Arial" w:eastAsia="Arial" w:hAnsi="Arial"/>
                <w:sz w:val="22"/>
                <w:szCs w:val="22"/>
                <w:color w:val="0563C1"/>
                <w:w w:val="85"/>
              </w:rPr>
              <w:t>Section 39.</w:t>
            </w:r>
          </w:p>
        </w:tc>
        <w:tc>
          <w:tcPr>
            <w:tcW w:w="180" w:type="dxa"/>
            <w:vAlign w:val="bottom"/>
          </w:tcPr>
          <w:p>
            <w:pPr>
              <w:spacing w:after="0"/>
              <w:rPr>
                <w:sz w:val="22"/>
                <w:szCs w:val="22"/>
                <w:color w:val="auto"/>
              </w:rPr>
            </w:pPr>
          </w:p>
        </w:tc>
        <w:tc>
          <w:tcPr>
            <w:tcW w:w="2120" w:type="dxa"/>
            <w:vAlign w:val="bottom"/>
            <w:gridSpan w:val="19"/>
          </w:tcPr>
          <w:p>
            <w:pPr>
              <w:spacing w:after="0"/>
              <w:rPr>
                <w:sz w:val="20"/>
                <w:szCs w:val="20"/>
                <w:color w:val="auto"/>
              </w:rPr>
            </w:pPr>
            <w:r>
              <w:rPr>
                <w:rFonts w:ascii="Arial" w:cs="Arial" w:eastAsia="Arial" w:hAnsi="Arial"/>
                <w:sz w:val="22"/>
                <w:szCs w:val="22"/>
                <w:color w:val="0563C1"/>
                <w:w w:val="87"/>
              </w:rPr>
              <w:t>Registered Stockholders</w:t>
            </w:r>
          </w:p>
        </w:tc>
        <w:tc>
          <w:tcPr>
            <w:tcW w:w="60" w:type="dxa"/>
            <w:vAlign w:val="bottom"/>
            <w:vMerge w:val="restart"/>
          </w:tcPr>
          <w:p>
            <w:pPr>
              <w:spacing w:after="0"/>
              <w:rPr>
                <w:sz w:val="22"/>
                <w:szCs w:val="22"/>
                <w:color w:val="auto"/>
              </w:rPr>
            </w:pPr>
          </w:p>
        </w:tc>
        <w:tc>
          <w:tcPr>
            <w:tcW w:w="180" w:type="dxa"/>
            <w:vAlign w:val="bottom"/>
            <w:vMerge w:val="restart"/>
          </w:tcPr>
          <w:p>
            <w:pPr>
              <w:spacing w:after="0"/>
              <w:rPr>
                <w:sz w:val="22"/>
                <w:szCs w:val="22"/>
                <w:color w:val="auto"/>
              </w:rPr>
            </w:pPr>
          </w:p>
        </w:tc>
        <w:tc>
          <w:tcPr>
            <w:tcW w:w="200" w:type="dxa"/>
            <w:vAlign w:val="bottom"/>
            <w:vMerge w:val="restart"/>
          </w:tcPr>
          <w:p>
            <w:pPr>
              <w:spacing w:after="0"/>
              <w:rPr>
                <w:sz w:val="22"/>
                <w:szCs w:val="22"/>
                <w:color w:val="auto"/>
              </w:rPr>
            </w:pPr>
          </w:p>
        </w:tc>
        <w:tc>
          <w:tcPr>
            <w:tcW w:w="2040" w:type="dxa"/>
            <w:vAlign w:val="bottom"/>
            <w:gridSpan w:val="6"/>
            <w:vMerge w:val="restart"/>
          </w:tcPr>
          <w:p>
            <w:pPr>
              <w:spacing w:after="0"/>
              <w:rPr>
                <w:sz w:val="22"/>
                <w:szCs w:val="22"/>
                <w:color w:val="auto"/>
              </w:rPr>
            </w:pPr>
          </w:p>
        </w:tc>
        <w:tc>
          <w:tcPr>
            <w:tcW w:w="2940" w:type="dxa"/>
            <w:vAlign w:val="bottom"/>
            <w:gridSpan w:val="2"/>
            <w:vMerge w:val="restart"/>
          </w:tcPr>
          <w:p>
            <w:pPr>
              <w:spacing w:after="0"/>
              <w:rPr>
                <w:sz w:val="22"/>
                <w:szCs w:val="22"/>
                <w:color w:val="auto"/>
              </w:rPr>
            </w:pPr>
          </w:p>
        </w:tc>
        <w:tc>
          <w:tcPr>
            <w:tcW w:w="320" w:type="dxa"/>
            <w:vAlign w:val="bottom"/>
            <w:vMerge w:val="restart"/>
          </w:tcPr>
          <w:p>
            <w:pPr>
              <w:spacing w:after="0"/>
              <w:rPr>
                <w:sz w:val="22"/>
                <w:szCs w:val="22"/>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0"/>
        </w:trPr>
        <w:tc>
          <w:tcPr>
            <w:tcW w:w="960" w:type="dxa"/>
            <w:vAlign w:val="bottom"/>
            <w:tcBorders>
              <w:bottom w:val="single" w:sz="8" w:color="0563C1"/>
            </w:tcBorders>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0563C1"/>
            </w:tcBorders>
            <w:shd w:val="clear" w:color="auto" w:fill="0563C1"/>
          </w:tcPr>
          <w:p>
            <w:pPr>
              <w:spacing w:after="0" w:line="20" w:lineRule="exact"/>
              <w:rPr>
                <w:sz w:val="1"/>
                <w:szCs w:val="1"/>
                <w:color w:val="auto"/>
              </w:rPr>
            </w:pPr>
          </w:p>
        </w:tc>
        <w:tc>
          <w:tcPr>
            <w:tcW w:w="80" w:type="dxa"/>
            <w:vAlign w:val="bottom"/>
            <w:tcBorders>
              <w:bottom w:val="single" w:sz="8" w:color="0563C1"/>
            </w:tcBorders>
            <w:shd w:val="clear" w:color="auto" w:fill="0563C1"/>
          </w:tcPr>
          <w:p>
            <w:pPr>
              <w:spacing w:after="0" w:line="20" w:lineRule="exact"/>
              <w:rPr>
                <w:sz w:val="1"/>
                <w:szCs w:val="1"/>
                <w:color w:val="auto"/>
              </w:rPr>
            </w:pPr>
          </w:p>
        </w:tc>
        <w:tc>
          <w:tcPr>
            <w:tcW w:w="320" w:type="dxa"/>
            <w:vAlign w:val="bottom"/>
            <w:tcBorders>
              <w:bottom w:val="single" w:sz="8" w:color="0563C1"/>
            </w:tcBorders>
            <w:gridSpan w:val="3"/>
            <w:shd w:val="clear" w:color="auto" w:fill="0563C1"/>
          </w:tcPr>
          <w:p>
            <w:pPr>
              <w:spacing w:after="0" w:line="20" w:lineRule="exact"/>
              <w:rPr>
                <w:sz w:val="1"/>
                <w:szCs w:val="1"/>
                <w:color w:val="auto"/>
              </w:rPr>
            </w:pPr>
          </w:p>
        </w:tc>
        <w:tc>
          <w:tcPr>
            <w:tcW w:w="100" w:type="dxa"/>
            <w:vAlign w:val="bottom"/>
            <w:tcBorders>
              <w:bottom w:val="single" w:sz="8" w:color="0563C1"/>
            </w:tcBorders>
            <w:shd w:val="clear" w:color="auto" w:fill="0563C1"/>
          </w:tcPr>
          <w:p>
            <w:pPr>
              <w:spacing w:after="0" w:line="20" w:lineRule="exact"/>
              <w:rPr>
                <w:sz w:val="1"/>
                <w:szCs w:val="1"/>
                <w:color w:val="auto"/>
              </w:rPr>
            </w:pPr>
          </w:p>
        </w:tc>
        <w:tc>
          <w:tcPr>
            <w:tcW w:w="180" w:type="dxa"/>
            <w:vAlign w:val="bottom"/>
            <w:tcBorders>
              <w:bottom w:val="single" w:sz="8" w:color="0563C1"/>
            </w:tcBorders>
            <w:gridSpan w:val="2"/>
            <w:shd w:val="clear" w:color="auto" w:fill="0563C1"/>
          </w:tcPr>
          <w:p>
            <w:pPr>
              <w:spacing w:after="0" w:line="20" w:lineRule="exact"/>
              <w:rPr>
                <w:sz w:val="1"/>
                <w:szCs w:val="1"/>
                <w:color w:val="auto"/>
              </w:rPr>
            </w:pPr>
          </w:p>
        </w:tc>
        <w:tc>
          <w:tcPr>
            <w:tcW w:w="140" w:type="dxa"/>
            <w:vAlign w:val="bottom"/>
            <w:tcBorders>
              <w:bottom w:val="single" w:sz="8" w:color="0563C1"/>
            </w:tcBorders>
            <w:shd w:val="clear" w:color="auto" w:fill="0563C1"/>
          </w:tcPr>
          <w:p>
            <w:pPr>
              <w:spacing w:after="0" w:line="20" w:lineRule="exact"/>
              <w:rPr>
                <w:sz w:val="1"/>
                <w:szCs w:val="1"/>
                <w:color w:val="auto"/>
              </w:rPr>
            </w:pPr>
          </w:p>
        </w:tc>
        <w:tc>
          <w:tcPr>
            <w:tcW w:w="120" w:type="dxa"/>
            <w:vAlign w:val="bottom"/>
            <w:tcBorders>
              <w:bottom w:val="single" w:sz="8" w:color="0563C1"/>
            </w:tcBorders>
            <w:gridSpan w:val="2"/>
            <w:shd w:val="clear" w:color="auto" w:fill="0563C1"/>
          </w:tcPr>
          <w:p>
            <w:pPr>
              <w:spacing w:after="0" w:line="20" w:lineRule="exact"/>
              <w:rPr>
                <w:sz w:val="1"/>
                <w:szCs w:val="1"/>
                <w:color w:val="auto"/>
              </w:rPr>
            </w:pPr>
          </w:p>
        </w:tc>
        <w:tc>
          <w:tcPr>
            <w:tcW w:w="40" w:type="dxa"/>
            <w:vAlign w:val="bottom"/>
            <w:tcBorders>
              <w:bottom w:val="single" w:sz="8" w:color="0563C1"/>
            </w:tcBorders>
            <w:shd w:val="clear" w:color="auto" w:fill="0563C1"/>
          </w:tcPr>
          <w:p>
            <w:pPr>
              <w:spacing w:after="0" w:line="20" w:lineRule="exact"/>
              <w:rPr>
                <w:sz w:val="1"/>
                <w:szCs w:val="1"/>
                <w:color w:val="auto"/>
              </w:rPr>
            </w:pPr>
          </w:p>
        </w:tc>
        <w:tc>
          <w:tcPr>
            <w:tcW w:w="240" w:type="dxa"/>
            <w:vAlign w:val="bottom"/>
            <w:tcBorders>
              <w:bottom w:val="single" w:sz="8" w:color="0563C1"/>
              <w:right w:val="single" w:sz="8" w:color="0563C1"/>
            </w:tcBorders>
            <w:gridSpan w:val="2"/>
            <w:shd w:val="clear" w:color="auto" w:fill="0563C1"/>
          </w:tcPr>
          <w:p>
            <w:pPr>
              <w:spacing w:after="0" w:line="20" w:lineRule="exact"/>
              <w:rPr>
                <w:sz w:val="1"/>
                <w:szCs w:val="1"/>
                <w:color w:val="auto"/>
              </w:rPr>
            </w:pPr>
          </w:p>
        </w:tc>
        <w:tc>
          <w:tcPr>
            <w:tcW w:w="180" w:type="dxa"/>
            <w:vAlign w:val="bottom"/>
            <w:tcBorders>
              <w:bottom w:val="single" w:sz="8" w:color="0563C1"/>
            </w:tcBorders>
            <w:shd w:val="clear" w:color="auto" w:fill="0563C1"/>
          </w:tcPr>
          <w:p>
            <w:pPr>
              <w:spacing w:after="0" w:line="20" w:lineRule="exact"/>
              <w:rPr>
                <w:sz w:val="1"/>
                <w:szCs w:val="1"/>
                <w:color w:val="auto"/>
              </w:rPr>
            </w:pPr>
          </w:p>
        </w:tc>
        <w:tc>
          <w:tcPr>
            <w:tcW w:w="40" w:type="dxa"/>
            <w:vAlign w:val="bottom"/>
            <w:tcBorders>
              <w:bottom w:val="single" w:sz="8" w:color="0563C1"/>
            </w:tcBorders>
            <w:shd w:val="clear" w:color="auto" w:fill="0563C1"/>
          </w:tcPr>
          <w:p>
            <w:pPr>
              <w:spacing w:after="0" w:line="20" w:lineRule="exact"/>
              <w:rPr>
                <w:sz w:val="1"/>
                <w:szCs w:val="1"/>
                <w:color w:val="auto"/>
              </w:rPr>
            </w:pPr>
          </w:p>
        </w:tc>
        <w:tc>
          <w:tcPr>
            <w:tcW w:w="100" w:type="dxa"/>
            <w:vAlign w:val="bottom"/>
            <w:tcBorders>
              <w:bottom w:val="single" w:sz="8" w:color="0563C1"/>
            </w:tcBorders>
            <w:gridSpan w:val="3"/>
            <w:shd w:val="clear" w:color="auto" w:fill="0563C1"/>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40" w:type="dxa"/>
            <w:vAlign w:val="bottom"/>
            <w:gridSpan w:val="6"/>
            <w:vMerge w:val="continue"/>
          </w:tcPr>
          <w:p>
            <w:pPr>
              <w:spacing w:after="0" w:line="20" w:lineRule="exact"/>
              <w:rPr>
                <w:sz w:val="1"/>
                <w:szCs w:val="1"/>
                <w:color w:val="auto"/>
              </w:rPr>
            </w:pPr>
          </w:p>
        </w:tc>
        <w:tc>
          <w:tcPr>
            <w:tcW w:w="294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9000" w:type="dxa"/>
            <w:vAlign w:val="bottom"/>
            <w:gridSpan w:val="34"/>
          </w:tcPr>
          <w:p>
            <w:pPr>
              <w:spacing w:after="0"/>
              <w:rPr>
                <w:sz w:val="20"/>
                <w:szCs w:val="20"/>
                <w:color w:val="auto"/>
              </w:rPr>
            </w:pPr>
            <w:r>
              <w:rPr>
                <w:rFonts w:ascii="Arial" w:cs="Arial" w:eastAsia="Arial" w:hAnsi="Arial"/>
                <w:sz w:val="22"/>
                <w:szCs w:val="22"/>
                <w:color w:val="0563C1"/>
              </w:rPr>
              <w:t>ARTICLE VIII OTHER SECURITIES OF THE CORPORATION</w:t>
            </w:r>
          </w:p>
        </w:tc>
        <w:tc>
          <w:tcPr>
            <w:tcW w:w="54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50"/>
        </w:trPr>
        <w:tc>
          <w:tcPr>
            <w:tcW w:w="960" w:type="dxa"/>
            <w:vAlign w:val="bottom"/>
            <w:tcBorders>
              <w:top w:val="single" w:sz="8" w:color="0563C1"/>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5"/>
              </w:rPr>
              <w:t>Section 40.</w:t>
            </w:r>
          </w:p>
        </w:tc>
        <w:tc>
          <w:tcPr>
            <w:tcW w:w="180" w:type="dxa"/>
            <w:vAlign w:val="bottom"/>
            <w:tcBorders>
              <w:top w:val="single" w:sz="8" w:color="0563C1"/>
              <w:bottom w:val="single" w:sz="8" w:color="0563C1"/>
            </w:tcBorders>
          </w:tcPr>
          <w:p>
            <w:pPr>
              <w:spacing w:after="0"/>
              <w:rPr>
                <w:sz w:val="21"/>
                <w:szCs w:val="21"/>
                <w:color w:val="auto"/>
              </w:rPr>
            </w:pPr>
          </w:p>
        </w:tc>
        <w:tc>
          <w:tcPr>
            <w:tcW w:w="2560" w:type="dxa"/>
            <w:vAlign w:val="bottom"/>
            <w:tcBorders>
              <w:top w:val="single" w:sz="8" w:color="0563C1"/>
              <w:bottom w:val="single" w:sz="8" w:color="0563C1"/>
            </w:tcBorders>
            <w:gridSpan w:val="22"/>
          </w:tcPr>
          <w:p>
            <w:pPr>
              <w:spacing w:after="0" w:line="237" w:lineRule="exact"/>
              <w:rPr>
                <w:sz w:val="20"/>
                <w:szCs w:val="20"/>
                <w:color w:val="auto"/>
              </w:rPr>
            </w:pPr>
            <w:r>
              <w:rPr>
                <w:rFonts w:ascii="Arial" w:cs="Arial" w:eastAsia="Arial" w:hAnsi="Arial"/>
                <w:sz w:val="22"/>
                <w:szCs w:val="22"/>
                <w:color w:val="0563C1"/>
                <w:w w:val="89"/>
              </w:rPr>
              <w:t>Execution of Other Securities</w:t>
            </w:r>
          </w:p>
        </w:tc>
        <w:tc>
          <w:tcPr>
            <w:tcW w:w="2040" w:type="dxa"/>
            <w:vAlign w:val="bottom"/>
            <w:tcBorders>
              <w:top w:val="single" w:sz="8" w:color="0563C1"/>
              <w:bottom w:val="single" w:sz="8" w:color="0563C1"/>
            </w:tcBorders>
            <w:gridSpan w:val="6"/>
          </w:tcPr>
          <w:p>
            <w:pPr>
              <w:spacing w:after="0"/>
              <w:rPr>
                <w:sz w:val="21"/>
                <w:szCs w:val="21"/>
                <w:color w:val="auto"/>
              </w:rPr>
            </w:pPr>
          </w:p>
        </w:tc>
        <w:tc>
          <w:tcPr>
            <w:tcW w:w="29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line="250"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534"/>
        </w:trPr>
        <w:tc>
          <w:tcPr>
            <w:tcW w:w="9000" w:type="dxa"/>
            <w:vAlign w:val="bottom"/>
            <w:gridSpan w:val="34"/>
          </w:tcPr>
          <w:p>
            <w:pPr>
              <w:spacing w:after="0"/>
              <w:rPr>
                <w:sz w:val="20"/>
                <w:szCs w:val="20"/>
                <w:color w:val="auto"/>
              </w:rPr>
            </w:pPr>
            <w:r>
              <w:rPr>
                <w:rFonts w:ascii="Arial" w:cs="Arial" w:eastAsia="Arial" w:hAnsi="Arial"/>
                <w:sz w:val="22"/>
                <w:szCs w:val="22"/>
                <w:color w:val="0563C1"/>
              </w:rPr>
              <w:t>ARTICLE IX DIVIDENDS</w:t>
            </w:r>
          </w:p>
        </w:tc>
        <w:tc>
          <w:tcPr>
            <w:tcW w:w="5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0"/>
        </w:trPr>
        <w:tc>
          <w:tcPr>
            <w:tcW w:w="6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76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5"/>
              </w:rPr>
              <w:t>Section 41.</w:t>
            </w:r>
          </w:p>
        </w:tc>
        <w:tc>
          <w:tcPr>
            <w:tcW w:w="180" w:type="dxa"/>
            <w:vAlign w:val="bottom"/>
          </w:tcPr>
          <w:p>
            <w:pPr>
              <w:spacing w:after="0"/>
              <w:rPr>
                <w:sz w:val="21"/>
                <w:szCs w:val="21"/>
                <w:color w:val="auto"/>
              </w:rPr>
            </w:pPr>
          </w:p>
        </w:tc>
        <w:tc>
          <w:tcPr>
            <w:tcW w:w="2180" w:type="dxa"/>
            <w:vAlign w:val="bottom"/>
            <w:tcBorders>
              <w:bottom w:val="single" w:sz="8" w:color="0563C1"/>
            </w:tcBorders>
            <w:gridSpan w:val="20"/>
          </w:tcPr>
          <w:p>
            <w:pPr>
              <w:spacing w:after="0" w:line="237" w:lineRule="exact"/>
              <w:rPr>
                <w:sz w:val="20"/>
                <w:szCs w:val="20"/>
                <w:color w:val="auto"/>
              </w:rPr>
            </w:pPr>
            <w:r>
              <w:rPr>
                <w:rFonts w:ascii="Arial" w:cs="Arial" w:eastAsia="Arial" w:hAnsi="Arial"/>
                <w:sz w:val="22"/>
                <w:szCs w:val="22"/>
                <w:color w:val="0563C1"/>
                <w:w w:val="90"/>
              </w:rPr>
              <w:t>Declaration of Dividends</w:t>
            </w:r>
          </w:p>
        </w:tc>
        <w:tc>
          <w:tcPr>
            <w:tcW w:w="180" w:type="dxa"/>
            <w:vAlign w:val="bottom"/>
          </w:tcPr>
          <w:p>
            <w:pPr>
              <w:spacing w:after="0"/>
              <w:rPr>
                <w:sz w:val="21"/>
                <w:szCs w:val="21"/>
                <w:color w:val="auto"/>
              </w:rPr>
            </w:pPr>
          </w:p>
        </w:tc>
        <w:tc>
          <w:tcPr>
            <w:tcW w:w="5180" w:type="dxa"/>
            <w:vAlign w:val="bottom"/>
            <w:gridSpan w:val="9"/>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line="250"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77"/>
        </w:trPr>
        <w:tc>
          <w:tcPr>
            <w:tcW w:w="96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85"/>
              </w:rPr>
              <w:t>Section 42.</w:t>
            </w:r>
          </w:p>
        </w:tc>
        <w:tc>
          <w:tcPr>
            <w:tcW w:w="180" w:type="dxa"/>
            <w:vAlign w:val="bottom"/>
          </w:tcPr>
          <w:p>
            <w:pPr>
              <w:spacing w:after="0"/>
              <w:rPr>
                <w:sz w:val="24"/>
                <w:szCs w:val="24"/>
                <w:color w:val="auto"/>
              </w:rPr>
            </w:pPr>
          </w:p>
        </w:tc>
        <w:tc>
          <w:tcPr>
            <w:tcW w:w="1560" w:type="dxa"/>
            <w:vAlign w:val="bottom"/>
            <w:tcBorders>
              <w:bottom w:val="single" w:sz="8" w:color="0563C1"/>
            </w:tcBorders>
            <w:gridSpan w:val="12"/>
          </w:tcPr>
          <w:p>
            <w:pPr>
              <w:spacing w:after="0"/>
              <w:rPr>
                <w:sz w:val="20"/>
                <w:szCs w:val="20"/>
                <w:color w:val="auto"/>
              </w:rPr>
            </w:pPr>
            <w:r>
              <w:rPr>
                <w:rFonts w:ascii="Arial" w:cs="Arial" w:eastAsia="Arial" w:hAnsi="Arial"/>
                <w:sz w:val="22"/>
                <w:szCs w:val="22"/>
                <w:color w:val="0563C1"/>
                <w:w w:val="88"/>
              </w:rPr>
              <w:t>Dividend Reserve</w:t>
            </w:r>
          </w:p>
        </w:tc>
        <w:tc>
          <w:tcPr>
            <w:tcW w:w="2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5"/>
          </w:tcPr>
          <w:p>
            <w:pPr>
              <w:spacing w:after="0"/>
              <w:rPr>
                <w:sz w:val="24"/>
                <w:szCs w:val="24"/>
                <w:color w:val="auto"/>
              </w:rPr>
            </w:pPr>
          </w:p>
        </w:tc>
        <w:tc>
          <w:tcPr>
            <w:tcW w:w="518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534"/>
        </w:trPr>
        <w:tc>
          <w:tcPr>
            <w:tcW w:w="9000" w:type="dxa"/>
            <w:vAlign w:val="bottom"/>
            <w:gridSpan w:val="34"/>
          </w:tcPr>
          <w:p>
            <w:pPr>
              <w:spacing w:after="0"/>
              <w:rPr>
                <w:sz w:val="20"/>
                <w:szCs w:val="20"/>
                <w:color w:val="auto"/>
              </w:rPr>
            </w:pPr>
            <w:r>
              <w:rPr>
                <w:rFonts w:ascii="Arial" w:cs="Arial" w:eastAsia="Arial" w:hAnsi="Arial"/>
                <w:sz w:val="22"/>
                <w:szCs w:val="22"/>
                <w:color w:val="0563C1"/>
              </w:rPr>
              <w:t>ARTICLE X FISCAL YEAR</w:t>
            </w:r>
          </w:p>
        </w:tc>
        <w:tc>
          <w:tcPr>
            <w:tcW w:w="5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50"/>
        </w:trPr>
        <w:tc>
          <w:tcPr>
            <w:tcW w:w="960" w:type="dxa"/>
            <w:vAlign w:val="bottom"/>
            <w:tcBorders>
              <w:top w:val="single" w:sz="8" w:color="0563C1"/>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5"/>
              </w:rPr>
              <w:t>Section 43.</w:t>
            </w:r>
          </w:p>
        </w:tc>
        <w:tc>
          <w:tcPr>
            <w:tcW w:w="180" w:type="dxa"/>
            <w:vAlign w:val="bottom"/>
            <w:tcBorders>
              <w:top w:val="single" w:sz="8" w:color="0563C1"/>
            </w:tcBorders>
          </w:tcPr>
          <w:p>
            <w:pPr>
              <w:spacing w:after="0"/>
              <w:rPr>
                <w:sz w:val="21"/>
                <w:szCs w:val="21"/>
                <w:color w:val="auto"/>
              </w:rPr>
            </w:pPr>
          </w:p>
        </w:tc>
        <w:tc>
          <w:tcPr>
            <w:tcW w:w="980" w:type="dxa"/>
            <w:vAlign w:val="bottom"/>
            <w:tcBorders>
              <w:top w:val="single" w:sz="8" w:color="0563C1"/>
              <w:bottom w:val="single" w:sz="8" w:color="0563C1"/>
            </w:tcBorders>
            <w:gridSpan w:val="5"/>
          </w:tcPr>
          <w:p>
            <w:pPr>
              <w:spacing w:after="0" w:line="237" w:lineRule="exact"/>
              <w:rPr>
                <w:sz w:val="20"/>
                <w:szCs w:val="20"/>
                <w:color w:val="auto"/>
              </w:rPr>
            </w:pPr>
            <w:r>
              <w:rPr>
                <w:rFonts w:ascii="Arial" w:cs="Arial" w:eastAsia="Arial" w:hAnsi="Arial"/>
                <w:sz w:val="22"/>
                <w:szCs w:val="22"/>
                <w:color w:val="0563C1"/>
                <w:w w:val="87"/>
              </w:rPr>
              <w:t>Fiscal Year</w:t>
            </w:r>
          </w:p>
        </w:tc>
        <w:tc>
          <w:tcPr>
            <w:tcW w:w="100" w:type="dxa"/>
            <w:vAlign w:val="bottom"/>
            <w:tcBorders>
              <w:top w:val="single" w:sz="8" w:color="0563C1"/>
              <w:bottom w:val="single" w:sz="8" w:color="0563C1"/>
            </w:tcBorders>
          </w:tcPr>
          <w:p>
            <w:pPr>
              <w:spacing w:after="0"/>
              <w:rPr>
                <w:sz w:val="21"/>
                <w:szCs w:val="21"/>
                <w:color w:val="auto"/>
              </w:rPr>
            </w:pPr>
          </w:p>
        </w:tc>
        <w:tc>
          <w:tcPr>
            <w:tcW w:w="320" w:type="dxa"/>
            <w:vAlign w:val="bottom"/>
            <w:tcBorders>
              <w:top w:val="single" w:sz="8" w:color="0563C1"/>
              <w:bottom w:val="single" w:sz="8" w:color="0563C1"/>
            </w:tcBorders>
            <w:gridSpan w:val="3"/>
          </w:tcPr>
          <w:p>
            <w:pPr>
              <w:spacing w:after="0"/>
              <w:rPr>
                <w:sz w:val="21"/>
                <w:szCs w:val="21"/>
                <w:color w:val="auto"/>
              </w:rPr>
            </w:pPr>
          </w:p>
        </w:tc>
        <w:tc>
          <w:tcPr>
            <w:tcW w:w="120" w:type="dxa"/>
            <w:vAlign w:val="bottom"/>
            <w:gridSpan w:val="2"/>
          </w:tcPr>
          <w:p>
            <w:pPr>
              <w:spacing w:after="0"/>
              <w:rPr>
                <w:sz w:val="21"/>
                <w:szCs w:val="21"/>
                <w:color w:val="auto"/>
              </w:rPr>
            </w:pPr>
          </w:p>
        </w:tc>
        <w:tc>
          <w:tcPr>
            <w:tcW w:w="280" w:type="dxa"/>
            <w:vAlign w:val="bottom"/>
            <w:gridSpan w:val="3"/>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5"/>
          </w:tcPr>
          <w:p>
            <w:pPr>
              <w:spacing w:after="0"/>
              <w:rPr>
                <w:sz w:val="21"/>
                <w:szCs w:val="21"/>
                <w:color w:val="auto"/>
              </w:rPr>
            </w:pPr>
          </w:p>
        </w:tc>
        <w:tc>
          <w:tcPr>
            <w:tcW w:w="5180" w:type="dxa"/>
            <w:vAlign w:val="bottom"/>
            <w:gridSpan w:val="9"/>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line="250"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533"/>
        </w:trPr>
        <w:tc>
          <w:tcPr>
            <w:tcW w:w="3160" w:type="dxa"/>
            <w:vAlign w:val="bottom"/>
            <w:tcBorders>
              <w:bottom w:val="single" w:sz="8" w:color="0563C1"/>
            </w:tcBorders>
            <w:gridSpan w:val="19"/>
          </w:tcPr>
          <w:p>
            <w:pPr>
              <w:spacing w:after="0"/>
              <w:rPr>
                <w:sz w:val="20"/>
                <w:szCs w:val="20"/>
                <w:color w:val="auto"/>
              </w:rPr>
            </w:pPr>
            <w:r>
              <w:rPr>
                <w:rFonts w:ascii="Arial" w:cs="Arial" w:eastAsia="Arial" w:hAnsi="Arial"/>
                <w:sz w:val="22"/>
                <w:szCs w:val="22"/>
                <w:color w:val="0563C1"/>
                <w:w w:val="97"/>
              </w:rPr>
              <w:t>ARTICLE XI INDEMNIFICATION</w:t>
            </w:r>
          </w:p>
        </w:tc>
        <w:tc>
          <w:tcPr>
            <w:tcW w:w="5840" w:type="dxa"/>
            <w:vAlign w:val="bottom"/>
            <w:gridSpan w:val="1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50"/>
        </w:trPr>
        <w:tc>
          <w:tcPr>
            <w:tcW w:w="9000" w:type="dxa"/>
            <w:vAlign w:val="bottom"/>
            <w:gridSpan w:val="34"/>
          </w:tcPr>
          <w:p>
            <w:pPr>
              <w:spacing w:after="0" w:line="250" w:lineRule="exact"/>
              <w:rPr>
                <w:sz w:val="20"/>
                <w:szCs w:val="20"/>
                <w:color w:val="auto"/>
              </w:rPr>
            </w:pPr>
            <w:r>
              <w:rPr>
                <w:rFonts w:ascii="Arial" w:cs="Arial" w:eastAsia="Arial" w:hAnsi="Arial"/>
                <w:sz w:val="22"/>
                <w:szCs w:val="22"/>
                <w:color w:val="0563C1"/>
                <w:w w:val="94"/>
              </w:rPr>
              <w:t>Section 44.  Indemnification of Directors, Executive Officers, Other Officers, Employees and Other</w:t>
            </w: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23"/>
        </w:trPr>
        <w:tc>
          <w:tcPr>
            <w:tcW w:w="960" w:type="dxa"/>
            <w:vAlign w:val="bottom"/>
            <w:tcBorders>
              <w:top w:val="single" w:sz="8" w:color="0563C1"/>
            </w:tcBorders>
            <w:gridSpan w:val="2"/>
          </w:tcPr>
          <w:p>
            <w:pPr>
              <w:spacing w:after="0" w:line="223" w:lineRule="exact"/>
              <w:rPr>
                <w:sz w:val="20"/>
                <w:szCs w:val="20"/>
                <w:color w:val="auto"/>
              </w:rPr>
            </w:pPr>
            <w:r>
              <w:rPr>
                <w:rFonts w:ascii="Arial" w:cs="Arial" w:eastAsia="Arial" w:hAnsi="Arial"/>
                <w:sz w:val="22"/>
                <w:szCs w:val="22"/>
                <w:color w:val="0563C1"/>
              </w:rPr>
              <w:t>Agents</w:t>
            </w:r>
          </w:p>
        </w:tc>
        <w:tc>
          <w:tcPr>
            <w:tcW w:w="180" w:type="dxa"/>
            <w:vAlign w:val="bottom"/>
          </w:tcPr>
          <w:p>
            <w:pPr>
              <w:spacing w:after="0"/>
              <w:rPr>
                <w:sz w:val="19"/>
                <w:szCs w:val="19"/>
                <w:color w:val="auto"/>
              </w:rPr>
            </w:pPr>
          </w:p>
        </w:tc>
        <w:tc>
          <w:tcPr>
            <w:tcW w:w="5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1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20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740" w:type="dxa"/>
            <w:vAlign w:val="bottom"/>
            <w:tcBorders>
              <w:top w:val="single" w:sz="8" w:color="0563C1"/>
            </w:tcBorders>
          </w:tcPr>
          <w:p>
            <w:pPr>
              <w:spacing w:after="0"/>
              <w:rPr>
                <w:sz w:val="19"/>
                <w:szCs w:val="19"/>
                <w:color w:val="auto"/>
              </w:rPr>
            </w:pPr>
          </w:p>
        </w:tc>
        <w:tc>
          <w:tcPr>
            <w:tcW w:w="520" w:type="dxa"/>
            <w:vAlign w:val="bottom"/>
            <w:tcBorders>
              <w:top w:val="single" w:sz="8" w:color="0563C1"/>
            </w:tcBorders>
          </w:tcPr>
          <w:p>
            <w:pPr>
              <w:spacing w:after="0"/>
              <w:rPr>
                <w:sz w:val="19"/>
                <w:szCs w:val="19"/>
                <w:color w:val="auto"/>
              </w:rPr>
            </w:pPr>
          </w:p>
        </w:tc>
        <w:tc>
          <w:tcPr>
            <w:tcW w:w="1680" w:type="dxa"/>
            <w:vAlign w:val="bottom"/>
            <w:tcBorders>
              <w:top w:val="single" w:sz="8" w:color="0563C1"/>
            </w:tcBorders>
          </w:tcPr>
          <w:p>
            <w:pPr>
              <w:spacing w:after="0"/>
              <w:rPr>
                <w:sz w:val="19"/>
                <w:szCs w:val="19"/>
                <w:color w:val="auto"/>
              </w:rPr>
            </w:pPr>
          </w:p>
        </w:tc>
        <w:tc>
          <w:tcPr>
            <w:tcW w:w="1260" w:type="dxa"/>
            <w:vAlign w:val="bottom"/>
            <w:tcBorders>
              <w:top w:val="single" w:sz="8" w:color="0563C1"/>
            </w:tcBorders>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563C1"/>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220" w:type="dxa"/>
            <w:vAlign w:val="bottom"/>
            <w:tcBorders>
              <w:bottom w:val="single" w:sz="8" w:color="0563C1"/>
            </w:tcBorders>
            <w:gridSpan w:val="9"/>
          </w:tcPr>
          <w:p>
            <w:pPr>
              <w:spacing w:after="0"/>
              <w:rPr>
                <w:sz w:val="20"/>
                <w:szCs w:val="20"/>
                <w:color w:val="auto"/>
              </w:rPr>
            </w:pPr>
            <w:r>
              <w:rPr>
                <w:rFonts w:ascii="Arial" w:cs="Arial" w:eastAsia="Arial" w:hAnsi="Arial"/>
                <w:sz w:val="22"/>
                <w:szCs w:val="22"/>
                <w:color w:val="0563C1"/>
                <w:w w:val="95"/>
              </w:rPr>
              <w:t>ARTICLE XII NOTICES</w:t>
            </w:r>
          </w:p>
        </w:tc>
        <w:tc>
          <w:tcPr>
            <w:tcW w:w="6780" w:type="dxa"/>
            <w:vAlign w:val="bottom"/>
            <w:gridSpan w:val="2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50"/>
        </w:trPr>
        <w:tc>
          <w:tcPr>
            <w:tcW w:w="960" w:type="dxa"/>
            <w:vAlign w:val="bottom"/>
            <w:tcBorders>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5"/>
              </w:rPr>
              <w:t>Section 45.</w:t>
            </w:r>
          </w:p>
        </w:tc>
        <w:tc>
          <w:tcPr>
            <w:tcW w:w="180" w:type="dxa"/>
            <w:vAlign w:val="bottom"/>
          </w:tcPr>
          <w:p>
            <w:pPr>
              <w:spacing w:after="0"/>
              <w:rPr>
                <w:sz w:val="21"/>
                <w:szCs w:val="21"/>
                <w:color w:val="auto"/>
              </w:rPr>
            </w:pPr>
          </w:p>
        </w:tc>
        <w:tc>
          <w:tcPr>
            <w:tcW w:w="660" w:type="dxa"/>
            <w:vAlign w:val="bottom"/>
            <w:tcBorders>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7"/>
              </w:rPr>
              <w:t>Notices</w:t>
            </w:r>
          </w:p>
        </w:tc>
        <w:tc>
          <w:tcPr>
            <w:tcW w:w="860" w:type="dxa"/>
            <w:vAlign w:val="bottom"/>
            <w:gridSpan w:val="9"/>
          </w:tcPr>
          <w:p>
            <w:pPr>
              <w:spacing w:after="0"/>
              <w:rPr>
                <w:sz w:val="21"/>
                <w:szCs w:val="21"/>
                <w:color w:val="auto"/>
              </w:rPr>
            </w:pPr>
          </w:p>
        </w:tc>
        <w:tc>
          <w:tcPr>
            <w:tcW w:w="280" w:type="dxa"/>
            <w:vAlign w:val="bottom"/>
            <w:gridSpan w:val="3"/>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gridSpan w:val="6"/>
          </w:tcPr>
          <w:p>
            <w:pPr>
              <w:spacing w:after="0"/>
              <w:rPr>
                <w:sz w:val="21"/>
                <w:szCs w:val="21"/>
                <w:color w:val="auto"/>
              </w:rPr>
            </w:pPr>
          </w:p>
        </w:tc>
        <w:tc>
          <w:tcPr>
            <w:tcW w:w="5500" w:type="dxa"/>
            <w:vAlign w:val="bottom"/>
            <w:gridSpan w:val="10"/>
          </w:tcPr>
          <w:p>
            <w:pPr>
              <w:spacing w:after="0"/>
              <w:rPr>
                <w:sz w:val="21"/>
                <w:szCs w:val="21"/>
                <w:color w:val="auto"/>
              </w:rPr>
            </w:pPr>
          </w:p>
        </w:tc>
        <w:tc>
          <w:tcPr>
            <w:tcW w:w="540" w:type="dxa"/>
            <w:vAlign w:val="bottom"/>
          </w:tcPr>
          <w:p>
            <w:pPr>
              <w:jc w:val="right"/>
              <w:spacing w:after="0" w:line="250"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534"/>
        </w:trPr>
        <w:tc>
          <w:tcPr>
            <w:tcW w:w="9000" w:type="dxa"/>
            <w:vAlign w:val="bottom"/>
            <w:gridSpan w:val="34"/>
          </w:tcPr>
          <w:p>
            <w:pPr>
              <w:spacing w:after="0"/>
              <w:rPr>
                <w:sz w:val="20"/>
                <w:szCs w:val="20"/>
                <w:color w:val="auto"/>
              </w:rPr>
            </w:pPr>
            <w:r>
              <w:rPr>
                <w:rFonts w:ascii="Arial" w:cs="Arial" w:eastAsia="Arial" w:hAnsi="Arial"/>
                <w:sz w:val="22"/>
                <w:szCs w:val="22"/>
                <w:color w:val="0563C1"/>
              </w:rPr>
              <w:t>ARTICLE XIII AMENDMENTS</w:t>
            </w:r>
          </w:p>
        </w:tc>
        <w:tc>
          <w:tcPr>
            <w:tcW w:w="54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50"/>
        </w:trPr>
        <w:tc>
          <w:tcPr>
            <w:tcW w:w="960" w:type="dxa"/>
            <w:vAlign w:val="bottom"/>
            <w:tcBorders>
              <w:top w:val="single" w:sz="8" w:color="0563C1"/>
              <w:bottom w:val="single" w:sz="8" w:color="0563C1"/>
            </w:tcBorders>
            <w:gridSpan w:val="2"/>
          </w:tcPr>
          <w:p>
            <w:pPr>
              <w:spacing w:after="0" w:line="250" w:lineRule="exact"/>
              <w:rPr>
                <w:sz w:val="20"/>
                <w:szCs w:val="20"/>
                <w:color w:val="auto"/>
              </w:rPr>
            </w:pPr>
            <w:r>
              <w:rPr>
                <w:rFonts w:ascii="Arial" w:cs="Arial" w:eastAsia="Arial" w:hAnsi="Arial"/>
                <w:sz w:val="22"/>
                <w:szCs w:val="22"/>
                <w:color w:val="0563C1"/>
                <w:w w:val="85"/>
              </w:rPr>
              <w:t>Section 46.</w:t>
            </w:r>
          </w:p>
        </w:tc>
        <w:tc>
          <w:tcPr>
            <w:tcW w:w="180" w:type="dxa"/>
            <w:vAlign w:val="bottom"/>
            <w:tcBorders>
              <w:top w:val="single" w:sz="8" w:color="0563C1"/>
            </w:tcBorders>
          </w:tcPr>
          <w:p>
            <w:pPr>
              <w:spacing w:after="0"/>
              <w:rPr>
                <w:sz w:val="21"/>
                <w:szCs w:val="21"/>
                <w:color w:val="auto"/>
              </w:rPr>
            </w:pPr>
          </w:p>
        </w:tc>
        <w:tc>
          <w:tcPr>
            <w:tcW w:w="5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9000" w:type="dxa"/>
            <w:vAlign w:val="bottom"/>
            <w:gridSpan w:val="34"/>
          </w:tcPr>
          <w:p>
            <w:pPr>
              <w:spacing w:after="0"/>
              <w:rPr>
                <w:sz w:val="20"/>
                <w:szCs w:val="20"/>
                <w:color w:val="auto"/>
              </w:rPr>
            </w:pPr>
            <w:r>
              <w:rPr>
                <w:rFonts w:ascii="Arial" w:cs="Arial" w:eastAsia="Arial" w:hAnsi="Arial"/>
                <w:sz w:val="22"/>
                <w:szCs w:val="22"/>
                <w:color w:val="0563C1"/>
              </w:rPr>
              <w:t>ARTICLE XIV LOANS TO OFFICERS</w:t>
            </w:r>
          </w:p>
        </w:tc>
        <w:tc>
          <w:tcPr>
            <w:tcW w:w="54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50"/>
        </w:trPr>
        <w:tc>
          <w:tcPr>
            <w:tcW w:w="960" w:type="dxa"/>
            <w:vAlign w:val="bottom"/>
            <w:tcBorders>
              <w:top w:val="single" w:sz="8" w:color="0563C1"/>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5"/>
              </w:rPr>
              <w:t>Section 47.</w:t>
            </w:r>
          </w:p>
        </w:tc>
        <w:tc>
          <w:tcPr>
            <w:tcW w:w="180" w:type="dxa"/>
            <w:vAlign w:val="bottom"/>
            <w:tcBorders>
              <w:top w:val="single" w:sz="8" w:color="0563C1"/>
              <w:bottom w:val="single" w:sz="8" w:color="0563C1"/>
            </w:tcBorders>
          </w:tcPr>
          <w:p>
            <w:pPr>
              <w:spacing w:after="0"/>
              <w:rPr>
                <w:sz w:val="21"/>
                <w:szCs w:val="21"/>
                <w:color w:val="auto"/>
              </w:rPr>
            </w:pPr>
          </w:p>
        </w:tc>
        <w:tc>
          <w:tcPr>
            <w:tcW w:w="1520" w:type="dxa"/>
            <w:vAlign w:val="bottom"/>
            <w:tcBorders>
              <w:top w:val="single" w:sz="8" w:color="0563C1"/>
              <w:bottom w:val="single" w:sz="8" w:color="0563C1"/>
            </w:tcBorders>
            <w:gridSpan w:val="11"/>
          </w:tcPr>
          <w:p>
            <w:pPr>
              <w:spacing w:after="0" w:line="237" w:lineRule="exact"/>
              <w:rPr>
                <w:sz w:val="20"/>
                <w:szCs w:val="20"/>
                <w:color w:val="auto"/>
              </w:rPr>
            </w:pPr>
            <w:r>
              <w:rPr>
                <w:rFonts w:ascii="Arial" w:cs="Arial" w:eastAsia="Arial" w:hAnsi="Arial"/>
                <w:sz w:val="22"/>
                <w:szCs w:val="22"/>
                <w:color w:val="0563C1"/>
                <w:w w:val="90"/>
              </w:rPr>
              <w:t>Loans to Officers</w:t>
            </w:r>
          </w:p>
        </w:tc>
        <w:tc>
          <w:tcPr>
            <w:tcW w:w="460" w:type="dxa"/>
            <w:vAlign w:val="bottom"/>
            <w:tcBorders>
              <w:top w:val="single" w:sz="8" w:color="0563C1"/>
              <w:bottom w:val="single" w:sz="8" w:color="0563C1"/>
            </w:tcBorders>
            <w:gridSpan w:val="4"/>
          </w:tcPr>
          <w:p>
            <w:pPr>
              <w:spacing w:after="0"/>
              <w:rPr>
                <w:sz w:val="21"/>
                <w:szCs w:val="21"/>
                <w:color w:val="auto"/>
              </w:rPr>
            </w:pPr>
          </w:p>
        </w:tc>
        <w:tc>
          <w:tcPr>
            <w:tcW w:w="380" w:type="dxa"/>
            <w:vAlign w:val="bottom"/>
            <w:tcBorders>
              <w:top w:val="single" w:sz="8" w:color="0563C1"/>
              <w:bottom w:val="single" w:sz="8" w:color="0563C1"/>
            </w:tcBorders>
            <w:gridSpan w:val="6"/>
          </w:tcPr>
          <w:p>
            <w:pPr>
              <w:spacing w:after="0"/>
              <w:rPr>
                <w:sz w:val="21"/>
                <w:szCs w:val="21"/>
                <w:color w:val="auto"/>
              </w:rPr>
            </w:pPr>
          </w:p>
        </w:tc>
        <w:tc>
          <w:tcPr>
            <w:tcW w:w="5500" w:type="dxa"/>
            <w:vAlign w:val="bottom"/>
            <w:gridSpan w:val="10"/>
          </w:tcPr>
          <w:p>
            <w:pPr>
              <w:spacing w:after="0"/>
              <w:rPr>
                <w:sz w:val="21"/>
                <w:szCs w:val="21"/>
                <w:color w:val="auto"/>
              </w:rPr>
            </w:pPr>
          </w:p>
        </w:tc>
        <w:tc>
          <w:tcPr>
            <w:tcW w:w="540" w:type="dxa"/>
            <w:vAlign w:val="bottom"/>
          </w:tcPr>
          <w:p>
            <w:pPr>
              <w:jc w:val="right"/>
              <w:spacing w:after="0" w:line="250"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534"/>
        </w:trPr>
        <w:tc>
          <w:tcPr>
            <w:tcW w:w="3120" w:type="dxa"/>
            <w:vAlign w:val="bottom"/>
            <w:tcBorders>
              <w:bottom w:val="single" w:sz="8" w:color="0563C1"/>
            </w:tcBorders>
            <w:gridSpan w:val="18"/>
          </w:tcPr>
          <w:p>
            <w:pPr>
              <w:spacing w:after="0"/>
              <w:rPr>
                <w:sz w:val="20"/>
                <w:szCs w:val="20"/>
                <w:color w:val="auto"/>
              </w:rPr>
            </w:pPr>
            <w:r>
              <w:rPr>
                <w:rFonts w:ascii="Arial" w:cs="Arial" w:eastAsia="Arial" w:hAnsi="Arial"/>
                <w:sz w:val="22"/>
                <w:szCs w:val="22"/>
                <w:color w:val="0563C1"/>
                <w:w w:val="96"/>
              </w:rPr>
              <w:t>ARTICLE XV MISCELLANEOUS</w:t>
            </w:r>
          </w:p>
        </w:tc>
        <w:tc>
          <w:tcPr>
            <w:tcW w:w="588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50"/>
        </w:trPr>
        <w:tc>
          <w:tcPr>
            <w:tcW w:w="960" w:type="dxa"/>
            <w:vAlign w:val="bottom"/>
            <w:tcBorders>
              <w:bottom w:val="single" w:sz="8" w:color="0563C1"/>
            </w:tcBorders>
            <w:gridSpan w:val="2"/>
          </w:tcPr>
          <w:p>
            <w:pPr>
              <w:spacing w:after="0" w:line="237" w:lineRule="exact"/>
              <w:rPr>
                <w:sz w:val="20"/>
                <w:szCs w:val="20"/>
                <w:color w:val="auto"/>
              </w:rPr>
            </w:pPr>
            <w:r>
              <w:rPr>
                <w:rFonts w:ascii="Arial" w:cs="Arial" w:eastAsia="Arial" w:hAnsi="Arial"/>
                <w:sz w:val="22"/>
                <w:szCs w:val="22"/>
                <w:color w:val="0563C1"/>
                <w:w w:val="85"/>
              </w:rPr>
              <w:t>Section 48.</w:t>
            </w:r>
          </w:p>
        </w:tc>
        <w:tc>
          <w:tcPr>
            <w:tcW w:w="180" w:type="dxa"/>
            <w:vAlign w:val="bottom"/>
          </w:tcPr>
          <w:p>
            <w:pPr>
              <w:spacing w:after="0"/>
              <w:rPr>
                <w:sz w:val="21"/>
                <w:szCs w:val="21"/>
                <w:color w:val="auto"/>
              </w:rPr>
            </w:pPr>
          </w:p>
        </w:tc>
        <w:tc>
          <w:tcPr>
            <w:tcW w:w="580" w:type="dxa"/>
            <w:vAlign w:val="bottom"/>
            <w:tcBorders>
              <w:bottom w:val="single" w:sz="8" w:color="0563C1"/>
            </w:tcBorders>
          </w:tcPr>
          <w:p>
            <w:pPr>
              <w:spacing w:after="0" w:line="237" w:lineRule="exact"/>
              <w:rPr>
                <w:sz w:val="20"/>
                <w:szCs w:val="20"/>
                <w:color w:val="auto"/>
              </w:rPr>
            </w:pPr>
            <w:r>
              <w:rPr>
                <w:rFonts w:ascii="Arial" w:cs="Arial" w:eastAsia="Arial" w:hAnsi="Arial"/>
                <w:sz w:val="22"/>
                <w:szCs w:val="22"/>
                <w:color w:val="0563C1"/>
                <w:w w:val="88"/>
              </w:rPr>
              <w:t>Forum</w:t>
            </w:r>
          </w:p>
        </w:tc>
        <w:tc>
          <w:tcPr>
            <w:tcW w:w="7280" w:type="dxa"/>
            <w:vAlign w:val="bottom"/>
            <w:gridSpan w:val="30"/>
          </w:tcPr>
          <w:p>
            <w:pPr>
              <w:spacing w:after="0"/>
              <w:rPr>
                <w:sz w:val="21"/>
                <w:szCs w:val="21"/>
                <w:color w:val="auto"/>
              </w:rPr>
            </w:pPr>
          </w:p>
        </w:tc>
        <w:tc>
          <w:tcPr>
            <w:tcW w:w="540" w:type="dxa"/>
            <w:vAlign w:val="bottom"/>
          </w:tcPr>
          <w:p>
            <w:pPr>
              <w:jc w:val="right"/>
              <w:spacing w:after="0" w:line="250"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59"/>
          </w:cols>
          <w:pgMar w:left="400" w:top="14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059"/>
          </w:cols>
          <w:pgMar w:left="400" w:top="1406" w:right="1440" w:bottom="1440" w:gutter="0" w:footer="0" w:header="0"/>
          <w:type w:val="continuous"/>
        </w:sectPr>
      </w:pPr>
    </w:p>
    <w:bookmarkStart w:id="5" w:name="page6"/>
    <w:bookmarkEnd w:id="5"/>
    <w:p>
      <w:pPr>
        <w:ind w:left="5160"/>
        <w:spacing w:after="0"/>
        <w:rPr>
          <w:sz w:val="20"/>
          <w:szCs w:val="20"/>
          <w:color w:val="auto"/>
        </w:rPr>
      </w:pPr>
      <w:r>
        <w:rPr>
          <w:rFonts w:ascii="Arial" w:cs="Arial" w:eastAsia="Arial" w:hAnsi="Arial"/>
          <w:sz w:val="22"/>
          <w:szCs w:val="22"/>
          <w:b w:val="1"/>
          <w:bCs w:val="1"/>
          <w:color w:val="auto"/>
        </w:rPr>
        <w:t>BYLAWS</w:t>
      </w:r>
    </w:p>
    <w:p>
      <w:pPr>
        <w:spacing w:after="0" w:line="179" w:lineRule="exact"/>
        <w:rPr>
          <w:sz w:val="20"/>
          <w:szCs w:val="20"/>
          <w:color w:val="auto"/>
        </w:rPr>
      </w:pPr>
    </w:p>
    <w:p>
      <w:pPr>
        <w:ind w:left="5480"/>
        <w:spacing w:after="0"/>
        <w:rPr>
          <w:sz w:val="20"/>
          <w:szCs w:val="20"/>
          <w:color w:val="auto"/>
        </w:rPr>
      </w:pPr>
      <w:r>
        <w:rPr>
          <w:rFonts w:ascii="Arial" w:cs="Arial" w:eastAsia="Arial" w:hAnsi="Arial"/>
          <w:sz w:val="22"/>
          <w:szCs w:val="22"/>
          <w:b w:val="1"/>
          <w:bCs w:val="1"/>
          <w:color w:val="auto"/>
        </w:rPr>
        <w:t>OF</w:t>
      </w:r>
    </w:p>
    <w:p>
      <w:pPr>
        <w:spacing w:after="0" w:line="16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SI-BONE, INC.</w:t>
      </w:r>
    </w:p>
    <w:p>
      <w:pPr>
        <w:jc w:val="center"/>
        <w:ind w:right="-19"/>
        <w:spacing w:after="0"/>
        <w:rPr>
          <w:sz w:val="20"/>
          <w:szCs w:val="20"/>
          <w:color w:val="auto"/>
        </w:rPr>
      </w:pPr>
      <w:r>
        <w:rPr>
          <w:rFonts w:ascii="Arial" w:cs="Arial" w:eastAsia="Arial" w:hAnsi="Arial"/>
          <w:sz w:val="22"/>
          <w:szCs w:val="22"/>
          <w:b w:val="1"/>
          <w:bCs w:val="1"/>
          <w:color w:val="auto"/>
        </w:rPr>
        <w:t>(A DELAWARE CORPORATION)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OFFICES</w:t>
      </w:r>
    </w:p>
    <w:p>
      <w:pPr>
        <w:spacing w:after="0" w:line="179" w:lineRule="exact"/>
        <w:rPr>
          <w:sz w:val="20"/>
          <w:szCs w:val="20"/>
          <w:color w:val="auto"/>
        </w:rPr>
      </w:pPr>
    </w:p>
    <w:p>
      <w:pPr>
        <w:ind w:right="320" w:firstLine="648"/>
        <w:spacing w:after="0" w:line="235" w:lineRule="auto"/>
        <w:rPr>
          <w:sz w:val="20"/>
          <w:szCs w:val="20"/>
          <w:color w:val="auto"/>
        </w:rPr>
      </w:pPr>
      <w:r>
        <w:rPr>
          <w:rFonts w:ascii="Arial" w:cs="Arial" w:eastAsia="Arial" w:hAnsi="Arial"/>
          <w:sz w:val="22"/>
          <w:szCs w:val="22"/>
          <w:b w:val="1"/>
          <w:bCs w:val="1"/>
          <w:color w:val="010000"/>
        </w:rPr>
        <w:t xml:space="preserve">Section 1. </w:t>
      </w:r>
      <w:r>
        <w:rPr>
          <w:rFonts w:ascii="Arial" w:cs="Arial" w:eastAsia="Arial" w:hAnsi="Arial"/>
          <w:sz w:val="22"/>
          <w:szCs w:val="22"/>
          <w:b w:val="1"/>
          <w:bCs w:val="1"/>
          <w:color w:val="000000"/>
        </w:rPr>
        <w:t>Registered Office</w:t>
      </w:r>
      <w:r>
        <w:rPr>
          <w:rFonts w:ascii="Arial" w:cs="Arial" w:eastAsia="Arial" w:hAnsi="Arial"/>
          <w:sz w:val="22"/>
          <w:szCs w:val="22"/>
          <w:color w:val="000000"/>
        </w:rPr>
        <w:t>. The registered office of the corporation in the State of Delaware shall be in the City of</w:t>
      </w:r>
      <w:r>
        <w:rPr>
          <w:rFonts w:ascii="Arial" w:cs="Arial" w:eastAsia="Arial" w:hAnsi="Arial"/>
          <w:sz w:val="22"/>
          <w:szCs w:val="22"/>
          <w:b w:val="1"/>
          <w:bCs w:val="1"/>
          <w:color w:val="010000"/>
        </w:rPr>
        <w:t xml:space="preserve"> </w:t>
      </w:r>
      <w:r>
        <w:rPr>
          <w:rFonts w:ascii="Arial" w:cs="Arial" w:eastAsia="Arial" w:hAnsi="Arial"/>
          <w:sz w:val="22"/>
          <w:szCs w:val="22"/>
          <w:color w:val="000000"/>
        </w:rPr>
        <w:t>Dover, County of Kent.</w:t>
      </w:r>
    </w:p>
    <w:p>
      <w:pPr>
        <w:spacing w:after="0" w:line="153"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b w:val="1"/>
          <w:bCs w:val="1"/>
          <w:color w:val="010000"/>
        </w:rPr>
        <w:t xml:space="preserve">Section 2. </w:t>
      </w:r>
      <w:r>
        <w:rPr>
          <w:rFonts w:ascii="Arial" w:cs="Arial" w:eastAsia="Arial" w:hAnsi="Arial"/>
          <w:sz w:val="19"/>
          <w:szCs w:val="19"/>
          <w:b w:val="1"/>
          <w:bCs w:val="1"/>
          <w:color w:val="000000"/>
        </w:rPr>
        <w:t>Other Offices</w:t>
      </w:r>
      <w:r>
        <w:rPr>
          <w:rFonts w:ascii="Arial" w:cs="Arial" w:eastAsia="Arial" w:hAnsi="Arial"/>
          <w:sz w:val="19"/>
          <w:szCs w:val="19"/>
          <w:color w:val="000000"/>
        </w:rPr>
        <w:t>. The corporation may also have and maintain an office or principal place of business at such</w:t>
      </w:r>
      <w:r>
        <w:rPr>
          <w:rFonts w:ascii="Arial" w:cs="Arial" w:eastAsia="Arial" w:hAnsi="Arial"/>
          <w:sz w:val="19"/>
          <w:szCs w:val="19"/>
          <w:b w:val="1"/>
          <w:bCs w:val="1"/>
          <w:color w:val="010000"/>
        </w:rPr>
        <w:t xml:space="preserve"> </w:t>
      </w:r>
      <w:r>
        <w:rPr>
          <w:rFonts w:ascii="Arial" w:cs="Arial" w:eastAsia="Arial" w:hAnsi="Arial"/>
          <w:sz w:val="19"/>
          <w:szCs w:val="19"/>
          <w:color w:val="000000"/>
        </w:rPr>
        <w:t>place as may be fixed by the Board of Directors, and may also have offices at such other places, both within and without the State of Delaware as the Board of Directors may from time to time determine or the business of the corporation may require.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CORPORATE SEAL</w:t>
      </w:r>
    </w:p>
    <w:p>
      <w:pPr>
        <w:spacing w:after="0" w:line="179" w:lineRule="exact"/>
        <w:rPr>
          <w:sz w:val="20"/>
          <w:szCs w:val="20"/>
          <w:color w:val="auto"/>
        </w:rPr>
      </w:pPr>
    </w:p>
    <w:p>
      <w:pPr>
        <w:ind w:right="360" w:firstLine="648"/>
        <w:spacing w:after="0" w:line="236" w:lineRule="auto"/>
        <w:rPr>
          <w:sz w:val="20"/>
          <w:szCs w:val="20"/>
          <w:color w:val="auto"/>
        </w:rPr>
      </w:pPr>
      <w:r>
        <w:rPr>
          <w:rFonts w:ascii="Arial" w:cs="Arial" w:eastAsia="Arial" w:hAnsi="Arial"/>
          <w:sz w:val="21"/>
          <w:szCs w:val="21"/>
          <w:b w:val="1"/>
          <w:bCs w:val="1"/>
          <w:color w:val="010000"/>
        </w:rPr>
        <w:t xml:space="preserve">Section 3. </w:t>
      </w:r>
      <w:r>
        <w:rPr>
          <w:rFonts w:ascii="Arial" w:cs="Arial" w:eastAsia="Arial" w:hAnsi="Arial"/>
          <w:sz w:val="21"/>
          <w:szCs w:val="21"/>
          <w:b w:val="1"/>
          <w:bCs w:val="1"/>
          <w:color w:val="000000"/>
        </w:rPr>
        <w:t>Corporate Seal</w:t>
      </w:r>
      <w:r>
        <w:rPr>
          <w:rFonts w:ascii="Arial" w:cs="Arial" w:eastAsia="Arial" w:hAnsi="Arial"/>
          <w:sz w:val="21"/>
          <w:szCs w:val="21"/>
          <w:color w:val="000000"/>
        </w:rPr>
        <w:t>. The Board of Directors may adopt a corporate seal. If adopted, the corporate seal shall</w:t>
      </w:r>
      <w:r>
        <w:rPr>
          <w:rFonts w:ascii="Arial" w:cs="Arial" w:eastAsia="Arial" w:hAnsi="Arial"/>
          <w:sz w:val="21"/>
          <w:szCs w:val="21"/>
          <w:b w:val="1"/>
          <w:bCs w:val="1"/>
          <w:color w:val="010000"/>
        </w:rPr>
        <w:t xml:space="preserve"> </w:t>
      </w:r>
      <w:r>
        <w:rPr>
          <w:rFonts w:ascii="Arial" w:cs="Arial" w:eastAsia="Arial" w:hAnsi="Arial"/>
          <w:sz w:val="21"/>
          <w:szCs w:val="21"/>
          <w:color w:val="000000"/>
        </w:rPr>
        <w:t>consist of a die bearing the name of the corporation and the inscription, “Corporate Seal-Delaware.” Said seal may be used by causing it or a facsimile thereof to be impressed or affixed or reproduced or otherwise.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III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STOCKHOLDERS’ MEETINGS</w:t>
      </w:r>
    </w:p>
    <w:p>
      <w:pPr>
        <w:spacing w:after="0" w:line="179" w:lineRule="exact"/>
        <w:rPr>
          <w:sz w:val="20"/>
          <w:szCs w:val="20"/>
          <w:color w:val="auto"/>
        </w:rPr>
      </w:pPr>
    </w:p>
    <w:p>
      <w:pPr>
        <w:ind w:firstLine="648"/>
        <w:spacing w:after="0" w:line="230" w:lineRule="auto"/>
        <w:rPr>
          <w:sz w:val="20"/>
          <w:szCs w:val="20"/>
          <w:color w:val="auto"/>
        </w:rPr>
      </w:pPr>
      <w:r>
        <w:rPr>
          <w:rFonts w:ascii="Arial" w:cs="Arial" w:eastAsia="Arial" w:hAnsi="Arial"/>
          <w:sz w:val="21"/>
          <w:szCs w:val="21"/>
          <w:b w:val="1"/>
          <w:bCs w:val="1"/>
          <w:color w:val="010000"/>
        </w:rPr>
        <w:t xml:space="preserve">Section 4. </w:t>
      </w:r>
      <w:r>
        <w:rPr>
          <w:rFonts w:ascii="Arial" w:cs="Arial" w:eastAsia="Arial" w:hAnsi="Arial"/>
          <w:sz w:val="21"/>
          <w:szCs w:val="21"/>
          <w:b w:val="1"/>
          <w:bCs w:val="1"/>
          <w:color w:val="000000"/>
        </w:rPr>
        <w:t>Place of Meetings</w:t>
      </w:r>
      <w:r>
        <w:rPr>
          <w:rFonts w:ascii="Arial" w:cs="Arial" w:eastAsia="Arial" w:hAnsi="Arial"/>
          <w:sz w:val="21"/>
          <w:szCs w:val="21"/>
          <w:color w:val="000000"/>
        </w:rPr>
        <w:t>. Meetings of the stockholders of the corporation may be held at such place, either within</w:t>
      </w:r>
      <w:r>
        <w:rPr>
          <w:rFonts w:ascii="Arial" w:cs="Arial" w:eastAsia="Arial" w:hAnsi="Arial"/>
          <w:sz w:val="21"/>
          <w:szCs w:val="21"/>
          <w:b w:val="1"/>
          <w:bCs w:val="1"/>
          <w:color w:val="010000"/>
        </w:rPr>
        <w:t xml:space="preserve"> </w:t>
      </w:r>
      <w:r>
        <w:rPr>
          <w:rFonts w:ascii="Arial" w:cs="Arial" w:eastAsia="Arial" w:hAnsi="Arial"/>
          <w:sz w:val="21"/>
          <w:szCs w:val="21"/>
          <w:color w:val="000000"/>
        </w:rPr>
        <w:t>or without the State of 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21"/>
          <w:szCs w:val="21"/>
          <w:u w:val="single" w:color="auto"/>
          <w:color w:val="000000"/>
        </w:rPr>
        <w:t>DGCL</w:t>
      </w:r>
      <w:r>
        <w:rPr>
          <w:rFonts w:ascii="Arial" w:cs="Arial" w:eastAsia="Arial" w:hAnsi="Arial"/>
          <w:sz w:val="21"/>
          <w:szCs w:val="21"/>
          <w:color w:val="000000"/>
        </w:rPr>
        <w:t>”).</w:t>
      </w:r>
    </w:p>
    <w:p>
      <w:pPr>
        <w:spacing w:after="0" w:line="154"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2"/>
          <w:szCs w:val="22"/>
          <w:b w:val="1"/>
          <w:bCs w:val="1"/>
          <w:color w:val="010000"/>
        </w:rPr>
        <w:t>Section 5.</w:t>
      </w:r>
      <w:r>
        <w:rPr>
          <w:sz w:val="20"/>
          <w:szCs w:val="20"/>
          <w:color w:val="auto"/>
        </w:rPr>
        <w:tab/>
      </w:r>
      <w:r>
        <w:rPr>
          <w:rFonts w:ascii="Arial" w:cs="Arial" w:eastAsia="Arial" w:hAnsi="Arial"/>
          <w:sz w:val="19"/>
          <w:szCs w:val="19"/>
          <w:b w:val="1"/>
          <w:bCs w:val="1"/>
          <w:color w:val="auto"/>
        </w:rPr>
        <w:t>Annual Meetings</w:t>
      </w:r>
      <w:r>
        <w:rPr>
          <w:rFonts w:ascii="Arial" w:cs="Arial" w:eastAsia="Arial" w:hAnsi="Arial"/>
          <w:sz w:val="19"/>
          <w:szCs w:val="19"/>
          <w:color w:val="auto"/>
        </w:rPr>
        <w:t>.</w:t>
      </w:r>
    </w:p>
    <w:p>
      <w:pPr>
        <w:spacing w:after="0" w:line="185" w:lineRule="exact"/>
        <w:rPr>
          <w:sz w:val="20"/>
          <w:szCs w:val="20"/>
          <w:color w:val="auto"/>
        </w:rPr>
      </w:pPr>
    </w:p>
    <w:p>
      <w:pPr>
        <w:ind w:right="60" w:firstLine="1304"/>
        <w:spacing w:after="0" w:line="244" w:lineRule="auto"/>
        <w:tabs>
          <w:tab w:leader="none" w:pos="1764" w:val="left"/>
        </w:tabs>
        <w:numPr>
          <w:ilvl w:val="0"/>
          <w:numId w:val="3"/>
        </w:numPr>
        <w:rPr>
          <w:rFonts w:ascii="Arial" w:cs="Arial" w:eastAsia="Arial" w:hAnsi="Arial"/>
          <w:sz w:val="19"/>
          <w:szCs w:val="19"/>
          <w:b w:val="1"/>
          <w:bCs w:val="1"/>
          <w:color w:val="010000"/>
        </w:rPr>
      </w:pPr>
      <w:r>
        <w:rPr>
          <w:rFonts w:ascii="Arial" w:cs="Arial" w:eastAsia="Arial" w:hAnsi="Arial"/>
          <w:sz w:val="19"/>
          <w:szCs w:val="19"/>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Any annual meeting of stockholders previously scheduled by the Board may be postponed, rescheduled or cancelled by the Board or any director or officer of the corporation to whom the Board delegates such authority.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this Section 5. For the avoidance of doubt, clause (iii) above shall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5" w:right="339" w:bottom="1440" w:gutter="0" w:footer="0" w:header="0"/>
        </w:sectPr>
      </w:pPr>
    </w:p>
    <w:bookmarkStart w:id="6" w:name="page7"/>
    <w:bookmarkEnd w:id="6"/>
    <w:p>
      <w:pPr>
        <w:ind w:right="300"/>
        <w:spacing w:after="0" w:line="268" w:lineRule="auto"/>
        <w:rPr>
          <w:sz w:val="20"/>
          <w:szCs w:val="20"/>
          <w:color w:val="auto"/>
        </w:rPr>
      </w:pPr>
      <w:r>
        <w:rPr>
          <w:rFonts w:ascii="Arial" w:cs="Arial" w:eastAsia="Arial" w:hAnsi="Arial"/>
          <w:sz w:val="19"/>
          <w:szCs w:val="19"/>
          <w:color w:val="auto"/>
        </w:rPr>
        <w:t>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9"/>
          <w:szCs w:val="19"/>
          <w:u w:val="single" w:color="auto"/>
          <w:color w:val="auto"/>
        </w:rPr>
        <w:t>1934 Act</w:t>
      </w:r>
      <w:r>
        <w:rPr>
          <w:rFonts w:ascii="Arial" w:cs="Arial" w:eastAsia="Arial" w:hAnsi="Arial"/>
          <w:sz w:val="19"/>
          <w:szCs w:val="19"/>
          <w:color w:val="auto"/>
        </w:rPr>
        <w:t>”)) before an annual meeting of stockholders.</w:t>
      </w:r>
    </w:p>
    <w:p>
      <w:pPr>
        <w:spacing w:after="0" w:line="132" w:lineRule="exact"/>
        <w:rPr>
          <w:sz w:val="20"/>
          <w:szCs w:val="20"/>
          <w:color w:val="auto"/>
        </w:rPr>
      </w:pPr>
    </w:p>
    <w:p>
      <w:pPr>
        <w:jc w:val="both"/>
        <w:ind w:right="380" w:firstLine="1304"/>
        <w:spacing w:after="0" w:line="218" w:lineRule="auto"/>
        <w:tabs>
          <w:tab w:leader="none" w:pos="1776" w:val="left"/>
        </w:tabs>
        <w:numPr>
          <w:ilvl w:val="1"/>
          <w:numId w:val="4"/>
        </w:numPr>
        <w:rPr>
          <w:rFonts w:ascii="Arial" w:cs="Arial" w:eastAsia="Arial" w:hAnsi="Arial"/>
          <w:sz w:val="22"/>
          <w:szCs w:val="22"/>
          <w:b w:val="1"/>
          <w:bCs w:val="1"/>
          <w:color w:val="010000"/>
        </w:rPr>
      </w:pPr>
      <w:r>
        <w:rPr>
          <w:rFonts w:ascii="Arial" w:cs="Arial" w:eastAsia="Arial" w:hAnsi="Arial"/>
          <w:sz w:val="22"/>
          <w:szCs w:val="22"/>
          <w:color w:val="auto"/>
        </w:rPr>
        <w:t>At an annual meeting of the stockholders, only such business shall be conducted as is a proper matter for stockholder action under Delaware law, the Certificate of Incorporation, and the Bylaws, and only such nominations shall be made and such business conducted as shall have been properly brought before the meeting in accordance with the procedures below.</w:t>
      </w:r>
    </w:p>
    <w:p>
      <w:pPr>
        <w:spacing w:after="0" w:line="160" w:lineRule="exact"/>
        <w:rPr>
          <w:rFonts w:ascii="Arial" w:cs="Arial" w:eastAsia="Arial" w:hAnsi="Arial"/>
          <w:sz w:val="22"/>
          <w:szCs w:val="22"/>
          <w:b w:val="1"/>
          <w:bCs w:val="1"/>
          <w:color w:val="010000"/>
        </w:rPr>
      </w:pPr>
    </w:p>
    <w:p>
      <w:pPr>
        <w:ind w:right="60" w:firstLine="1952"/>
        <w:spacing w:after="0" w:line="242" w:lineRule="auto"/>
        <w:tabs>
          <w:tab w:leader="none" w:pos="2364" w:val="left"/>
        </w:tabs>
        <w:numPr>
          <w:ilvl w:val="2"/>
          <w:numId w:val="4"/>
        </w:numPr>
        <w:rPr>
          <w:rFonts w:ascii="Arial" w:cs="Arial" w:eastAsia="Arial" w:hAnsi="Arial"/>
          <w:sz w:val="19"/>
          <w:szCs w:val="19"/>
          <w:b w:val="1"/>
          <w:bCs w:val="1"/>
          <w:color w:val="010000"/>
        </w:rPr>
      </w:pPr>
      <w:r>
        <w:rPr>
          <w:rFonts w:ascii="Arial" w:cs="Arial" w:eastAsia="Arial" w:hAnsi="Arial"/>
          <w:sz w:val="19"/>
          <w:szCs w:val="19"/>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w:t>
      </w:r>
    </w:p>
    <w:p>
      <w:pPr>
        <w:ind w:firstLine="8"/>
        <w:spacing w:after="0"/>
        <w:tabs>
          <w:tab w:leader="none" w:pos="354" w:val="left"/>
        </w:tabs>
        <w:numPr>
          <w:ilvl w:val="0"/>
          <w:numId w:val="5"/>
        </w:numPr>
        <w:rPr>
          <w:rFonts w:ascii="Arial" w:cs="Arial" w:eastAsia="Arial" w:hAnsi="Arial"/>
          <w:sz w:val="19"/>
          <w:szCs w:val="19"/>
          <w:color w:val="auto"/>
        </w:rPr>
      </w:pPr>
      <w:r>
        <w:rPr>
          <w:rFonts w:ascii="Arial" w:cs="Arial" w:eastAsia="Arial" w:hAnsi="Arial"/>
          <w:sz w:val="19"/>
          <w:szCs w:val="19"/>
          <w:color w:val="auto"/>
        </w:rPr>
        <w:t>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which are owned of record and beneficially by such nominee and list of any pledge or encumbrances on such shares, (4) the date or dates on which such shares were acquired and the investment intent of such acquisition,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in any proxy statement and associated proxy card as a nominee and a written statement of intent to serve as a director for the full term if elected), and (6) a completed and signed written questionnaire (in substantially the form provided by the Secretary upon written request by the stockholder with respect to the background and qualifications of each nominee and the background of any other person or entity on whose behalf, directly or indirectly, the nomination is being made; and (B) the information required by Section 5(b)(iv).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background, qualifications, experience, independence, or lack thereof, of such proposed nominee. The number of nominees a stockholder may nominate for election at the annual meeting on its own behalf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369" w:lineRule="exact"/>
        <w:rPr>
          <w:rFonts w:ascii="Arial" w:cs="Arial" w:eastAsia="Arial" w:hAnsi="Arial"/>
          <w:sz w:val="19"/>
          <w:szCs w:val="19"/>
          <w:color w:val="auto"/>
        </w:rPr>
      </w:pPr>
    </w:p>
    <w:p>
      <w:pPr>
        <w:ind w:right="20" w:firstLine="1952"/>
        <w:spacing w:after="0" w:line="244" w:lineRule="auto"/>
        <w:tabs>
          <w:tab w:leader="none" w:pos="2424" w:val="left"/>
        </w:tabs>
        <w:numPr>
          <w:ilvl w:val="2"/>
          <w:numId w:val="5"/>
        </w:numPr>
        <w:rPr>
          <w:rFonts w:ascii="Arial" w:cs="Arial" w:eastAsia="Arial" w:hAnsi="Arial"/>
          <w:sz w:val="19"/>
          <w:szCs w:val="19"/>
          <w:b w:val="1"/>
          <w:bCs w:val="1"/>
          <w:color w:val="010000"/>
        </w:rPr>
      </w:pPr>
      <w:r>
        <w:rPr>
          <w:rFonts w:ascii="Arial" w:cs="Arial" w:eastAsia="Arial" w:hAnsi="Arial"/>
          <w:sz w:val="19"/>
          <w:szCs w:val="19"/>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01" w:right="359" w:bottom="1440" w:gutter="0" w:footer="0" w:header="0"/>
        </w:sectPr>
      </w:pPr>
    </w:p>
    <w:bookmarkStart w:id="7" w:name="page8"/>
    <w:bookmarkEnd w:id="7"/>
    <w:p>
      <w:pPr>
        <w:ind w:right="80"/>
        <w:spacing w:after="0" w:line="247" w:lineRule="auto"/>
        <w:rPr>
          <w:sz w:val="20"/>
          <w:szCs w:val="20"/>
          <w:color w:val="auto"/>
        </w:rPr>
      </w:pPr>
      <w:r>
        <w:rPr>
          <w:rFonts w:ascii="Arial" w:cs="Arial" w:eastAsia="Arial" w:hAnsi="Arial"/>
          <w:sz w:val="19"/>
          <w:szCs w:val="19"/>
          <w:color w:val="auto"/>
        </w:rPr>
        <w:t>any Proponent, and the text of any business proposal (including the text of any resolutions proposed for consideration and, in the event that such proposal includes a proposal to amend the Bylaws of the corporation, the text of the proposed amendment); and</w:t>
      </w:r>
    </w:p>
    <w:p>
      <w:pPr>
        <w:ind w:left="360" w:hanging="352"/>
        <w:spacing w:after="0"/>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information required by Section 5(b)(iv).</w:t>
      </w:r>
    </w:p>
    <w:p>
      <w:pPr>
        <w:spacing w:after="0" w:line="161" w:lineRule="exact"/>
        <w:rPr>
          <w:rFonts w:ascii="Arial" w:cs="Arial" w:eastAsia="Arial" w:hAnsi="Arial"/>
          <w:sz w:val="22"/>
          <w:szCs w:val="22"/>
          <w:color w:val="auto"/>
        </w:rPr>
      </w:pPr>
    </w:p>
    <w:p>
      <w:pPr>
        <w:ind w:right="160" w:firstLine="1952"/>
        <w:spacing w:after="0" w:line="216" w:lineRule="auto"/>
        <w:tabs>
          <w:tab w:leader="none" w:pos="2484" w:val="left"/>
        </w:tabs>
        <w:numPr>
          <w:ilvl w:val="1"/>
          <w:numId w:val="6"/>
        </w:numPr>
        <w:rPr>
          <w:rFonts w:ascii="Arial" w:cs="Arial" w:eastAsia="Arial" w:hAnsi="Arial"/>
          <w:sz w:val="20"/>
          <w:szCs w:val="20"/>
          <w:b w:val="1"/>
          <w:bCs w:val="1"/>
          <w:color w:val="010000"/>
        </w:rPr>
      </w:pPr>
      <w:r>
        <w:rPr>
          <w:rFonts w:ascii="Arial" w:cs="Arial" w:eastAsia="Arial" w:hAnsi="Arial"/>
          <w:sz w:val="20"/>
          <w:szCs w:val="20"/>
          <w:color w:val="auto"/>
        </w:rPr>
        <w:t xml:space="preserve">To be timely, the written notice required by Section 5(b)(i) or 5(b)(ii)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subject to the last sentence of this Section 5(b)(iii), in the event that (A)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w:t>
      </w:r>
      <w:r>
        <w:rPr>
          <w:rFonts w:ascii="Arial" w:cs="Arial" w:eastAsia="Arial" w:hAnsi="Arial"/>
          <w:sz w:val="26"/>
          <w:szCs w:val="26"/>
          <w:color w:val="auto"/>
          <w:vertAlign w:val="superscript"/>
        </w:rPr>
        <w:t>th</w:t>
      </w:r>
      <w:r>
        <w:rPr>
          <w:rFonts w:ascii="Arial" w:cs="Arial" w:eastAsia="Arial" w:hAnsi="Arial"/>
          <w:sz w:val="20"/>
          <w:szCs w:val="20"/>
          <w:color w:val="auto"/>
        </w:rPr>
        <w:t>) day prior to such annual meeting and not later than the close of business on the later of the ninetieth (90</w:t>
      </w:r>
      <w:r>
        <w:rPr>
          <w:rFonts w:ascii="Arial" w:cs="Arial" w:eastAsia="Arial" w:hAnsi="Arial"/>
          <w:sz w:val="26"/>
          <w:szCs w:val="26"/>
          <w:color w:val="auto"/>
          <w:vertAlign w:val="superscript"/>
        </w:rPr>
        <w:t>th</w:t>
      </w:r>
      <w:r>
        <w:rPr>
          <w:rFonts w:ascii="Arial" w:cs="Arial" w:eastAsia="Arial" w:hAnsi="Arial"/>
          <w:sz w:val="20"/>
          <w:szCs w:val="20"/>
          <w:color w:val="auto"/>
        </w:rPr>
        <w:t>) day prior to such annual meeting or the tenth (10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day on which public announcement of the date of such meeting is first made or (B) the corporation did not have an annual meeting in the preceding year, notice by the stockholder to be timely must be so received not later than the tenth (10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day on which public announcement of the date of such meeting is first made. In no event shall an adjournment, recess, rescheduling or a postponement of an annual meeting for which notice has been given, or the public announcement thereof has been made,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w:t>
      </w:r>
    </w:p>
    <w:p>
      <w:pPr>
        <w:spacing w:after="0" w:line="164" w:lineRule="exact"/>
        <w:rPr>
          <w:rFonts w:ascii="Arial" w:cs="Arial" w:eastAsia="Arial" w:hAnsi="Arial"/>
          <w:sz w:val="20"/>
          <w:szCs w:val="20"/>
          <w:b w:val="1"/>
          <w:bCs w:val="1"/>
          <w:color w:val="010000"/>
        </w:rPr>
      </w:pPr>
    </w:p>
    <w:p>
      <w:pPr>
        <w:ind w:firstLine="1952"/>
        <w:spacing w:after="0"/>
        <w:tabs>
          <w:tab w:leader="none" w:pos="2472" w:val="left"/>
        </w:tabs>
        <w:numPr>
          <w:ilvl w:val="1"/>
          <w:numId w:val="6"/>
        </w:numPr>
        <w:rPr>
          <w:rFonts w:ascii="Arial" w:cs="Arial" w:eastAsia="Arial" w:hAnsi="Arial"/>
          <w:sz w:val="19"/>
          <w:szCs w:val="19"/>
          <w:b w:val="1"/>
          <w:bCs w:val="1"/>
          <w:color w:val="010000"/>
        </w:rPr>
      </w:pPr>
      <w:r>
        <w:rPr>
          <w:rFonts w:ascii="Arial" w:cs="Arial" w:eastAsia="Arial" w:hAnsi="Arial"/>
          <w:sz w:val="19"/>
          <w:szCs w:val="19"/>
          <w:color w:val="auto"/>
        </w:rPr>
        <w:t>The written notice required by Section 5(b)(i) or 5(b)(ii) shall also set forth, as of the date of the notice and as to the stockholder giving the notice, the beneficial owner, if any, on whose behalf the nomination or proposal is made, and any persons that are acting in concert therewith (each, a “</w:t>
      </w:r>
      <w:r>
        <w:rPr>
          <w:rFonts w:ascii="Arial" w:cs="Arial" w:eastAsia="Arial" w:hAnsi="Arial"/>
          <w:sz w:val="19"/>
          <w:szCs w:val="19"/>
          <w:u w:val="single" w:color="auto"/>
          <w:color w:val="auto"/>
        </w:rPr>
        <w:t>Proponent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Proponents</w:t>
      </w:r>
      <w:r>
        <w:rPr>
          <w:rFonts w:ascii="Arial" w:cs="Arial" w:eastAsia="Arial" w:hAnsi="Arial"/>
          <w:sz w:val="19"/>
          <w:szCs w:val="19"/>
          <w:color w:val="auto"/>
        </w:rPr>
        <w:t>”): (A) the name and address of each Proponent, as they appear on the corporation’s books; (B) the class, series and number of shares of the corporation that are, directly or indirectly, owned beneficially and of record by each Proponent; (C) a description of any agreement, arrangement or understanding (whether oral or in writing) with respect to such nomination or proposal between or among any Proponent, or otherwise under the agreement, arrangement or understanding, with any of the foregoing, including, in the case of a nominee, any of the foregoing relating to any compensation or payments to be paid to any such proposed nominee(s); (D) a representation that the stockholder giving the notice and the beneficial owner, if any, on whose behalf the nomination or proposal is made, are holders of record or beneficial owners, as the case may be, of shares of the corporation entitled to vote at the meeting, will continue to be holders of record or beneficial owners entitled to vote at such meeting through the date of such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at least sixty-seven percent (67%) of the corporation’s voting shares to elect such nominee or nominees (with respect to a notice under Section 5(b)(i)) or to carry such proposal (with respect to a notice under Section 5(b)(ii)); (F) all information that would be required to be set forth in a Schedule 13D filed pursuant to Rule 13d-1(a) or an amendment pursuant to Rule 13d-2(a) if such a statement were required to be filed under the 1934 Act and the rules and regulations promulgated thereunder by the Proponents; (G) to the extent known by any Proponent, the name and address of any other stockholder supporting the proposal on the date of such stockholder’s notice; (H) any and all information relating to each Proponent that would be required to be disclosed in a proxy statement and form of proxy or other filings required to be made in connection with solicitations of proxies for, as applicable, the proposal pursuant to Section 14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01" w:right="359" w:bottom="1440" w:gutter="0" w:footer="0" w:header="0"/>
        </w:sectPr>
      </w:pPr>
    </w:p>
    <w:bookmarkStart w:id="8" w:name="page9"/>
    <w:bookmarkEnd w:id="8"/>
    <w:p>
      <w:pPr>
        <w:ind w:right="300"/>
        <w:spacing w:after="0" w:line="224" w:lineRule="auto"/>
        <w:rPr>
          <w:sz w:val="20"/>
          <w:szCs w:val="20"/>
          <w:color w:val="auto"/>
        </w:rPr>
      </w:pPr>
      <w:r>
        <w:rPr>
          <w:rFonts w:ascii="Arial" w:cs="Arial" w:eastAsia="Arial" w:hAnsi="Arial"/>
          <w:sz w:val="21"/>
          <w:szCs w:val="21"/>
          <w:color w:val="auto"/>
        </w:rPr>
        <w:t>and the rules and regulations promulgated thereunder; (I) a certification that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(J) a description of all Derivative Instruments (as defined below) held by each Proponent during the previous twelve (12) month period, including the date of the transactions and the class, series and number of securities involved in, and the material economic terms of, such Derivative Instruments.</w:t>
      </w:r>
    </w:p>
    <w:p>
      <w:pPr>
        <w:spacing w:after="0" w:line="160" w:lineRule="exact"/>
        <w:rPr>
          <w:sz w:val="20"/>
          <w:szCs w:val="20"/>
          <w:color w:val="auto"/>
        </w:rPr>
      </w:pPr>
    </w:p>
    <w:p>
      <w:pPr>
        <w:jc w:val="both"/>
        <w:ind w:right="740" w:firstLine="1296"/>
        <w:spacing w:after="0" w:line="298" w:lineRule="auto"/>
        <w:rPr>
          <w:sz w:val="20"/>
          <w:szCs w:val="20"/>
          <w:color w:val="auto"/>
        </w:rPr>
      </w:pPr>
      <w:r>
        <w:rPr>
          <w:rFonts w:ascii="Arial" w:cs="Arial" w:eastAsia="Arial" w:hAnsi="Arial"/>
          <w:sz w:val="19"/>
          <w:szCs w:val="19"/>
          <w:color w:val="auto"/>
        </w:rPr>
        <w:t>For purposes of Sections 5 and 6, “Derivative Instruments” include any and all agreements, arrangements, interests or understanding entered into by, or on behalf or for the benefit of, any Proponent,, whether record or beneficial:</w:t>
      </w:r>
    </w:p>
    <w:p>
      <w:pPr>
        <w:spacing w:after="0" w:line="105" w:lineRule="exact"/>
        <w:rPr>
          <w:sz w:val="20"/>
          <w:szCs w:val="20"/>
          <w:color w:val="auto"/>
        </w:rPr>
      </w:pPr>
    </w:p>
    <w:p>
      <w:pPr>
        <w:ind w:left="1960" w:right="200" w:hanging="656"/>
        <w:spacing w:after="0" w:line="232" w:lineRule="auto"/>
        <w:tabs>
          <w:tab w:leader="none" w:pos="182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value of which is derived in whole or in part from the price, value, or volatility of any class or series of shares or other securities of the corporation,</w:t>
      </w:r>
    </w:p>
    <w:p>
      <w:pPr>
        <w:spacing w:after="0" w:line="122"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340" w:type="dxa"/>
            <w:vAlign w:val="bottom"/>
          </w:tcPr>
          <w:p>
            <w:pPr>
              <w:spacing w:after="0"/>
              <w:rPr>
                <w:sz w:val="20"/>
                <w:szCs w:val="20"/>
                <w:color w:val="auto"/>
              </w:rPr>
            </w:pPr>
            <w:r>
              <w:rPr>
                <w:rFonts w:ascii="Arial" w:cs="Arial" w:eastAsia="Arial" w:hAnsi="Arial"/>
                <w:sz w:val="22"/>
                <w:szCs w:val="22"/>
                <w:color w:val="auto"/>
              </w:rPr>
              <w:t>(x)</w:t>
            </w:r>
          </w:p>
        </w:tc>
        <w:tc>
          <w:tcPr>
            <w:tcW w:w="6400" w:type="dxa"/>
            <w:vAlign w:val="bottom"/>
            <w:gridSpan w:val="2"/>
          </w:tcPr>
          <w:p>
            <w:pPr>
              <w:ind w:left="120"/>
              <w:spacing w:after="0"/>
              <w:rPr>
                <w:sz w:val="20"/>
                <w:szCs w:val="20"/>
                <w:color w:val="auto"/>
              </w:rPr>
            </w:pPr>
            <w:r>
              <w:rPr>
                <w:rFonts w:ascii="Arial" w:cs="Arial" w:eastAsia="Arial" w:hAnsi="Arial"/>
                <w:sz w:val="22"/>
                <w:szCs w:val="22"/>
                <w:color w:val="auto"/>
                <w:w w:val="94"/>
              </w:rPr>
              <w:t>which otherwise provides any direct or indirect opportunity to gain or</w:t>
            </w:r>
          </w:p>
        </w:tc>
        <w:tc>
          <w:tcPr>
            <w:tcW w:w="3480" w:type="dxa"/>
            <w:vAlign w:val="bottom"/>
          </w:tcPr>
          <w:p>
            <w:pPr>
              <w:ind w:left="20"/>
              <w:spacing w:after="0"/>
              <w:rPr>
                <w:sz w:val="20"/>
                <w:szCs w:val="20"/>
                <w:color w:val="auto"/>
              </w:rPr>
            </w:pPr>
            <w:r>
              <w:rPr>
                <w:rFonts w:ascii="Arial" w:cs="Arial" w:eastAsia="Arial" w:hAnsi="Arial"/>
                <w:sz w:val="22"/>
                <w:szCs w:val="22"/>
                <w:color w:val="auto"/>
                <w:w w:val="87"/>
              </w:rPr>
              <w:t>share in any gain derived from a change</w:t>
            </w:r>
          </w:p>
        </w:tc>
      </w:tr>
      <w:tr>
        <w:trPr>
          <w:trHeight w:val="274"/>
        </w:trPr>
        <w:tc>
          <w:tcPr>
            <w:tcW w:w="340" w:type="dxa"/>
            <w:vAlign w:val="bottom"/>
          </w:tcPr>
          <w:p>
            <w:pPr>
              <w:spacing w:after="0"/>
              <w:rPr>
                <w:sz w:val="23"/>
                <w:szCs w:val="23"/>
                <w:color w:val="auto"/>
              </w:rPr>
            </w:pPr>
          </w:p>
        </w:tc>
        <w:tc>
          <w:tcPr>
            <w:tcW w:w="6400" w:type="dxa"/>
            <w:vAlign w:val="bottom"/>
            <w:gridSpan w:val="2"/>
          </w:tcPr>
          <w:p>
            <w:pPr>
              <w:ind w:left="80"/>
              <w:spacing w:after="0"/>
              <w:rPr>
                <w:sz w:val="20"/>
                <w:szCs w:val="20"/>
                <w:color w:val="auto"/>
              </w:rPr>
            </w:pPr>
            <w:r>
              <w:rPr>
                <w:rFonts w:ascii="Arial" w:cs="Arial" w:eastAsia="Arial" w:hAnsi="Arial"/>
                <w:sz w:val="22"/>
                <w:szCs w:val="22"/>
                <w:color w:val="auto"/>
              </w:rPr>
              <w:t>in the value of securities of the   corporation,</w:t>
            </w:r>
          </w:p>
        </w:tc>
        <w:tc>
          <w:tcPr>
            <w:tcW w:w="3480" w:type="dxa"/>
            <w:vAlign w:val="bottom"/>
          </w:tcPr>
          <w:p>
            <w:pPr>
              <w:spacing w:after="0"/>
              <w:rPr>
                <w:sz w:val="23"/>
                <w:szCs w:val="23"/>
                <w:color w:val="auto"/>
              </w:rPr>
            </w:pPr>
          </w:p>
        </w:tc>
      </w:tr>
      <w:tr>
        <w:trPr>
          <w:trHeight w:val="374"/>
        </w:trPr>
        <w:tc>
          <w:tcPr>
            <w:tcW w:w="340" w:type="dxa"/>
            <w:vAlign w:val="bottom"/>
          </w:tcPr>
          <w:p>
            <w:pPr>
              <w:spacing w:after="0"/>
              <w:rPr>
                <w:sz w:val="20"/>
                <w:szCs w:val="20"/>
                <w:color w:val="auto"/>
              </w:rPr>
            </w:pPr>
            <w:r>
              <w:rPr>
                <w:rFonts w:ascii="Arial" w:cs="Arial" w:eastAsia="Arial" w:hAnsi="Arial"/>
                <w:sz w:val="22"/>
                <w:szCs w:val="22"/>
                <w:color w:val="auto"/>
              </w:rPr>
              <w:t>(y)</w:t>
            </w:r>
          </w:p>
        </w:tc>
        <w:tc>
          <w:tcPr>
            <w:tcW w:w="6400" w:type="dxa"/>
            <w:vAlign w:val="bottom"/>
            <w:gridSpan w:val="2"/>
          </w:tcPr>
          <w:p>
            <w:pPr>
              <w:ind w:left="120"/>
              <w:spacing w:after="0"/>
              <w:rPr>
                <w:sz w:val="20"/>
                <w:szCs w:val="20"/>
                <w:color w:val="auto"/>
              </w:rPr>
            </w:pPr>
            <w:r>
              <w:rPr>
                <w:rFonts w:ascii="Arial" w:cs="Arial" w:eastAsia="Arial" w:hAnsi="Arial"/>
                <w:sz w:val="22"/>
                <w:szCs w:val="22"/>
                <w:color w:val="auto"/>
                <w:w w:val="90"/>
              </w:rPr>
              <w:t>the effect or intent of which is to hedge or mitigate loss, manage risk or</w:t>
            </w:r>
          </w:p>
        </w:tc>
        <w:tc>
          <w:tcPr>
            <w:tcW w:w="3480" w:type="dxa"/>
            <w:vAlign w:val="bottom"/>
          </w:tcPr>
          <w:p>
            <w:pPr>
              <w:ind w:left="160"/>
              <w:spacing w:after="0"/>
              <w:rPr>
                <w:sz w:val="20"/>
                <w:szCs w:val="20"/>
                <w:color w:val="auto"/>
              </w:rPr>
            </w:pPr>
            <w:r>
              <w:rPr>
                <w:rFonts w:ascii="Arial" w:cs="Arial" w:eastAsia="Arial" w:hAnsi="Arial"/>
                <w:sz w:val="22"/>
                <w:szCs w:val="22"/>
                <w:color w:val="auto"/>
              </w:rPr>
              <w:t>benefit of security value or price</w:t>
            </w:r>
          </w:p>
        </w:tc>
      </w:tr>
      <w:tr>
        <w:trPr>
          <w:trHeight w:val="274"/>
        </w:trPr>
        <w:tc>
          <w:tcPr>
            <w:tcW w:w="340" w:type="dxa"/>
            <w:vAlign w:val="bottom"/>
          </w:tcPr>
          <w:p>
            <w:pPr>
              <w:spacing w:after="0"/>
              <w:rPr>
                <w:sz w:val="23"/>
                <w:szCs w:val="23"/>
                <w:color w:val="auto"/>
              </w:rPr>
            </w:pPr>
          </w:p>
        </w:tc>
        <w:tc>
          <w:tcPr>
            <w:tcW w:w="3840" w:type="dxa"/>
            <w:vAlign w:val="bottom"/>
          </w:tcPr>
          <w:p>
            <w:pPr>
              <w:ind w:left="80"/>
              <w:spacing w:after="0"/>
              <w:rPr>
                <w:sz w:val="20"/>
                <w:szCs w:val="20"/>
                <w:color w:val="auto"/>
              </w:rPr>
            </w:pPr>
            <w:r>
              <w:rPr>
                <w:rFonts w:ascii="Arial" w:cs="Arial" w:eastAsia="Arial" w:hAnsi="Arial"/>
                <w:sz w:val="22"/>
                <w:szCs w:val="22"/>
                <w:color w:val="auto"/>
                <w:w w:val="89"/>
              </w:rPr>
              <w:t>changes, transfer economic consequences</w:t>
            </w:r>
          </w:p>
        </w:tc>
        <w:tc>
          <w:tcPr>
            <w:tcW w:w="2560" w:type="dxa"/>
            <w:vAlign w:val="bottom"/>
          </w:tcPr>
          <w:p>
            <w:pPr>
              <w:ind w:left="120"/>
              <w:spacing w:after="0"/>
              <w:rPr>
                <w:sz w:val="20"/>
                <w:szCs w:val="20"/>
                <w:color w:val="auto"/>
              </w:rPr>
            </w:pPr>
            <w:r>
              <w:rPr>
                <w:rFonts w:ascii="Arial" w:cs="Arial" w:eastAsia="Arial" w:hAnsi="Arial"/>
                <w:sz w:val="22"/>
                <w:szCs w:val="22"/>
                <w:color w:val="auto"/>
              </w:rPr>
              <w:t>of ownership, or</w:t>
            </w:r>
          </w:p>
        </w:tc>
        <w:tc>
          <w:tcPr>
            <w:tcW w:w="3480" w:type="dxa"/>
            <w:vAlign w:val="bottom"/>
          </w:tcPr>
          <w:p>
            <w:pPr>
              <w:spacing w:after="0"/>
              <w:rPr>
                <w:sz w:val="23"/>
                <w:szCs w:val="23"/>
                <w:color w:val="auto"/>
              </w:rPr>
            </w:pPr>
          </w:p>
        </w:tc>
      </w:tr>
      <w:tr>
        <w:trPr>
          <w:trHeight w:val="374"/>
        </w:trPr>
        <w:tc>
          <w:tcPr>
            <w:tcW w:w="340" w:type="dxa"/>
            <w:vAlign w:val="bottom"/>
          </w:tcPr>
          <w:p>
            <w:pPr>
              <w:spacing w:after="0"/>
              <w:rPr>
                <w:sz w:val="20"/>
                <w:szCs w:val="20"/>
                <w:color w:val="auto"/>
              </w:rPr>
            </w:pPr>
            <w:r>
              <w:rPr>
                <w:rFonts w:ascii="Arial" w:cs="Arial" w:eastAsia="Arial" w:hAnsi="Arial"/>
                <w:sz w:val="22"/>
                <w:szCs w:val="22"/>
                <w:color w:val="auto"/>
              </w:rPr>
              <w:t>(z)</w:t>
            </w:r>
          </w:p>
        </w:tc>
        <w:tc>
          <w:tcPr>
            <w:tcW w:w="6400" w:type="dxa"/>
            <w:vAlign w:val="bottom"/>
            <w:gridSpan w:val="2"/>
          </w:tcPr>
          <w:p>
            <w:pPr>
              <w:ind w:left="100"/>
              <w:spacing w:after="0"/>
              <w:rPr>
                <w:sz w:val="20"/>
                <w:szCs w:val="20"/>
                <w:color w:val="auto"/>
              </w:rPr>
            </w:pPr>
            <w:r>
              <w:rPr>
                <w:rFonts w:ascii="Arial" w:cs="Arial" w:eastAsia="Arial" w:hAnsi="Arial"/>
                <w:sz w:val="22"/>
                <w:szCs w:val="22"/>
                <w:color w:val="auto"/>
                <w:w w:val="88"/>
              </w:rPr>
              <w:t>which provides the right to vote or increase or decrease the voting power</w:t>
            </w:r>
          </w:p>
        </w:tc>
        <w:tc>
          <w:tcPr>
            <w:tcW w:w="3480" w:type="dxa"/>
            <w:vAlign w:val="bottom"/>
          </w:tcPr>
          <w:p>
            <w:pPr>
              <w:ind w:left="280"/>
              <w:spacing w:after="0"/>
              <w:rPr>
                <w:sz w:val="20"/>
                <w:szCs w:val="20"/>
                <w:color w:val="auto"/>
              </w:rPr>
            </w:pPr>
            <w:r>
              <w:rPr>
                <w:rFonts w:ascii="Arial" w:cs="Arial" w:eastAsia="Arial" w:hAnsi="Arial"/>
                <w:sz w:val="22"/>
                <w:szCs w:val="22"/>
                <w:color w:val="auto"/>
              </w:rPr>
              <w:t>of, such Proponent, or any of its</w:t>
            </w:r>
          </w:p>
        </w:tc>
      </w:tr>
      <w:tr>
        <w:trPr>
          <w:trHeight w:val="274"/>
        </w:trPr>
        <w:tc>
          <w:tcPr>
            <w:tcW w:w="340" w:type="dxa"/>
            <w:vAlign w:val="bottom"/>
          </w:tcPr>
          <w:p>
            <w:pPr>
              <w:spacing w:after="0"/>
              <w:rPr>
                <w:sz w:val="23"/>
                <w:szCs w:val="23"/>
                <w:color w:val="auto"/>
              </w:rPr>
            </w:pPr>
          </w:p>
        </w:tc>
        <w:tc>
          <w:tcPr>
            <w:tcW w:w="3840" w:type="dxa"/>
            <w:vAlign w:val="bottom"/>
          </w:tcPr>
          <w:p>
            <w:pPr>
              <w:ind w:left="80"/>
              <w:spacing w:after="0"/>
              <w:rPr>
                <w:sz w:val="20"/>
                <w:szCs w:val="20"/>
                <w:color w:val="auto"/>
              </w:rPr>
            </w:pPr>
            <w:r>
              <w:rPr>
                <w:rFonts w:ascii="Arial" w:cs="Arial" w:eastAsia="Arial" w:hAnsi="Arial"/>
                <w:sz w:val="22"/>
                <w:szCs w:val="22"/>
                <w:color w:val="auto"/>
                <w:w w:val="90"/>
              </w:rPr>
              <w:t>affiliates or associates, with respect to any</w:t>
            </w:r>
          </w:p>
        </w:tc>
        <w:tc>
          <w:tcPr>
            <w:tcW w:w="6040" w:type="dxa"/>
            <w:vAlign w:val="bottom"/>
            <w:gridSpan w:val="2"/>
          </w:tcPr>
          <w:p>
            <w:pPr>
              <w:ind w:left="160"/>
              <w:spacing w:after="0"/>
              <w:rPr>
                <w:sz w:val="20"/>
                <w:szCs w:val="20"/>
                <w:color w:val="auto"/>
              </w:rPr>
            </w:pPr>
            <w:r>
              <w:rPr>
                <w:rFonts w:ascii="Arial" w:cs="Arial" w:eastAsia="Arial" w:hAnsi="Arial"/>
                <w:sz w:val="22"/>
                <w:szCs w:val="22"/>
                <w:color w:val="auto"/>
              </w:rPr>
              <w:t>securities of the corporation,</w:t>
            </w:r>
          </w:p>
        </w:tc>
      </w:tr>
    </w:tbl>
    <w:p>
      <w:pPr>
        <w:spacing w:after="0" w:line="158" w:lineRule="exact"/>
        <w:rPr>
          <w:sz w:val="20"/>
          <w:szCs w:val="20"/>
          <w:color w:val="auto"/>
        </w:rPr>
      </w:pPr>
    </w:p>
    <w:p>
      <w:pPr>
        <w:ind w:right="100"/>
        <w:spacing w:after="0" w:line="221" w:lineRule="auto"/>
        <w:rPr>
          <w:sz w:val="20"/>
          <w:szCs w:val="20"/>
          <w:color w:val="auto"/>
        </w:rPr>
      </w:pPr>
      <w:r>
        <w:rPr>
          <w:rFonts w:ascii="Arial" w:cs="Arial" w:eastAsia="Arial" w:hAnsi="Arial"/>
          <w:sz w:val="21"/>
          <w:szCs w:val="21"/>
          <w:color w:val="auto"/>
        </w:rPr>
        <w:t>which agreement, arrangement, interest or understanding may include, without limitation, any option, warrant, debt position, note, bond, convertible security, swap, stock appreciation right, short position (including but not limited to any repurchase or similar so-called “stock borrowing” agreement or arrangement), derivative or synthetic arrangement having the characteristics of a long position, profit interest, hedge, right to dividends, voting agreement, performance-related fee (other than an asset-based fee), arrangement pursuant to which such Proponent may acquire any right to vote any security of the corporation,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159" w:lineRule="exact"/>
        <w:rPr>
          <w:sz w:val="20"/>
          <w:szCs w:val="20"/>
          <w:color w:val="auto"/>
        </w:rPr>
      </w:pPr>
    </w:p>
    <w:p>
      <w:pPr>
        <w:ind w:firstLine="1304"/>
        <w:spacing w:after="0" w:line="244" w:lineRule="auto"/>
        <w:tabs>
          <w:tab w:leader="none" w:pos="1752" w:val="left"/>
        </w:tabs>
        <w:numPr>
          <w:ilvl w:val="0"/>
          <w:numId w:val="8"/>
        </w:numPr>
        <w:rPr>
          <w:rFonts w:ascii="Arial" w:cs="Arial" w:eastAsia="Arial" w:hAnsi="Arial"/>
          <w:sz w:val="19"/>
          <w:szCs w:val="19"/>
          <w:b w:val="1"/>
          <w:bCs w:val="1"/>
          <w:color w:val="010000"/>
        </w:rPr>
      </w:pPr>
      <w:r>
        <w:rPr>
          <w:rFonts w:ascii="Arial" w:cs="Arial" w:eastAsia="Arial" w:hAnsi="Arial"/>
          <w:sz w:val="19"/>
          <w:szCs w:val="19"/>
          <w:color w:val="auto"/>
        </w:rPr>
        <w:t>A stockholder providing written notice required by Section 5(b)(i) or (ii)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 (5)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9" w:name="page10"/>
    <w:bookmarkEnd w:id="9"/>
    <w:p>
      <w:pPr>
        <w:spacing w:after="0" w:line="242" w:lineRule="auto"/>
        <w:rPr>
          <w:sz w:val="20"/>
          <w:szCs w:val="20"/>
          <w:color w:val="auto"/>
        </w:rPr>
      </w:pPr>
      <w:r>
        <w:rPr>
          <w:rFonts w:ascii="Arial" w:cs="Arial" w:eastAsia="Arial" w:hAnsi="Arial"/>
          <w:sz w:val="19"/>
          <w:szCs w:val="19"/>
          <w:color w:val="auto"/>
        </w:rPr>
        <w:t>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 If the stockholder giving the notice has delivered to the corporation a notice relating to the nomination of directors, the stockholder giving the notice shall deliver to the corporation no later than five</w:t>
      </w:r>
    </w:p>
    <w:p>
      <w:pPr>
        <w:spacing w:after="0" w:line="1" w:lineRule="exact"/>
        <w:rPr>
          <w:sz w:val="20"/>
          <w:szCs w:val="20"/>
          <w:color w:val="auto"/>
        </w:rPr>
      </w:pPr>
    </w:p>
    <w:p>
      <w:pPr>
        <w:ind w:right="340" w:firstLine="8"/>
        <w:spacing w:after="0" w:line="258" w:lineRule="auto"/>
        <w:tabs>
          <w:tab w:leader="none" w:pos="306" w:val="left"/>
        </w:tabs>
        <w:numPr>
          <w:ilvl w:val="0"/>
          <w:numId w:val="9"/>
        </w:numPr>
        <w:rPr>
          <w:rFonts w:ascii="Arial" w:cs="Arial" w:eastAsia="Arial" w:hAnsi="Arial"/>
          <w:sz w:val="19"/>
          <w:szCs w:val="19"/>
          <w:color w:val="auto"/>
        </w:rPr>
      </w:pPr>
      <w:r>
        <w:rPr>
          <w:rFonts w:ascii="Arial" w:cs="Arial" w:eastAsia="Arial" w:hAnsi="Arial"/>
          <w:sz w:val="19"/>
          <w:szCs w:val="19"/>
          <w:color w:val="auto"/>
        </w:rPr>
        <w:t>business days prior to the date of the meeting or, if practicable, any adjournment, recess, rescheduling or postponement thereof (or, if not practicable, on the first practicable date prior to the date to which the meeting has been adjourned, recessed, rescheduled, or postponed) reasonable evidence that it has complied with the requirements of Rule 14a-19 of the 1934 Act.</w:t>
      </w:r>
    </w:p>
    <w:p>
      <w:pPr>
        <w:spacing w:after="0" w:line="141" w:lineRule="exact"/>
        <w:rPr>
          <w:rFonts w:ascii="Arial" w:cs="Arial" w:eastAsia="Arial" w:hAnsi="Arial"/>
          <w:sz w:val="19"/>
          <w:szCs w:val="19"/>
          <w:color w:val="auto"/>
        </w:rPr>
      </w:pPr>
    </w:p>
    <w:p>
      <w:pPr>
        <w:ind w:firstLine="1304"/>
        <w:spacing w:after="0" w:line="220" w:lineRule="auto"/>
        <w:tabs>
          <w:tab w:leader="none" w:pos="1776" w:val="left"/>
        </w:tabs>
        <w:numPr>
          <w:ilvl w:val="1"/>
          <w:numId w:val="9"/>
        </w:numPr>
        <w:rPr>
          <w:rFonts w:ascii="Arial" w:cs="Arial" w:eastAsia="Arial" w:hAnsi="Arial"/>
          <w:sz w:val="21"/>
          <w:szCs w:val="21"/>
          <w:b w:val="1"/>
          <w:bCs w:val="1"/>
          <w:color w:val="010000"/>
        </w:rPr>
      </w:pPr>
      <w:r>
        <w:rPr>
          <w:rFonts w:ascii="Arial" w:cs="Arial" w:eastAsia="Arial" w:hAnsi="Arial"/>
          <w:sz w:val="21"/>
          <w:szCs w:val="21"/>
          <w:color w:val="auto"/>
        </w:rPr>
        <w:t>Notwithstanding anything in Section 5(b)(iii)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5(b)(iii), a stockholder’s notice required by this Section 5 and which complies with the requirements in Section 5(b)(i), other than the timing requirements in Section 5(b)(iii),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“Expiring Class” shall mean a class of directors whose term shall expire at the next annual meeting of stockholders.</w:t>
      </w:r>
    </w:p>
    <w:p>
      <w:pPr>
        <w:spacing w:after="0" w:line="162" w:lineRule="exact"/>
        <w:rPr>
          <w:rFonts w:ascii="Arial" w:cs="Arial" w:eastAsia="Arial" w:hAnsi="Arial"/>
          <w:sz w:val="21"/>
          <w:szCs w:val="21"/>
          <w:b w:val="1"/>
          <w:bCs w:val="1"/>
          <w:color w:val="010000"/>
        </w:rPr>
      </w:pPr>
    </w:p>
    <w:p>
      <w:pPr>
        <w:ind w:right="80" w:firstLine="1304"/>
        <w:spacing w:after="0" w:line="242" w:lineRule="auto"/>
        <w:tabs>
          <w:tab w:leader="none" w:pos="1752" w:val="left"/>
        </w:tabs>
        <w:numPr>
          <w:ilvl w:val="1"/>
          <w:numId w:val="9"/>
        </w:numPr>
        <w:rPr>
          <w:rFonts w:ascii="Arial" w:cs="Arial" w:eastAsia="Arial" w:hAnsi="Arial"/>
          <w:sz w:val="19"/>
          <w:szCs w:val="19"/>
          <w:b w:val="1"/>
          <w:bCs w:val="1"/>
          <w:color w:val="010000"/>
        </w:rPr>
      </w:pPr>
      <w:r>
        <w:rPr>
          <w:rFonts w:ascii="Arial" w:cs="Arial" w:eastAsia="Arial" w:hAnsi="Arial"/>
          <w:sz w:val="19"/>
          <w:szCs w:val="19"/>
          <w:color w:val="auto"/>
        </w:rPr>
        <w:t>A person shall not be eligible for election or re-election as a director, unless the person is nominated in accordance with either clause (ii) or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nominations or such business may have been solicited or received. Notwithstanding the foregoing provisions of this Section 5, unless otherwise required by applicable law, if the stockholder (or a qualified representative of the stockholder) does not appear at the annual meeting of stockholders of the corporation to present a nomination or proposed business, such nomination shall be disregarded and such proposed business shall not be transacted, notwithstanding that such nomination or proposed business is set forth in the corporation’s proxy statement, notice of meeting or other proxy materials and notwithstanding that proxies or votes in respect of such vote may have been solicited or received by the Corporation.</w:t>
      </w:r>
    </w:p>
    <w:p>
      <w:pPr>
        <w:spacing w:after="0" w:line="160" w:lineRule="exact"/>
        <w:rPr>
          <w:rFonts w:ascii="Arial" w:cs="Arial" w:eastAsia="Arial" w:hAnsi="Arial"/>
          <w:sz w:val="19"/>
          <w:szCs w:val="19"/>
          <w:b w:val="1"/>
          <w:bCs w:val="1"/>
          <w:color w:val="010000"/>
        </w:rPr>
      </w:pPr>
    </w:p>
    <w:p>
      <w:pPr>
        <w:ind w:right="40" w:firstLine="1304"/>
        <w:spacing w:after="0" w:line="222" w:lineRule="auto"/>
        <w:tabs>
          <w:tab w:leader="none" w:pos="1728" w:val="left"/>
        </w:tabs>
        <w:numPr>
          <w:ilvl w:val="1"/>
          <w:numId w:val="9"/>
        </w:numPr>
        <w:rPr>
          <w:rFonts w:ascii="Arial" w:cs="Arial" w:eastAsia="Arial" w:hAnsi="Arial"/>
          <w:sz w:val="21"/>
          <w:szCs w:val="21"/>
          <w:b w:val="1"/>
          <w:bCs w:val="1"/>
          <w:color w:val="010000"/>
        </w:rPr>
      </w:pPr>
      <w:r>
        <w:rPr>
          <w:rFonts w:ascii="Arial" w:cs="Arial" w:eastAsia="Arial" w:hAnsi="Arial"/>
          <w:sz w:val="21"/>
          <w:szCs w:val="21"/>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164" w:lineRule="exact"/>
        <w:rPr>
          <w:rFonts w:ascii="Arial" w:cs="Arial" w:eastAsia="Arial" w:hAnsi="Arial"/>
          <w:sz w:val="21"/>
          <w:szCs w:val="21"/>
          <w:b w:val="1"/>
          <w:bCs w:val="1"/>
          <w:color w:val="010000"/>
        </w:rPr>
      </w:pPr>
    </w:p>
    <w:p>
      <w:pPr>
        <w:ind w:left="1780" w:hanging="476"/>
        <w:spacing w:after="0"/>
        <w:tabs>
          <w:tab w:leader="none" w:pos="1780" w:val="left"/>
        </w:tabs>
        <w:numPr>
          <w:ilvl w:val="1"/>
          <w:numId w:val="9"/>
        </w:numPr>
        <w:rPr>
          <w:rFonts w:ascii="Arial" w:cs="Arial" w:eastAsia="Arial" w:hAnsi="Arial"/>
          <w:sz w:val="22"/>
          <w:szCs w:val="22"/>
          <w:b w:val="1"/>
          <w:bCs w:val="1"/>
          <w:color w:val="010000"/>
        </w:rPr>
      </w:pPr>
      <w:r>
        <w:rPr>
          <w:rFonts w:ascii="Arial" w:cs="Arial" w:eastAsia="Arial" w:hAnsi="Arial"/>
          <w:sz w:val="22"/>
          <w:szCs w:val="22"/>
          <w:color w:val="auto"/>
        </w:rPr>
        <w:t>For purposes of Sections 5 and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01" w:right="379" w:bottom="1440" w:gutter="0" w:footer="0" w:header="0"/>
        </w:sectPr>
      </w:pPr>
    </w:p>
    <w:bookmarkStart w:id="10" w:name="page11"/>
    <w:bookmarkEnd w:id="10"/>
    <w:p>
      <w:pPr>
        <w:ind w:left="-8" w:right="440" w:firstLine="1952"/>
        <w:spacing w:after="0" w:line="234" w:lineRule="auto"/>
        <w:tabs>
          <w:tab w:leader="none" w:pos="2356" w:val="left"/>
        </w:tabs>
        <w:numPr>
          <w:ilvl w:val="0"/>
          <w:numId w:val="10"/>
        </w:numPr>
        <w:rPr>
          <w:rFonts w:ascii="Arial" w:cs="Arial" w:eastAsia="Arial" w:hAnsi="Arial"/>
          <w:sz w:val="21"/>
          <w:szCs w:val="21"/>
          <w:b w:val="1"/>
          <w:bCs w:val="1"/>
          <w:color w:val="010000"/>
        </w:rPr>
      </w:pPr>
      <w:r>
        <w:rPr>
          <w:rFonts w:ascii="Arial" w:cs="Arial" w:eastAsia="Arial" w:hAnsi="Arial"/>
          <w:sz w:val="21"/>
          <w:szCs w:val="21"/>
          <w:color w:val="auto"/>
        </w:rPr>
        <w:t>“public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157" w:lineRule="exact"/>
        <w:rPr>
          <w:rFonts w:ascii="Arial" w:cs="Arial" w:eastAsia="Arial" w:hAnsi="Arial"/>
          <w:sz w:val="21"/>
          <w:szCs w:val="21"/>
          <w:b w:val="1"/>
          <w:bCs w:val="1"/>
          <w:color w:val="010000"/>
        </w:rPr>
      </w:pPr>
    </w:p>
    <w:p>
      <w:pPr>
        <w:ind w:left="-8" w:right="20" w:firstLine="1952"/>
        <w:spacing w:after="0" w:line="232" w:lineRule="auto"/>
        <w:tabs>
          <w:tab w:leader="none" w:pos="2416" w:val="left"/>
        </w:tabs>
        <w:numPr>
          <w:ilvl w:val="0"/>
          <w:numId w:val="10"/>
        </w:numPr>
        <w:rPr>
          <w:rFonts w:ascii="Arial" w:cs="Arial" w:eastAsia="Arial" w:hAnsi="Arial"/>
          <w:sz w:val="22"/>
          <w:szCs w:val="22"/>
          <w:b w:val="1"/>
          <w:bCs w:val="1"/>
          <w:color w:val="010000"/>
        </w:rPr>
      </w:pPr>
      <w:r>
        <w:rPr>
          <w:rFonts w:ascii="Arial" w:cs="Arial" w:eastAsia="Arial" w:hAnsi="Arial"/>
          <w:sz w:val="22"/>
          <w:szCs w:val="22"/>
          <w:color w:val="auto"/>
        </w:rPr>
        <w:t>“affiliates” and “associates” shall have the meanings set forth in Rule 405 under the Securities Act of 1933, as amended (the “</w:t>
      </w:r>
      <w:r>
        <w:rPr>
          <w:rFonts w:ascii="Arial" w:cs="Arial" w:eastAsia="Arial" w:hAnsi="Arial"/>
          <w:sz w:val="22"/>
          <w:szCs w:val="22"/>
          <w:u w:val="single" w:color="auto"/>
          <w:color w:val="auto"/>
        </w:rPr>
        <w:t>1933 Act</w:t>
      </w:r>
      <w:r>
        <w:rPr>
          <w:rFonts w:ascii="Arial" w:cs="Arial" w:eastAsia="Arial" w:hAnsi="Arial"/>
          <w:sz w:val="22"/>
          <w:szCs w:val="22"/>
          <w:color w:val="auto"/>
        </w:rPr>
        <w:t>”).</w:t>
      </w:r>
    </w:p>
    <w:p>
      <w:pPr>
        <w:spacing w:after="0" w:line="153" w:lineRule="exact"/>
        <w:rPr>
          <w:sz w:val="20"/>
          <w:szCs w:val="20"/>
          <w:color w:val="auto"/>
        </w:rPr>
      </w:pPr>
    </w:p>
    <w:p>
      <w:pPr>
        <w:ind w:left="652"/>
        <w:spacing w:after="0"/>
        <w:tabs>
          <w:tab w:leader="none" w:pos="1732" w:val="left"/>
        </w:tabs>
        <w:rPr>
          <w:sz w:val="20"/>
          <w:szCs w:val="20"/>
          <w:color w:val="auto"/>
        </w:rPr>
      </w:pPr>
      <w:r>
        <w:rPr>
          <w:rFonts w:ascii="Arial" w:cs="Arial" w:eastAsia="Arial" w:hAnsi="Arial"/>
          <w:sz w:val="22"/>
          <w:szCs w:val="22"/>
          <w:b w:val="1"/>
          <w:bCs w:val="1"/>
          <w:color w:val="010000"/>
        </w:rPr>
        <w:t>Section 6.</w:t>
      </w:r>
      <w:r>
        <w:rPr>
          <w:sz w:val="20"/>
          <w:szCs w:val="20"/>
          <w:color w:val="auto"/>
        </w:rPr>
        <w:tab/>
      </w:r>
      <w:r>
        <w:rPr>
          <w:rFonts w:ascii="Arial" w:cs="Arial" w:eastAsia="Arial" w:hAnsi="Arial"/>
          <w:sz w:val="19"/>
          <w:szCs w:val="19"/>
          <w:b w:val="1"/>
          <w:bCs w:val="1"/>
          <w:color w:val="auto"/>
        </w:rPr>
        <w:t>Special Meetings</w:t>
      </w:r>
      <w:r>
        <w:rPr>
          <w:rFonts w:ascii="Arial" w:cs="Arial" w:eastAsia="Arial" w:hAnsi="Arial"/>
          <w:sz w:val="19"/>
          <w:szCs w:val="19"/>
          <w:color w:val="auto"/>
        </w:rPr>
        <w:t>.</w:t>
      </w:r>
    </w:p>
    <w:p>
      <w:pPr>
        <w:spacing w:after="0" w:line="185" w:lineRule="exact"/>
        <w:rPr>
          <w:sz w:val="20"/>
          <w:szCs w:val="20"/>
          <w:color w:val="auto"/>
        </w:rPr>
      </w:pPr>
    </w:p>
    <w:p>
      <w:pPr>
        <w:ind w:left="-8" w:right="140" w:firstLine="1304"/>
        <w:spacing w:after="0" w:line="247" w:lineRule="auto"/>
        <w:tabs>
          <w:tab w:leader="none" w:pos="1756" w:val="left"/>
        </w:tabs>
        <w:numPr>
          <w:ilvl w:val="1"/>
          <w:numId w:val="11"/>
        </w:numPr>
        <w:rPr>
          <w:rFonts w:ascii="Arial" w:cs="Arial" w:eastAsia="Arial" w:hAnsi="Arial"/>
          <w:sz w:val="19"/>
          <w:szCs w:val="19"/>
          <w:b w:val="1"/>
          <w:bCs w:val="1"/>
          <w:color w:val="010000"/>
        </w:rPr>
      </w:pPr>
      <w:r>
        <w:rPr>
          <w:rFonts w:ascii="Arial" w:cs="Arial" w:eastAsia="Arial" w:hAnsi="Arial"/>
          <w:sz w:val="19"/>
          <w:szCs w:val="19"/>
          <w:color w:val="auto"/>
        </w:rPr>
        <w:t>Special meetings of the stockholders of the corporation may be called, for any purpose as is a proper matter for stockholder action under Delaware law, by (i) the Chairman of the Board of Directors, (ii) the Chief Executive Officer, or</w:t>
      </w:r>
    </w:p>
    <w:p>
      <w:pPr>
        <w:ind w:left="-8" w:right="80" w:firstLine="8"/>
        <w:spacing w:after="0" w:line="217" w:lineRule="auto"/>
        <w:tabs>
          <w:tab w:leader="none" w:pos="37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59" w:lineRule="exact"/>
        <w:rPr>
          <w:rFonts w:ascii="Arial" w:cs="Arial" w:eastAsia="Arial" w:hAnsi="Arial"/>
          <w:sz w:val="22"/>
          <w:szCs w:val="22"/>
          <w:color w:val="auto"/>
        </w:rPr>
      </w:pPr>
    </w:p>
    <w:p>
      <w:pPr>
        <w:ind w:left="-8" w:right="560" w:firstLine="1304"/>
        <w:spacing w:after="0" w:line="218" w:lineRule="auto"/>
        <w:tabs>
          <w:tab w:leader="none" w:pos="1768" w:val="left"/>
        </w:tabs>
        <w:numPr>
          <w:ilvl w:val="1"/>
          <w:numId w:val="12"/>
        </w:numPr>
        <w:rPr>
          <w:rFonts w:ascii="Arial" w:cs="Arial" w:eastAsia="Arial" w:hAnsi="Arial"/>
          <w:sz w:val="22"/>
          <w:szCs w:val="22"/>
          <w:b w:val="1"/>
          <w:bCs w:val="1"/>
          <w:color w:val="010000"/>
        </w:rPr>
      </w:pPr>
      <w:r>
        <w:rPr>
          <w:rFonts w:ascii="Arial" w:cs="Arial" w:eastAsia="Arial" w:hAnsi="Arial"/>
          <w:sz w:val="22"/>
          <w:szCs w:val="22"/>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w:t>
      </w:r>
    </w:p>
    <w:p>
      <w:pPr>
        <w:spacing w:after="0" w:line="160" w:lineRule="exact"/>
        <w:rPr>
          <w:rFonts w:ascii="Arial" w:cs="Arial" w:eastAsia="Arial" w:hAnsi="Arial"/>
          <w:sz w:val="22"/>
          <w:szCs w:val="22"/>
          <w:b w:val="1"/>
          <w:bCs w:val="1"/>
          <w:color w:val="010000"/>
        </w:rPr>
      </w:pPr>
    </w:p>
    <w:p>
      <w:pPr>
        <w:ind w:left="-8" w:firstLine="1304"/>
        <w:spacing w:after="0"/>
        <w:tabs>
          <w:tab w:leader="none" w:pos="1744" w:val="left"/>
        </w:tabs>
        <w:numPr>
          <w:ilvl w:val="1"/>
          <w:numId w:val="12"/>
        </w:numPr>
        <w:rPr>
          <w:rFonts w:ascii="Arial" w:cs="Arial" w:eastAsia="Arial" w:hAnsi="Arial"/>
          <w:sz w:val="19"/>
          <w:szCs w:val="19"/>
          <w:b w:val="1"/>
          <w:bCs w:val="1"/>
          <w:color w:val="010000"/>
        </w:rPr>
      </w:pPr>
      <w:r>
        <w:rPr>
          <w:rFonts w:ascii="Arial" w:cs="Arial" w:eastAsia="Arial" w:hAnsi="Arial"/>
          <w:sz w:val="19"/>
          <w:szCs w:val="19"/>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complies with Section 5(b)(i), 5(b)(iv), 5(c), and 5(e). The number of nominees a stockholder may nominate for election at the special meeting on its own behalf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and 5(b)(iv) of these Bylaws shall be received by the Secretary at the principal executive offices of the corporation not later than the close of business on the later of the one hundred twentieth (120th) day prior to such meeting or the tenth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w:t>
      </w:r>
    </w:p>
    <w:p>
      <w:pPr>
        <w:spacing w:after="0" w:line="389" w:lineRule="exact"/>
        <w:rPr>
          <w:rFonts w:ascii="Arial" w:cs="Arial" w:eastAsia="Arial" w:hAnsi="Arial"/>
          <w:sz w:val="19"/>
          <w:szCs w:val="19"/>
          <w:b w:val="1"/>
          <w:bCs w:val="1"/>
          <w:color w:val="010000"/>
        </w:rPr>
      </w:pPr>
    </w:p>
    <w:p>
      <w:pPr>
        <w:ind w:left="-8" w:right="80" w:firstLine="1304"/>
        <w:spacing w:after="0" w:line="216" w:lineRule="auto"/>
        <w:tabs>
          <w:tab w:leader="none" w:pos="1768" w:val="left"/>
        </w:tabs>
        <w:numPr>
          <w:ilvl w:val="1"/>
          <w:numId w:val="12"/>
        </w:numPr>
        <w:rPr>
          <w:rFonts w:ascii="Arial" w:cs="Arial" w:eastAsia="Arial" w:hAnsi="Arial"/>
          <w:sz w:val="22"/>
          <w:szCs w:val="22"/>
          <w:b w:val="1"/>
          <w:bCs w:val="1"/>
          <w:color w:val="010000"/>
        </w:rPr>
      </w:pPr>
      <w:r>
        <w:rPr>
          <w:rFonts w:ascii="Arial" w:cs="Arial" w:eastAsia="Arial" w:hAnsi="Arial"/>
          <w:sz w:val="22"/>
          <w:szCs w:val="22"/>
          <w:color w:val="auto"/>
        </w:rPr>
        <w:t>A person shall not be eligible for election as a director at the special meeting unless the person is nominated either in accordance with clause (i) or clause (ii) of Section 6(c). Except as otherwise required by applicable law, the chairperson of the meeting shall have the power and duty to determine whether a nomination was made in accordance with the procedures and requirements set forth in the Bylaws and, if any proposed nomination is not in compliance with the Bylaws, or if the Proponent does not act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92"/>
          </w:cols>
          <w:pgMar w:left="328" w:top="1401" w:right="379" w:bottom="1440" w:gutter="0" w:footer="0" w:header="0"/>
        </w:sectPr>
      </w:pPr>
    </w:p>
    <w:bookmarkStart w:id="11" w:name="page12"/>
    <w:bookmarkEnd w:id="11"/>
    <w:p>
      <w:pPr>
        <w:ind w:right="20"/>
        <w:spacing w:after="0" w:line="246" w:lineRule="auto"/>
        <w:rPr>
          <w:sz w:val="20"/>
          <w:szCs w:val="20"/>
          <w:color w:val="auto"/>
        </w:rPr>
      </w:pPr>
      <w:r>
        <w:rPr>
          <w:rFonts w:ascii="Arial" w:cs="Arial" w:eastAsia="Arial" w:hAnsi="Arial"/>
          <w:sz w:val="19"/>
          <w:szCs w:val="19"/>
          <w:color w:val="auto"/>
        </w:rPr>
        <w:t>representations required in Section 5, to declare that such nomination shall not be presented for stockholder action at the meeting and shall be disregarded, notwithstanding that such nomination is set forth in the corporation’s proxy statement, notice of meeting or other proxy materials and notwithstanding that proxies or votes in respect of such nomination may have been solicited or received. Notwithstanding the foregoing provisions of this Section 6, unless otherwise required by applicable law, if the stockholder (or a qualified representative of the stockholder) does not appear at the special meeting of stockholders of the corporation to present a nomination, such nomination shall be disregarded, notwithstanding that the nomination is set forth in the corporation’s proxy statement, notice of meeting or other proxy materials and notwithstanding that proxies or votes in respect of such nomination may have been solicited or received by the corporation.</w:t>
      </w:r>
    </w:p>
    <w:p>
      <w:pPr>
        <w:spacing w:after="0" w:line="152" w:lineRule="exact"/>
        <w:rPr>
          <w:sz w:val="20"/>
          <w:szCs w:val="20"/>
          <w:color w:val="auto"/>
        </w:rPr>
      </w:pPr>
    </w:p>
    <w:p>
      <w:pPr>
        <w:ind w:right="40" w:firstLine="1304"/>
        <w:spacing w:after="0" w:line="249" w:lineRule="auto"/>
        <w:tabs>
          <w:tab w:leader="none" w:pos="1752" w:val="left"/>
        </w:tabs>
        <w:numPr>
          <w:ilvl w:val="0"/>
          <w:numId w:val="13"/>
        </w:numPr>
        <w:rPr>
          <w:rFonts w:ascii="Arial" w:cs="Arial" w:eastAsia="Arial" w:hAnsi="Arial"/>
          <w:sz w:val="19"/>
          <w:szCs w:val="19"/>
          <w:b w:val="1"/>
          <w:bCs w:val="1"/>
          <w:color w:val="010000"/>
        </w:rPr>
      </w:pPr>
      <w:r>
        <w:rPr>
          <w:rFonts w:ascii="Arial" w:cs="Arial" w:eastAsia="Arial" w:hAnsi="Arial"/>
          <w:sz w:val="19"/>
          <w:szCs w:val="19"/>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references in these Bylaws to the 1934 Act or the rules and regulations thereunder are not intended to and shall not limit the requirements applicable to nominations for the election to the Board of Directors to be considered pursuant to Section 6(c) of these Bylaws.</w:t>
      </w:r>
    </w:p>
    <w:p>
      <w:pPr>
        <w:spacing w:after="0" w:line="146"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b w:val="1"/>
          <w:bCs w:val="1"/>
          <w:color w:val="010000"/>
        </w:rPr>
        <w:t xml:space="preserve">Section 7. </w:t>
      </w:r>
      <w:r>
        <w:rPr>
          <w:rFonts w:ascii="Arial" w:cs="Arial" w:eastAsia="Arial" w:hAnsi="Arial"/>
          <w:sz w:val="19"/>
          <w:szCs w:val="19"/>
          <w:b w:val="1"/>
          <w:bCs w:val="1"/>
          <w:color w:val="000000"/>
        </w:rPr>
        <w:t>Notice of Meetings</w:t>
      </w:r>
      <w:r>
        <w:rPr>
          <w:rFonts w:ascii="Arial" w:cs="Arial" w:eastAsia="Arial" w:hAnsi="Arial"/>
          <w:sz w:val="19"/>
          <w:szCs w:val="19"/>
          <w:color w:val="000000"/>
        </w:rPr>
        <w:t>. Except as otherwise provided by law, notice, given in writing or by electronic</w:t>
      </w:r>
      <w:r>
        <w:rPr>
          <w:rFonts w:ascii="Arial" w:cs="Arial" w:eastAsia="Arial" w:hAnsi="Arial"/>
          <w:sz w:val="19"/>
          <w:szCs w:val="19"/>
          <w:b w:val="1"/>
          <w:bCs w:val="1"/>
          <w:color w:val="010000"/>
        </w:rPr>
        <w:t xml:space="preserve"> </w:t>
      </w:r>
      <w:r>
        <w:rPr>
          <w:rFonts w:ascii="Arial" w:cs="Arial" w:eastAsia="Arial" w:hAnsi="Arial"/>
          <w:sz w:val="19"/>
          <w:szCs w:val="19"/>
          <w:color w:val="000000"/>
        </w:rPr>
        <w:t>transmission, of each meeting of stockholders shall be given not less than ten (10) nor more than sixty (60) days before the date of the meeting to each stockholder entitled to vote at such meeting, such notice to specify the place, if any, date and hour, the record date for determining the stockholders entitled to vote at the meeting (if such date is different from the record date for stockholders entitled to notice of the meeting),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If notice is given by electronic transmission, such notice shall be deemed to be given at the times provided in the DGCL.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51" w:lineRule="exact"/>
        <w:rPr>
          <w:sz w:val="20"/>
          <w:szCs w:val="20"/>
          <w:color w:val="auto"/>
        </w:rPr>
      </w:pPr>
    </w:p>
    <w:p>
      <w:pPr>
        <w:ind w:firstLine="648"/>
        <w:spacing w:after="0" w:line="245" w:lineRule="auto"/>
        <w:rPr>
          <w:sz w:val="20"/>
          <w:szCs w:val="20"/>
          <w:color w:val="auto"/>
        </w:rPr>
      </w:pPr>
      <w:r>
        <w:rPr>
          <w:rFonts w:ascii="Arial" w:cs="Arial" w:eastAsia="Arial" w:hAnsi="Arial"/>
          <w:sz w:val="19"/>
          <w:szCs w:val="19"/>
          <w:b w:val="1"/>
          <w:bCs w:val="1"/>
          <w:color w:val="010000"/>
        </w:rPr>
        <w:t xml:space="preserve">Section 8. </w:t>
      </w:r>
      <w:r>
        <w:rPr>
          <w:rFonts w:ascii="Arial" w:cs="Arial" w:eastAsia="Arial" w:hAnsi="Arial"/>
          <w:sz w:val="19"/>
          <w:szCs w:val="19"/>
          <w:b w:val="1"/>
          <w:bCs w:val="1"/>
          <w:color w:val="000000"/>
        </w:rPr>
        <w:t>Quorum</w:t>
      </w:r>
      <w:r>
        <w:rPr>
          <w:rFonts w:ascii="Arial" w:cs="Arial" w:eastAsia="Arial" w:hAnsi="Arial"/>
          <w:sz w:val="19"/>
          <w:szCs w:val="19"/>
          <w:color w:val="000000"/>
        </w:rPr>
        <w:t>. At all meetings of stockholders, except where otherwise provided by statute or by the Certificate of</w:t>
      </w:r>
      <w:r>
        <w:rPr>
          <w:rFonts w:ascii="Arial" w:cs="Arial" w:eastAsia="Arial" w:hAnsi="Arial"/>
          <w:sz w:val="19"/>
          <w:szCs w:val="19"/>
          <w:b w:val="1"/>
          <w:bCs w:val="1"/>
          <w:color w:val="010000"/>
        </w:rPr>
        <w:t xml:space="preserve"> </w:t>
      </w:r>
      <w:r>
        <w:rPr>
          <w:rFonts w:ascii="Arial" w:cs="Arial" w:eastAsia="Arial" w:hAnsi="Arial"/>
          <w:sz w:val="19"/>
          <w:szCs w:val="19"/>
          <w:color w:val="000000"/>
        </w:rPr>
        <w:t>Incorporation, or by 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12" w:name="page13"/>
    <w:bookmarkEnd w:id="12"/>
    <w:p>
      <w:pPr>
        <w:ind w:right="40"/>
        <w:spacing w:after="0" w:line="219" w:lineRule="auto"/>
        <w:rPr>
          <w:sz w:val="20"/>
          <w:szCs w:val="20"/>
          <w:color w:val="auto"/>
        </w:rPr>
      </w:pPr>
      <w:r>
        <w:rPr>
          <w:rFonts w:ascii="Arial" w:cs="Arial" w:eastAsia="Arial" w:hAnsi="Arial"/>
          <w:sz w:val="21"/>
          <w:szCs w:val="21"/>
          <w:color w:val="auto"/>
        </w:rPr>
        <w:t>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b w:val="1"/>
          <w:bCs w:val="1"/>
          <w:color w:val="010000"/>
        </w:rPr>
        <w:t xml:space="preserve">Section 9. </w:t>
      </w:r>
      <w:r>
        <w:rPr>
          <w:rFonts w:ascii="Arial" w:cs="Arial" w:eastAsia="Arial" w:hAnsi="Arial"/>
          <w:sz w:val="19"/>
          <w:szCs w:val="19"/>
          <w:b w:val="1"/>
          <w:bCs w:val="1"/>
          <w:color w:val="000000"/>
        </w:rPr>
        <w:t>Adjournment and Notice of Adjourned Meetings</w:t>
      </w:r>
      <w:r>
        <w:rPr>
          <w:rFonts w:ascii="Arial" w:cs="Arial" w:eastAsia="Arial" w:hAnsi="Arial"/>
          <w:sz w:val="19"/>
          <w:szCs w:val="19"/>
          <w:color w:val="000000"/>
        </w:rPr>
        <w:t>. Any meeting of stockholders, whether annual or special,</w:t>
      </w:r>
      <w:r>
        <w:rPr>
          <w:rFonts w:ascii="Arial" w:cs="Arial" w:eastAsia="Arial" w:hAnsi="Arial"/>
          <w:sz w:val="19"/>
          <w:szCs w:val="19"/>
          <w:b w:val="1"/>
          <w:bCs w:val="1"/>
          <w:color w:val="010000"/>
        </w:rPr>
        <w:t xml:space="preserve"> </w:t>
      </w:r>
      <w:r>
        <w:rPr>
          <w:rFonts w:ascii="Arial" w:cs="Arial" w:eastAsia="Arial" w:hAnsi="Arial"/>
          <w:sz w:val="19"/>
          <w:szCs w:val="19"/>
          <w:color w:val="000000"/>
        </w:rPr>
        <w:t>may be adjourned from 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55"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b w:val="1"/>
          <w:bCs w:val="1"/>
          <w:color w:val="010000"/>
        </w:rPr>
        <w:t xml:space="preserve">Section 10. </w:t>
      </w:r>
      <w:r>
        <w:rPr>
          <w:rFonts w:ascii="Arial" w:cs="Arial" w:eastAsia="Arial" w:hAnsi="Arial"/>
          <w:sz w:val="19"/>
          <w:szCs w:val="19"/>
          <w:b w:val="1"/>
          <w:bCs w:val="1"/>
          <w:color w:val="000000"/>
        </w:rPr>
        <w:t>Voting Rights</w:t>
      </w:r>
      <w:r>
        <w:rPr>
          <w:rFonts w:ascii="Arial" w:cs="Arial" w:eastAsia="Arial" w:hAnsi="Arial"/>
          <w:sz w:val="19"/>
          <w:szCs w:val="19"/>
          <w:b w:val="1"/>
          <w:bCs w:val="1"/>
          <w:color w:val="010000"/>
        </w:rPr>
        <w:t xml:space="preserve">(a) </w:t>
      </w:r>
      <w:r>
        <w:rPr>
          <w:rFonts w:ascii="Arial" w:cs="Arial" w:eastAsia="Arial" w:hAnsi="Arial"/>
          <w:sz w:val="19"/>
          <w:szCs w:val="19"/>
          <w:color w:val="000000"/>
        </w:rPr>
        <w:t>. For the purpose of determining those stockholders entitled to vote at any meeting of</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stockholders, except as 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 Any stockholder directly or indirectly soliciting proxies from other stockholders must use a proxy card color other than white, which shall be reserved for the exclusive use by the Board of Directors.</w:t>
      </w:r>
    </w:p>
    <w:p>
      <w:pPr>
        <w:spacing w:after="0" w:line="152"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b w:val="1"/>
          <w:bCs w:val="1"/>
          <w:color w:val="010000"/>
        </w:rPr>
        <w:t xml:space="preserve">Section 11. </w:t>
      </w:r>
      <w:r>
        <w:rPr>
          <w:rFonts w:ascii="Arial" w:cs="Arial" w:eastAsia="Arial" w:hAnsi="Arial"/>
          <w:sz w:val="21"/>
          <w:szCs w:val="21"/>
          <w:b w:val="1"/>
          <w:bCs w:val="1"/>
          <w:color w:val="000000"/>
        </w:rPr>
        <w:t>Joint Owners of Stock</w:t>
      </w:r>
      <w:r>
        <w:rPr>
          <w:rFonts w:ascii="Arial" w:cs="Arial" w:eastAsia="Arial" w:hAnsi="Arial"/>
          <w:sz w:val="21"/>
          <w:szCs w:val="21"/>
          <w:color w:val="000000"/>
        </w:rPr>
        <w:t>. If shares or other securities having voting power stand of record in the names of</w:t>
      </w:r>
      <w:r>
        <w:rPr>
          <w:rFonts w:ascii="Arial" w:cs="Arial" w:eastAsia="Arial" w:hAnsi="Arial"/>
          <w:sz w:val="21"/>
          <w:szCs w:val="21"/>
          <w:b w:val="1"/>
          <w:bCs w:val="1"/>
          <w:color w:val="010000"/>
        </w:rPr>
        <w:t xml:space="preserve"> </w:t>
      </w:r>
      <w:r>
        <w:rPr>
          <w:rFonts w:ascii="Arial" w:cs="Arial" w:eastAsia="Arial" w:hAnsi="Arial"/>
          <w:sz w:val="21"/>
          <w:szCs w:val="21"/>
          <w:color w:val="000000"/>
        </w:rPr>
        <w:t>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3" w:name="page14"/>
    <w:bookmarkEnd w:id="13"/>
    <w:p>
      <w:pPr>
        <w:ind w:firstLine="648"/>
        <w:spacing w:after="0" w:line="243" w:lineRule="auto"/>
        <w:rPr>
          <w:sz w:val="20"/>
          <w:szCs w:val="20"/>
          <w:color w:val="auto"/>
        </w:rPr>
      </w:pPr>
      <w:r>
        <w:rPr>
          <w:rFonts w:ascii="Arial" w:cs="Arial" w:eastAsia="Arial" w:hAnsi="Arial"/>
          <w:sz w:val="19"/>
          <w:szCs w:val="19"/>
          <w:b w:val="1"/>
          <w:bCs w:val="1"/>
          <w:color w:val="010000"/>
        </w:rPr>
        <w:t xml:space="preserve">Section 12. </w:t>
      </w:r>
      <w:r>
        <w:rPr>
          <w:rFonts w:ascii="Arial" w:cs="Arial" w:eastAsia="Arial" w:hAnsi="Arial"/>
          <w:sz w:val="19"/>
          <w:szCs w:val="19"/>
          <w:b w:val="1"/>
          <w:bCs w:val="1"/>
          <w:color w:val="000000"/>
        </w:rPr>
        <w:t>List of Stockholders</w:t>
      </w:r>
      <w:r>
        <w:rPr>
          <w:rFonts w:ascii="Arial" w:cs="Arial" w:eastAsia="Arial" w:hAnsi="Arial"/>
          <w:sz w:val="19"/>
          <w:szCs w:val="19"/>
          <w:color w:val="000000"/>
        </w:rPr>
        <w:t>. The Secretary shall prepare and make, at least ten (10) days before every meeting of</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stockholders, a complete list of the stockholders entitled to vote at said meeting, arranged in alphabetical order, showing the address of each stockholder and the number of shares registered in the name of each stockholder;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xml:space="preserve">, if the record date for determining the stockholders entitled to vote is less than ten (10) days before the meeting date, the list shall reflect the stockholders entitled to vote as of the tenth (10th) day before the meeting date, arranged in alphabetical order, and showing the address of each stockholder and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(a) on a reasonably accessible electronic network, </w:t>
      </w:r>
      <w:r>
        <w:rPr>
          <w:rFonts w:ascii="Arial" w:cs="Arial" w:eastAsia="Arial" w:hAnsi="Arial"/>
          <w:sz w:val="19"/>
          <w:szCs w:val="19"/>
          <w:i w:val="1"/>
          <w:iCs w:val="1"/>
          <w:color w:val="000000"/>
        </w:rPr>
        <w:t xml:space="preserve">provided </w:t>
      </w:r>
      <w:r>
        <w:rPr>
          <w:rFonts w:ascii="Arial" w:cs="Arial" w:eastAsia="Arial" w:hAnsi="Arial"/>
          <w:sz w:val="19"/>
          <w:szCs w:val="19"/>
          <w:color w:val="000000"/>
        </w:rPr>
        <w:t>that the information required to gain access to such list is provided with the notice of the meeting, or (b) during ordinary</w:t>
      </w:r>
      <w:r>
        <w:rPr>
          <w:rFonts w:ascii="Arial" w:cs="Arial" w:eastAsia="Arial" w:hAnsi="Arial"/>
          <w:sz w:val="19"/>
          <w:szCs w:val="19"/>
          <w:i w:val="1"/>
          <w:iCs w:val="1"/>
          <w:color w:val="000000"/>
        </w:rPr>
        <w:t xml:space="preserve"> </w:t>
      </w:r>
      <w:r>
        <w:rPr>
          <w:rFonts w:ascii="Arial" w:cs="Arial" w:eastAsia="Arial" w:hAnsi="Arial"/>
          <w:sz w:val="19"/>
          <w:szCs w:val="19"/>
          <w:color w:val="000000"/>
        </w:rPr>
        <w:t>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5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13.</w:t>
      </w:r>
      <w:r>
        <w:rPr>
          <w:sz w:val="20"/>
          <w:szCs w:val="20"/>
          <w:color w:val="auto"/>
        </w:rPr>
        <w:tab/>
      </w:r>
      <w:r>
        <w:rPr>
          <w:rFonts w:ascii="Arial" w:cs="Arial" w:eastAsia="Arial" w:hAnsi="Arial"/>
          <w:sz w:val="19"/>
          <w:szCs w:val="19"/>
          <w:b w:val="1"/>
          <w:bCs w:val="1"/>
          <w:color w:val="auto"/>
        </w:rPr>
        <w:t>Action Without Meeting</w:t>
      </w:r>
      <w:r>
        <w:rPr>
          <w:rFonts w:ascii="Arial" w:cs="Arial" w:eastAsia="Arial" w:hAnsi="Arial"/>
          <w:sz w:val="19"/>
          <w:szCs w:val="19"/>
          <w:color w:val="auto"/>
        </w:rPr>
        <w:t>.</w:t>
      </w:r>
    </w:p>
    <w:p>
      <w:pPr>
        <w:spacing w:after="0" w:line="185" w:lineRule="exact"/>
        <w:rPr>
          <w:sz w:val="20"/>
          <w:szCs w:val="20"/>
          <w:color w:val="auto"/>
        </w:rPr>
      </w:pPr>
    </w:p>
    <w:p>
      <w:pPr>
        <w:ind w:right="200" w:firstLine="648"/>
        <w:spacing w:after="0" w:line="298" w:lineRule="auto"/>
        <w:rPr>
          <w:sz w:val="20"/>
          <w:szCs w:val="20"/>
          <w:color w:val="auto"/>
        </w:rPr>
      </w:pPr>
      <w:r>
        <w:rPr>
          <w:rFonts w:ascii="Arial" w:cs="Arial" w:eastAsia="Arial" w:hAnsi="Arial"/>
          <w:sz w:val="19"/>
          <w:szCs w:val="19"/>
          <w:color w:val="auto"/>
        </w:rPr>
        <w:t>No action shall be taken by the stockholders except at an annual or special meeting of stockholders called in accordance with these Bylaws, and no action shall be taken by the stockholders by written consent or by electronic transmission.</w:t>
      </w:r>
    </w:p>
    <w:p>
      <w:pPr>
        <w:spacing w:after="0" w:line="9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14.</w:t>
      </w:r>
      <w:r>
        <w:rPr>
          <w:sz w:val="20"/>
          <w:szCs w:val="20"/>
          <w:color w:val="auto"/>
        </w:rPr>
        <w:tab/>
      </w:r>
      <w:r>
        <w:rPr>
          <w:rFonts w:ascii="Arial" w:cs="Arial" w:eastAsia="Arial" w:hAnsi="Arial"/>
          <w:sz w:val="19"/>
          <w:szCs w:val="19"/>
          <w:b w:val="1"/>
          <w:bCs w:val="1"/>
          <w:color w:val="auto"/>
        </w:rPr>
        <w:t>Organization</w:t>
      </w:r>
      <w:r>
        <w:rPr>
          <w:rFonts w:ascii="Arial" w:cs="Arial" w:eastAsia="Arial" w:hAnsi="Arial"/>
          <w:sz w:val="19"/>
          <w:szCs w:val="19"/>
          <w:color w:val="auto"/>
        </w:rPr>
        <w:t>.</w:t>
      </w:r>
    </w:p>
    <w:p>
      <w:pPr>
        <w:spacing w:after="0" w:line="185" w:lineRule="exact"/>
        <w:rPr>
          <w:sz w:val="20"/>
          <w:szCs w:val="20"/>
          <w:color w:val="auto"/>
        </w:rPr>
      </w:pPr>
    </w:p>
    <w:p>
      <w:pPr>
        <w:ind w:right="140" w:firstLine="1304"/>
        <w:spacing w:after="0" w:line="257" w:lineRule="auto"/>
        <w:tabs>
          <w:tab w:leader="none" w:pos="1764" w:val="left"/>
        </w:tabs>
        <w:numPr>
          <w:ilvl w:val="0"/>
          <w:numId w:val="14"/>
        </w:numPr>
        <w:rPr>
          <w:rFonts w:ascii="Arial" w:cs="Arial" w:eastAsia="Arial" w:hAnsi="Arial"/>
          <w:sz w:val="19"/>
          <w:szCs w:val="19"/>
          <w:b w:val="1"/>
          <w:bCs w:val="1"/>
          <w:color w:val="010000"/>
        </w:rPr>
      </w:pPr>
      <w:r>
        <w:rPr>
          <w:rFonts w:ascii="Arial" w:cs="Arial" w:eastAsia="Arial" w:hAnsi="Arial"/>
          <w:sz w:val="19"/>
          <w:szCs w:val="19"/>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144" w:lineRule="exact"/>
        <w:rPr>
          <w:rFonts w:ascii="Arial" w:cs="Arial" w:eastAsia="Arial" w:hAnsi="Arial"/>
          <w:sz w:val="19"/>
          <w:szCs w:val="19"/>
          <w:b w:val="1"/>
          <w:bCs w:val="1"/>
          <w:color w:val="010000"/>
        </w:rPr>
      </w:pPr>
    </w:p>
    <w:p>
      <w:pPr>
        <w:ind w:right="80" w:firstLine="1304"/>
        <w:spacing w:after="0" w:line="242" w:lineRule="auto"/>
        <w:tabs>
          <w:tab w:leader="none" w:pos="1776" w:val="left"/>
        </w:tabs>
        <w:numPr>
          <w:ilvl w:val="0"/>
          <w:numId w:val="14"/>
        </w:numPr>
        <w:rPr>
          <w:rFonts w:ascii="Arial" w:cs="Arial" w:eastAsia="Arial" w:hAnsi="Arial"/>
          <w:sz w:val="19"/>
          <w:szCs w:val="19"/>
          <w:b w:val="1"/>
          <w:bCs w:val="1"/>
          <w:color w:val="010000"/>
        </w:rPr>
      </w:pPr>
      <w:r>
        <w:rPr>
          <w:rFonts w:ascii="Arial" w:cs="Arial" w:eastAsia="Arial" w:hAnsi="Arial"/>
          <w:sz w:val="19"/>
          <w:szCs w:val="19"/>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regulation of the opening and closing of the polls for balloting on matters which are to be voted on by ballot, and restrictions on the use of cell phones, audio, or video recording devices and similar devices at the meeting.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395"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010000"/>
        </w:rPr>
        <w:t>ARTICLE IV</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DIRECTORS</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9"/>
          <w:szCs w:val="19"/>
          <w:b w:val="1"/>
          <w:bCs w:val="1"/>
          <w:color w:val="010000"/>
        </w:rPr>
        <w:t xml:space="preserve">Section 15. </w:t>
      </w:r>
      <w:r>
        <w:rPr>
          <w:rFonts w:ascii="Arial" w:cs="Arial" w:eastAsia="Arial" w:hAnsi="Arial"/>
          <w:sz w:val="19"/>
          <w:szCs w:val="19"/>
          <w:b w:val="1"/>
          <w:bCs w:val="1"/>
          <w:color w:val="000000"/>
        </w:rPr>
        <w:t>Number and Term of Office</w:t>
      </w:r>
      <w:r>
        <w:rPr>
          <w:rFonts w:ascii="Arial" w:cs="Arial" w:eastAsia="Arial" w:hAnsi="Arial"/>
          <w:sz w:val="19"/>
          <w:szCs w:val="19"/>
          <w:color w:val="000000"/>
        </w:rPr>
        <w:t>. The authorized number of directors of the corporation shall be fixed in</w:t>
      </w:r>
      <w:r>
        <w:rPr>
          <w:rFonts w:ascii="Arial" w:cs="Arial" w:eastAsia="Arial" w:hAnsi="Arial"/>
          <w:sz w:val="19"/>
          <w:szCs w:val="19"/>
          <w:b w:val="1"/>
          <w:bCs w:val="1"/>
          <w:color w:val="010000"/>
        </w:rPr>
        <w:t xml:space="preserve"> </w:t>
      </w:r>
      <w:r>
        <w:rPr>
          <w:rFonts w:ascii="Arial" w:cs="Arial" w:eastAsia="Arial" w:hAnsi="Arial"/>
          <w:sz w:val="19"/>
          <w:szCs w:val="19"/>
          <w:color w:val="000000"/>
        </w:rPr>
        <w:t>accordance with the 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37"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b w:val="1"/>
          <w:bCs w:val="1"/>
          <w:color w:val="010000"/>
        </w:rPr>
        <w:t xml:space="preserve">Section 16. </w:t>
      </w:r>
      <w:r>
        <w:rPr>
          <w:rFonts w:ascii="Arial" w:cs="Arial" w:eastAsia="Arial" w:hAnsi="Arial"/>
          <w:sz w:val="22"/>
          <w:szCs w:val="22"/>
          <w:b w:val="1"/>
          <w:bCs w:val="1"/>
          <w:color w:val="000000"/>
        </w:rPr>
        <w:t>Powers</w:t>
      </w:r>
      <w:r>
        <w:rPr>
          <w:rFonts w:ascii="Arial" w:cs="Arial" w:eastAsia="Arial" w:hAnsi="Arial"/>
          <w:sz w:val="22"/>
          <w:szCs w:val="22"/>
          <w:color w:val="000000"/>
        </w:rPr>
        <w:t>. The business and affairs of the corporation shall be managed by or under the direction of the Board</w:t>
      </w:r>
      <w:r>
        <w:rPr>
          <w:rFonts w:ascii="Arial" w:cs="Arial" w:eastAsia="Arial" w:hAnsi="Arial"/>
          <w:sz w:val="22"/>
          <w:szCs w:val="22"/>
          <w:b w:val="1"/>
          <w:bCs w:val="1"/>
          <w:color w:val="010000"/>
        </w:rPr>
        <w:t xml:space="preserve"> </w:t>
      </w:r>
      <w:r>
        <w:rPr>
          <w:rFonts w:ascii="Arial" w:cs="Arial" w:eastAsia="Arial" w:hAnsi="Arial"/>
          <w:sz w:val="22"/>
          <w:szCs w:val="22"/>
          <w:color w:val="000000"/>
        </w:rPr>
        <w:t>of Directors, except as may be otherwise provided by statute or by the Certificate of Incorporation.</w:t>
      </w:r>
    </w:p>
    <w:p>
      <w:pPr>
        <w:spacing w:after="0" w:line="153"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b w:val="1"/>
          <w:bCs w:val="1"/>
          <w:color w:val="010000"/>
        </w:rPr>
        <w:t xml:space="preserve">Section 17. </w:t>
      </w:r>
      <w:r>
        <w:rPr>
          <w:rFonts w:ascii="Arial" w:cs="Arial" w:eastAsia="Arial" w:hAnsi="Arial"/>
          <w:sz w:val="19"/>
          <w:szCs w:val="19"/>
          <w:b w:val="1"/>
          <w:bCs w:val="1"/>
          <w:color w:val="000000"/>
        </w:rPr>
        <w:t>Classes of Directors</w:t>
      </w:r>
      <w:r>
        <w:rPr>
          <w:rFonts w:ascii="Arial" w:cs="Arial" w:eastAsia="Arial" w:hAnsi="Arial"/>
          <w:sz w:val="19"/>
          <w:szCs w:val="19"/>
          <w:color w:val="000000"/>
        </w:rPr>
        <w:t>. Subject to the rights of the holders of any series of Preferred Stock to elect additional</w:t>
      </w:r>
      <w:r>
        <w:rPr>
          <w:rFonts w:ascii="Arial" w:cs="Arial" w:eastAsia="Arial" w:hAnsi="Arial"/>
          <w:sz w:val="19"/>
          <w:szCs w:val="19"/>
          <w:b w:val="1"/>
          <w:bCs w:val="1"/>
          <w:color w:val="010000"/>
        </w:rPr>
        <w:t xml:space="preserve"> </w:t>
      </w:r>
      <w:r>
        <w:rPr>
          <w:rFonts w:ascii="Arial" w:cs="Arial" w:eastAsia="Arial" w:hAnsi="Arial"/>
          <w:sz w:val="19"/>
          <w:szCs w:val="19"/>
          <w:color w:val="000000"/>
        </w:rPr>
        <w:t>directors under specified circumstances, following the closing of the initial public offering pursuant to an effective registration statement under the 1933 Act covering the offer and sale of Common Stock of the corporation to the public (the “</w:t>
      </w:r>
      <w:r>
        <w:rPr>
          <w:rFonts w:ascii="Arial" w:cs="Arial" w:eastAsia="Arial" w:hAnsi="Arial"/>
          <w:sz w:val="19"/>
          <w:szCs w:val="19"/>
          <w:u w:val="single" w:color="auto"/>
          <w:color w:val="000000"/>
        </w:rPr>
        <w:t>Initial Public</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Offering</w:t>
      </w:r>
      <w:r>
        <w:rPr>
          <w:rFonts w:ascii="Arial" w:cs="Arial" w:eastAsia="Arial" w:hAnsi="Arial"/>
          <w:sz w:val="19"/>
          <w:szCs w:val="19"/>
          <w:color w:val="000000"/>
        </w:rPr>
        <w:t>”),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Initial Public Offering, the term of office of the Class II directors shall expire and Class II directors shall be elected for a full term of three years. At the third annual meeting of stockholders following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59" w:lineRule="exact"/>
        <w:rPr>
          <w:sz w:val="20"/>
          <w:szCs w:val="20"/>
          <w:color w:val="auto"/>
        </w:rPr>
      </w:pPr>
    </w:p>
    <w:p>
      <w:pPr>
        <w:ind w:right="200" w:firstLine="648"/>
        <w:spacing w:after="0" w:line="223" w:lineRule="auto"/>
        <w:rPr>
          <w:sz w:val="20"/>
          <w:szCs w:val="20"/>
          <w:color w:val="auto"/>
        </w:rPr>
      </w:pPr>
      <w:r>
        <w:rPr>
          <w:rFonts w:ascii="Arial" w:cs="Arial" w:eastAsia="Arial" w:hAnsi="Arial"/>
          <w:sz w:val="22"/>
          <w:szCs w:val="22"/>
          <w:color w:val="auto"/>
        </w:rPr>
        <w:t>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53" w:lineRule="exact"/>
        <w:rPr>
          <w:sz w:val="20"/>
          <w:szCs w:val="20"/>
          <w:color w:val="auto"/>
        </w:rPr>
      </w:pPr>
    </w:p>
    <w:p>
      <w:pPr>
        <w:ind w:right="80" w:firstLine="648"/>
        <w:spacing w:after="0" w:line="219" w:lineRule="auto"/>
        <w:rPr>
          <w:sz w:val="20"/>
          <w:szCs w:val="20"/>
          <w:color w:val="auto"/>
        </w:rPr>
      </w:pPr>
      <w:r>
        <w:rPr>
          <w:rFonts w:ascii="Arial" w:cs="Arial" w:eastAsia="Arial" w:hAnsi="Arial"/>
          <w:sz w:val="21"/>
          <w:szCs w:val="21"/>
          <w:b w:val="1"/>
          <w:bCs w:val="1"/>
          <w:color w:val="010000"/>
        </w:rPr>
        <w:t xml:space="preserve">Section 18. </w:t>
      </w:r>
      <w:r>
        <w:rPr>
          <w:rFonts w:ascii="Arial" w:cs="Arial" w:eastAsia="Arial" w:hAnsi="Arial"/>
          <w:sz w:val="21"/>
          <w:szCs w:val="21"/>
          <w:b w:val="1"/>
          <w:bCs w:val="1"/>
          <w:color w:val="000000"/>
        </w:rPr>
        <w:t>Vacancies</w:t>
      </w:r>
      <w:r>
        <w:rPr>
          <w:rFonts w:ascii="Arial" w:cs="Arial" w:eastAsia="Arial" w:hAnsi="Arial"/>
          <w:sz w:val="21"/>
          <w:szCs w:val="21"/>
          <w:color w:val="000000"/>
        </w:rPr>
        <w:t>. Unless otherwise provided in the Certificate of Incorporation, and subject to the rights of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w:t>
      </w:r>
      <w:r>
        <w:rPr>
          <w:rFonts w:ascii="Arial" w:cs="Arial" w:eastAsia="Arial" w:hAnsi="Arial"/>
          <w:sz w:val="21"/>
          <w:szCs w:val="21"/>
          <w:i w:val="1"/>
          <w:iCs w:val="1"/>
          <w:color w:val="000000"/>
        </w:rPr>
        <w:t>however</w:t>
      </w:r>
      <w:r>
        <w:rPr>
          <w:rFonts w:ascii="Arial" w:cs="Arial" w:eastAsia="Arial" w:hAnsi="Arial"/>
          <w:sz w:val="21"/>
          <w:szCs w:val="21"/>
          <w:color w:val="000000"/>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15" w:name="page16"/>
    <w:bookmarkEnd w:id="15"/>
    <w:p>
      <w:pPr>
        <w:ind w:right="80"/>
        <w:spacing w:after="0" w:line="232" w:lineRule="auto"/>
        <w:rPr>
          <w:sz w:val="20"/>
          <w:szCs w:val="20"/>
          <w:color w:val="auto"/>
        </w:rPr>
      </w:pPr>
      <w:r>
        <w:rPr>
          <w:rFonts w:ascii="Arial" w:cs="Arial" w:eastAsia="Arial" w:hAnsi="Arial"/>
          <w:sz w:val="22"/>
          <w:szCs w:val="22"/>
          <w:color w:val="auto"/>
        </w:rPr>
        <w:t>have been elected and qualified. A vacancy in the Board of Directors shall be deemed to exist under this Bylaw in the case of the death, removal or resignation of any director.</w:t>
      </w:r>
    </w:p>
    <w:p>
      <w:pPr>
        <w:spacing w:after="0" w:line="153" w:lineRule="exact"/>
        <w:rPr>
          <w:sz w:val="20"/>
          <w:szCs w:val="20"/>
          <w:color w:val="auto"/>
        </w:rPr>
      </w:pPr>
    </w:p>
    <w:p>
      <w:pPr>
        <w:ind w:right="80" w:firstLine="648"/>
        <w:spacing w:after="0" w:line="248" w:lineRule="auto"/>
        <w:rPr>
          <w:sz w:val="20"/>
          <w:szCs w:val="20"/>
          <w:color w:val="auto"/>
        </w:rPr>
      </w:pPr>
      <w:r>
        <w:rPr>
          <w:rFonts w:ascii="Arial" w:cs="Arial" w:eastAsia="Arial" w:hAnsi="Arial"/>
          <w:sz w:val="19"/>
          <w:szCs w:val="19"/>
          <w:b w:val="1"/>
          <w:bCs w:val="1"/>
          <w:color w:val="010000"/>
        </w:rPr>
        <w:t xml:space="preserve">Section 19. </w:t>
      </w:r>
      <w:r>
        <w:rPr>
          <w:rFonts w:ascii="Arial" w:cs="Arial" w:eastAsia="Arial" w:hAnsi="Arial"/>
          <w:sz w:val="19"/>
          <w:szCs w:val="19"/>
          <w:b w:val="1"/>
          <w:bCs w:val="1"/>
          <w:color w:val="000000"/>
        </w:rPr>
        <w:t>Resignation</w:t>
      </w:r>
      <w:r>
        <w:rPr>
          <w:rFonts w:ascii="Arial" w:cs="Arial" w:eastAsia="Arial" w:hAnsi="Arial"/>
          <w:sz w:val="19"/>
          <w:szCs w:val="19"/>
          <w:color w:val="000000"/>
        </w:rPr>
        <w:t>. Any director may resign at any time by delivering his or her notice in writing or by electronic</w:t>
      </w:r>
      <w:r>
        <w:rPr>
          <w:rFonts w:ascii="Arial" w:cs="Arial" w:eastAsia="Arial" w:hAnsi="Arial"/>
          <w:sz w:val="19"/>
          <w:szCs w:val="19"/>
          <w:b w:val="1"/>
          <w:bCs w:val="1"/>
          <w:color w:val="010000"/>
        </w:rPr>
        <w:t xml:space="preserve"> </w:t>
      </w:r>
      <w:r>
        <w:rPr>
          <w:rFonts w:ascii="Arial" w:cs="Arial" w:eastAsia="Arial" w:hAnsi="Arial"/>
          <w:sz w:val="19"/>
          <w:szCs w:val="19"/>
          <w:color w:val="000000"/>
        </w:rPr>
        <w:t>transmission to the 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4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20.</w:t>
      </w:r>
      <w:r>
        <w:rPr>
          <w:sz w:val="20"/>
          <w:szCs w:val="20"/>
          <w:color w:val="auto"/>
        </w:rPr>
        <w:tab/>
      </w:r>
      <w:r>
        <w:rPr>
          <w:rFonts w:ascii="Arial" w:cs="Arial" w:eastAsia="Arial" w:hAnsi="Arial"/>
          <w:sz w:val="19"/>
          <w:szCs w:val="19"/>
          <w:b w:val="1"/>
          <w:bCs w:val="1"/>
          <w:color w:val="auto"/>
        </w:rPr>
        <w:t>Removal</w:t>
      </w:r>
      <w:r>
        <w:rPr>
          <w:rFonts w:ascii="Arial" w:cs="Arial" w:eastAsia="Arial" w:hAnsi="Arial"/>
          <w:sz w:val="19"/>
          <w:szCs w:val="19"/>
          <w:color w:val="auto"/>
        </w:rPr>
        <w:t>.</w:t>
      </w:r>
    </w:p>
    <w:p>
      <w:pPr>
        <w:spacing w:after="0" w:line="185" w:lineRule="exact"/>
        <w:rPr>
          <w:sz w:val="20"/>
          <w:szCs w:val="20"/>
          <w:color w:val="auto"/>
        </w:rPr>
      </w:pPr>
    </w:p>
    <w:p>
      <w:pPr>
        <w:ind w:right="220" w:firstLine="1304"/>
        <w:spacing w:after="0" w:line="247" w:lineRule="auto"/>
        <w:tabs>
          <w:tab w:leader="none" w:pos="1764" w:val="left"/>
        </w:tabs>
        <w:numPr>
          <w:ilvl w:val="0"/>
          <w:numId w:val="15"/>
        </w:numPr>
        <w:rPr>
          <w:rFonts w:ascii="Arial" w:cs="Arial" w:eastAsia="Arial" w:hAnsi="Arial"/>
          <w:sz w:val="21"/>
          <w:szCs w:val="21"/>
          <w:b w:val="1"/>
          <w:bCs w:val="1"/>
          <w:color w:val="010000"/>
        </w:rPr>
      </w:pPr>
      <w:r>
        <w:rPr>
          <w:rFonts w:ascii="Arial" w:cs="Arial" w:eastAsia="Arial" w:hAnsi="Arial"/>
          <w:sz w:val="21"/>
          <w:szCs w:val="21"/>
          <w:color w:val="auto"/>
        </w:rPr>
        <w:t>Subject to the rights of holders of any series of Preferred Stock to elect additional directors under specified circumstances neither the Board of Directors nor any individual director may be removed without cause.</w:t>
      </w:r>
    </w:p>
    <w:p>
      <w:pPr>
        <w:spacing w:after="0" w:line="150" w:lineRule="exact"/>
        <w:rPr>
          <w:rFonts w:ascii="Arial" w:cs="Arial" w:eastAsia="Arial" w:hAnsi="Arial"/>
          <w:sz w:val="21"/>
          <w:szCs w:val="21"/>
          <w:b w:val="1"/>
          <w:bCs w:val="1"/>
          <w:color w:val="010000"/>
        </w:rPr>
      </w:pPr>
    </w:p>
    <w:p>
      <w:pPr>
        <w:ind w:right="480" w:firstLine="1304"/>
        <w:spacing w:after="0" w:line="268" w:lineRule="auto"/>
        <w:tabs>
          <w:tab w:leader="none" w:pos="1776" w:val="left"/>
        </w:tabs>
        <w:numPr>
          <w:ilvl w:val="0"/>
          <w:numId w:val="15"/>
        </w:numPr>
        <w:rPr>
          <w:rFonts w:ascii="Arial" w:cs="Arial" w:eastAsia="Arial" w:hAnsi="Arial"/>
          <w:sz w:val="19"/>
          <w:szCs w:val="19"/>
          <w:b w:val="1"/>
          <w:bCs w:val="1"/>
          <w:color w:val="010000"/>
        </w:rPr>
      </w:pPr>
      <w:r>
        <w:rPr>
          <w:rFonts w:ascii="Arial" w:cs="Arial" w:eastAsia="Arial" w:hAnsi="Arial"/>
          <w:sz w:val="19"/>
          <w:szCs w:val="19"/>
          <w:color w:val="auto"/>
        </w:rPr>
        <w:t>Subject to any limitation imposed by applicable law, any individual director or directors may only be removed with cause by the affirmative vote of the holders of a majority of the voting power of all then outstanding shares of capital stock of the corporation entitled to vote generally at an election of directors, voting together as a single class.</w:t>
      </w:r>
    </w:p>
    <w:p>
      <w:pPr>
        <w:spacing w:after="0" w:line="12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21.</w:t>
      </w:r>
      <w:r>
        <w:rPr>
          <w:sz w:val="20"/>
          <w:szCs w:val="20"/>
          <w:color w:val="auto"/>
        </w:rPr>
        <w:tab/>
      </w:r>
      <w:r>
        <w:rPr>
          <w:rFonts w:ascii="Arial" w:cs="Arial" w:eastAsia="Arial" w:hAnsi="Arial"/>
          <w:sz w:val="19"/>
          <w:szCs w:val="19"/>
          <w:b w:val="1"/>
          <w:bCs w:val="1"/>
          <w:color w:val="auto"/>
        </w:rPr>
        <w:t>Meetings</w:t>
      </w:r>
      <w:r>
        <w:rPr>
          <w:rFonts w:ascii="Arial" w:cs="Arial" w:eastAsia="Arial" w:hAnsi="Arial"/>
          <w:sz w:val="19"/>
          <w:szCs w:val="19"/>
          <w:color w:val="auto"/>
        </w:rPr>
        <w:t>.</w:t>
      </w:r>
    </w:p>
    <w:p>
      <w:pPr>
        <w:spacing w:after="0" w:line="179" w:lineRule="exact"/>
        <w:rPr>
          <w:sz w:val="20"/>
          <w:szCs w:val="20"/>
          <w:color w:val="auto"/>
        </w:rPr>
      </w:pPr>
    </w:p>
    <w:p>
      <w:pPr>
        <w:ind w:right="240" w:firstLine="1304"/>
        <w:spacing w:after="0" w:line="254" w:lineRule="auto"/>
        <w:tabs>
          <w:tab w:leader="none" w:pos="1764" w:val="left"/>
        </w:tabs>
        <w:numPr>
          <w:ilvl w:val="0"/>
          <w:numId w:val="16"/>
        </w:numPr>
        <w:rPr>
          <w:rFonts w:ascii="Arial" w:cs="Arial" w:eastAsia="Arial" w:hAnsi="Arial"/>
          <w:sz w:val="19"/>
          <w:szCs w:val="19"/>
          <w:b w:val="1"/>
          <w:bCs w:val="1"/>
          <w:color w:val="010000"/>
        </w:rPr>
      </w:pPr>
      <w:r>
        <w:rPr>
          <w:rFonts w:ascii="Arial" w:cs="Arial" w:eastAsia="Arial" w:hAnsi="Arial"/>
          <w:sz w:val="19"/>
          <w:szCs w:val="19"/>
          <w:b w:val="1"/>
          <w:bCs w:val="1"/>
          <w:color w:val="auto"/>
        </w:rPr>
        <w:t>Regular Meetings</w:t>
      </w:r>
      <w:r>
        <w:rPr>
          <w:rFonts w:ascii="Arial" w:cs="Arial" w:eastAsia="Arial" w:hAnsi="Arial"/>
          <w:sz w:val="19"/>
          <w:szCs w:val="19"/>
          <w:color w:val="auto"/>
        </w:rPr>
        <w:t>. Unless otherwise restricted by the Certificate of Incorporation, regular meetings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39" w:lineRule="exact"/>
        <w:rPr>
          <w:rFonts w:ascii="Arial" w:cs="Arial" w:eastAsia="Arial" w:hAnsi="Arial"/>
          <w:sz w:val="19"/>
          <w:szCs w:val="19"/>
          <w:b w:val="1"/>
          <w:bCs w:val="1"/>
          <w:color w:val="010000"/>
        </w:rPr>
      </w:pPr>
    </w:p>
    <w:p>
      <w:pPr>
        <w:ind w:right="160" w:firstLine="1304"/>
        <w:spacing w:after="0" w:line="236" w:lineRule="auto"/>
        <w:tabs>
          <w:tab w:leader="none" w:pos="1776" w:val="left"/>
        </w:tabs>
        <w:numPr>
          <w:ilvl w:val="0"/>
          <w:numId w:val="16"/>
        </w:numPr>
        <w:rPr>
          <w:rFonts w:ascii="Arial" w:cs="Arial" w:eastAsia="Arial" w:hAnsi="Arial"/>
          <w:sz w:val="21"/>
          <w:szCs w:val="21"/>
          <w:b w:val="1"/>
          <w:bCs w:val="1"/>
          <w:color w:val="010000"/>
        </w:rPr>
      </w:pPr>
      <w:r>
        <w:rPr>
          <w:rFonts w:ascii="Arial" w:cs="Arial" w:eastAsia="Arial" w:hAnsi="Arial"/>
          <w:sz w:val="21"/>
          <w:szCs w:val="21"/>
          <w:b w:val="1"/>
          <w:bCs w:val="1"/>
          <w:color w:val="auto"/>
        </w:rPr>
        <w:t>Special Meetings</w:t>
      </w:r>
      <w:r>
        <w:rPr>
          <w:rFonts w:ascii="Arial" w:cs="Arial" w:eastAsia="Arial" w:hAnsi="Arial"/>
          <w:sz w:val="21"/>
          <w:szCs w:val="21"/>
          <w:color w:val="auto"/>
        </w:rPr>
        <w:t>. Unless otherwise restricted by the Certificate of Incorporation, special meetings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 may be held at any time and place within or without the State of Delaware whenever called by the Chairman of the Board, the Chief Executive Officer or a majority of the authorized number of directors.</w:t>
      </w:r>
    </w:p>
    <w:p>
      <w:pPr>
        <w:spacing w:after="0" w:line="151" w:lineRule="exact"/>
        <w:rPr>
          <w:rFonts w:ascii="Arial" w:cs="Arial" w:eastAsia="Arial" w:hAnsi="Arial"/>
          <w:sz w:val="21"/>
          <w:szCs w:val="21"/>
          <w:b w:val="1"/>
          <w:bCs w:val="1"/>
          <w:color w:val="010000"/>
        </w:rPr>
      </w:pPr>
    </w:p>
    <w:p>
      <w:pPr>
        <w:ind w:firstLine="1304"/>
        <w:spacing w:after="0" w:line="220" w:lineRule="auto"/>
        <w:tabs>
          <w:tab w:leader="none" w:pos="1752"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color w:val="auto"/>
        </w:rPr>
        <w:t>Meetings by Electronic Communications Equipment</w:t>
      </w:r>
      <w:r>
        <w:rPr>
          <w:rFonts w:ascii="Arial" w:cs="Arial" w:eastAsia="Arial" w:hAnsi="Arial"/>
          <w:sz w:val="22"/>
          <w:szCs w:val="22"/>
          <w:color w:val="auto"/>
        </w:rPr>
        <w:t>. Any member of the Board of Directors, or of any</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52" w:lineRule="exact"/>
        <w:rPr>
          <w:rFonts w:ascii="Arial" w:cs="Arial" w:eastAsia="Arial" w:hAnsi="Arial"/>
          <w:sz w:val="22"/>
          <w:szCs w:val="22"/>
          <w:b w:val="1"/>
          <w:bCs w:val="1"/>
          <w:color w:val="010000"/>
        </w:rPr>
      </w:pPr>
    </w:p>
    <w:p>
      <w:pPr>
        <w:ind w:right="20" w:firstLine="1304"/>
        <w:spacing w:after="0" w:line="248" w:lineRule="auto"/>
        <w:tabs>
          <w:tab w:leader="none" w:pos="1776" w:val="left"/>
        </w:tabs>
        <w:numPr>
          <w:ilvl w:val="0"/>
          <w:numId w:val="16"/>
        </w:numPr>
        <w:rPr>
          <w:rFonts w:ascii="Arial" w:cs="Arial" w:eastAsia="Arial" w:hAnsi="Arial"/>
          <w:sz w:val="19"/>
          <w:szCs w:val="19"/>
          <w:b w:val="1"/>
          <w:bCs w:val="1"/>
          <w:color w:val="010000"/>
        </w:rPr>
      </w:pPr>
      <w:r>
        <w:rPr>
          <w:rFonts w:ascii="Arial" w:cs="Arial" w:eastAsia="Arial" w:hAnsi="Arial"/>
          <w:sz w:val="19"/>
          <w:szCs w:val="19"/>
          <w:b w:val="1"/>
          <w:bCs w:val="1"/>
          <w:color w:val="auto"/>
        </w:rPr>
        <w:t>Notice of Special Meetings</w:t>
      </w:r>
      <w:r>
        <w:rPr>
          <w:rFonts w:ascii="Arial" w:cs="Arial" w:eastAsia="Arial" w:hAnsi="Arial"/>
          <w:sz w:val="19"/>
          <w:szCs w:val="19"/>
          <w:color w:val="auto"/>
        </w:rPr>
        <w:t>. Notice of the time and place of all special meetings of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orally or in 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01" w:right="359" w:bottom="1440" w:gutter="0" w:footer="0" w:header="0"/>
        </w:sectPr>
      </w:pPr>
    </w:p>
    <w:bookmarkStart w:id="16" w:name="page17"/>
    <w:bookmarkEnd w:id="16"/>
    <w:p>
      <w:pPr>
        <w:ind w:right="740"/>
        <w:spacing w:after="0" w:line="232" w:lineRule="auto"/>
        <w:rPr>
          <w:sz w:val="20"/>
          <w:szCs w:val="20"/>
          <w:color w:val="auto"/>
        </w:rPr>
      </w:pPr>
      <w:r>
        <w:rPr>
          <w:rFonts w:ascii="Arial" w:cs="Arial" w:eastAsia="Arial" w:hAnsi="Arial"/>
          <w:sz w:val="22"/>
          <w:szCs w:val="22"/>
          <w:color w:val="auto"/>
        </w:rPr>
        <w:t>objecting, at the beginning of the meeting, to the transaction of any business because the meeting is not lawfully called or convened.</w:t>
      </w:r>
    </w:p>
    <w:p>
      <w:pPr>
        <w:spacing w:after="0" w:line="153" w:lineRule="exact"/>
        <w:rPr>
          <w:sz w:val="20"/>
          <w:szCs w:val="20"/>
          <w:color w:val="auto"/>
        </w:rPr>
      </w:pPr>
    </w:p>
    <w:p>
      <w:pPr>
        <w:ind w:right="20" w:firstLine="1304"/>
        <w:spacing w:after="0" w:line="254" w:lineRule="auto"/>
        <w:tabs>
          <w:tab w:leader="none" w:pos="1752" w:val="left"/>
        </w:tabs>
        <w:numPr>
          <w:ilvl w:val="0"/>
          <w:numId w:val="17"/>
        </w:numPr>
        <w:rPr>
          <w:rFonts w:ascii="Arial" w:cs="Arial" w:eastAsia="Arial" w:hAnsi="Arial"/>
          <w:sz w:val="19"/>
          <w:szCs w:val="19"/>
          <w:b w:val="1"/>
          <w:bCs w:val="1"/>
          <w:color w:val="010000"/>
        </w:rPr>
      </w:pPr>
      <w:r>
        <w:rPr>
          <w:rFonts w:ascii="Arial" w:cs="Arial" w:eastAsia="Arial" w:hAnsi="Arial"/>
          <w:sz w:val="19"/>
          <w:szCs w:val="19"/>
          <w:b w:val="1"/>
          <w:bCs w:val="1"/>
          <w:color w:val="auto"/>
        </w:rPr>
        <w:t>Waiver of Notice</w:t>
      </w:r>
      <w:r>
        <w:rPr>
          <w:rFonts w:ascii="Arial" w:cs="Arial" w:eastAsia="Arial" w:hAnsi="Arial"/>
          <w:sz w:val="19"/>
          <w:szCs w:val="19"/>
          <w:color w:val="auto"/>
        </w:rPr>
        <w:t>. The transaction of all business at any meeting of the Board of Directors, or any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4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22.</w:t>
      </w:r>
      <w:r>
        <w:rPr>
          <w:sz w:val="20"/>
          <w:szCs w:val="20"/>
          <w:color w:val="auto"/>
        </w:rPr>
        <w:tab/>
      </w:r>
      <w:r>
        <w:rPr>
          <w:rFonts w:ascii="Arial" w:cs="Arial" w:eastAsia="Arial" w:hAnsi="Arial"/>
          <w:sz w:val="19"/>
          <w:szCs w:val="19"/>
          <w:b w:val="1"/>
          <w:bCs w:val="1"/>
          <w:color w:val="auto"/>
        </w:rPr>
        <w:t>Quorum and Voting</w:t>
      </w:r>
      <w:r>
        <w:rPr>
          <w:rFonts w:ascii="Arial" w:cs="Arial" w:eastAsia="Arial" w:hAnsi="Arial"/>
          <w:sz w:val="19"/>
          <w:szCs w:val="19"/>
          <w:color w:val="auto"/>
        </w:rPr>
        <w:t>.</w:t>
      </w:r>
    </w:p>
    <w:p>
      <w:pPr>
        <w:spacing w:after="0" w:line="185" w:lineRule="exact"/>
        <w:rPr>
          <w:sz w:val="20"/>
          <w:szCs w:val="20"/>
          <w:color w:val="auto"/>
        </w:rPr>
      </w:pPr>
    </w:p>
    <w:p>
      <w:pPr>
        <w:ind w:firstLine="1304"/>
        <w:spacing w:after="0" w:line="249" w:lineRule="auto"/>
        <w:tabs>
          <w:tab w:leader="none" w:pos="1764" w:val="left"/>
        </w:tabs>
        <w:numPr>
          <w:ilvl w:val="0"/>
          <w:numId w:val="18"/>
        </w:numPr>
        <w:rPr>
          <w:rFonts w:ascii="Arial" w:cs="Arial" w:eastAsia="Arial" w:hAnsi="Arial"/>
          <w:sz w:val="19"/>
          <w:szCs w:val="19"/>
          <w:b w:val="1"/>
          <w:bCs w:val="1"/>
          <w:color w:val="010000"/>
        </w:rPr>
      </w:pPr>
      <w:r>
        <w:rPr>
          <w:rFonts w:ascii="Arial" w:cs="Arial" w:eastAsia="Arial" w:hAnsi="Arial"/>
          <w:sz w:val="19"/>
          <w:szCs w:val="19"/>
          <w:color w:val="auto"/>
        </w:rPr>
        <w:t xml:space="preserve">Unless the Certificate of Incorporation requires a greater number, and except with respect to questions related to indemnification arising under Section 44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51" w:lineRule="exact"/>
        <w:rPr>
          <w:rFonts w:ascii="Arial" w:cs="Arial" w:eastAsia="Arial" w:hAnsi="Arial"/>
          <w:sz w:val="19"/>
          <w:szCs w:val="19"/>
          <w:b w:val="1"/>
          <w:bCs w:val="1"/>
          <w:color w:val="010000"/>
        </w:rPr>
      </w:pPr>
    </w:p>
    <w:p>
      <w:pPr>
        <w:ind w:right="20" w:firstLine="1304"/>
        <w:spacing w:after="0" w:line="223" w:lineRule="auto"/>
        <w:tabs>
          <w:tab w:leader="none" w:pos="1776" w:val="left"/>
        </w:tabs>
        <w:numPr>
          <w:ilvl w:val="0"/>
          <w:numId w:val="18"/>
        </w:numPr>
        <w:rPr>
          <w:rFonts w:ascii="Arial" w:cs="Arial" w:eastAsia="Arial" w:hAnsi="Arial"/>
          <w:sz w:val="22"/>
          <w:szCs w:val="22"/>
          <w:b w:val="1"/>
          <w:bCs w:val="1"/>
          <w:color w:val="010000"/>
        </w:rPr>
      </w:pPr>
      <w:r>
        <w:rPr>
          <w:rFonts w:ascii="Arial" w:cs="Arial" w:eastAsia="Arial" w:hAnsi="Arial"/>
          <w:sz w:val="22"/>
          <w:szCs w:val="22"/>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53" w:lineRule="exact"/>
        <w:rPr>
          <w:sz w:val="20"/>
          <w:szCs w:val="20"/>
          <w:color w:val="auto"/>
        </w:rPr>
      </w:pPr>
    </w:p>
    <w:p>
      <w:pPr>
        <w:ind w:right="20" w:firstLine="648"/>
        <w:spacing w:after="0" w:line="225" w:lineRule="auto"/>
        <w:rPr>
          <w:sz w:val="20"/>
          <w:szCs w:val="20"/>
          <w:color w:val="auto"/>
        </w:rPr>
      </w:pPr>
      <w:r>
        <w:rPr>
          <w:rFonts w:ascii="Arial" w:cs="Arial" w:eastAsia="Arial" w:hAnsi="Arial"/>
          <w:sz w:val="21"/>
          <w:szCs w:val="21"/>
          <w:b w:val="1"/>
          <w:bCs w:val="1"/>
          <w:color w:val="010000"/>
        </w:rPr>
        <w:t xml:space="preserve">Section 23. </w:t>
      </w:r>
      <w:r>
        <w:rPr>
          <w:rFonts w:ascii="Arial" w:cs="Arial" w:eastAsia="Arial" w:hAnsi="Arial"/>
          <w:sz w:val="21"/>
          <w:szCs w:val="21"/>
          <w:b w:val="1"/>
          <w:bCs w:val="1"/>
          <w:color w:val="000000"/>
        </w:rPr>
        <w:t>Action Without Meeting</w:t>
      </w:r>
      <w:r>
        <w:rPr>
          <w:rFonts w:ascii="Arial" w:cs="Arial" w:eastAsia="Arial" w:hAnsi="Arial"/>
          <w:sz w:val="21"/>
          <w:szCs w:val="21"/>
          <w:color w:val="000000"/>
        </w:rPr>
        <w:t>. Unless otherwise restricted by the Certificate of Incorporation or these Bylaws,</w:t>
      </w:r>
      <w:r>
        <w:rPr>
          <w:rFonts w:ascii="Arial" w:cs="Arial" w:eastAsia="Arial" w:hAnsi="Arial"/>
          <w:sz w:val="21"/>
          <w:szCs w:val="21"/>
          <w:b w:val="1"/>
          <w:bCs w:val="1"/>
          <w:color w:val="010000"/>
        </w:rPr>
        <w:t xml:space="preserve"> </w:t>
      </w:r>
      <w:r>
        <w:rPr>
          <w:rFonts w:ascii="Arial" w:cs="Arial" w:eastAsia="Arial" w:hAnsi="Arial"/>
          <w:sz w:val="21"/>
          <w:szCs w:val="21"/>
          <w:color w:val="000000"/>
        </w:rPr>
        <w:t>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5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9"/>
          <w:szCs w:val="19"/>
          <w:b w:val="1"/>
          <w:bCs w:val="1"/>
          <w:color w:val="010000"/>
        </w:rPr>
        <w:t xml:space="preserve">Section 24. </w:t>
      </w:r>
      <w:r>
        <w:rPr>
          <w:rFonts w:ascii="Arial" w:cs="Arial" w:eastAsia="Arial" w:hAnsi="Arial"/>
          <w:sz w:val="19"/>
          <w:szCs w:val="19"/>
          <w:b w:val="1"/>
          <w:bCs w:val="1"/>
          <w:color w:val="000000"/>
        </w:rPr>
        <w:t>Fees and Compensation</w:t>
      </w:r>
      <w:r>
        <w:rPr>
          <w:rFonts w:ascii="Arial" w:cs="Arial" w:eastAsia="Arial" w:hAnsi="Arial"/>
          <w:sz w:val="19"/>
          <w:szCs w:val="19"/>
          <w:color w:val="000000"/>
        </w:rPr>
        <w:t>. Directors shall be entitled to such compensation for their services as may be</w:t>
      </w:r>
      <w:r>
        <w:rPr>
          <w:rFonts w:ascii="Arial" w:cs="Arial" w:eastAsia="Arial" w:hAnsi="Arial"/>
          <w:sz w:val="19"/>
          <w:szCs w:val="19"/>
          <w:b w:val="1"/>
          <w:bCs w:val="1"/>
          <w:color w:val="010000"/>
        </w:rPr>
        <w:t xml:space="preserve"> </w:t>
      </w:r>
      <w:r>
        <w:rPr>
          <w:rFonts w:ascii="Arial" w:cs="Arial" w:eastAsia="Arial" w:hAnsi="Arial"/>
          <w:sz w:val="19"/>
          <w:szCs w:val="19"/>
          <w:color w:val="000000"/>
        </w:rPr>
        <w:t>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4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25.</w:t>
      </w:r>
      <w:r>
        <w:rPr>
          <w:sz w:val="20"/>
          <w:szCs w:val="20"/>
          <w:color w:val="auto"/>
        </w:rPr>
        <w:tab/>
      </w:r>
      <w:r>
        <w:rPr>
          <w:rFonts w:ascii="Arial" w:cs="Arial" w:eastAsia="Arial" w:hAnsi="Arial"/>
          <w:sz w:val="19"/>
          <w:szCs w:val="19"/>
          <w:b w:val="1"/>
          <w:bCs w:val="1"/>
          <w:color w:val="auto"/>
        </w:rPr>
        <w:t>Committees</w:t>
      </w:r>
      <w:r>
        <w:rPr>
          <w:rFonts w:ascii="Arial" w:cs="Arial" w:eastAsia="Arial" w:hAnsi="Arial"/>
          <w:sz w:val="19"/>
          <w:szCs w:val="19"/>
          <w:color w:val="auto"/>
        </w:rPr>
        <w:t>.</w:t>
      </w:r>
    </w:p>
    <w:p>
      <w:pPr>
        <w:spacing w:after="0" w:line="179" w:lineRule="exact"/>
        <w:rPr>
          <w:sz w:val="20"/>
          <w:szCs w:val="20"/>
          <w:color w:val="auto"/>
        </w:rPr>
      </w:pPr>
    </w:p>
    <w:p>
      <w:pPr>
        <w:ind w:firstLine="1304"/>
        <w:spacing w:after="0" w:line="250" w:lineRule="auto"/>
        <w:tabs>
          <w:tab w:leader="none" w:pos="1764" w:val="left"/>
        </w:tabs>
        <w:numPr>
          <w:ilvl w:val="0"/>
          <w:numId w:val="19"/>
        </w:numPr>
        <w:rPr>
          <w:rFonts w:ascii="Arial" w:cs="Arial" w:eastAsia="Arial" w:hAnsi="Arial"/>
          <w:sz w:val="19"/>
          <w:szCs w:val="19"/>
          <w:b w:val="1"/>
          <w:bCs w:val="1"/>
          <w:color w:val="010000"/>
        </w:rPr>
      </w:pPr>
      <w:r>
        <w:rPr>
          <w:rFonts w:ascii="Arial" w:cs="Arial" w:eastAsia="Arial" w:hAnsi="Arial"/>
          <w:sz w:val="19"/>
          <w:szCs w:val="19"/>
          <w:b w:val="1"/>
          <w:bCs w:val="1"/>
          <w:color w:val="auto"/>
        </w:rPr>
        <w:t>Executive Committee</w:t>
      </w:r>
      <w:r>
        <w:rPr>
          <w:rFonts w:ascii="Arial" w:cs="Arial" w:eastAsia="Arial" w:hAnsi="Arial"/>
          <w:sz w:val="19"/>
          <w:szCs w:val="19"/>
          <w:color w:val="auto"/>
        </w:rPr>
        <w:t>. The Board of Directors may appoint an Executive Committee to consist of one (1)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7" w:name="page18"/>
    <w:bookmarkEnd w:id="17"/>
    <w:p>
      <w:pPr>
        <w:ind w:right="380"/>
        <w:spacing w:after="0" w:line="232" w:lineRule="auto"/>
        <w:rPr>
          <w:sz w:val="20"/>
          <w:szCs w:val="20"/>
          <w:color w:val="auto"/>
        </w:rPr>
      </w:pPr>
      <w:r>
        <w:rPr>
          <w:rFonts w:ascii="Arial" w:cs="Arial" w:eastAsia="Arial" w:hAnsi="Arial"/>
          <w:sz w:val="22"/>
          <w:szCs w:val="22"/>
          <w:color w:val="auto"/>
        </w:rPr>
        <w:t>required by the DGCL to be submitted to stockholders for approval, or (ii) adopting, amending or repealing any Bylaw of the corporation.</w:t>
      </w:r>
    </w:p>
    <w:p>
      <w:pPr>
        <w:spacing w:after="0" w:line="153" w:lineRule="exact"/>
        <w:rPr>
          <w:sz w:val="20"/>
          <w:szCs w:val="20"/>
          <w:color w:val="auto"/>
        </w:rPr>
      </w:pPr>
    </w:p>
    <w:p>
      <w:pPr>
        <w:ind w:right="100" w:firstLine="1304"/>
        <w:spacing w:after="0" w:line="217" w:lineRule="auto"/>
        <w:tabs>
          <w:tab w:leader="none" w:pos="1776" w:val="left"/>
        </w:tabs>
        <w:numPr>
          <w:ilvl w:val="0"/>
          <w:numId w:val="20"/>
        </w:numPr>
        <w:rPr>
          <w:rFonts w:ascii="Arial" w:cs="Arial" w:eastAsia="Arial" w:hAnsi="Arial"/>
          <w:sz w:val="22"/>
          <w:szCs w:val="22"/>
          <w:b w:val="1"/>
          <w:bCs w:val="1"/>
          <w:color w:val="010000"/>
        </w:rPr>
      </w:pPr>
      <w:r>
        <w:rPr>
          <w:rFonts w:ascii="Arial" w:cs="Arial" w:eastAsia="Arial" w:hAnsi="Arial"/>
          <w:sz w:val="22"/>
          <w:szCs w:val="22"/>
          <w:b w:val="1"/>
          <w:bCs w:val="1"/>
          <w:color w:val="auto"/>
        </w:rPr>
        <w:t>Other Committees</w:t>
      </w:r>
      <w:r>
        <w:rPr>
          <w:rFonts w:ascii="Arial" w:cs="Arial" w:eastAsia="Arial" w:hAnsi="Arial"/>
          <w:sz w:val="22"/>
          <w:szCs w:val="22"/>
          <w:color w:val="auto"/>
        </w:rPr>
        <w:t>. The Board of Directors may, from time to time, appoint such other committees as may</w:t>
      </w:r>
      <w:r>
        <w:rPr>
          <w:rFonts w:ascii="Arial" w:cs="Arial" w:eastAsia="Arial" w:hAnsi="Arial"/>
          <w:sz w:val="22"/>
          <w:szCs w:val="22"/>
          <w:b w:val="1"/>
          <w:bCs w:val="1"/>
          <w:color w:val="auto"/>
        </w:rPr>
        <w:t xml:space="preserve"> </w:t>
      </w:r>
      <w:r>
        <w:rPr>
          <w:rFonts w:ascii="Arial" w:cs="Arial" w:eastAsia="Arial" w:hAnsi="Arial"/>
          <w:sz w:val="22"/>
          <w:szCs w:val="22"/>
          <w:color w:val="auto"/>
        </w:rPr>
        <w:t>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52" w:lineRule="exact"/>
        <w:rPr>
          <w:rFonts w:ascii="Arial" w:cs="Arial" w:eastAsia="Arial" w:hAnsi="Arial"/>
          <w:sz w:val="22"/>
          <w:szCs w:val="22"/>
          <w:b w:val="1"/>
          <w:bCs w:val="1"/>
          <w:color w:val="010000"/>
        </w:rPr>
      </w:pPr>
    </w:p>
    <w:p>
      <w:pPr>
        <w:ind w:firstLine="1304"/>
        <w:spacing w:after="0" w:line="244" w:lineRule="auto"/>
        <w:tabs>
          <w:tab w:leader="none" w:pos="1752" w:val="left"/>
        </w:tabs>
        <w:numPr>
          <w:ilvl w:val="0"/>
          <w:numId w:val="20"/>
        </w:numPr>
        <w:rPr>
          <w:rFonts w:ascii="Arial" w:cs="Arial" w:eastAsia="Arial" w:hAnsi="Arial"/>
          <w:sz w:val="19"/>
          <w:szCs w:val="19"/>
          <w:b w:val="1"/>
          <w:bCs w:val="1"/>
          <w:color w:val="010000"/>
        </w:rPr>
      </w:pPr>
      <w:r>
        <w:rPr>
          <w:rFonts w:ascii="Arial" w:cs="Arial" w:eastAsia="Arial" w:hAnsi="Arial"/>
          <w:sz w:val="19"/>
          <w:szCs w:val="19"/>
          <w:b w:val="1"/>
          <w:bCs w:val="1"/>
          <w:color w:val="auto"/>
        </w:rPr>
        <w:t>Term</w:t>
      </w:r>
      <w:r>
        <w:rPr>
          <w:rFonts w:ascii="Arial" w:cs="Arial" w:eastAsia="Arial" w:hAnsi="Arial"/>
          <w:sz w:val="19"/>
          <w:szCs w:val="19"/>
          <w:color w:val="auto"/>
        </w:rPr>
        <w:t>. The Board of Directors, subject to any requirements of any outstanding series of Preferred Stock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of subsections (a) or (b) of this Section 25,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54" w:lineRule="exact"/>
        <w:rPr>
          <w:rFonts w:ascii="Arial" w:cs="Arial" w:eastAsia="Arial" w:hAnsi="Arial"/>
          <w:sz w:val="19"/>
          <w:szCs w:val="19"/>
          <w:b w:val="1"/>
          <w:bCs w:val="1"/>
          <w:color w:val="010000"/>
        </w:rPr>
      </w:pPr>
    </w:p>
    <w:p>
      <w:pPr>
        <w:ind w:firstLine="1304"/>
        <w:spacing w:after="0" w:line="242" w:lineRule="auto"/>
        <w:tabs>
          <w:tab w:leader="none" w:pos="1776" w:val="left"/>
        </w:tabs>
        <w:numPr>
          <w:ilvl w:val="0"/>
          <w:numId w:val="20"/>
        </w:numPr>
        <w:rPr>
          <w:rFonts w:ascii="Arial" w:cs="Arial" w:eastAsia="Arial" w:hAnsi="Arial"/>
          <w:sz w:val="19"/>
          <w:szCs w:val="19"/>
          <w:b w:val="1"/>
          <w:bCs w:val="1"/>
          <w:color w:val="010000"/>
        </w:rPr>
      </w:pPr>
      <w:r>
        <w:rPr>
          <w:rFonts w:ascii="Arial" w:cs="Arial" w:eastAsia="Arial" w:hAnsi="Arial"/>
          <w:sz w:val="19"/>
          <w:szCs w:val="19"/>
          <w:b w:val="1"/>
          <w:bCs w:val="1"/>
          <w:color w:val="auto"/>
        </w:rPr>
        <w:t>Meetings</w:t>
      </w:r>
      <w:r>
        <w:rPr>
          <w:rFonts w:ascii="Arial" w:cs="Arial" w:eastAsia="Arial" w:hAnsi="Arial"/>
          <w:sz w:val="19"/>
          <w:szCs w:val="19"/>
          <w:color w:val="auto"/>
        </w:rPr>
        <w:t>. Unless the Board of Directors shall otherwise provide, regular meetings of the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or any other 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376" w:lineRule="exact"/>
        <w:rPr>
          <w:sz w:val="20"/>
          <w:szCs w:val="20"/>
          <w:color w:val="auto"/>
        </w:rPr>
      </w:pPr>
    </w:p>
    <w:p>
      <w:pPr>
        <w:ind w:right="20" w:firstLine="648"/>
        <w:spacing w:after="0" w:line="246" w:lineRule="auto"/>
        <w:rPr>
          <w:sz w:val="20"/>
          <w:szCs w:val="20"/>
          <w:color w:val="auto"/>
        </w:rPr>
      </w:pPr>
      <w:r>
        <w:rPr>
          <w:rFonts w:ascii="Arial" w:cs="Arial" w:eastAsia="Arial" w:hAnsi="Arial"/>
          <w:sz w:val="19"/>
          <w:szCs w:val="19"/>
          <w:b w:val="1"/>
          <w:bCs w:val="1"/>
          <w:color w:val="010000"/>
        </w:rPr>
        <w:t xml:space="preserve">Section 26. </w:t>
      </w:r>
      <w:r>
        <w:rPr>
          <w:rFonts w:ascii="Arial" w:cs="Arial" w:eastAsia="Arial" w:hAnsi="Arial"/>
          <w:sz w:val="19"/>
          <w:szCs w:val="19"/>
          <w:b w:val="1"/>
          <w:bCs w:val="1"/>
          <w:color w:val="000000"/>
        </w:rPr>
        <w:t>Lead Independent Director</w:t>
      </w:r>
      <w:r>
        <w:rPr>
          <w:rFonts w:ascii="Arial" w:cs="Arial" w:eastAsia="Arial" w:hAnsi="Arial"/>
          <w:sz w:val="19"/>
          <w:szCs w:val="19"/>
          <w:color w:val="000000"/>
        </w:rPr>
        <w:t>. The Chairman of the Board of Directors, or if the Chairman is not an</w:t>
      </w:r>
      <w:r>
        <w:rPr>
          <w:rFonts w:ascii="Arial" w:cs="Arial" w:eastAsia="Arial" w:hAnsi="Arial"/>
          <w:sz w:val="19"/>
          <w:szCs w:val="19"/>
          <w:b w:val="1"/>
          <w:bCs w:val="1"/>
          <w:color w:val="010000"/>
        </w:rPr>
        <w:t xml:space="preserve"> </w:t>
      </w:r>
      <w:r>
        <w:rPr>
          <w:rFonts w:ascii="Arial" w:cs="Arial" w:eastAsia="Arial" w:hAnsi="Arial"/>
          <w:sz w:val="19"/>
          <w:szCs w:val="19"/>
          <w:color w:val="000000"/>
        </w:rPr>
        <w:t>independent director, one of the independent directors, may be designated by the Board of Directors as lead independent director to serve until replaced by the Board of Directors (“</w:t>
      </w:r>
      <w:r>
        <w:rPr>
          <w:rFonts w:ascii="Arial" w:cs="Arial" w:eastAsia="Arial" w:hAnsi="Arial"/>
          <w:sz w:val="19"/>
          <w:szCs w:val="19"/>
          <w:u w:val="single" w:color="auto"/>
          <w:color w:val="000000"/>
        </w:rPr>
        <w:t>Lead Independent Director</w:t>
      </w:r>
      <w:r>
        <w:rPr>
          <w:rFonts w:ascii="Arial" w:cs="Arial" w:eastAsia="Arial" w:hAnsi="Arial"/>
          <w:sz w:val="19"/>
          <w:szCs w:val="19"/>
          <w:color w:val="000000"/>
        </w:rPr>
        <w:t>”). The Lead Independent Director will: with the Chairman of the Board of Directors, establish the agenda for regular Board meetings and serve as chairman of Board of Directors meetings in the absence of the Chairman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01" w:right="359" w:bottom="1440" w:gutter="0" w:footer="0" w:header="0"/>
        </w:sectPr>
      </w:pPr>
    </w:p>
    <w:bookmarkStart w:id="18" w:name="page19"/>
    <w:bookmarkEnd w:id="18"/>
    <w:p>
      <w:pPr>
        <w:jc w:val="both"/>
        <w:ind w:right="120"/>
        <w:spacing w:after="0" w:line="223" w:lineRule="auto"/>
        <w:rPr>
          <w:sz w:val="20"/>
          <w:szCs w:val="20"/>
          <w:color w:val="auto"/>
        </w:rPr>
      </w:pPr>
      <w:r>
        <w:rPr>
          <w:rFonts w:ascii="Arial" w:cs="Arial" w:eastAsia="Arial" w:hAnsi="Arial"/>
          <w:sz w:val="22"/>
          <w:szCs w:val="22"/>
          <w:color w:val="auto"/>
        </w:rPr>
        <w:t>discussed; preside over any portions of meetings of the Board of Directors at which the performance of the Board of Directors is presented or discussed; and coordinate the activities of the other independent directors and perform such other duties as may be established or delegated by the Chairman of the Board of Directors.</w:t>
      </w:r>
    </w:p>
    <w:p>
      <w:pPr>
        <w:spacing w:after="0" w:line="153" w:lineRule="exact"/>
        <w:rPr>
          <w:sz w:val="20"/>
          <w:szCs w:val="20"/>
          <w:color w:val="auto"/>
        </w:rPr>
      </w:pPr>
    </w:p>
    <w:p>
      <w:pPr>
        <w:ind w:firstLine="648"/>
        <w:spacing w:after="0" w:line="223" w:lineRule="auto"/>
        <w:rPr>
          <w:sz w:val="20"/>
          <w:szCs w:val="20"/>
          <w:color w:val="auto"/>
        </w:rPr>
      </w:pPr>
      <w:r>
        <w:rPr>
          <w:rFonts w:ascii="Arial" w:cs="Arial" w:eastAsia="Arial" w:hAnsi="Arial"/>
          <w:sz w:val="21"/>
          <w:szCs w:val="21"/>
          <w:b w:val="1"/>
          <w:bCs w:val="1"/>
          <w:color w:val="010000"/>
        </w:rPr>
        <w:t xml:space="preserve">Section 27. </w:t>
      </w:r>
      <w:r>
        <w:rPr>
          <w:rFonts w:ascii="Arial" w:cs="Arial" w:eastAsia="Arial" w:hAnsi="Arial"/>
          <w:sz w:val="21"/>
          <w:szCs w:val="21"/>
          <w:b w:val="1"/>
          <w:bCs w:val="1"/>
          <w:color w:val="000000"/>
        </w:rPr>
        <w:t>Organization</w:t>
      </w:r>
      <w:r>
        <w:rPr>
          <w:rFonts w:ascii="Arial" w:cs="Arial" w:eastAsia="Arial" w:hAnsi="Arial"/>
          <w:sz w:val="21"/>
          <w:szCs w:val="21"/>
          <w:color w:val="000000"/>
        </w:rPr>
        <w:t>. At every meeting of the directors, the Chairman of the Board of Directors, or, if a Chairman</w:t>
      </w:r>
      <w:r>
        <w:rPr>
          <w:rFonts w:ascii="Arial" w:cs="Arial" w:eastAsia="Arial" w:hAnsi="Arial"/>
          <w:sz w:val="21"/>
          <w:szCs w:val="21"/>
          <w:b w:val="1"/>
          <w:bCs w:val="1"/>
          <w:color w:val="010000"/>
        </w:rPr>
        <w:t xml:space="preserve"> </w:t>
      </w:r>
      <w:r>
        <w:rPr>
          <w:rFonts w:ascii="Arial" w:cs="Arial" w:eastAsia="Arial" w:hAnsi="Arial"/>
          <w:sz w:val="21"/>
          <w:szCs w:val="21"/>
          <w:color w:val="000000"/>
        </w:rPr>
        <w:t>has not been appointed or is absent, the Lead Independent Director, or if the Lead Independent Director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absence, any Assistant Secretary or other officer or director or other person directed to do so by the Chairman of the Board, the Lead Independent Director or the President, shall act as secretary of the meeting.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w:t>
      </w:r>
    </w:p>
    <w:p>
      <w:pPr>
        <w:spacing w:after="0" w:line="179" w:lineRule="exact"/>
        <w:rPr>
          <w:sz w:val="20"/>
          <w:szCs w:val="20"/>
          <w:color w:val="auto"/>
        </w:rPr>
      </w:pPr>
    </w:p>
    <w:p>
      <w:pPr>
        <w:ind w:right="40" w:firstLine="648"/>
        <w:spacing w:after="0" w:line="248" w:lineRule="auto"/>
        <w:rPr>
          <w:sz w:val="20"/>
          <w:szCs w:val="20"/>
          <w:color w:val="auto"/>
        </w:rPr>
      </w:pPr>
      <w:r>
        <w:rPr>
          <w:rFonts w:ascii="Arial" w:cs="Arial" w:eastAsia="Arial" w:hAnsi="Arial"/>
          <w:sz w:val="19"/>
          <w:szCs w:val="19"/>
          <w:b w:val="1"/>
          <w:bCs w:val="1"/>
          <w:color w:val="010000"/>
        </w:rPr>
        <w:t xml:space="preserve">Section 28. </w:t>
      </w:r>
      <w:r>
        <w:rPr>
          <w:rFonts w:ascii="Arial" w:cs="Arial" w:eastAsia="Arial" w:hAnsi="Arial"/>
          <w:sz w:val="19"/>
          <w:szCs w:val="19"/>
          <w:b w:val="1"/>
          <w:bCs w:val="1"/>
          <w:color w:val="000000"/>
        </w:rPr>
        <w:t>Officers Designated</w:t>
      </w:r>
      <w:r>
        <w:rPr>
          <w:rFonts w:ascii="Arial" w:cs="Arial" w:eastAsia="Arial" w:hAnsi="Arial"/>
          <w:sz w:val="19"/>
          <w:szCs w:val="19"/>
          <w:color w:val="000000"/>
        </w:rPr>
        <w:t>. The officers of the corporation shall include, if and when designated by the Board of</w:t>
      </w:r>
      <w:r>
        <w:rPr>
          <w:rFonts w:ascii="Arial" w:cs="Arial" w:eastAsia="Arial" w:hAnsi="Arial"/>
          <w:sz w:val="19"/>
          <w:szCs w:val="19"/>
          <w:b w:val="1"/>
          <w:bCs w:val="1"/>
          <w:color w:val="010000"/>
        </w:rPr>
        <w:t xml:space="preserve"> </w:t>
      </w:r>
      <w:r>
        <w:rPr>
          <w:rFonts w:ascii="Arial" w:cs="Arial" w:eastAsia="Arial" w:hAnsi="Arial"/>
          <w:sz w:val="19"/>
          <w:szCs w:val="19"/>
          <w:color w:val="000000"/>
        </w:rPr>
        <w:t>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4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29.</w:t>
      </w:r>
      <w:r>
        <w:rPr>
          <w:sz w:val="20"/>
          <w:szCs w:val="20"/>
          <w:color w:val="auto"/>
        </w:rPr>
        <w:tab/>
      </w:r>
      <w:r>
        <w:rPr>
          <w:rFonts w:ascii="Arial" w:cs="Arial" w:eastAsia="Arial" w:hAnsi="Arial"/>
          <w:sz w:val="19"/>
          <w:szCs w:val="19"/>
          <w:b w:val="1"/>
          <w:bCs w:val="1"/>
          <w:color w:val="auto"/>
        </w:rPr>
        <w:t>Tenure and Duties of Officers</w:t>
      </w:r>
      <w:r>
        <w:rPr>
          <w:rFonts w:ascii="Arial" w:cs="Arial" w:eastAsia="Arial" w:hAnsi="Arial"/>
          <w:sz w:val="19"/>
          <w:szCs w:val="19"/>
          <w:color w:val="auto"/>
        </w:rPr>
        <w:t>.</w:t>
      </w:r>
    </w:p>
    <w:p>
      <w:pPr>
        <w:spacing w:after="0" w:line="179" w:lineRule="exact"/>
        <w:rPr>
          <w:sz w:val="20"/>
          <w:szCs w:val="20"/>
          <w:color w:val="auto"/>
        </w:rPr>
      </w:pPr>
    </w:p>
    <w:p>
      <w:pPr>
        <w:jc w:val="both"/>
        <w:ind w:right="320" w:firstLine="1304"/>
        <w:spacing w:after="0" w:line="220" w:lineRule="auto"/>
        <w:tabs>
          <w:tab w:leader="none" w:pos="1764" w:val="left"/>
        </w:tabs>
        <w:numPr>
          <w:ilvl w:val="0"/>
          <w:numId w:val="21"/>
        </w:numPr>
        <w:rPr>
          <w:rFonts w:ascii="Arial" w:cs="Arial" w:eastAsia="Arial" w:hAnsi="Arial"/>
          <w:sz w:val="22"/>
          <w:szCs w:val="22"/>
          <w:b w:val="1"/>
          <w:bCs w:val="1"/>
          <w:color w:val="010000"/>
        </w:rPr>
      </w:pPr>
      <w:r>
        <w:rPr>
          <w:rFonts w:ascii="Arial" w:cs="Arial" w:eastAsia="Arial" w:hAnsi="Arial"/>
          <w:sz w:val="22"/>
          <w:szCs w:val="22"/>
          <w:b w:val="1"/>
          <w:bCs w:val="1"/>
          <w:color w:val="auto"/>
        </w:rPr>
        <w:t>General</w:t>
      </w:r>
      <w:r>
        <w:rPr>
          <w:rFonts w:ascii="Arial" w:cs="Arial" w:eastAsia="Arial" w:hAnsi="Arial"/>
          <w:sz w:val="22"/>
          <w:szCs w:val="22"/>
          <w:color w:val="auto"/>
        </w:rPr>
        <w:t>. All officers shall hold office at the pleasure of the Board of Directors and until their successors</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52" w:lineRule="exact"/>
        <w:rPr>
          <w:rFonts w:ascii="Arial" w:cs="Arial" w:eastAsia="Arial" w:hAnsi="Arial"/>
          <w:sz w:val="22"/>
          <w:szCs w:val="22"/>
          <w:b w:val="1"/>
          <w:bCs w:val="1"/>
          <w:color w:val="010000"/>
        </w:rPr>
      </w:pPr>
    </w:p>
    <w:p>
      <w:pPr>
        <w:ind w:right="140" w:firstLine="1304"/>
        <w:spacing w:after="0" w:line="221" w:lineRule="auto"/>
        <w:tabs>
          <w:tab w:leader="none" w:pos="1776" w:val="left"/>
        </w:tabs>
        <w:numPr>
          <w:ilvl w:val="0"/>
          <w:numId w:val="21"/>
        </w:numPr>
        <w:rPr>
          <w:rFonts w:ascii="Arial" w:cs="Arial" w:eastAsia="Arial" w:hAnsi="Arial"/>
          <w:sz w:val="21"/>
          <w:szCs w:val="21"/>
          <w:b w:val="1"/>
          <w:bCs w:val="1"/>
          <w:color w:val="010000"/>
        </w:rPr>
      </w:pPr>
      <w:r>
        <w:rPr>
          <w:rFonts w:ascii="Arial" w:cs="Arial" w:eastAsia="Arial" w:hAnsi="Arial"/>
          <w:sz w:val="21"/>
          <w:szCs w:val="21"/>
          <w:b w:val="1"/>
          <w:bCs w:val="1"/>
          <w:color w:val="auto"/>
        </w:rPr>
        <w:t>Duties of Chief Executive Officer</w:t>
      </w:r>
      <w:r>
        <w:rPr>
          <w:rFonts w:ascii="Arial" w:cs="Arial" w:eastAsia="Arial" w:hAnsi="Arial"/>
          <w:sz w:val="21"/>
          <w:szCs w:val="21"/>
          <w:color w:val="auto"/>
        </w:rPr>
        <w:t>. The Chief Executive Officer shall preside at all meetings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stockholders (subject to Section 14) and at all meetings of the Board of Directors, unless the Chairman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58" w:lineRule="exact"/>
        <w:rPr>
          <w:rFonts w:ascii="Arial" w:cs="Arial" w:eastAsia="Arial" w:hAnsi="Arial"/>
          <w:sz w:val="21"/>
          <w:szCs w:val="21"/>
          <w:b w:val="1"/>
          <w:bCs w:val="1"/>
          <w:color w:val="010000"/>
        </w:rPr>
      </w:pPr>
    </w:p>
    <w:p>
      <w:pPr>
        <w:jc w:val="both"/>
        <w:ind w:right="260" w:firstLine="1304"/>
        <w:spacing w:after="0" w:line="225" w:lineRule="auto"/>
        <w:tabs>
          <w:tab w:leader="none" w:pos="1752" w:val="left"/>
        </w:tabs>
        <w:numPr>
          <w:ilvl w:val="0"/>
          <w:numId w:val="21"/>
        </w:numPr>
        <w:rPr>
          <w:rFonts w:ascii="Arial" w:cs="Arial" w:eastAsia="Arial" w:hAnsi="Arial"/>
          <w:sz w:val="22"/>
          <w:szCs w:val="22"/>
          <w:b w:val="1"/>
          <w:bCs w:val="1"/>
          <w:color w:val="010000"/>
        </w:rPr>
      </w:pPr>
      <w:r>
        <w:rPr>
          <w:rFonts w:ascii="Arial" w:cs="Arial" w:eastAsia="Arial" w:hAnsi="Arial"/>
          <w:sz w:val="22"/>
          <w:szCs w:val="22"/>
          <w:b w:val="1"/>
          <w:bCs w:val="1"/>
          <w:color w:val="auto"/>
        </w:rPr>
        <w:t>Duties of President</w:t>
      </w:r>
      <w:r>
        <w:rPr>
          <w:rFonts w:ascii="Arial" w:cs="Arial" w:eastAsia="Arial" w:hAnsi="Arial"/>
          <w:sz w:val="22"/>
          <w:szCs w:val="22"/>
          <w:color w:val="auto"/>
        </w:rPr>
        <w:t>. The President shall preside at all meetings of the stockholders (subject to Section 14)</w:t>
      </w:r>
      <w:r>
        <w:rPr>
          <w:rFonts w:ascii="Arial" w:cs="Arial" w:eastAsia="Arial" w:hAnsi="Arial"/>
          <w:sz w:val="22"/>
          <w:szCs w:val="22"/>
          <w:b w:val="1"/>
          <w:bCs w:val="1"/>
          <w:color w:val="auto"/>
        </w:rPr>
        <w:t xml:space="preserve"> </w:t>
      </w:r>
      <w:r>
        <w:rPr>
          <w:rFonts w:ascii="Arial" w:cs="Arial" w:eastAsia="Arial" w:hAnsi="Arial"/>
          <w:sz w:val="22"/>
          <w:szCs w:val="22"/>
          <w:color w:val="auto"/>
        </w:rPr>
        <w:t>and at all meetings of the Board of Directors, unless the Chairman of the Board of Directors, the Lead Independent Director, or the Chief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19" w:name="page20"/>
    <w:bookmarkEnd w:id="19"/>
    <w:p>
      <w:pPr>
        <w:ind w:right="120"/>
        <w:spacing w:after="0" w:line="216" w:lineRule="auto"/>
        <w:rPr>
          <w:sz w:val="20"/>
          <w:szCs w:val="20"/>
          <w:color w:val="auto"/>
        </w:rPr>
      </w:pPr>
      <w:r>
        <w:rPr>
          <w:rFonts w:ascii="Arial" w:cs="Arial" w:eastAsia="Arial" w:hAnsi="Arial"/>
          <w:sz w:val="22"/>
          <w:szCs w:val="22"/>
          <w:color w:val="auto"/>
        </w:rPr>
        <w:t>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52" w:lineRule="exact"/>
        <w:rPr>
          <w:sz w:val="20"/>
          <w:szCs w:val="20"/>
          <w:color w:val="auto"/>
        </w:rPr>
      </w:pPr>
    </w:p>
    <w:p>
      <w:pPr>
        <w:ind w:firstLine="1304"/>
        <w:spacing w:after="0" w:line="217" w:lineRule="auto"/>
        <w:tabs>
          <w:tab w:leader="none" w:pos="1776"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color w:val="auto"/>
        </w:rPr>
        <w:t>Duties of Vice Presidents</w:t>
      </w:r>
      <w:r>
        <w:rPr>
          <w:rFonts w:ascii="Arial" w:cs="Arial" w:eastAsia="Arial" w:hAnsi="Arial"/>
          <w:sz w:val="22"/>
          <w:szCs w:val="22"/>
          <w:color w:val="auto"/>
        </w:rPr>
        <w:t>. The Vice Presidents may assume and perform the duties of the President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absence or disability of the 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52" w:lineRule="exact"/>
        <w:rPr>
          <w:rFonts w:ascii="Arial" w:cs="Arial" w:eastAsia="Arial" w:hAnsi="Arial"/>
          <w:sz w:val="22"/>
          <w:szCs w:val="22"/>
          <w:b w:val="1"/>
          <w:bCs w:val="1"/>
          <w:color w:val="010000"/>
        </w:rPr>
      </w:pPr>
    </w:p>
    <w:p>
      <w:pPr>
        <w:ind w:right="40" w:firstLine="1304"/>
        <w:spacing w:after="0" w:line="221" w:lineRule="auto"/>
        <w:tabs>
          <w:tab w:leader="none" w:pos="1752" w:val="left"/>
        </w:tabs>
        <w:numPr>
          <w:ilvl w:val="0"/>
          <w:numId w:val="22"/>
        </w:numPr>
        <w:rPr>
          <w:rFonts w:ascii="Arial" w:cs="Arial" w:eastAsia="Arial" w:hAnsi="Arial"/>
          <w:sz w:val="21"/>
          <w:szCs w:val="21"/>
          <w:b w:val="1"/>
          <w:bCs w:val="1"/>
          <w:color w:val="010000"/>
        </w:rPr>
      </w:pPr>
      <w:r>
        <w:rPr>
          <w:rFonts w:ascii="Arial" w:cs="Arial" w:eastAsia="Arial" w:hAnsi="Arial"/>
          <w:sz w:val="21"/>
          <w:szCs w:val="21"/>
          <w:b w:val="1"/>
          <w:bCs w:val="1"/>
          <w:color w:val="auto"/>
        </w:rPr>
        <w:t>Duties of Secretary</w:t>
      </w:r>
      <w:r>
        <w:rPr>
          <w:rFonts w:ascii="Arial" w:cs="Arial" w:eastAsia="Arial" w:hAnsi="Arial"/>
          <w:sz w:val="21"/>
          <w:szCs w:val="21"/>
          <w:color w:val="auto"/>
        </w:rPr>
        <w:t>. The Secretary shall attend all meetings of the stockholders and of the Board of</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58" w:lineRule="exact"/>
        <w:rPr>
          <w:rFonts w:ascii="Arial" w:cs="Arial" w:eastAsia="Arial" w:hAnsi="Arial"/>
          <w:sz w:val="21"/>
          <w:szCs w:val="21"/>
          <w:b w:val="1"/>
          <w:bCs w:val="1"/>
          <w:color w:val="010000"/>
        </w:rPr>
      </w:pPr>
    </w:p>
    <w:p>
      <w:pPr>
        <w:ind w:right="80" w:firstLine="1304"/>
        <w:spacing w:after="0" w:line="243" w:lineRule="auto"/>
        <w:tabs>
          <w:tab w:leader="none" w:pos="172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color w:val="auto"/>
        </w:rPr>
        <w:t>Duties of Chief Financial Officer</w:t>
      </w:r>
      <w:r>
        <w:rPr>
          <w:rFonts w:ascii="Arial" w:cs="Arial" w:eastAsia="Arial" w:hAnsi="Arial"/>
          <w:sz w:val="19"/>
          <w:szCs w:val="19"/>
          <w:color w:val="auto"/>
        </w:rPr>
        <w:t>. The Chief Financial Officer shall keep or cause to be kept the books of</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53" w:lineRule="exact"/>
        <w:rPr>
          <w:rFonts w:ascii="Arial" w:cs="Arial" w:eastAsia="Arial" w:hAnsi="Arial"/>
          <w:sz w:val="19"/>
          <w:szCs w:val="19"/>
          <w:b w:val="1"/>
          <w:bCs w:val="1"/>
          <w:color w:val="010000"/>
        </w:rPr>
      </w:pPr>
    </w:p>
    <w:p>
      <w:pPr>
        <w:ind w:right="100" w:firstLine="1304"/>
        <w:spacing w:after="0" w:line="223" w:lineRule="auto"/>
        <w:tabs>
          <w:tab w:leader="none" w:pos="1764" w:val="left"/>
        </w:tabs>
        <w:numPr>
          <w:ilvl w:val="0"/>
          <w:numId w:val="22"/>
        </w:numPr>
        <w:rPr>
          <w:rFonts w:ascii="Arial" w:cs="Arial" w:eastAsia="Arial" w:hAnsi="Arial"/>
          <w:sz w:val="21"/>
          <w:szCs w:val="21"/>
          <w:b w:val="1"/>
          <w:bCs w:val="1"/>
          <w:color w:val="010000"/>
        </w:rPr>
      </w:pPr>
      <w:r>
        <w:rPr>
          <w:rFonts w:ascii="Arial" w:cs="Arial" w:eastAsia="Arial" w:hAnsi="Arial"/>
          <w:sz w:val="21"/>
          <w:szCs w:val="21"/>
          <w:b w:val="1"/>
          <w:bCs w:val="1"/>
          <w:color w:val="auto"/>
        </w:rPr>
        <w:t>Duties of Treasurer</w:t>
      </w:r>
      <w:r>
        <w:rPr>
          <w:rFonts w:ascii="Arial" w:cs="Arial" w:eastAsia="Arial" w:hAnsi="Arial"/>
          <w:sz w:val="21"/>
          <w:szCs w:val="21"/>
          <w:color w:val="auto"/>
        </w:rPr>
        <w:t>. Unless another officer has been appointed Chief Financial Officer of the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01" w:right="359" w:bottom="1440" w:gutter="0" w:footer="0" w:header="0"/>
        </w:sectPr>
      </w:pPr>
    </w:p>
    <w:bookmarkStart w:id="20" w:name="page21"/>
    <w:bookmarkEnd w:id="20"/>
    <w:p>
      <w:pPr>
        <w:ind w:right="220" w:firstLine="648"/>
        <w:spacing w:after="0" w:line="235" w:lineRule="auto"/>
        <w:rPr>
          <w:sz w:val="20"/>
          <w:szCs w:val="20"/>
          <w:color w:val="auto"/>
        </w:rPr>
      </w:pPr>
      <w:r>
        <w:rPr>
          <w:rFonts w:ascii="Arial" w:cs="Arial" w:eastAsia="Arial" w:hAnsi="Arial"/>
          <w:sz w:val="22"/>
          <w:szCs w:val="22"/>
          <w:b w:val="1"/>
          <w:bCs w:val="1"/>
          <w:color w:val="010000"/>
        </w:rPr>
        <w:t xml:space="preserve">Section 30. </w:t>
      </w:r>
      <w:r>
        <w:rPr>
          <w:rFonts w:ascii="Arial" w:cs="Arial" w:eastAsia="Arial" w:hAnsi="Arial"/>
          <w:sz w:val="22"/>
          <w:szCs w:val="22"/>
          <w:b w:val="1"/>
          <w:bCs w:val="1"/>
          <w:color w:val="000000"/>
        </w:rPr>
        <w:t>Delegation of Authority</w:t>
      </w:r>
      <w:r>
        <w:rPr>
          <w:rFonts w:ascii="Arial" w:cs="Arial" w:eastAsia="Arial" w:hAnsi="Arial"/>
          <w:sz w:val="22"/>
          <w:szCs w:val="22"/>
          <w:color w:val="000000"/>
        </w:rPr>
        <w:t>. The Board of Directors may from time to time delegate the powers or duties of</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officer to any other officer or agent, notwithstanding any provision hereof.</w:t>
      </w:r>
    </w:p>
    <w:p>
      <w:pPr>
        <w:spacing w:after="0" w:line="153" w:lineRule="exact"/>
        <w:rPr>
          <w:sz w:val="20"/>
          <w:szCs w:val="20"/>
          <w:color w:val="auto"/>
        </w:rPr>
      </w:pPr>
    </w:p>
    <w:p>
      <w:pPr>
        <w:ind w:right="20" w:firstLine="648"/>
        <w:spacing w:after="0" w:line="215" w:lineRule="auto"/>
        <w:rPr>
          <w:sz w:val="20"/>
          <w:szCs w:val="20"/>
          <w:color w:val="auto"/>
        </w:rPr>
      </w:pPr>
      <w:r>
        <w:rPr>
          <w:rFonts w:ascii="Arial" w:cs="Arial" w:eastAsia="Arial" w:hAnsi="Arial"/>
          <w:sz w:val="22"/>
          <w:szCs w:val="22"/>
          <w:b w:val="1"/>
          <w:bCs w:val="1"/>
          <w:color w:val="010000"/>
        </w:rPr>
        <w:t xml:space="preserve">Section 31. </w:t>
      </w:r>
      <w:r>
        <w:rPr>
          <w:rFonts w:ascii="Arial" w:cs="Arial" w:eastAsia="Arial" w:hAnsi="Arial"/>
          <w:sz w:val="22"/>
          <w:szCs w:val="22"/>
          <w:b w:val="1"/>
          <w:bCs w:val="1"/>
          <w:color w:val="000000"/>
        </w:rPr>
        <w:t>Resignations</w:t>
      </w:r>
      <w:r>
        <w:rPr>
          <w:rFonts w:ascii="Arial" w:cs="Arial" w:eastAsia="Arial" w:hAnsi="Arial"/>
          <w:sz w:val="22"/>
          <w:szCs w:val="22"/>
          <w:color w:val="000000"/>
        </w:rPr>
        <w:t>. Any officer may resign at any time by giving notice in writing or by electronic transmission</w:t>
      </w:r>
      <w:r>
        <w:rPr>
          <w:rFonts w:ascii="Arial" w:cs="Arial" w:eastAsia="Arial" w:hAnsi="Arial"/>
          <w:sz w:val="22"/>
          <w:szCs w:val="22"/>
          <w:b w:val="1"/>
          <w:bCs w:val="1"/>
          <w:color w:val="010000"/>
        </w:rPr>
        <w:t xml:space="preserve"> </w:t>
      </w:r>
      <w:r>
        <w:rPr>
          <w:rFonts w:ascii="Arial" w:cs="Arial" w:eastAsia="Arial" w:hAnsi="Arial"/>
          <w:sz w:val="22"/>
          <w:szCs w:val="22"/>
          <w:color w:val="000000"/>
        </w:rPr>
        <w:t>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52" w:lineRule="exact"/>
        <w:rPr>
          <w:sz w:val="20"/>
          <w:szCs w:val="20"/>
          <w:color w:val="auto"/>
        </w:rPr>
      </w:pPr>
    </w:p>
    <w:p>
      <w:pPr>
        <w:ind w:right="140" w:firstLine="648"/>
        <w:spacing w:after="0" w:line="220" w:lineRule="auto"/>
        <w:rPr>
          <w:sz w:val="20"/>
          <w:szCs w:val="20"/>
          <w:color w:val="auto"/>
        </w:rPr>
      </w:pPr>
      <w:r>
        <w:rPr>
          <w:rFonts w:ascii="Arial" w:cs="Arial" w:eastAsia="Arial" w:hAnsi="Arial"/>
          <w:sz w:val="22"/>
          <w:szCs w:val="22"/>
          <w:b w:val="1"/>
          <w:bCs w:val="1"/>
          <w:color w:val="010000"/>
        </w:rPr>
        <w:t xml:space="preserve">Section 32. </w:t>
      </w:r>
      <w:r>
        <w:rPr>
          <w:rFonts w:ascii="Arial" w:cs="Arial" w:eastAsia="Arial" w:hAnsi="Arial"/>
          <w:sz w:val="22"/>
          <w:szCs w:val="22"/>
          <w:b w:val="1"/>
          <w:bCs w:val="1"/>
          <w:color w:val="000000"/>
        </w:rPr>
        <w:t>Removal</w:t>
      </w:r>
      <w:r>
        <w:rPr>
          <w:rFonts w:ascii="Arial" w:cs="Arial" w:eastAsia="Arial" w:hAnsi="Arial"/>
          <w:sz w:val="22"/>
          <w:szCs w:val="22"/>
          <w:color w:val="000000"/>
        </w:rPr>
        <w:t>. Any officer may be removed from office at any time, either with or without cause, by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affirmative vote of a majority of the directors in office at the time, or by the unanimous written consent of the directors in office at the time, or by any committee or by the Chief Executive Officer or by other superior officers upon whom such power of removal may have been conferred by the Board of Directors.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VI</w:t>
      </w:r>
    </w:p>
    <w:p>
      <w:pPr>
        <w:spacing w:after="0" w:line="179" w:lineRule="exact"/>
        <w:rPr>
          <w:sz w:val="20"/>
          <w:szCs w:val="20"/>
          <w:color w:val="auto"/>
        </w:rPr>
      </w:pPr>
    </w:p>
    <w:p>
      <w:pPr>
        <w:jc w:val="center"/>
        <w:ind w:left="360" w:right="760"/>
        <w:spacing w:after="0" w:line="235" w:lineRule="auto"/>
        <w:rPr>
          <w:sz w:val="20"/>
          <w:szCs w:val="20"/>
          <w:color w:val="auto"/>
        </w:rPr>
      </w:pPr>
      <w:r>
        <w:rPr>
          <w:rFonts w:ascii="Arial" w:cs="Arial" w:eastAsia="Arial" w:hAnsi="Arial"/>
          <w:sz w:val="22"/>
          <w:szCs w:val="22"/>
          <w:b w:val="1"/>
          <w:bCs w:val="1"/>
          <w:color w:val="auto"/>
        </w:rPr>
        <w:t>EXECUTION OF CORPORATE INSTRUMENTS AND VOTING OF SECURITIES OWNED BY THE CORPORATION</w:t>
      </w:r>
    </w:p>
    <w:p>
      <w:pPr>
        <w:spacing w:after="0" w:line="153" w:lineRule="exact"/>
        <w:rPr>
          <w:sz w:val="20"/>
          <w:szCs w:val="20"/>
          <w:color w:val="auto"/>
        </w:rPr>
      </w:pPr>
    </w:p>
    <w:p>
      <w:pPr>
        <w:ind w:right="20" w:firstLine="648"/>
        <w:spacing w:after="0" w:line="217" w:lineRule="auto"/>
        <w:rPr>
          <w:sz w:val="20"/>
          <w:szCs w:val="20"/>
          <w:color w:val="auto"/>
        </w:rPr>
      </w:pPr>
      <w:r>
        <w:rPr>
          <w:rFonts w:ascii="Arial" w:cs="Arial" w:eastAsia="Arial" w:hAnsi="Arial"/>
          <w:sz w:val="22"/>
          <w:szCs w:val="22"/>
          <w:b w:val="1"/>
          <w:bCs w:val="1"/>
          <w:color w:val="010000"/>
        </w:rPr>
        <w:t xml:space="preserve">Section 33. </w:t>
      </w:r>
      <w:r>
        <w:rPr>
          <w:rFonts w:ascii="Arial" w:cs="Arial" w:eastAsia="Arial" w:hAnsi="Arial"/>
          <w:sz w:val="22"/>
          <w:szCs w:val="22"/>
          <w:b w:val="1"/>
          <w:bCs w:val="1"/>
          <w:color w:val="000000"/>
        </w:rPr>
        <w:t>Execution of Corporate Instruments</w:t>
      </w:r>
      <w:r>
        <w:rPr>
          <w:rFonts w:ascii="Arial" w:cs="Arial" w:eastAsia="Arial" w:hAnsi="Arial"/>
          <w:sz w:val="22"/>
          <w:szCs w:val="22"/>
          <w:color w:val="000000"/>
        </w:rPr>
        <w:t>. The Board of Directors may, in its discretion, determine the method</w:t>
      </w:r>
      <w:r>
        <w:rPr>
          <w:rFonts w:ascii="Arial" w:cs="Arial" w:eastAsia="Arial" w:hAnsi="Arial"/>
          <w:sz w:val="22"/>
          <w:szCs w:val="22"/>
          <w:b w:val="1"/>
          <w:bCs w:val="1"/>
          <w:color w:val="010000"/>
        </w:rPr>
        <w:t xml:space="preserve"> </w:t>
      </w:r>
      <w:r>
        <w:rPr>
          <w:rFonts w:ascii="Arial" w:cs="Arial" w:eastAsia="Arial" w:hAnsi="Arial"/>
          <w:sz w:val="22"/>
          <w:szCs w:val="22"/>
          <w:color w:val="000000"/>
        </w:rPr>
        <w:t>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58" w:lineRule="exact"/>
        <w:rPr>
          <w:sz w:val="20"/>
          <w:szCs w:val="20"/>
          <w:color w:val="auto"/>
        </w:rPr>
      </w:pPr>
    </w:p>
    <w:p>
      <w:pPr>
        <w:ind w:right="60" w:firstLine="648"/>
        <w:spacing w:after="0" w:line="298" w:lineRule="auto"/>
        <w:rPr>
          <w:sz w:val="20"/>
          <w:szCs w:val="20"/>
          <w:color w:val="auto"/>
        </w:rPr>
      </w:pPr>
      <w:r>
        <w:rPr>
          <w:rFonts w:ascii="Arial" w:cs="Arial" w:eastAsia="Arial" w:hAnsi="Arial"/>
          <w:sz w:val="19"/>
          <w:szCs w:val="19"/>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05" w:lineRule="exact"/>
        <w:rPr>
          <w:sz w:val="20"/>
          <w:szCs w:val="20"/>
          <w:color w:val="auto"/>
        </w:rPr>
      </w:pPr>
    </w:p>
    <w:p>
      <w:pPr>
        <w:ind w:right="300" w:firstLine="648"/>
        <w:spacing w:after="0" w:line="223" w:lineRule="auto"/>
        <w:rPr>
          <w:sz w:val="20"/>
          <w:szCs w:val="20"/>
          <w:color w:val="auto"/>
        </w:rPr>
      </w:pPr>
      <w:r>
        <w:rPr>
          <w:rFonts w:ascii="Arial" w:cs="Arial" w:eastAsia="Arial" w:hAnsi="Arial"/>
          <w:sz w:val="22"/>
          <w:szCs w:val="22"/>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b w:val="1"/>
          <w:bCs w:val="1"/>
          <w:color w:val="010000"/>
        </w:rPr>
        <w:t xml:space="preserve">Section 34. </w:t>
      </w:r>
      <w:r>
        <w:rPr>
          <w:rFonts w:ascii="Arial" w:cs="Arial" w:eastAsia="Arial" w:hAnsi="Arial"/>
          <w:sz w:val="19"/>
          <w:szCs w:val="19"/>
          <w:b w:val="1"/>
          <w:bCs w:val="1"/>
          <w:color w:val="000000"/>
        </w:rPr>
        <w:t>Voting of Securities Owned by the Corporation</w:t>
      </w:r>
      <w:r>
        <w:rPr>
          <w:rFonts w:ascii="Arial" w:cs="Arial" w:eastAsia="Arial" w:hAnsi="Arial"/>
          <w:sz w:val="19"/>
          <w:szCs w:val="19"/>
          <w:color w:val="000000"/>
        </w:rPr>
        <w:t>. All stock and other securities of other corporations</w:t>
      </w:r>
      <w:r>
        <w:rPr>
          <w:rFonts w:ascii="Arial" w:cs="Arial" w:eastAsia="Arial" w:hAnsi="Arial"/>
          <w:sz w:val="19"/>
          <w:szCs w:val="19"/>
          <w:b w:val="1"/>
          <w:bCs w:val="1"/>
          <w:color w:val="010000"/>
        </w:rPr>
        <w:t xml:space="preserve"> </w:t>
      </w:r>
      <w:r>
        <w:rPr>
          <w:rFonts w:ascii="Arial" w:cs="Arial" w:eastAsia="Arial" w:hAnsi="Arial"/>
          <w:sz w:val="19"/>
          <w:szCs w:val="19"/>
          <w:color w:val="000000"/>
        </w:rPr>
        <w:t>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VII</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SHARES OF STOCK</w:t>
      </w:r>
    </w:p>
    <w:p>
      <w:pPr>
        <w:spacing w:after="0" w:line="179" w:lineRule="exact"/>
        <w:rPr>
          <w:sz w:val="20"/>
          <w:szCs w:val="20"/>
          <w:color w:val="auto"/>
        </w:rPr>
      </w:pPr>
    </w:p>
    <w:p>
      <w:pPr>
        <w:ind w:firstLine="648"/>
        <w:spacing w:after="0" w:line="225" w:lineRule="auto"/>
        <w:rPr>
          <w:sz w:val="20"/>
          <w:szCs w:val="20"/>
          <w:color w:val="auto"/>
        </w:rPr>
      </w:pPr>
      <w:r>
        <w:rPr>
          <w:rFonts w:ascii="Arial" w:cs="Arial" w:eastAsia="Arial" w:hAnsi="Arial"/>
          <w:sz w:val="22"/>
          <w:szCs w:val="22"/>
          <w:b w:val="1"/>
          <w:bCs w:val="1"/>
          <w:color w:val="010000"/>
        </w:rPr>
        <w:t xml:space="preserve">Section 35. </w:t>
      </w:r>
      <w:r>
        <w:rPr>
          <w:rFonts w:ascii="Arial" w:cs="Arial" w:eastAsia="Arial" w:hAnsi="Arial"/>
          <w:sz w:val="22"/>
          <w:szCs w:val="22"/>
          <w:b w:val="1"/>
          <w:bCs w:val="1"/>
          <w:color w:val="000000"/>
        </w:rPr>
        <w:t>Form and Execution of Certificates</w:t>
      </w:r>
      <w:r>
        <w:rPr>
          <w:rFonts w:ascii="Arial" w:cs="Arial" w:eastAsia="Arial" w:hAnsi="Arial"/>
          <w:sz w:val="22"/>
          <w:szCs w:val="22"/>
          <w:color w:val="000000"/>
        </w:rPr>
        <w:t>. The shares of the corporation shall be represented by certificates, or</w:t>
      </w:r>
      <w:r>
        <w:rPr>
          <w:rFonts w:ascii="Arial" w:cs="Arial" w:eastAsia="Arial" w:hAnsi="Arial"/>
          <w:sz w:val="22"/>
          <w:szCs w:val="22"/>
          <w:b w:val="1"/>
          <w:bCs w:val="1"/>
          <w:color w:val="010000"/>
        </w:rPr>
        <w:t xml:space="preserve"> </w:t>
      </w:r>
      <w:r>
        <w:rPr>
          <w:rFonts w:ascii="Arial" w:cs="Arial" w:eastAsia="Arial" w:hAnsi="Arial"/>
          <w:sz w:val="22"/>
          <w:szCs w:val="22"/>
          <w:color w:val="000000"/>
        </w:rPr>
        <w:t>shall be uncertificated. Certificates for the shares of stock, if any, of the corporation shall be in such form as is consistent with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00"/>
          </w:cols>
          <w:pgMar w:left="320" w:top="1395" w:right="379" w:bottom="1440" w:gutter="0" w:footer="0" w:header="0"/>
        </w:sectPr>
      </w:pPr>
    </w:p>
    <w:bookmarkStart w:id="21" w:name="page22"/>
    <w:bookmarkEnd w:id="21"/>
    <w:p>
      <w:pPr>
        <w:spacing w:after="0" w:line="222" w:lineRule="auto"/>
        <w:rPr>
          <w:sz w:val="20"/>
          <w:szCs w:val="20"/>
          <w:color w:val="auto"/>
        </w:rPr>
      </w:pPr>
      <w:r>
        <w:rPr>
          <w:rFonts w:ascii="Arial" w:cs="Arial" w:eastAsia="Arial" w:hAnsi="Arial"/>
          <w:sz w:val="21"/>
          <w:szCs w:val="21"/>
          <w:color w:val="auto"/>
        </w:rPr>
        <w:t>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58" w:lineRule="exact"/>
        <w:rPr>
          <w:sz w:val="20"/>
          <w:szCs w:val="20"/>
          <w:color w:val="auto"/>
        </w:rPr>
      </w:pPr>
    </w:p>
    <w:p>
      <w:pPr>
        <w:ind w:right="40" w:firstLine="648"/>
        <w:spacing w:after="0" w:line="248" w:lineRule="auto"/>
        <w:rPr>
          <w:sz w:val="20"/>
          <w:szCs w:val="20"/>
          <w:color w:val="auto"/>
        </w:rPr>
      </w:pPr>
      <w:r>
        <w:rPr>
          <w:rFonts w:ascii="Arial" w:cs="Arial" w:eastAsia="Arial" w:hAnsi="Arial"/>
          <w:sz w:val="19"/>
          <w:szCs w:val="19"/>
          <w:b w:val="1"/>
          <w:bCs w:val="1"/>
          <w:color w:val="010000"/>
        </w:rPr>
        <w:t xml:space="preserve">Section 36. </w:t>
      </w:r>
      <w:r>
        <w:rPr>
          <w:rFonts w:ascii="Arial" w:cs="Arial" w:eastAsia="Arial" w:hAnsi="Arial"/>
          <w:sz w:val="19"/>
          <w:szCs w:val="19"/>
          <w:b w:val="1"/>
          <w:bCs w:val="1"/>
          <w:color w:val="000000"/>
        </w:rPr>
        <w:t>Lost Certificates</w:t>
      </w:r>
      <w:r>
        <w:rPr>
          <w:rFonts w:ascii="Arial" w:cs="Arial" w:eastAsia="Arial" w:hAnsi="Arial"/>
          <w:sz w:val="19"/>
          <w:szCs w:val="19"/>
          <w:color w:val="000000"/>
        </w:rPr>
        <w:t>. A new certificate or certificates shall be issued in place of any certificate or certificates</w:t>
      </w:r>
      <w:r>
        <w:rPr>
          <w:rFonts w:ascii="Arial" w:cs="Arial" w:eastAsia="Arial" w:hAnsi="Arial"/>
          <w:sz w:val="19"/>
          <w:szCs w:val="19"/>
          <w:b w:val="1"/>
          <w:bCs w:val="1"/>
          <w:color w:val="010000"/>
        </w:rPr>
        <w:t xml:space="preserve"> </w:t>
      </w:r>
      <w:r>
        <w:rPr>
          <w:rFonts w:ascii="Arial" w:cs="Arial" w:eastAsia="Arial" w:hAnsi="Arial"/>
          <w:sz w:val="19"/>
          <w:szCs w:val="19"/>
          <w:color w:val="000000"/>
        </w:rPr>
        <w:t>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4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37.</w:t>
      </w:r>
      <w:r>
        <w:rPr>
          <w:sz w:val="20"/>
          <w:szCs w:val="20"/>
          <w:color w:val="auto"/>
        </w:rPr>
        <w:tab/>
      </w:r>
      <w:r>
        <w:rPr>
          <w:rFonts w:ascii="Arial" w:cs="Arial" w:eastAsia="Arial" w:hAnsi="Arial"/>
          <w:sz w:val="19"/>
          <w:szCs w:val="19"/>
          <w:b w:val="1"/>
          <w:bCs w:val="1"/>
          <w:color w:val="auto"/>
        </w:rPr>
        <w:t>Transfers</w:t>
      </w:r>
      <w:r>
        <w:rPr>
          <w:rFonts w:ascii="Arial" w:cs="Arial" w:eastAsia="Arial" w:hAnsi="Arial"/>
          <w:sz w:val="19"/>
          <w:szCs w:val="19"/>
          <w:color w:val="auto"/>
        </w:rPr>
        <w:t>.</w:t>
      </w:r>
    </w:p>
    <w:p>
      <w:pPr>
        <w:spacing w:after="0" w:line="185" w:lineRule="exact"/>
        <w:rPr>
          <w:sz w:val="20"/>
          <w:szCs w:val="20"/>
          <w:color w:val="auto"/>
        </w:rPr>
      </w:pPr>
    </w:p>
    <w:p>
      <w:pPr>
        <w:ind w:right="340" w:firstLine="1304"/>
        <w:spacing w:after="0" w:line="223" w:lineRule="auto"/>
        <w:tabs>
          <w:tab w:leader="none" w:pos="1764" w:val="left"/>
        </w:tabs>
        <w:numPr>
          <w:ilvl w:val="0"/>
          <w:numId w:val="23"/>
        </w:numPr>
        <w:rPr>
          <w:rFonts w:ascii="Arial" w:cs="Arial" w:eastAsia="Arial" w:hAnsi="Arial"/>
          <w:sz w:val="22"/>
          <w:szCs w:val="22"/>
          <w:b w:val="1"/>
          <w:bCs w:val="1"/>
          <w:color w:val="010000"/>
        </w:rPr>
      </w:pPr>
      <w:r>
        <w:rPr>
          <w:rFonts w:ascii="Arial" w:cs="Arial" w:eastAsia="Arial" w:hAnsi="Arial"/>
          <w:sz w:val="22"/>
          <w:szCs w:val="22"/>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58" w:lineRule="exact"/>
        <w:rPr>
          <w:rFonts w:ascii="Arial" w:cs="Arial" w:eastAsia="Arial" w:hAnsi="Arial"/>
          <w:sz w:val="22"/>
          <w:szCs w:val="22"/>
          <w:b w:val="1"/>
          <w:bCs w:val="1"/>
          <w:color w:val="010000"/>
        </w:rPr>
      </w:pPr>
    </w:p>
    <w:p>
      <w:pPr>
        <w:ind w:right="80" w:firstLine="1304"/>
        <w:spacing w:after="0" w:line="223" w:lineRule="auto"/>
        <w:tabs>
          <w:tab w:leader="none" w:pos="1776" w:val="left"/>
        </w:tabs>
        <w:numPr>
          <w:ilvl w:val="0"/>
          <w:numId w:val="23"/>
        </w:numPr>
        <w:rPr>
          <w:rFonts w:ascii="Arial" w:cs="Arial" w:eastAsia="Arial" w:hAnsi="Arial"/>
          <w:sz w:val="22"/>
          <w:szCs w:val="22"/>
          <w:b w:val="1"/>
          <w:bCs w:val="1"/>
          <w:color w:val="010000"/>
        </w:rPr>
      </w:pPr>
      <w:r>
        <w:rPr>
          <w:rFonts w:ascii="Arial" w:cs="Arial" w:eastAsia="Arial" w:hAnsi="Arial"/>
          <w:sz w:val="22"/>
          <w:szCs w:val="22"/>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5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38.</w:t>
      </w:r>
      <w:r>
        <w:rPr>
          <w:sz w:val="20"/>
          <w:szCs w:val="20"/>
          <w:color w:val="auto"/>
        </w:rPr>
        <w:tab/>
      </w:r>
      <w:r>
        <w:rPr>
          <w:rFonts w:ascii="Arial" w:cs="Arial" w:eastAsia="Arial" w:hAnsi="Arial"/>
          <w:sz w:val="19"/>
          <w:szCs w:val="19"/>
          <w:b w:val="1"/>
          <w:bCs w:val="1"/>
          <w:color w:val="auto"/>
        </w:rPr>
        <w:t>Fixing Record Dates</w:t>
      </w:r>
      <w:r>
        <w:rPr>
          <w:rFonts w:ascii="Arial" w:cs="Arial" w:eastAsia="Arial" w:hAnsi="Arial"/>
          <w:sz w:val="19"/>
          <w:szCs w:val="19"/>
          <w:color w:val="auto"/>
        </w:rPr>
        <w:t>.</w:t>
      </w:r>
    </w:p>
    <w:p>
      <w:pPr>
        <w:spacing w:after="0" w:line="185" w:lineRule="exact"/>
        <w:rPr>
          <w:sz w:val="20"/>
          <w:szCs w:val="20"/>
          <w:color w:val="auto"/>
        </w:rPr>
      </w:pPr>
    </w:p>
    <w:p>
      <w:pPr>
        <w:ind w:firstLine="1304"/>
        <w:spacing w:after="0" w:line="244" w:lineRule="auto"/>
        <w:tabs>
          <w:tab w:leader="none" w:pos="1764" w:val="left"/>
        </w:tabs>
        <w:numPr>
          <w:ilvl w:val="0"/>
          <w:numId w:val="24"/>
        </w:numPr>
        <w:rPr>
          <w:rFonts w:ascii="Arial" w:cs="Arial" w:eastAsia="Arial" w:hAnsi="Arial"/>
          <w:sz w:val="19"/>
          <w:szCs w:val="19"/>
          <w:b w:val="1"/>
          <w:bCs w:val="1"/>
          <w:color w:val="010000"/>
        </w:rPr>
      </w:pPr>
      <w:r>
        <w:rPr>
          <w:rFonts w:ascii="Arial" w:cs="Arial" w:eastAsia="Arial" w:hAnsi="Arial"/>
          <w:sz w:val="19"/>
          <w:szCs w:val="19"/>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of Directors may fix a new record date for the adjourned meeting.</w:t>
      </w:r>
    </w:p>
    <w:p>
      <w:pPr>
        <w:spacing w:after="0" w:line="160" w:lineRule="exact"/>
        <w:rPr>
          <w:rFonts w:ascii="Arial" w:cs="Arial" w:eastAsia="Arial" w:hAnsi="Arial"/>
          <w:sz w:val="19"/>
          <w:szCs w:val="19"/>
          <w:b w:val="1"/>
          <w:bCs w:val="1"/>
          <w:color w:val="010000"/>
        </w:rPr>
      </w:pPr>
    </w:p>
    <w:p>
      <w:pPr>
        <w:ind w:right="120" w:firstLine="1304"/>
        <w:spacing w:after="0" w:line="214" w:lineRule="auto"/>
        <w:tabs>
          <w:tab w:leader="none" w:pos="1776" w:val="left"/>
        </w:tabs>
        <w:numPr>
          <w:ilvl w:val="0"/>
          <w:numId w:val="24"/>
        </w:numPr>
        <w:rPr>
          <w:rFonts w:ascii="Arial" w:cs="Arial" w:eastAsia="Arial" w:hAnsi="Arial"/>
          <w:sz w:val="22"/>
          <w:szCs w:val="22"/>
          <w:b w:val="1"/>
          <w:bCs w:val="1"/>
          <w:color w:val="010000"/>
        </w:rPr>
      </w:pPr>
      <w:r>
        <w:rPr>
          <w:rFonts w:ascii="Arial" w:cs="Arial" w:eastAsia="Arial" w:hAnsi="Arial"/>
          <w:sz w:val="22"/>
          <w:szCs w:val="22"/>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20" w:top="1401" w:right="379" w:bottom="1440" w:gutter="0" w:footer="0" w:header="0"/>
        </w:sectPr>
      </w:pPr>
    </w:p>
    <w:bookmarkStart w:id="22" w:name="page23"/>
    <w:bookmarkEnd w:id="22"/>
    <w:p>
      <w:pPr>
        <w:spacing w:after="0"/>
        <w:rPr>
          <w:sz w:val="20"/>
          <w:szCs w:val="20"/>
          <w:color w:val="auto"/>
        </w:rPr>
      </w:pPr>
      <w:r>
        <w:rPr>
          <w:rFonts w:ascii="Arial" w:cs="Arial" w:eastAsia="Arial" w:hAnsi="Arial"/>
          <w:sz w:val="19"/>
          <w:szCs w:val="19"/>
          <w:color w:val="auto"/>
        </w:rPr>
        <w:t>purpose shall be at the close of business on the day on which the Board of Directors adopts the resolution relating thereto.</w:t>
      </w:r>
    </w:p>
    <w:p>
      <w:pPr>
        <w:spacing w:after="0" w:line="208" w:lineRule="exact"/>
        <w:rPr>
          <w:sz w:val="20"/>
          <w:szCs w:val="20"/>
          <w:color w:val="auto"/>
        </w:rPr>
      </w:pPr>
    </w:p>
    <w:p>
      <w:pPr>
        <w:ind w:firstLine="648"/>
        <w:spacing w:after="0" w:line="230" w:lineRule="auto"/>
        <w:rPr>
          <w:sz w:val="20"/>
          <w:szCs w:val="20"/>
          <w:color w:val="auto"/>
        </w:rPr>
      </w:pPr>
      <w:r>
        <w:rPr>
          <w:rFonts w:ascii="Arial" w:cs="Arial" w:eastAsia="Arial" w:hAnsi="Arial"/>
          <w:sz w:val="21"/>
          <w:szCs w:val="21"/>
          <w:b w:val="1"/>
          <w:bCs w:val="1"/>
          <w:color w:val="010000"/>
        </w:rPr>
        <w:t xml:space="preserve">Section 39. </w:t>
      </w:r>
      <w:r>
        <w:rPr>
          <w:rFonts w:ascii="Arial" w:cs="Arial" w:eastAsia="Arial" w:hAnsi="Arial"/>
          <w:sz w:val="21"/>
          <w:szCs w:val="21"/>
          <w:b w:val="1"/>
          <w:bCs w:val="1"/>
          <w:color w:val="000000"/>
        </w:rPr>
        <w:t>Registered Stockholders</w:t>
      </w:r>
      <w:r>
        <w:rPr>
          <w:rFonts w:ascii="Arial" w:cs="Arial" w:eastAsia="Arial" w:hAnsi="Arial"/>
          <w:sz w:val="21"/>
          <w:szCs w:val="21"/>
          <w:color w:val="000000"/>
        </w:rPr>
        <w:t>. The corporation shall be entitled to recognize the exclusive right of a person</w:t>
      </w:r>
      <w:r>
        <w:rPr>
          <w:rFonts w:ascii="Arial" w:cs="Arial" w:eastAsia="Arial" w:hAnsi="Arial"/>
          <w:sz w:val="21"/>
          <w:szCs w:val="21"/>
          <w:b w:val="1"/>
          <w:bCs w:val="1"/>
          <w:color w:val="010000"/>
        </w:rPr>
        <w:t xml:space="preserve"> </w:t>
      </w:r>
      <w:r>
        <w:rPr>
          <w:rFonts w:ascii="Arial" w:cs="Arial" w:eastAsia="Arial" w:hAnsi="Arial"/>
          <w:sz w:val="21"/>
          <w:szCs w:val="21"/>
          <w:color w:val="000000"/>
        </w:rPr>
        <w:t>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SECURITIES OF THE CORPORATION</w:t>
      </w:r>
    </w:p>
    <w:p>
      <w:pPr>
        <w:spacing w:after="0" w:line="179" w:lineRule="exact"/>
        <w:rPr>
          <w:sz w:val="20"/>
          <w:szCs w:val="20"/>
          <w:color w:val="auto"/>
        </w:rPr>
      </w:pPr>
    </w:p>
    <w:p>
      <w:pPr>
        <w:ind w:right="40" w:firstLine="648"/>
        <w:spacing w:after="0" w:line="241" w:lineRule="auto"/>
        <w:rPr>
          <w:sz w:val="20"/>
          <w:szCs w:val="20"/>
          <w:color w:val="auto"/>
        </w:rPr>
      </w:pPr>
      <w:r>
        <w:rPr>
          <w:rFonts w:ascii="Arial" w:cs="Arial" w:eastAsia="Arial" w:hAnsi="Arial"/>
          <w:sz w:val="19"/>
          <w:szCs w:val="19"/>
          <w:b w:val="1"/>
          <w:bCs w:val="1"/>
          <w:color w:val="010000"/>
        </w:rPr>
        <w:t xml:space="preserve">Section 40. </w:t>
      </w:r>
      <w:r>
        <w:rPr>
          <w:rFonts w:ascii="Arial" w:cs="Arial" w:eastAsia="Arial" w:hAnsi="Arial"/>
          <w:sz w:val="19"/>
          <w:szCs w:val="19"/>
          <w:b w:val="1"/>
          <w:bCs w:val="1"/>
          <w:color w:val="000000"/>
        </w:rPr>
        <w:t>Execution of Other Securities</w:t>
      </w:r>
      <w:r>
        <w:rPr>
          <w:rFonts w:ascii="Arial" w:cs="Arial" w:eastAsia="Arial" w:hAnsi="Arial"/>
          <w:sz w:val="19"/>
          <w:szCs w:val="19"/>
          <w:color w:val="000000"/>
        </w:rPr>
        <w:t>. All bonds, debentures and other corporate securities of the corporation,</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other than stock certificates (covered in Section 35),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DIVIDENDS</w:t>
      </w:r>
    </w:p>
    <w:p>
      <w:pPr>
        <w:spacing w:after="0" w:line="179" w:lineRule="exact"/>
        <w:rPr>
          <w:sz w:val="20"/>
          <w:szCs w:val="20"/>
          <w:color w:val="auto"/>
        </w:rPr>
      </w:pPr>
    </w:p>
    <w:p>
      <w:pPr>
        <w:ind w:right="100" w:firstLine="648"/>
        <w:spacing w:after="0" w:line="220" w:lineRule="auto"/>
        <w:rPr>
          <w:sz w:val="20"/>
          <w:szCs w:val="20"/>
          <w:color w:val="auto"/>
        </w:rPr>
      </w:pPr>
      <w:r>
        <w:rPr>
          <w:rFonts w:ascii="Arial" w:cs="Arial" w:eastAsia="Arial" w:hAnsi="Arial"/>
          <w:sz w:val="22"/>
          <w:szCs w:val="22"/>
          <w:b w:val="1"/>
          <w:bCs w:val="1"/>
          <w:color w:val="010000"/>
        </w:rPr>
        <w:t xml:space="preserve">Section 41. </w:t>
      </w:r>
      <w:r>
        <w:rPr>
          <w:rFonts w:ascii="Arial" w:cs="Arial" w:eastAsia="Arial" w:hAnsi="Arial"/>
          <w:sz w:val="22"/>
          <w:szCs w:val="22"/>
          <w:b w:val="1"/>
          <w:bCs w:val="1"/>
          <w:color w:val="000000"/>
        </w:rPr>
        <w:t>Declaration of Dividends</w:t>
      </w:r>
      <w:r>
        <w:rPr>
          <w:rFonts w:ascii="Arial" w:cs="Arial" w:eastAsia="Arial" w:hAnsi="Arial"/>
          <w:sz w:val="22"/>
          <w:szCs w:val="22"/>
          <w:color w:val="000000"/>
        </w:rPr>
        <w:t>. Dividends upon the capital stock of the corporation, subject to the provisions of</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Certificate of 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2" w:lineRule="exact"/>
        <w:rPr>
          <w:sz w:val="20"/>
          <w:szCs w:val="20"/>
          <w:color w:val="auto"/>
        </w:rPr>
      </w:pPr>
    </w:p>
    <w:p>
      <w:pPr>
        <w:ind w:right="340" w:firstLine="648"/>
        <w:spacing w:after="0" w:line="254" w:lineRule="auto"/>
        <w:rPr>
          <w:sz w:val="20"/>
          <w:szCs w:val="20"/>
          <w:color w:val="auto"/>
        </w:rPr>
      </w:pPr>
      <w:r>
        <w:rPr>
          <w:rFonts w:ascii="Arial" w:cs="Arial" w:eastAsia="Arial" w:hAnsi="Arial"/>
          <w:sz w:val="19"/>
          <w:szCs w:val="19"/>
          <w:b w:val="1"/>
          <w:bCs w:val="1"/>
          <w:color w:val="010000"/>
        </w:rPr>
        <w:t xml:space="preserve">Section 42. </w:t>
      </w:r>
      <w:r>
        <w:rPr>
          <w:rFonts w:ascii="Arial" w:cs="Arial" w:eastAsia="Arial" w:hAnsi="Arial"/>
          <w:sz w:val="19"/>
          <w:szCs w:val="19"/>
          <w:b w:val="1"/>
          <w:bCs w:val="1"/>
          <w:color w:val="000000"/>
        </w:rPr>
        <w:t>Dividend Reserve</w:t>
      </w:r>
      <w:r>
        <w:rPr>
          <w:rFonts w:ascii="Arial" w:cs="Arial" w:eastAsia="Arial" w:hAnsi="Arial"/>
          <w:sz w:val="19"/>
          <w:szCs w:val="19"/>
          <w:color w:val="000000"/>
        </w:rPr>
        <w:t>. Before payment of any dividend, there may be set aside out of any funds of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2"/>
          <w:szCs w:val="22"/>
          <w:b w:val="1"/>
          <w:bCs w:val="1"/>
          <w:color w:val="010000"/>
        </w:rPr>
        <w:t>ARTICLE X</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FISCAL YEAR</w:t>
      </w:r>
    </w:p>
    <w:p>
      <w:pPr>
        <w:spacing w:after="0" w:line="179"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2"/>
          <w:szCs w:val="22"/>
          <w:b w:val="1"/>
          <w:bCs w:val="1"/>
          <w:color w:val="010000"/>
        </w:rPr>
        <w:t>Section 43.</w:t>
      </w:r>
      <w:r>
        <w:rPr>
          <w:sz w:val="20"/>
          <w:szCs w:val="20"/>
          <w:color w:val="auto"/>
        </w:rPr>
        <w:tab/>
      </w:r>
      <w:r>
        <w:rPr>
          <w:rFonts w:ascii="Arial" w:cs="Arial" w:eastAsia="Arial" w:hAnsi="Arial"/>
          <w:sz w:val="19"/>
          <w:szCs w:val="19"/>
          <w:b w:val="1"/>
          <w:bCs w:val="1"/>
          <w:color w:val="auto"/>
        </w:rPr>
        <w:t>Fiscal Year</w:t>
      </w:r>
      <w:r>
        <w:rPr>
          <w:rFonts w:ascii="Arial" w:cs="Arial" w:eastAsia="Arial" w:hAnsi="Arial"/>
          <w:sz w:val="19"/>
          <w:szCs w:val="19"/>
          <w:color w:val="auto"/>
        </w:rPr>
        <w:t>. The fiscal year of the corporation shall be fixed by resolution of the Board of Directors.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XI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w:t>
      </w:r>
    </w:p>
    <w:p>
      <w:pPr>
        <w:spacing w:after="0" w:line="179" w:lineRule="exact"/>
        <w:rPr>
          <w:sz w:val="20"/>
          <w:szCs w:val="20"/>
          <w:color w:val="auto"/>
        </w:rPr>
      </w:pPr>
    </w:p>
    <w:p>
      <w:pPr>
        <w:jc w:val="center"/>
        <w:ind w:right="-59"/>
        <w:spacing w:after="0"/>
        <w:tabs>
          <w:tab w:leader="none" w:pos="180" w:val="left"/>
        </w:tabs>
        <w:rPr>
          <w:sz w:val="20"/>
          <w:szCs w:val="20"/>
          <w:color w:val="auto"/>
        </w:rPr>
      </w:pPr>
      <w:r>
        <w:rPr>
          <w:rFonts w:ascii="Arial" w:cs="Arial" w:eastAsia="Arial" w:hAnsi="Arial"/>
          <w:sz w:val="22"/>
          <w:szCs w:val="22"/>
          <w:b w:val="1"/>
          <w:bCs w:val="1"/>
          <w:color w:val="010000"/>
        </w:rPr>
        <w:t>Section 44.</w:t>
      </w:r>
      <w:r>
        <w:rPr>
          <w:sz w:val="20"/>
          <w:szCs w:val="20"/>
          <w:color w:val="auto"/>
        </w:rPr>
        <w:tab/>
      </w:r>
      <w:r>
        <w:rPr>
          <w:rFonts w:ascii="Arial" w:cs="Arial" w:eastAsia="Arial" w:hAnsi="Arial"/>
          <w:sz w:val="19"/>
          <w:szCs w:val="19"/>
          <w:b w:val="1"/>
          <w:bCs w:val="1"/>
          <w:color w:val="auto"/>
        </w:rPr>
        <w:t>Indemnification of Directors, Executive Officers, Other Officers, Employees and Other Agents</w:t>
      </w:r>
      <w:r>
        <w:rPr>
          <w:rFonts w:ascii="Arial" w:cs="Arial" w:eastAsia="Arial" w:hAnsi="Arial"/>
          <w:sz w:val="19"/>
          <w:szCs w:val="19"/>
          <w:color w:val="auto"/>
        </w:rPr>
        <w:t>.</w:t>
      </w:r>
    </w:p>
    <w:p>
      <w:pPr>
        <w:spacing w:after="0" w:line="179" w:lineRule="exact"/>
        <w:rPr>
          <w:sz w:val="20"/>
          <w:szCs w:val="20"/>
          <w:color w:val="auto"/>
        </w:rPr>
      </w:pPr>
    </w:p>
    <w:p>
      <w:pPr>
        <w:ind w:right="20" w:firstLine="1304"/>
        <w:spacing w:after="0" w:line="221" w:lineRule="auto"/>
        <w:tabs>
          <w:tab w:leader="none" w:pos="1764" w:val="left"/>
        </w:tabs>
        <w:numPr>
          <w:ilvl w:val="0"/>
          <w:numId w:val="25"/>
        </w:numPr>
        <w:rPr>
          <w:rFonts w:ascii="Arial" w:cs="Arial" w:eastAsia="Arial" w:hAnsi="Arial"/>
          <w:sz w:val="21"/>
          <w:szCs w:val="21"/>
          <w:b w:val="1"/>
          <w:bCs w:val="1"/>
          <w:color w:val="010000"/>
        </w:rPr>
      </w:pPr>
      <w:r>
        <w:rPr>
          <w:rFonts w:ascii="Arial" w:cs="Arial" w:eastAsia="Arial" w:hAnsi="Arial"/>
          <w:sz w:val="21"/>
          <w:szCs w:val="21"/>
          <w:b w:val="1"/>
          <w:bCs w:val="1"/>
          <w:color w:val="auto"/>
        </w:rPr>
        <w:t>Directors and Executive Officers</w:t>
      </w:r>
      <w:r>
        <w:rPr>
          <w:rFonts w:ascii="Arial" w:cs="Arial" w:eastAsia="Arial" w:hAnsi="Arial"/>
          <w:sz w:val="21"/>
          <w:szCs w:val="21"/>
          <w:color w:val="auto"/>
        </w:rPr>
        <w:t>. The corporation shall indemnify its directors and executive officers (for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purposes of this Article XI, “executive officers” shall have the meaning defined in Rule 3b-7 promulgated under the 1934 Act) to the extent not prohibited by the DGCL or any other applicable law;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corporation may modify the extent of such indemnification by individual contracts with its directors and executive officers;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158" w:lineRule="exact"/>
        <w:rPr>
          <w:rFonts w:ascii="Arial" w:cs="Arial" w:eastAsia="Arial" w:hAnsi="Arial"/>
          <w:sz w:val="21"/>
          <w:szCs w:val="21"/>
          <w:b w:val="1"/>
          <w:bCs w:val="1"/>
          <w:color w:val="010000"/>
        </w:rPr>
      </w:pPr>
    </w:p>
    <w:p>
      <w:pPr>
        <w:ind w:right="120" w:firstLine="1304"/>
        <w:spacing w:after="0" w:line="220" w:lineRule="auto"/>
        <w:tabs>
          <w:tab w:leader="none" w:pos="1776" w:val="left"/>
        </w:tabs>
        <w:numPr>
          <w:ilvl w:val="0"/>
          <w:numId w:val="25"/>
        </w:numPr>
        <w:rPr>
          <w:rFonts w:ascii="Arial" w:cs="Arial" w:eastAsia="Arial" w:hAnsi="Arial"/>
          <w:sz w:val="22"/>
          <w:szCs w:val="22"/>
          <w:b w:val="1"/>
          <w:bCs w:val="1"/>
          <w:color w:val="010000"/>
        </w:rPr>
      </w:pPr>
      <w:r>
        <w:rPr>
          <w:rFonts w:ascii="Arial" w:cs="Arial" w:eastAsia="Arial" w:hAnsi="Arial"/>
          <w:sz w:val="22"/>
          <w:szCs w:val="22"/>
          <w:b w:val="1"/>
          <w:bCs w:val="1"/>
          <w:color w:val="auto"/>
        </w:rPr>
        <w:t>Other Officers, Employees and Other Agents</w:t>
      </w:r>
      <w:r>
        <w:rPr>
          <w:rFonts w:ascii="Arial" w:cs="Arial" w:eastAsia="Arial" w:hAnsi="Arial"/>
          <w:sz w:val="22"/>
          <w:szCs w:val="22"/>
          <w:color w:val="auto"/>
        </w:rPr>
        <w:t>. The corporation shall have power to indemnify its other</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employees and other 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52" w:lineRule="exact"/>
        <w:rPr>
          <w:rFonts w:ascii="Arial" w:cs="Arial" w:eastAsia="Arial" w:hAnsi="Arial"/>
          <w:sz w:val="22"/>
          <w:szCs w:val="22"/>
          <w:b w:val="1"/>
          <w:bCs w:val="1"/>
          <w:color w:val="010000"/>
        </w:rPr>
      </w:pPr>
    </w:p>
    <w:p>
      <w:pPr>
        <w:ind w:firstLine="1304"/>
        <w:spacing w:after="0" w:line="220" w:lineRule="auto"/>
        <w:tabs>
          <w:tab w:leader="none" w:pos="1752" w:val="left"/>
        </w:tabs>
        <w:numPr>
          <w:ilvl w:val="0"/>
          <w:numId w:val="25"/>
        </w:numPr>
        <w:rPr>
          <w:rFonts w:ascii="Arial" w:cs="Arial" w:eastAsia="Arial" w:hAnsi="Arial"/>
          <w:sz w:val="21"/>
          <w:szCs w:val="21"/>
          <w:b w:val="1"/>
          <w:bCs w:val="1"/>
          <w:color w:val="010000"/>
        </w:rPr>
      </w:pPr>
      <w:r>
        <w:rPr>
          <w:rFonts w:ascii="Arial" w:cs="Arial" w:eastAsia="Arial" w:hAnsi="Arial"/>
          <w:sz w:val="21"/>
          <w:szCs w:val="21"/>
          <w:b w:val="1"/>
          <w:bCs w:val="1"/>
          <w:color w:val="auto"/>
        </w:rPr>
        <w:t>Expenses</w:t>
      </w:r>
      <w:r>
        <w:rPr>
          <w:rFonts w:ascii="Arial" w:cs="Arial" w:eastAsia="Arial" w:hAnsi="Arial"/>
          <w:sz w:val="21"/>
          <w:szCs w:val="21"/>
          <w:color w:val="auto"/>
        </w:rPr>
        <w:t>. The corporation shall advance to any person who was or is a party or is threatened to be made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party to any threatened, pending or completed action, suit or proceeding, whether civil, criminal, administrative or investigative, by reason of the fact that he or she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21"/>
          <w:szCs w:val="21"/>
          <w:u w:val="single" w:color="auto"/>
          <w:color w:val="auto"/>
        </w:rPr>
        <w:t>undertaking</w:t>
      </w:r>
      <w:r>
        <w:rPr>
          <w:rFonts w:ascii="Arial" w:cs="Arial" w:eastAsia="Arial" w:hAnsi="Arial"/>
          <w:sz w:val="21"/>
          <w:szCs w:val="21"/>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21"/>
          <w:szCs w:val="21"/>
          <w:u w:val="single" w:color="auto"/>
          <w:color w:val="auto"/>
        </w:rPr>
        <w:t>final adjudication</w:t>
      </w:r>
      <w:r>
        <w:rPr>
          <w:rFonts w:ascii="Arial" w:cs="Arial" w:eastAsia="Arial" w:hAnsi="Arial"/>
          <w:sz w:val="21"/>
          <w:szCs w:val="21"/>
          <w:color w:val="auto"/>
        </w:rPr>
        <w:t>”) that such indemnitee is not entitled to be indemnified for such expenses under this Section or otherwise.</w:t>
      </w:r>
    </w:p>
    <w:p>
      <w:pPr>
        <w:spacing w:after="0" w:line="158" w:lineRule="exact"/>
        <w:rPr>
          <w:sz w:val="20"/>
          <w:szCs w:val="20"/>
          <w:color w:val="auto"/>
        </w:rPr>
      </w:pPr>
    </w:p>
    <w:p>
      <w:pPr>
        <w:ind w:right="40" w:firstLine="648"/>
        <w:spacing w:after="0" w:line="268" w:lineRule="auto"/>
        <w:rPr>
          <w:sz w:val="20"/>
          <w:szCs w:val="20"/>
          <w:color w:val="auto"/>
        </w:rPr>
      </w:pPr>
      <w:r>
        <w:rPr>
          <w:rFonts w:ascii="Arial" w:cs="Arial" w:eastAsia="Arial" w:hAnsi="Arial"/>
          <w:sz w:val="19"/>
          <w:szCs w:val="19"/>
          <w:color w:val="auto"/>
        </w:rPr>
        <w:t>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20" w:top="1395" w:right="359" w:bottom="1440" w:gutter="0" w:footer="0" w:header="0"/>
        </w:sectPr>
      </w:pPr>
    </w:p>
    <w:bookmarkStart w:id="24" w:name="page25"/>
    <w:bookmarkEnd w:id="24"/>
    <w:p>
      <w:pPr>
        <w:spacing w:after="0" w:line="249" w:lineRule="auto"/>
        <w:rPr>
          <w:sz w:val="20"/>
          <w:szCs w:val="20"/>
          <w:color w:val="auto"/>
        </w:rPr>
      </w:pPr>
      <w:r>
        <w:rPr>
          <w:rFonts w:ascii="Arial" w:cs="Arial" w:eastAsia="Arial" w:hAnsi="Arial"/>
          <w:sz w:val="19"/>
          <w:szCs w:val="19"/>
          <w:color w:val="auto"/>
        </w:rPr>
        <w:t>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46" w:lineRule="exact"/>
        <w:rPr>
          <w:sz w:val="20"/>
          <w:szCs w:val="20"/>
          <w:color w:val="auto"/>
        </w:rPr>
      </w:pPr>
    </w:p>
    <w:p>
      <w:pPr>
        <w:ind w:right="100" w:firstLine="1304"/>
        <w:spacing w:after="0" w:line="241" w:lineRule="auto"/>
        <w:tabs>
          <w:tab w:leader="none" w:pos="1776" w:val="left"/>
        </w:tabs>
        <w:numPr>
          <w:ilvl w:val="0"/>
          <w:numId w:val="26"/>
        </w:numPr>
        <w:rPr>
          <w:rFonts w:ascii="Arial" w:cs="Arial" w:eastAsia="Arial" w:hAnsi="Arial"/>
          <w:sz w:val="19"/>
          <w:szCs w:val="19"/>
          <w:b w:val="1"/>
          <w:bCs w:val="1"/>
          <w:color w:val="010000"/>
        </w:rPr>
      </w:pPr>
      <w:r>
        <w:rPr>
          <w:rFonts w:ascii="Arial" w:cs="Arial" w:eastAsia="Arial" w:hAnsi="Arial"/>
          <w:sz w:val="19"/>
          <w:szCs w:val="19"/>
          <w:b w:val="1"/>
          <w:bCs w:val="1"/>
          <w:color w:val="auto"/>
        </w:rPr>
        <w:t>Enforcement</w:t>
      </w:r>
      <w:r>
        <w:rPr>
          <w:rFonts w:ascii="Arial" w:cs="Arial" w:eastAsia="Arial" w:hAnsi="Arial"/>
          <w:sz w:val="19"/>
          <w:szCs w:val="19"/>
          <w:color w:val="auto"/>
        </w:rPr>
        <w:t>. Without the necessity of entering into an express contract, all rights to indemnification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381" w:lineRule="exact"/>
        <w:rPr>
          <w:rFonts w:ascii="Arial" w:cs="Arial" w:eastAsia="Arial" w:hAnsi="Arial"/>
          <w:sz w:val="19"/>
          <w:szCs w:val="19"/>
          <w:b w:val="1"/>
          <w:bCs w:val="1"/>
          <w:color w:val="010000"/>
        </w:rPr>
      </w:pPr>
    </w:p>
    <w:p>
      <w:pPr>
        <w:ind w:right="60" w:firstLine="1304"/>
        <w:spacing w:after="0" w:line="225" w:lineRule="auto"/>
        <w:tabs>
          <w:tab w:leader="none" w:pos="1752" w:val="left"/>
        </w:tabs>
        <w:numPr>
          <w:ilvl w:val="0"/>
          <w:numId w:val="26"/>
        </w:numPr>
        <w:rPr>
          <w:rFonts w:ascii="Arial" w:cs="Arial" w:eastAsia="Arial" w:hAnsi="Arial"/>
          <w:sz w:val="21"/>
          <w:szCs w:val="21"/>
          <w:b w:val="1"/>
          <w:bCs w:val="1"/>
          <w:color w:val="010000"/>
        </w:rPr>
      </w:pPr>
      <w:r>
        <w:rPr>
          <w:rFonts w:ascii="Arial" w:cs="Arial" w:eastAsia="Arial" w:hAnsi="Arial"/>
          <w:sz w:val="21"/>
          <w:szCs w:val="21"/>
          <w:b w:val="1"/>
          <w:bCs w:val="1"/>
          <w:color w:val="auto"/>
        </w:rPr>
        <w:t>Non-Exclusivity of Rights</w:t>
      </w:r>
      <w:r>
        <w:rPr>
          <w:rFonts w:ascii="Arial" w:cs="Arial" w:eastAsia="Arial" w:hAnsi="Arial"/>
          <w:sz w:val="21"/>
          <w:szCs w:val="21"/>
          <w:color w:val="auto"/>
        </w:rPr>
        <w:t>. The rights conferred on any person by this Bylaw shall not be exclusive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right which such 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53" w:lineRule="exact"/>
        <w:rPr>
          <w:rFonts w:ascii="Arial" w:cs="Arial" w:eastAsia="Arial" w:hAnsi="Arial"/>
          <w:sz w:val="21"/>
          <w:szCs w:val="21"/>
          <w:b w:val="1"/>
          <w:bCs w:val="1"/>
          <w:color w:val="010000"/>
        </w:rPr>
      </w:pPr>
    </w:p>
    <w:p>
      <w:pPr>
        <w:ind w:right="140" w:firstLine="1304"/>
        <w:spacing w:after="0" w:line="225" w:lineRule="auto"/>
        <w:tabs>
          <w:tab w:leader="none" w:pos="1728" w:val="left"/>
        </w:tabs>
        <w:numPr>
          <w:ilvl w:val="0"/>
          <w:numId w:val="26"/>
        </w:numPr>
        <w:rPr>
          <w:rFonts w:ascii="Arial" w:cs="Arial" w:eastAsia="Arial" w:hAnsi="Arial"/>
          <w:sz w:val="22"/>
          <w:szCs w:val="22"/>
          <w:b w:val="1"/>
          <w:bCs w:val="1"/>
          <w:color w:val="010000"/>
        </w:rPr>
      </w:pPr>
      <w:r>
        <w:rPr>
          <w:rFonts w:ascii="Arial" w:cs="Arial" w:eastAsia="Arial" w:hAnsi="Arial"/>
          <w:sz w:val="22"/>
          <w:szCs w:val="22"/>
          <w:b w:val="1"/>
          <w:bCs w:val="1"/>
          <w:color w:val="auto"/>
        </w:rPr>
        <w:t>Survival of Rights</w:t>
      </w:r>
      <w:r>
        <w:rPr>
          <w:rFonts w:ascii="Arial" w:cs="Arial" w:eastAsia="Arial" w:hAnsi="Arial"/>
          <w:sz w:val="22"/>
          <w:szCs w:val="22"/>
          <w:color w:val="auto"/>
        </w:rPr>
        <w:t>. The rights conferred on any person by this Bylaw shall continue as to a person who has</w:t>
      </w:r>
      <w:r>
        <w:rPr>
          <w:rFonts w:ascii="Arial" w:cs="Arial" w:eastAsia="Arial" w:hAnsi="Arial"/>
          <w:sz w:val="22"/>
          <w:szCs w:val="22"/>
          <w:b w:val="1"/>
          <w:bCs w:val="1"/>
          <w:color w:val="auto"/>
        </w:rPr>
        <w:t xml:space="preserve"> </w:t>
      </w:r>
      <w:r>
        <w:rPr>
          <w:rFonts w:ascii="Arial" w:cs="Arial" w:eastAsia="Arial" w:hAnsi="Arial"/>
          <w:sz w:val="22"/>
          <w:szCs w:val="22"/>
          <w:color w:val="auto"/>
        </w:rPr>
        <w:t>ceased to be a director or executive officer and shall inure to the benefit of the heirs, executors and administrators of such a person.</w:t>
      </w:r>
    </w:p>
    <w:p>
      <w:pPr>
        <w:spacing w:after="0" w:line="152" w:lineRule="exact"/>
        <w:rPr>
          <w:rFonts w:ascii="Arial" w:cs="Arial" w:eastAsia="Arial" w:hAnsi="Arial"/>
          <w:sz w:val="22"/>
          <w:szCs w:val="22"/>
          <w:b w:val="1"/>
          <w:bCs w:val="1"/>
          <w:color w:val="010000"/>
        </w:rPr>
      </w:pPr>
    </w:p>
    <w:p>
      <w:pPr>
        <w:ind w:right="220" w:firstLine="1304"/>
        <w:spacing w:after="0" w:line="225" w:lineRule="auto"/>
        <w:tabs>
          <w:tab w:leader="none" w:pos="1764" w:val="left"/>
        </w:tabs>
        <w:numPr>
          <w:ilvl w:val="0"/>
          <w:numId w:val="26"/>
        </w:numPr>
        <w:rPr>
          <w:rFonts w:ascii="Arial" w:cs="Arial" w:eastAsia="Arial" w:hAnsi="Arial"/>
          <w:sz w:val="22"/>
          <w:szCs w:val="22"/>
          <w:b w:val="1"/>
          <w:bCs w:val="1"/>
          <w:color w:val="010000"/>
        </w:rPr>
      </w:pPr>
      <w:r>
        <w:rPr>
          <w:rFonts w:ascii="Arial" w:cs="Arial" w:eastAsia="Arial" w:hAnsi="Arial"/>
          <w:sz w:val="22"/>
          <w:szCs w:val="22"/>
          <w:b w:val="1"/>
          <w:bCs w:val="1"/>
          <w:color w:val="auto"/>
        </w:rPr>
        <w:t>Insurance</w:t>
      </w:r>
      <w:r>
        <w:rPr>
          <w:rFonts w:ascii="Arial" w:cs="Arial" w:eastAsia="Arial" w:hAnsi="Arial"/>
          <w:sz w:val="22"/>
          <w:szCs w:val="22"/>
          <w:color w:val="auto"/>
        </w:rPr>
        <w:t>. To the fullest extent permitted by the DGCL or any other applicable law, the corporation, upon</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by the Board of Directors, may purchase insurance on behalf of any person required or permitted to be indemnified pursuant to this section.</w:t>
      </w:r>
    </w:p>
    <w:p>
      <w:pPr>
        <w:spacing w:after="0" w:line="152" w:lineRule="exact"/>
        <w:rPr>
          <w:rFonts w:ascii="Arial" w:cs="Arial" w:eastAsia="Arial" w:hAnsi="Arial"/>
          <w:sz w:val="22"/>
          <w:szCs w:val="22"/>
          <w:b w:val="1"/>
          <w:bCs w:val="1"/>
          <w:color w:val="010000"/>
        </w:rPr>
      </w:pPr>
    </w:p>
    <w:p>
      <w:pPr>
        <w:ind w:right="220" w:firstLine="1304"/>
        <w:spacing w:after="0" w:line="225" w:lineRule="auto"/>
        <w:tabs>
          <w:tab w:leader="none" w:pos="1776" w:val="left"/>
        </w:tabs>
        <w:numPr>
          <w:ilvl w:val="0"/>
          <w:numId w:val="26"/>
        </w:numPr>
        <w:rPr>
          <w:rFonts w:ascii="Arial" w:cs="Arial" w:eastAsia="Arial" w:hAnsi="Arial"/>
          <w:sz w:val="22"/>
          <w:szCs w:val="22"/>
          <w:b w:val="1"/>
          <w:bCs w:val="1"/>
          <w:color w:val="010000"/>
        </w:rPr>
      </w:pPr>
      <w:r>
        <w:rPr>
          <w:rFonts w:ascii="Arial" w:cs="Arial" w:eastAsia="Arial" w:hAnsi="Arial"/>
          <w:sz w:val="22"/>
          <w:szCs w:val="22"/>
          <w:b w:val="1"/>
          <w:bCs w:val="1"/>
          <w:color w:val="auto"/>
        </w:rPr>
        <w:t>Amendments</w:t>
      </w:r>
      <w:r>
        <w:rPr>
          <w:rFonts w:ascii="Arial" w:cs="Arial" w:eastAsia="Arial" w:hAnsi="Arial"/>
          <w:sz w:val="22"/>
          <w:szCs w:val="22"/>
          <w:color w:val="auto"/>
        </w:rPr>
        <w:t>. Any repeal or modification of this Section shall only be prospective and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rights under this Bylaw in effect at the time of the alleged occurrence of any action or omission to act that is the cause of any proceeding against any agent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00"/>
          </w:cols>
          <w:pgMar w:left="320" w:top="1401" w:right="379" w:bottom="1440" w:gutter="0" w:footer="0" w:header="0"/>
        </w:sectPr>
      </w:pPr>
    </w:p>
    <w:bookmarkStart w:id="25" w:name="page26"/>
    <w:bookmarkEnd w:id="25"/>
    <w:p>
      <w:pPr>
        <w:ind w:left="-40" w:right="20" w:firstLine="1304"/>
        <w:spacing w:after="0" w:line="254" w:lineRule="auto"/>
        <w:tabs>
          <w:tab w:leader="none" w:pos="1676" w:val="left"/>
        </w:tabs>
        <w:numPr>
          <w:ilvl w:val="0"/>
          <w:numId w:val="27"/>
        </w:numPr>
        <w:rPr>
          <w:rFonts w:ascii="Arial" w:cs="Arial" w:eastAsia="Arial" w:hAnsi="Arial"/>
          <w:sz w:val="19"/>
          <w:szCs w:val="19"/>
          <w:b w:val="1"/>
          <w:bCs w:val="1"/>
          <w:color w:val="010000"/>
        </w:rPr>
      </w:pPr>
      <w:r>
        <w:rPr>
          <w:rFonts w:ascii="Arial" w:cs="Arial" w:eastAsia="Arial" w:hAnsi="Arial"/>
          <w:sz w:val="19"/>
          <w:szCs w:val="19"/>
          <w:b w:val="1"/>
          <w:bCs w:val="1"/>
          <w:color w:val="auto"/>
        </w:rPr>
        <w:t>Saving Clause</w:t>
      </w:r>
      <w:r>
        <w:rPr>
          <w:rFonts w:ascii="Arial" w:cs="Arial" w:eastAsia="Arial" w:hAnsi="Arial"/>
          <w:sz w:val="19"/>
          <w:szCs w:val="19"/>
          <w:color w:val="auto"/>
        </w:rPr>
        <w:t>. If this Bylaw or any portion hereof shall be invalidated on any ground by any court of</w:t>
      </w:r>
      <w:r>
        <w:rPr>
          <w:rFonts w:ascii="Arial" w:cs="Arial" w:eastAsia="Arial" w:hAnsi="Arial"/>
          <w:sz w:val="19"/>
          <w:szCs w:val="19"/>
          <w:b w:val="1"/>
          <w:bCs w:val="1"/>
          <w:color w:val="auto"/>
        </w:rPr>
        <w:t xml:space="preserve"> </w:t>
      </w:r>
      <w:r>
        <w:rPr>
          <w:rFonts w:ascii="Arial" w:cs="Arial" w:eastAsia="Arial" w:hAnsi="Arial"/>
          <w:sz w:val="19"/>
          <w:szCs w:val="19"/>
          <w:color w:val="auto"/>
        </w:rPr>
        <w:t>competent 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139" w:lineRule="exact"/>
        <w:rPr>
          <w:rFonts w:ascii="Arial" w:cs="Arial" w:eastAsia="Arial" w:hAnsi="Arial"/>
          <w:sz w:val="19"/>
          <w:szCs w:val="19"/>
          <w:b w:val="1"/>
          <w:bCs w:val="1"/>
          <w:color w:val="010000"/>
        </w:rPr>
      </w:pPr>
    </w:p>
    <w:p>
      <w:pPr>
        <w:ind w:left="1700" w:hanging="436"/>
        <w:spacing w:after="0"/>
        <w:tabs>
          <w:tab w:leader="none" w:pos="1700" w:val="left"/>
        </w:tabs>
        <w:numPr>
          <w:ilvl w:val="0"/>
          <w:numId w:val="27"/>
        </w:numPr>
        <w:rPr>
          <w:rFonts w:ascii="Arial" w:cs="Arial" w:eastAsia="Arial" w:hAnsi="Arial"/>
          <w:sz w:val="22"/>
          <w:szCs w:val="22"/>
          <w:b w:val="1"/>
          <w:bCs w:val="1"/>
          <w:color w:val="010000"/>
        </w:rPr>
      </w:pPr>
      <w:r>
        <w:rPr>
          <w:rFonts w:ascii="Arial" w:cs="Arial" w:eastAsia="Arial" w:hAnsi="Arial"/>
          <w:sz w:val="22"/>
          <w:szCs w:val="22"/>
          <w:b w:val="1"/>
          <w:bCs w:val="1"/>
          <w:color w:val="auto"/>
        </w:rPr>
        <w:t>Certain Definitions</w:t>
      </w:r>
      <w:r>
        <w:rPr>
          <w:rFonts w:ascii="Arial" w:cs="Arial" w:eastAsia="Arial" w:hAnsi="Arial"/>
          <w:sz w:val="22"/>
          <w:szCs w:val="22"/>
          <w:color w:val="auto"/>
        </w:rPr>
        <w:t>. For the purposes of this Bylaw, the following definitions shall apply:</w:t>
      </w:r>
    </w:p>
    <w:p>
      <w:pPr>
        <w:spacing w:after="0" w:line="185" w:lineRule="exact"/>
        <w:rPr>
          <w:rFonts w:ascii="Arial" w:cs="Arial" w:eastAsia="Arial" w:hAnsi="Arial"/>
          <w:sz w:val="22"/>
          <w:szCs w:val="22"/>
          <w:b w:val="1"/>
          <w:bCs w:val="1"/>
          <w:color w:val="010000"/>
        </w:rPr>
      </w:pPr>
    </w:p>
    <w:p>
      <w:pPr>
        <w:ind w:left="-40" w:right="760" w:firstLine="1952"/>
        <w:spacing w:after="0" w:line="268" w:lineRule="auto"/>
        <w:tabs>
          <w:tab w:leader="none" w:pos="2324" w:val="left"/>
        </w:tabs>
        <w:numPr>
          <w:ilvl w:val="1"/>
          <w:numId w:val="27"/>
        </w:numPr>
        <w:rPr>
          <w:rFonts w:ascii="Arial" w:cs="Arial" w:eastAsia="Arial" w:hAnsi="Arial"/>
          <w:sz w:val="19"/>
          <w:szCs w:val="19"/>
          <w:b w:val="1"/>
          <w:bCs w:val="1"/>
          <w:color w:val="010000"/>
        </w:rPr>
      </w:pPr>
      <w:r>
        <w:rPr>
          <w:rFonts w:ascii="Arial" w:cs="Arial" w:eastAsia="Arial" w:hAnsi="Arial"/>
          <w:sz w:val="19"/>
          <w:szCs w:val="19"/>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32" w:lineRule="exact"/>
        <w:rPr>
          <w:rFonts w:ascii="Arial" w:cs="Arial" w:eastAsia="Arial" w:hAnsi="Arial"/>
          <w:sz w:val="19"/>
          <w:szCs w:val="19"/>
          <w:b w:val="1"/>
          <w:bCs w:val="1"/>
          <w:color w:val="010000"/>
        </w:rPr>
      </w:pPr>
    </w:p>
    <w:p>
      <w:pPr>
        <w:jc w:val="both"/>
        <w:ind w:left="-40" w:right="360" w:firstLine="1952"/>
        <w:spacing w:after="0" w:line="223" w:lineRule="auto"/>
        <w:tabs>
          <w:tab w:leader="none" w:pos="2384" w:val="left"/>
        </w:tabs>
        <w:numPr>
          <w:ilvl w:val="1"/>
          <w:numId w:val="27"/>
        </w:numPr>
        <w:rPr>
          <w:rFonts w:ascii="Arial" w:cs="Arial" w:eastAsia="Arial" w:hAnsi="Arial"/>
          <w:sz w:val="22"/>
          <w:szCs w:val="22"/>
          <w:b w:val="1"/>
          <w:bCs w:val="1"/>
          <w:color w:val="010000"/>
        </w:rPr>
      </w:pPr>
      <w:r>
        <w:rPr>
          <w:rFonts w:ascii="Arial" w:cs="Arial" w:eastAsia="Arial" w:hAnsi="Arial"/>
          <w:sz w:val="22"/>
          <w:szCs w:val="22"/>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58" w:lineRule="exact"/>
        <w:rPr>
          <w:rFonts w:ascii="Arial" w:cs="Arial" w:eastAsia="Arial" w:hAnsi="Arial"/>
          <w:sz w:val="22"/>
          <w:szCs w:val="22"/>
          <w:b w:val="1"/>
          <w:bCs w:val="1"/>
          <w:color w:val="010000"/>
        </w:rPr>
      </w:pPr>
    </w:p>
    <w:p>
      <w:pPr>
        <w:ind w:left="-40" w:right="40" w:firstLine="1952"/>
        <w:spacing w:after="0" w:line="247" w:lineRule="auto"/>
        <w:tabs>
          <w:tab w:leader="none" w:pos="2444" w:val="left"/>
        </w:tabs>
        <w:numPr>
          <w:ilvl w:val="1"/>
          <w:numId w:val="27"/>
        </w:numPr>
        <w:rPr>
          <w:rFonts w:ascii="Arial" w:cs="Arial" w:eastAsia="Arial" w:hAnsi="Arial"/>
          <w:sz w:val="19"/>
          <w:szCs w:val="19"/>
          <w:b w:val="1"/>
          <w:bCs w:val="1"/>
          <w:color w:val="010000"/>
        </w:rPr>
      </w:pPr>
      <w:r>
        <w:rPr>
          <w:rFonts w:ascii="Arial" w:cs="Arial" w:eastAsia="Arial" w:hAnsi="Arial"/>
          <w:sz w:val="19"/>
          <w:szCs w:val="19"/>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53" w:lineRule="exact"/>
        <w:rPr>
          <w:rFonts w:ascii="Arial" w:cs="Arial" w:eastAsia="Arial" w:hAnsi="Arial"/>
          <w:sz w:val="19"/>
          <w:szCs w:val="19"/>
          <w:b w:val="1"/>
          <w:bCs w:val="1"/>
          <w:color w:val="010000"/>
        </w:rPr>
      </w:pPr>
    </w:p>
    <w:p>
      <w:pPr>
        <w:ind w:left="-40" w:right="140" w:firstLine="1952"/>
        <w:spacing w:after="0" w:line="218" w:lineRule="auto"/>
        <w:tabs>
          <w:tab w:leader="none" w:pos="2432" w:val="left"/>
        </w:tabs>
        <w:numPr>
          <w:ilvl w:val="1"/>
          <w:numId w:val="27"/>
        </w:numPr>
        <w:rPr>
          <w:rFonts w:ascii="Arial" w:cs="Arial" w:eastAsia="Arial" w:hAnsi="Arial"/>
          <w:sz w:val="22"/>
          <w:szCs w:val="22"/>
          <w:b w:val="1"/>
          <w:bCs w:val="1"/>
          <w:color w:val="010000"/>
        </w:rPr>
      </w:pPr>
      <w:r>
        <w:rPr>
          <w:rFonts w:ascii="Arial" w:cs="Arial" w:eastAsia="Arial" w:hAnsi="Arial"/>
          <w:sz w:val="22"/>
          <w:szCs w:val="22"/>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60" w:lineRule="exact"/>
        <w:rPr>
          <w:rFonts w:ascii="Arial" w:cs="Arial" w:eastAsia="Arial" w:hAnsi="Arial"/>
          <w:sz w:val="22"/>
          <w:szCs w:val="22"/>
          <w:b w:val="1"/>
          <w:bCs w:val="1"/>
          <w:color w:val="010000"/>
        </w:rPr>
      </w:pPr>
    </w:p>
    <w:p>
      <w:pPr>
        <w:ind w:left="-40" w:firstLine="1952"/>
        <w:spacing w:after="0" w:line="222" w:lineRule="auto"/>
        <w:tabs>
          <w:tab w:leader="none" w:pos="2372" w:val="left"/>
        </w:tabs>
        <w:numPr>
          <w:ilvl w:val="1"/>
          <w:numId w:val="27"/>
        </w:numPr>
        <w:rPr>
          <w:rFonts w:ascii="Arial" w:cs="Arial" w:eastAsia="Arial" w:hAnsi="Arial"/>
          <w:sz w:val="21"/>
          <w:szCs w:val="21"/>
          <w:b w:val="1"/>
          <w:bCs w:val="1"/>
          <w:color w:val="010000"/>
        </w:rPr>
      </w:pPr>
      <w:r>
        <w:rPr>
          <w:rFonts w:ascii="Arial" w:cs="Arial" w:eastAsia="Arial" w:hAnsi="Arial"/>
          <w:sz w:val="21"/>
          <w:szCs w:val="21"/>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60"/>
          </w:cols>
          <w:pgMar w:left="360" w:top="1395" w:right="379" w:bottom="1440" w:gutter="0" w:footer="0" w:header="0"/>
        </w:sectPr>
      </w:pPr>
    </w:p>
    <w:bookmarkStart w:id="26" w:name="page27"/>
    <w:bookmarkEnd w:id="26"/>
    <w:p>
      <w:pPr>
        <w:jc w:val="center"/>
        <w:ind w:right="-11"/>
        <w:spacing w:after="0"/>
        <w:rPr>
          <w:sz w:val="20"/>
          <w:szCs w:val="20"/>
          <w:color w:val="auto"/>
        </w:rPr>
      </w:pPr>
      <w:r>
        <w:rPr>
          <w:rFonts w:ascii="Arial" w:cs="Arial" w:eastAsia="Arial" w:hAnsi="Arial"/>
          <w:sz w:val="22"/>
          <w:szCs w:val="22"/>
          <w:b w:val="1"/>
          <w:bCs w:val="1"/>
          <w:color w:val="010000"/>
        </w:rPr>
        <w:t>ARTICLE XII</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NOTICES</w:t>
      </w:r>
    </w:p>
    <w:p>
      <w:pPr>
        <w:spacing w:after="0" w:line="179" w:lineRule="exact"/>
        <w:rPr>
          <w:sz w:val="20"/>
          <w:szCs w:val="20"/>
          <w:color w:val="auto"/>
        </w:rPr>
      </w:pPr>
    </w:p>
    <w:p>
      <w:pPr>
        <w:ind w:left="652"/>
        <w:spacing w:after="0"/>
        <w:tabs>
          <w:tab w:leader="none" w:pos="1832" w:val="left"/>
        </w:tabs>
        <w:rPr>
          <w:sz w:val="20"/>
          <w:szCs w:val="20"/>
          <w:color w:val="auto"/>
        </w:rPr>
      </w:pPr>
      <w:r>
        <w:rPr>
          <w:rFonts w:ascii="Arial" w:cs="Arial" w:eastAsia="Arial" w:hAnsi="Arial"/>
          <w:sz w:val="22"/>
          <w:szCs w:val="22"/>
          <w:b w:val="1"/>
          <w:bCs w:val="1"/>
          <w:color w:val="010000"/>
        </w:rPr>
        <w:t>Section 45.</w:t>
      </w:r>
      <w:r>
        <w:rPr>
          <w:sz w:val="20"/>
          <w:szCs w:val="20"/>
          <w:color w:val="auto"/>
        </w:rPr>
        <w:tab/>
      </w:r>
      <w:r>
        <w:rPr>
          <w:rFonts w:ascii="Arial" w:cs="Arial" w:eastAsia="Arial" w:hAnsi="Arial"/>
          <w:sz w:val="19"/>
          <w:szCs w:val="19"/>
          <w:b w:val="1"/>
          <w:bCs w:val="1"/>
          <w:color w:val="auto"/>
        </w:rPr>
        <w:t>Notices</w:t>
      </w:r>
      <w:r>
        <w:rPr>
          <w:rFonts w:ascii="Arial" w:cs="Arial" w:eastAsia="Arial" w:hAnsi="Arial"/>
          <w:sz w:val="19"/>
          <w:szCs w:val="19"/>
          <w:color w:val="auto"/>
        </w:rPr>
        <w:t>.</w:t>
      </w:r>
    </w:p>
    <w:p>
      <w:pPr>
        <w:spacing w:after="0" w:line="179" w:lineRule="exact"/>
        <w:rPr>
          <w:sz w:val="20"/>
          <w:szCs w:val="20"/>
          <w:color w:val="auto"/>
        </w:rPr>
      </w:pPr>
    </w:p>
    <w:p>
      <w:pPr>
        <w:ind w:left="-8" w:firstLine="1304"/>
        <w:spacing w:after="0" w:line="217" w:lineRule="auto"/>
        <w:tabs>
          <w:tab w:leader="none" w:pos="1756" w:val="left"/>
        </w:tabs>
        <w:numPr>
          <w:ilvl w:val="1"/>
          <w:numId w:val="28"/>
        </w:numPr>
        <w:rPr>
          <w:rFonts w:ascii="Arial" w:cs="Arial" w:eastAsia="Arial" w:hAnsi="Arial"/>
          <w:sz w:val="22"/>
          <w:szCs w:val="22"/>
          <w:b w:val="1"/>
          <w:bCs w:val="1"/>
          <w:color w:val="010000"/>
        </w:rPr>
      </w:pPr>
      <w:r>
        <w:rPr>
          <w:rFonts w:ascii="Arial" w:cs="Arial" w:eastAsia="Arial" w:hAnsi="Arial"/>
          <w:sz w:val="22"/>
          <w:szCs w:val="22"/>
          <w:b w:val="1"/>
          <w:bCs w:val="1"/>
          <w:color w:val="auto"/>
        </w:rPr>
        <w:t>Notice to Stockholders</w:t>
      </w:r>
      <w:r>
        <w:rPr>
          <w:rFonts w:ascii="Arial" w:cs="Arial" w:eastAsia="Arial" w:hAnsi="Arial"/>
          <w:sz w:val="22"/>
          <w:szCs w:val="22"/>
          <w:color w:val="auto"/>
        </w:rPr>
        <w:t>. Written notice to stockholders of stockholder meetings shall be given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7 herein.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52" w:lineRule="exact"/>
        <w:rPr>
          <w:rFonts w:ascii="Arial" w:cs="Arial" w:eastAsia="Arial" w:hAnsi="Arial"/>
          <w:sz w:val="22"/>
          <w:szCs w:val="22"/>
          <w:b w:val="1"/>
          <w:bCs w:val="1"/>
          <w:color w:val="010000"/>
        </w:rPr>
      </w:pPr>
    </w:p>
    <w:p>
      <w:pPr>
        <w:jc w:val="both"/>
        <w:ind w:left="-8" w:right="180" w:firstLine="1304"/>
        <w:spacing w:after="0" w:line="259" w:lineRule="auto"/>
        <w:tabs>
          <w:tab w:leader="none" w:pos="1768" w:val="left"/>
        </w:tabs>
        <w:numPr>
          <w:ilvl w:val="1"/>
          <w:numId w:val="28"/>
        </w:numPr>
        <w:rPr>
          <w:rFonts w:ascii="Arial" w:cs="Arial" w:eastAsia="Arial" w:hAnsi="Arial"/>
          <w:sz w:val="19"/>
          <w:szCs w:val="19"/>
          <w:b w:val="1"/>
          <w:bCs w:val="1"/>
          <w:color w:val="010000"/>
        </w:rPr>
      </w:pPr>
      <w:r>
        <w:rPr>
          <w:rFonts w:ascii="Arial" w:cs="Arial" w:eastAsia="Arial" w:hAnsi="Arial"/>
          <w:sz w:val="19"/>
          <w:szCs w:val="19"/>
          <w:b w:val="1"/>
          <w:bCs w:val="1"/>
          <w:color w:val="auto"/>
        </w:rPr>
        <w:t>Notice to Directors</w:t>
      </w:r>
      <w:r>
        <w:rPr>
          <w:rFonts w:ascii="Arial" w:cs="Arial" w:eastAsia="Arial" w:hAnsi="Arial"/>
          <w:sz w:val="19"/>
          <w:szCs w:val="19"/>
          <w:color w:val="auto"/>
        </w:rPr>
        <w:t>. Any notice required to be given to any director may be given by the method stated in</w:t>
      </w:r>
      <w:r>
        <w:rPr>
          <w:rFonts w:ascii="Arial" w:cs="Arial" w:eastAsia="Arial" w:hAnsi="Arial"/>
          <w:sz w:val="19"/>
          <w:szCs w:val="19"/>
          <w:b w:val="1"/>
          <w:bCs w:val="1"/>
          <w:color w:val="auto"/>
        </w:rPr>
        <w:t xml:space="preserve"> </w:t>
      </w:r>
      <w:r>
        <w:rPr>
          <w:rFonts w:ascii="Arial" w:cs="Arial" w:eastAsia="Arial" w:hAnsi="Arial"/>
          <w:sz w:val="19"/>
          <w:szCs w:val="19"/>
          <w:color w:val="auto"/>
        </w:rPr>
        <w:t>subsection (a), as otherwise 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36" w:lineRule="exact"/>
        <w:rPr>
          <w:rFonts w:ascii="Arial" w:cs="Arial" w:eastAsia="Arial" w:hAnsi="Arial"/>
          <w:sz w:val="19"/>
          <w:szCs w:val="19"/>
          <w:b w:val="1"/>
          <w:bCs w:val="1"/>
          <w:color w:val="010000"/>
        </w:rPr>
      </w:pPr>
    </w:p>
    <w:p>
      <w:pPr>
        <w:ind w:left="-8" w:right="60" w:firstLine="1304"/>
        <w:spacing w:after="0" w:line="217" w:lineRule="auto"/>
        <w:tabs>
          <w:tab w:leader="none" w:pos="1744" w:val="left"/>
        </w:tabs>
        <w:numPr>
          <w:ilvl w:val="1"/>
          <w:numId w:val="28"/>
        </w:numPr>
        <w:rPr>
          <w:rFonts w:ascii="Arial" w:cs="Arial" w:eastAsia="Arial" w:hAnsi="Arial"/>
          <w:sz w:val="22"/>
          <w:szCs w:val="22"/>
          <w:b w:val="1"/>
          <w:bCs w:val="1"/>
          <w:color w:val="010000"/>
        </w:rPr>
      </w:pPr>
      <w:r>
        <w:rPr>
          <w:rFonts w:ascii="Arial" w:cs="Arial" w:eastAsia="Arial" w:hAnsi="Arial"/>
          <w:sz w:val="22"/>
          <w:szCs w:val="22"/>
          <w:b w:val="1"/>
          <w:bCs w:val="1"/>
          <w:color w:val="auto"/>
        </w:rPr>
        <w:t>Affidavit of Mailing</w:t>
      </w:r>
      <w:r>
        <w:rPr>
          <w:rFonts w:ascii="Arial" w:cs="Arial" w:eastAsia="Arial" w:hAnsi="Arial"/>
          <w:sz w:val="22"/>
          <w:szCs w:val="22"/>
          <w:color w:val="auto"/>
        </w:rPr>
        <w:t>. An affidavit of mailing, executed by a duly authorized and competent employee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52" w:lineRule="exact"/>
        <w:rPr>
          <w:rFonts w:ascii="Arial" w:cs="Arial" w:eastAsia="Arial" w:hAnsi="Arial"/>
          <w:sz w:val="22"/>
          <w:szCs w:val="22"/>
          <w:b w:val="1"/>
          <w:bCs w:val="1"/>
          <w:color w:val="010000"/>
        </w:rPr>
      </w:pPr>
    </w:p>
    <w:p>
      <w:pPr>
        <w:ind w:left="-8" w:right="40" w:firstLine="1304"/>
        <w:spacing w:after="0" w:line="225" w:lineRule="auto"/>
        <w:tabs>
          <w:tab w:leader="none" w:pos="1768" w:val="left"/>
        </w:tabs>
        <w:numPr>
          <w:ilvl w:val="1"/>
          <w:numId w:val="28"/>
        </w:numPr>
        <w:rPr>
          <w:rFonts w:ascii="Arial" w:cs="Arial" w:eastAsia="Arial" w:hAnsi="Arial"/>
          <w:sz w:val="22"/>
          <w:szCs w:val="22"/>
          <w:b w:val="1"/>
          <w:bCs w:val="1"/>
          <w:color w:val="010000"/>
        </w:rPr>
      </w:pPr>
      <w:r>
        <w:rPr>
          <w:rFonts w:ascii="Arial" w:cs="Arial" w:eastAsia="Arial" w:hAnsi="Arial"/>
          <w:sz w:val="22"/>
          <w:szCs w:val="22"/>
          <w:b w:val="1"/>
          <w:bCs w:val="1"/>
          <w:color w:val="auto"/>
        </w:rPr>
        <w:t>Methods of Notice</w:t>
      </w:r>
      <w:r>
        <w:rPr>
          <w:rFonts w:ascii="Arial" w:cs="Arial" w:eastAsia="Arial" w:hAnsi="Arial"/>
          <w:sz w:val="22"/>
          <w:szCs w:val="22"/>
          <w:color w:val="auto"/>
        </w:rPr>
        <w:t>. It shall not be necessary that the same method of giving notice be employed in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of all recipients of notice, but one permissible method may be employed in respect of any one or more, and any other permissible method or methods may be employed in respect of any other or others.</w:t>
      </w:r>
    </w:p>
    <w:p>
      <w:pPr>
        <w:spacing w:after="0" w:line="152" w:lineRule="exact"/>
        <w:rPr>
          <w:rFonts w:ascii="Arial" w:cs="Arial" w:eastAsia="Arial" w:hAnsi="Arial"/>
          <w:sz w:val="22"/>
          <w:szCs w:val="22"/>
          <w:b w:val="1"/>
          <w:bCs w:val="1"/>
          <w:color w:val="010000"/>
        </w:rPr>
      </w:pPr>
    </w:p>
    <w:p>
      <w:pPr>
        <w:ind w:left="-8" w:right="60" w:firstLine="1304"/>
        <w:spacing w:after="0" w:line="246" w:lineRule="auto"/>
        <w:tabs>
          <w:tab w:leader="none" w:pos="1744" w:val="left"/>
        </w:tabs>
        <w:numPr>
          <w:ilvl w:val="1"/>
          <w:numId w:val="28"/>
        </w:numPr>
        <w:rPr>
          <w:rFonts w:ascii="Arial" w:cs="Arial" w:eastAsia="Arial" w:hAnsi="Arial"/>
          <w:sz w:val="19"/>
          <w:szCs w:val="19"/>
          <w:b w:val="1"/>
          <w:bCs w:val="1"/>
          <w:color w:val="010000"/>
        </w:rPr>
      </w:pPr>
      <w:r>
        <w:rPr>
          <w:rFonts w:ascii="Arial" w:cs="Arial" w:eastAsia="Arial" w:hAnsi="Arial"/>
          <w:sz w:val="19"/>
          <w:szCs w:val="19"/>
          <w:b w:val="1"/>
          <w:bCs w:val="1"/>
          <w:color w:val="auto"/>
        </w:rPr>
        <w:t>Notice to Person With Whom Communication Is Unlawful</w:t>
      </w:r>
      <w:r>
        <w:rPr>
          <w:rFonts w:ascii="Arial" w:cs="Arial" w:eastAsia="Arial" w:hAnsi="Arial"/>
          <w:sz w:val="19"/>
          <w:szCs w:val="19"/>
          <w:color w:val="auto"/>
        </w:rPr>
        <w:t>. Whenever notice is required to be given,</w:t>
      </w:r>
      <w:r>
        <w:rPr>
          <w:rFonts w:ascii="Arial" w:cs="Arial" w:eastAsia="Arial" w:hAnsi="Arial"/>
          <w:sz w:val="19"/>
          <w:szCs w:val="19"/>
          <w:b w:val="1"/>
          <w:bCs w:val="1"/>
          <w:color w:val="auto"/>
        </w:rPr>
        <w:t xml:space="preserve"> </w:t>
      </w:r>
      <w:r>
        <w:rPr>
          <w:rFonts w:ascii="Arial" w:cs="Arial" w:eastAsia="Arial" w:hAnsi="Arial"/>
          <w:sz w:val="19"/>
          <w:szCs w:val="19"/>
          <w:color w:val="auto"/>
        </w:rPr>
        <w:t>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52" w:lineRule="exact"/>
        <w:rPr>
          <w:rFonts w:ascii="Arial" w:cs="Arial" w:eastAsia="Arial" w:hAnsi="Arial"/>
          <w:sz w:val="19"/>
          <w:szCs w:val="19"/>
          <w:b w:val="1"/>
          <w:bCs w:val="1"/>
          <w:color w:val="010000"/>
        </w:rPr>
      </w:pPr>
    </w:p>
    <w:p>
      <w:pPr>
        <w:ind w:left="-8" w:right="40" w:firstLine="1304"/>
        <w:spacing w:after="0" w:line="243" w:lineRule="auto"/>
        <w:tabs>
          <w:tab w:leader="none" w:pos="1720" w:val="left"/>
        </w:tabs>
        <w:numPr>
          <w:ilvl w:val="1"/>
          <w:numId w:val="28"/>
        </w:numPr>
        <w:rPr>
          <w:rFonts w:ascii="Arial" w:cs="Arial" w:eastAsia="Arial" w:hAnsi="Arial"/>
          <w:sz w:val="19"/>
          <w:szCs w:val="19"/>
          <w:b w:val="1"/>
          <w:bCs w:val="1"/>
          <w:color w:val="010000"/>
        </w:rPr>
      </w:pPr>
      <w:r>
        <w:rPr>
          <w:rFonts w:ascii="Arial" w:cs="Arial" w:eastAsia="Arial" w:hAnsi="Arial"/>
          <w:sz w:val="19"/>
          <w:szCs w:val="19"/>
          <w:b w:val="1"/>
          <w:bCs w:val="1"/>
          <w:color w:val="auto"/>
        </w:rPr>
        <w:t>Notice to Stockholders Sharing an Address</w:t>
      </w:r>
      <w:r>
        <w:rPr>
          <w:rFonts w:ascii="Arial" w:cs="Arial" w:eastAsia="Arial" w:hAnsi="Arial"/>
          <w:sz w:val="19"/>
          <w:szCs w:val="19"/>
          <w:color w:val="auto"/>
        </w:rPr>
        <w:t>. Except as otherwise prohibited under DGCL, any notice given</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provisions of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w:t>
      </w:r>
    </w:p>
    <w:p>
      <w:pPr>
        <w:spacing w:after="0" w:line="3" w:lineRule="exact"/>
        <w:rPr>
          <w:rFonts w:ascii="Arial" w:cs="Arial" w:eastAsia="Arial" w:hAnsi="Arial"/>
          <w:sz w:val="19"/>
          <w:szCs w:val="19"/>
          <w:b w:val="1"/>
          <w:bCs w:val="1"/>
          <w:color w:val="010000"/>
        </w:rPr>
      </w:pPr>
    </w:p>
    <w:p>
      <w:pPr>
        <w:ind w:left="-8" w:right="40" w:firstLine="8"/>
        <w:spacing w:after="0" w:line="224" w:lineRule="auto"/>
        <w:tabs>
          <w:tab w:leader="none" w:pos="406" w:val="left"/>
        </w:tabs>
        <w:numPr>
          <w:ilvl w:val="0"/>
          <w:numId w:val="29"/>
        </w:numPr>
        <w:rPr>
          <w:rFonts w:ascii="Arial" w:cs="Arial" w:eastAsia="Arial" w:hAnsi="Arial"/>
          <w:sz w:val="22"/>
          <w:szCs w:val="22"/>
          <w:color w:val="auto"/>
        </w:rPr>
      </w:pPr>
      <w:r>
        <w:rPr>
          <w:rFonts w:ascii="Arial" w:cs="Arial" w:eastAsia="Arial" w:hAnsi="Arial"/>
          <w:sz w:val="22"/>
          <w:szCs w:val="22"/>
          <w:color w:val="auto"/>
        </w:rPr>
        <w:t>days of having been given notice by the corporation of its intention to send the single notice. Any consent shall be revocable by the stockholder by written notice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12"/>
          </w:cols>
          <w:pgMar w:left="328" w:top="1395" w:right="3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22"/>
          <w:szCs w:val="22"/>
          <w:b w:val="1"/>
          <w:bCs w:val="1"/>
          <w:color w:val="010000"/>
        </w:rPr>
        <w:t>ARTICLE XIII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w:t>
      </w:r>
    </w:p>
    <w:p>
      <w:pPr>
        <w:spacing w:after="0" w:line="179" w:lineRule="exact"/>
        <w:rPr>
          <w:sz w:val="20"/>
          <w:szCs w:val="20"/>
          <w:color w:val="auto"/>
        </w:rPr>
      </w:pPr>
    </w:p>
    <w:p>
      <w:pPr>
        <w:ind w:right="80" w:firstLine="648"/>
        <w:spacing w:after="0" w:line="223" w:lineRule="auto"/>
        <w:rPr>
          <w:sz w:val="20"/>
          <w:szCs w:val="20"/>
          <w:color w:val="auto"/>
        </w:rPr>
      </w:pPr>
      <w:r>
        <w:rPr>
          <w:rFonts w:ascii="Arial" w:cs="Arial" w:eastAsia="Arial" w:hAnsi="Arial"/>
          <w:sz w:val="21"/>
          <w:szCs w:val="21"/>
          <w:b w:val="1"/>
          <w:bCs w:val="1"/>
          <w:color w:val="010000"/>
        </w:rPr>
        <w:t xml:space="preserve">Section 46. </w:t>
      </w:r>
      <w:r>
        <w:rPr>
          <w:rFonts w:ascii="Arial" w:cs="Arial" w:eastAsia="Arial" w:hAnsi="Arial"/>
          <w:sz w:val="21"/>
          <w:szCs w:val="21"/>
          <w:color w:val="000000"/>
        </w:rPr>
        <w:t>Subject to the limitations set forth in Section 44(h) of these Bylaws or the provisions of the Certificate of</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Incorporation, the Board of Directors is expressly empowered to adopt, amend or repeal the Bylaws of the corporation. The stockholders also shall have power to adopt, amend or repeal the Bylaws of the corporation;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w:t>
      </w:r>
      <w:r>
        <w:rPr>
          <w:rFonts w:ascii="Arial" w:cs="Arial" w:eastAsia="Arial" w:hAnsi="Arial"/>
          <w:sz w:val="21"/>
          <w:szCs w:val="21"/>
          <w:i w:val="1"/>
          <w:iCs w:val="1"/>
          <w:color w:val="000000"/>
        </w:rPr>
        <w:t>however</w:t>
      </w:r>
      <w:r>
        <w:rPr>
          <w:rFonts w:ascii="Arial" w:cs="Arial" w:eastAsia="Arial" w:hAnsi="Arial"/>
          <w:sz w:val="21"/>
          <w:szCs w:val="21"/>
          <w:color w:val="000000"/>
        </w:rPr>
        <w:t>, that, in addition to any vote of the holders of any class or series of stock of the corporation required by law or by the Certificate of Incorporation, such action by stockholders shall require the affirmative vote of the holders of at least sixty-six and two-thirds percent (66 2/3%) of the voting power of all of the then-outstanding shares of the capital stock of the corporation entitled to vote generally in the election of directors, voting together as a single class.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XIV</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LOANS TO OFFICERS</w:t>
      </w:r>
    </w:p>
    <w:p>
      <w:pPr>
        <w:spacing w:after="0" w:line="179" w:lineRule="exact"/>
        <w:rPr>
          <w:sz w:val="20"/>
          <w:szCs w:val="20"/>
          <w:color w:val="auto"/>
        </w:rPr>
      </w:pPr>
    </w:p>
    <w:p>
      <w:pPr>
        <w:ind w:firstLine="648"/>
        <w:spacing w:after="0" w:line="248" w:lineRule="auto"/>
        <w:rPr>
          <w:sz w:val="20"/>
          <w:szCs w:val="20"/>
          <w:color w:val="auto"/>
        </w:rPr>
      </w:pPr>
      <w:r>
        <w:rPr>
          <w:rFonts w:ascii="Arial" w:cs="Arial" w:eastAsia="Arial" w:hAnsi="Arial"/>
          <w:sz w:val="19"/>
          <w:szCs w:val="19"/>
          <w:b w:val="1"/>
          <w:bCs w:val="1"/>
          <w:color w:val="010000"/>
        </w:rPr>
        <w:t xml:space="preserve">Section 47. </w:t>
      </w:r>
      <w:r>
        <w:rPr>
          <w:rFonts w:ascii="Arial" w:cs="Arial" w:eastAsia="Arial" w:hAnsi="Arial"/>
          <w:sz w:val="19"/>
          <w:szCs w:val="19"/>
          <w:b w:val="1"/>
          <w:bCs w:val="1"/>
          <w:color w:val="000000"/>
        </w:rPr>
        <w:t>Loans to Officers</w:t>
      </w:r>
      <w:r>
        <w:rPr>
          <w:rFonts w:ascii="Arial" w:cs="Arial" w:eastAsia="Arial" w:hAnsi="Arial"/>
          <w:sz w:val="19"/>
          <w:szCs w:val="19"/>
          <w:color w:val="000000"/>
        </w:rPr>
        <w:t>. Except as otherwise prohibited by applicable law, the corporation may lend money to, or</w:t>
      </w:r>
      <w:r>
        <w:rPr>
          <w:rFonts w:ascii="Arial" w:cs="Arial" w:eastAsia="Arial" w:hAnsi="Arial"/>
          <w:sz w:val="19"/>
          <w:szCs w:val="19"/>
          <w:b w:val="1"/>
          <w:bCs w:val="1"/>
          <w:color w:val="010000"/>
        </w:rPr>
        <w:t xml:space="preserve"> </w:t>
      </w:r>
      <w:r>
        <w:rPr>
          <w:rFonts w:ascii="Arial" w:cs="Arial" w:eastAsia="Arial" w:hAnsi="Arial"/>
          <w:sz w:val="19"/>
          <w:szCs w:val="19"/>
          <w:color w:val="000000"/>
        </w:rPr>
        <w:t>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XV</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79" w:lineRule="exact"/>
        <w:rPr>
          <w:sz w:val="20"/>
          <w:szCs w:val="20"/>
          <w:color w:val="auto"/>
        </w:rPr>
      </w:pPr>
    </w:p>
    <w:p>
      <w:pPr>
        <w:ind w:right="300" w:firstLine="648"/>
        <w:spacing w:after="0" w:line="246" w:lineRule="auto"/>
        <w:rPr>
          <w:sz w:val="20"/>
          <w:szCs w:val="20"/>
          <w:color w:val="auto"/>
        </w:rPr>
      </w:pPr>
      <w:r>
        <w:rPr>
          <w:rFonts w:ascii="Arial" w:cs="Arial" w:eastAsia="Arial" w:hAnsi="Arial"/>
          <w:sz w:val="19"/>
          <w:szCs w:val="19"/>
          <w:b w:val="1"/>
          <w:bCs w:val="1"/>
          <w:color w:val="010000"/>
        </w:rPr>
        <w:t xml:space="preserve">Section 48. </w:t>
      </w:r>
      <w:r>
        <w:rPr>
          <w:rFonts w:ascii="Arial" w:cs="Arial" w:eastAsia="Arial" w:hAnsi="Arial"/>
          <w:sz w:val="19"/>
          <w:szCs w:val="19"/>
          <w:b w:val="1"/>
          <w:bCs w:val="1"/>
          <w:color w:val="000000"/>
        </w:rPr>
        <w:t>Forum</w:t>
      </w:r>
      <w:r>
        <w:rPr>
          <w:rFonts w:ascii="Arial" w:cs="Arial" w:eastAsia="Arial" w:hAnsi="Arial"/>
          <w:sz w:val="19"/>
          <w:szCs w:val="19"/>
          <w:color w:val="000000"/>
        </w:rPr>
        <w:t>. Unless the corporation consents in writing to the selection of an alternative forum, the Court of</w:t>
      </w:r>
      <w:r>
        <w:rPr>
          <w:rFonts w:ascii="Arial" w:cs="Arial" w:eastAsia="Arial" w:hAnsi="Arial"/>
          <w:sz w:val="19"/>
          <w:szCs w:val="19"/>
          <w:b w:val="1"/>
          <w:bCs w:val="1"/>
          <w:color w:val="010000"/>
        </w:rPr>
        <w:t xml:space="preserve"> </w:t>
      </w:r>
      <w:r>
        <w:rPr>
          <w:rFonts w:ascii="Arial" w:cs="Arial" w:eastAsia="Arial" w:hAnsi="Arial"/>
          <w:sz w:val="19"/>
          <w:szCs w:val="19"/>
          <w:color w:val="000000"/>
        </w:rPr>
        <w:t>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or any director or officer or other employee of the corporation arising pursuant to any provision of the DGCL, the Certificate of Incorporation or the Bylaws of the corporation; (iv) any action asserting a claim against the corporation or any director or officer or other employee of the corporation governed by the internal affairs doctrine or (v) any action asserting an “internal corporate claim” as that term is defined in Section 115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sectPr>
      <w:pgSz w:w="11900" w:h="16838" w:orient="portrait"/>
      <w:cols w:equalWidth="0" w:num="1">
        <w:col w:w="11220"/>
      </w:cols>
      <w:pgMar w:left="320" w:top="13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abstractNum>
  <w:abstractNum w:abstractNumId="1">
    <w:nsid w:val="41A7C4C9"/>
    <w:multiLevelType w:val="hybridMultilevel"/>
    <w:lvl w:ilvl="0">
      <w:lvlJc w:val="left"/>
      <w:lvlText w:val="•"/>
      <w:numFmt w:val="bullet"/>
      <w:start w:val="1"/>
    </w:lvl>
    <w:lvl w:ilvl="1">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4">
    <w:nsid w:val="25E45D3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
    <w:nsid w:val="519B500D"/>
    <w:multiLevelType w:val="hybridMultilevel"/>
    <w:lvl w:ilvl="0">
      <w:lvlJc w:val="left"/>
      <w:lvlText w:val="(%1)"/>
      <w:numFmt w:val="upperLetter"/>
      <w:start w:val="2"/>
    </w:lvl>
    <w:lvl w:ilvl="1">
      <w:lvlJc w:val="left"/>
      <w:lvlText w:val="(%2)"/>
      <w:numFmt w:val="lowerRoman"/>
      <w:start w:val="3"/>
    </w:lvl>
  </w:abstractNum>
  <w:abstractNum w:abstractNumId="6">
    <w:nsid w:val="431BD7B7"/>
    <w:multiLevelType w:val="hybridMultilevel"/>
    <w:lvl w:ilvl="0">
      <w:lvlJc w:val="left"/>
      <w:lvlText w:val="(%1)"/>
      <w:numFmt w:val="lowerLetter"/>
      <w:start w:val="23"/>
    </w:lvl>
  </w:abstractNum>
  <w:abstractNum w:abstractNumId="7">
    <w:nsid w:val="3F2DBA31"/>
    <w:multiLevelType w:val="hybridMultilevel"/>
    <w:lvl w:ilvl="0">
      <w:lvlJc w:val="left"/>
      <w:lvlText w:val="(%1)"/>
      <w:numFmt w:val="lowerLetter"/>
      <w:start w:val="3"/>
    </w:lvl>
  </w:abstractNum>
  <w:abstractNum w:abstractNumId="8">
    <w:nsid w:val="7C83E458"/>
    <w:multiLevelType w:val="hybridMultilevel"/>
    <w:lvl w:ilvl="0">
      <w:lvlJc w:val="left"/>
      <w:lvlText w:val="(%1)"/>
      <w:numFmt w:val="decimal"/>
      <w:start w:val="5"/>
    </w:lvl>
    <w:lvl w:ilvl="1">
      <w:lvlJc w:val="left"/>
      <w:lvlText w:val="(%2)"/>
      <w:numFmt w:val="lowerLetter"/>
      <w:start w:val="4"/>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Letter"/>
      <w:start w:val="1"/>
    </w:lvl>
    <w:lvl w:ilvl="1">
      <w:lvlJc w:val="left"/>
      <w:lvlText w:val="(%2)"/>
      <w:numFmt w:val="lowerLetter"/>
      <w:start w:val="1"/>
    </w:lvl>
  </w:abstractNum>
  <w:abstractNum w:abstractNumId="11">
    <w:nsid w:val="436C6125"/>
    <w:multiLevelType w:val="hybridMultilevel"/>
    <w:lvl w:ilvl="0">
      <w:lvlJc w:val="left"/>
      <w:lvlText w:val="(%1)"/>
      <w:numFmt w:val="lowerLetter"/>
      <w:start w:val="61"/>
    </w:lvl>
    <w:lvl w:ilvl="1">
      <w:lvlJc w:val="left"/>
      <w:lvlText w:val="(%2)"/>
      <w:numFmt w:val="lowerLetter"/>
      <w:start w:val="2"/>
    </w:lvl>
  </w:abstractNum>
  <w:abstractNum w:abstractNumId="12">
    <w:nsid w:val="628C895D"/>
    <w:multiLevelType w:val="hybridMultilevel"/>
    <w:lvl w:ilvl="0">
      <w:lvlJc w:val="left"/>
      <w:lvlText w:val="(%1)"/>
      <w:numFmt w:val="lowerLetter"/>
      <w:start w:val="5"/>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5"/>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4"/>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4"/>
    </w:lvl>
  </w:abstractNum>
  <w:abstractNum w:abstractNumId="26">
    <w:nsid w:val="2CA88611"/>
    <w:multiLevelType w:val="hybridMultilevel"/>
    <w:lvl w:ilvl="0">
      <w:lvlJc w:val="left"/>
      <w:lvlText w:val="(%1)"/>
      <w:numFmt w:val="lowerLetter"/>
      <w:start w:val="9"/>
    </w:lvl>
    <w:lvl w:ilvl="1">
      <w:lvlJc w:val="left"/>
      <w:lvlText w:val="(%2)"/>
      <w:numFmt w:val="lowerRoman"/>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6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2023-09-20T15:11:14Z</dcterms:created>
  <dcterms:modified xsi:type="dcterms:W3CDTF">2023-09-20T15:11:14Z</dcterms:modified>
</cp:coreProperties>
</file>