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DUNN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13.1508</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9,157</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80,591</w:t>
            </w:r>
            <w:r>
              <w:rPr>
                <w:rFonts w:ascii="Times;serif" w:hAnsi="Times;serif"/>
                <w:color w:val="008000"/>
                <w:position w:val="7"/>
                <w:sz w:val="16"/>
                <w:sz w:val="20"/>
                <w:shd w:fill="FFFFFF" w:val="clear"/>
              </w:rPr>
              <w:t>(4)</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$13.00 USD to $13.23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8,675 shares issuable on the settlement of restricted stock units granted to the Reporting Person.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the transfer of shares from the Reporting Person to The Jeffrey W. Dunn Living Trust dated May 17,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The Jeffrey W. Dunn Living Trust Dated May 17, 2012.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Jeffrey W. Dunn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35986" TargetMode="External"/><Relationship Id="rId5" Type="http://schemas.openxmlformats.org/officeDocument/2006/relationships/hyperlink" Target="http://www.sec.gov/cgi-bin/browse-edgar?action=getcompany&amp;CIK=00014598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773</Words>
  <Characters>4125</Characters>
  <CharactersWithSpaces>4833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