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U.S. Securities and Exchange Commission on March 10, 2021</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No. 333-</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S-8</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0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SI-BONE,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880"/>
          </w:cols>
          <w:pgMar w:left="500" w:top="873" w:right="519" w:bottom="1440" w:gutter="0" w:footer="0" w:header="0"/>
        </w:sectPr>
      </w:pPr>
    </w:p>
    <w:p>
      <w:pPr>
        <w:spacing w:after="0" w:line="250"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26-2216351</w:t>
      </w:r>
    </w:p>
    <w:p>
      <w:pPr>
        <w:spacing w:after="0" w:line="50" w:lineRule="exact"/>
        <w:rPr>
          <w:sz w:val="24"/>
          <w:szCs w:val="24"/>
          <w:color w:val="auto"/>
        </w:rPr>
      </w:pPr>
    </w:p>
    <w:p>
      <w:pPr>
        <w:sectPr>
          <w:pgSz w:w="11900" w:h="16838" w:orient="portrait"/>
          <w:cols w:equalWidth="0" w:num="2">
            <w:col w:w="7140" w:space="720"/>
            <w:col w:w="3020"/>
          </w:cols>
          <w:pgMar w:left="500" w:top="873" w:right="51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500" w:space="720"/>
            <w:col w:w="3660"/>
          </w:cols>
          <w:pgMar w:left="500" w:top="873" w:right="519" w:bottom="1440" w:gutter="0" w:footer="0" w:header="0"/>
          <w:type w:val="continuous"/>
        </w:sectPr>
      </w:pP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Laura A. Francis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Operating Officer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 Hemington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843-5000</w:t>
      </w:r>
    </w:p>
    <w:p>
      <w:pPr>
        <w:spacing w:after="0" w:line="233" w:lineRule="exact"/>
        <w:rPr>
          <w:sz w:val="24"/>
          <w:szCs w:val="24"/>
          <w:color w:val="auto"/>
        </w:rPr>
      </w:pPr>
    </w:p>
    <w:p>
      <w:pPr>
        <w:jc w:val="cente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120" w:type="dxa"/>
        <w:tblCellMar>
          <w:top w:w="0" w:type="dxa"/>
          <w:left w:w="0" w:type="dxa"/>
          <w:bottom w:w="0" w:type="dxa"/>
          <w:right w:w="0" w:type="dxa"/>
        </w:tblCellMar>
      </w:tblPr>
      <w:tr>
        <w:trPr>
          <w:trHeight w:val="196"/>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tcPr>
          <w:p>
            <w:pPr>
              <w:ind w:left="1340"/>
              <w:spacing w:after="0"/>
              <w:rPr>
                <w:sz w:val="20"/>
                <w:szCs w:val="20"/>
                <w:color w:val="auto"/>
              </w:rPr>
            </w:pPr>
            <w:r>
              <w:rPr>
                <w:rFonts w:ascii="Arial" w:cs="Arial" w:eastAsia="Arial" w:hAnsi="Arial"/>
                <w:sz w:val="14"/>
                <w:szCs w:val="14"/>
                <w:color w:val="auto"/>
              </w:rPr>
              <w:t>o</w:t>
            </w:r>
          </w:p>
        </w:tc>
        <w:tc>
          <w:tcPr>
            <w:tcW w:w="280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60"/>
              <w:spacing w:after="0"/>
              <w:rPr>
                <w:sz w:val="20"/>
                <w:szCs w:val="20"/>
                <w:color w:val="auto"/>
              </w:rPr>
            </w:pPr>
            <w:r>
              <w:rPr>
                <w:rFonts w:ascii="Arial" w:cs="Arial" w:eastAsia="Arial" w:hAnsi="Arial"/>
                <w:sz w:val="14"/>
                <w:szCs w:val="14"/>
                <w:color w:val="auto"/>
                <w:w w:val="85"/>
              </w:rPr>
              <w:t>x</w:t>
            </w:r>
          </w:p>
        </w:tc>
      </w:tr>
      <w:tr>
        <w:trPr>
          <w:trHeight w:val="432"/>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ind w:left="1340"/>
              <w:spacing w:after="0"/>
              <w:rPr>
                <w:sz w:val="20"/>
                <w:szCs w:val="20"/>
                <w:color w:val="auto"/>
              </w:rPr>
            </w:pPr>
            <w:r>
              <w:rPr>
                <w:rFonts w:ascii="Arial" w:cs="Arial" w:eastAsia="Arial" w:hAnsi="Arial"/>
                <w:sz w:val="14"/>
                <w:szCs w:val="14"/>
                <w:color w:val="auto"/>
              </w:rPr>
              <w:t>o</w:t>
            </w:r>
          </w:p>
        </w:tc>
        <w:tc>
          <w:tcPr>
            <w:tcW w:w="280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85"/>
              </w:rPr>
              <w:t>x</w:t>
            </w:r>
          </w:p>
        </w:tc>
      </w:tr>
      <w:tr>
        <w:trPr>
          <w:trHeight w:val="432"/>
        </w:trPr>
        <w:tc>
          <w:tcPr>
            <w:tcW w:w="2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85"/>
              </w:rPr>
              <w:t>x</w:t>
            </w:r>
          </w:p>
        </w:tc>
      </w:tr>
    </w:tbl>
    <w:p>
      <w:pPr>
        <w:spacing w:after="0" w:line="200" w:lineRule="exact"/>
        <w:rPr>
          <w:sz w:val="24"/>
          <w:szCs w:val="24"/>
          <w:color w:val="auto"/>
        </w:rPr>
      </w:pPr>
    </w:p>
    <w:p>
      <w:pPr>
        <w:spacing w:after="0" w:line="360" w:lineRule="exact"/>
        <w:rPr>
          <w:sz w:val="24"/>
          <w:szCs w:val="24"/>
          <w:color w:val="auto"/>
        </w:rPr>
      </w:pPr>
    </w:p>
    <w:p>
      <w:pPr>
        <w:jc w:val="center"/>
        <w:ind w:left="520" w:right="1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0880"/>
          </w:cols>
          <w:pgMar w:left="500" w:top="873" w:right="519" w:bottom="1440" w:gutter="0" w:footer="0" w:header="0"/>
          <w:type w:val="continuous"/>
        </w:sectPr>
      </w:pPr>
    </w:p>
    <w:bookmarkStart w:id="1" w:name="page2"/>
    <w:bookmarkEnd w:id="1"/>
    <w:p>
      <w:pPr>
        <w:jc w:val="center"/>
        <w:ind w:right="231"/>
        <w:spacing w:after="0"/>
        <w:rPr>
          <w:sz w:val="20"/>
          <w:szCs w:val="20"/>
          <w:color w:val="auto"/>
        </w:rPr>
      </w:pPr>
      <w:r>
        <w:rPr>
          <w:rFonts w:ascii="Arial" w:cs="Arial" w:eastAsia="Arial" w:hAnsi="Arial"/>
          <w:sz w:val="18"/>
          <w:szCs w:val="18"/>
          <w:b w:val="1"/>
          <w:bCs w:val="1"/>
          <w:color w:val="auto"/>
        </w:rPr>
        <w:t>CALCULATION OF REGISTRATION FEE</w:t>
      </w:r>
    </w:p>
    <w:p>
      <w:pPr>
        <w:spacing w:after="0" w:line="127" w:lineRule="exact"/>
        <w:rPr>
          <w:sz w:val="20"/>
          <w:szCs w:val="20"/>
          <w:color w:val="auto"/>
        </w:rPr>
      </w:pPr>
    </w:p>
    <w:tbl>
      <w:tblPr>
        <w:tblLayout w:type="fixed"/>
        <w:tblInd w:w="329"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Proposed</w:t>
            </w: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Proposed</w:t>
            </w:r>
          </w:p>
        </w:tc>
        <w:tc>
          <w:tcPr>
            <w:tcW w:w="120" w:type="dxa"/>
            <w:vAlign w:val="bottom"/>
          </w:tcPr>
          <w:p>
            <w:pPr>
              <w:spacing w:after="0"/>
              <w:rPr>
                <w:sz w:val="16"/>
                <w:szCs w:val="16"/>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94"/>
              </w:rPr>
              <w:t>Amount of</w:t>
            </w:r>
          </w:p>
        </w:tc>
        <w:tc>
          <w:tcPr>
            <w:tcW w:w="0" w:type="dxa"/>
            <w:vAlign w:val="bottom"/>
          </w:tcPr>
          <w:p>
            <w:pPr>
              <w:spacing w:after="0"/>
              <w:rPr>
                <w:sz w:val="1"/>
                <w:szCs w:val="1"/>
                <w:color w:val="auto"/>
              </w:rPr>
            </w:pPr>
          </w:p>
        </w:tc>
      </w:tr>
      <w:tr>
        <w:trPr>
          <w:trHeight w:val="162"/>
        </w:trPr>
        <w:tc>
          <w:tcPr>
            <w:tcW w:w="4000" w:type="dxa"/>
            <w:vAlign w:val="bottom"/>
            <w:gridSpan w:val="2"/>
            <w:vMerge w:val="restart"/>
          </w:tcPr>
          <w:p>
            <w:pPr>
              <w:ind w:left="1320"/>
              <w:spacing w:after="0"/>
              <w:rPr>
                <w:sz w:val="20"/>
                <w:szCs w:val="20"/>
                <w:color w:val="auto"/>
              </w:rPr>
            </w:pPr>
            <w:r>
              <w:rPr>
                <w:rFonts w:ascii="Arial" w:cs="Arial" w:eastAsia="Arial" w:hAnsi="Arial"/>
                <w:sz w:val="16"/>
                <w:szCs w:val="16"/>
                <w:b w:val="1"/>
                <w:bCs w:val="1"/>
                <w:color w:val="auto"/>
              </w:rPr>
              <w:t>Title of Securities</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4"/>
                <w:szCs w:val="14"/>
                <w:color w:val="auto"/>
              </w:rPr>
            </w:pPr>
          </w:p>
        </w:tc>
        <w:tc>
          <w:tcPr>
            <w:tcW w:w="13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34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Amount to be</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3"/>
            <w:vMerge w:val="restart"/>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Offering Price per</w:t>
            </w:r>
          </w:p>
        </w:tc>
        <w:tc>
          <w:tcPr>
            <w:tcW w:w="140" w:type="dxa"/>
            <w:vAlign w:val="bottom"/>
          </w:tcPr>
          <w:p>
            <w:pPr>
              <w:spacing w:after="0"/>
              <w:rPr>
                <w:sz w:val="9"/>
                <w:szCs w:val="9"/>
                <w:color w:val="auto"/>
              </w:rPr>
            </w:pPr>
          </w:p>
        </w:tc>
        <w:tc>
          <w:tcPr>
            <w:tcW w:w="1340" w:type="dxa"/>
            <w:vAlign w:val="bottom"/>
            <w:gridSpan w:val="2"/>
            <w:vMerge w:val="restart"/>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Aggregate</w:t>
            </w:r>
          </w:p>
        </w:tc>
        <w:tc>
          <w:tcPr>
            <w:tcW w:w="120" w:type="dxa"/>
            <w:vAlign w:val="bottom"/>
          </w:tcPr>
          <w:p>
            <w:pPr>
              <w:spacing w:after="0"/>
              <w:rPr>
                <w:sz w:val="9"/>
                <w:szCs w:val="9"/>
                <w:color w:val="auto"/>
              </w:rPr>
            </w:pPr>
          </w:p>
        </w:tc>
        <w:tc>
          <w:tcPr>
            <w:tcW w:w="1040" w:type="dxa"/>
            <w:vAlign w:val="bottom"/>
            <w:vMerge w:val="restart"/>
          </w:tcPr>
          <w:p>
            <w:pPr>
              <w:jc w:val="center"/>
              <w:ind w:right="35"/>
              <w:spacing w:after="0" w:line="162" w:lineRule="exact"/>
              <w:rPr>
                <w:sz w:val="20"/>
                <w:szCs w:val="20"/>
                <w:color w:val="auto"/>
              </w:rPr>
            </w:pPr>
            <w:r>
              <w:rPr>
                <w:rFonts w:ascii="Arial" w:cs="Arial" w:eastAsia="Arial" w:hAnsi="Arial"/>
                <w:sz w:val="16"/>
                <w:szCs w:val="16"/>
                <w:b w:val="1"/>
                <w:bCs w:val="1"/>
                <w:color w:val="auto"/>
                <w:w w:val="89"/>
              </w:rPr>
              <w:t>Registration</w:t>
            </w:r>
          </w:p>
        </w:tc>
        <w:tc>
          <w:tcPr>
            <w:tcW w:w="0" w:type="dxa"/>
            <w:vAlign w:val="bottom"/>
          </w:tcPr>
          <w:p>
            <w:pPr>
              <w:spacing w:after="0"/>
              <w:rPr>
                <w:sz w:val="1"/>
                <w:szCs w:val="1"/>
                <w:color w:val="auto"/>
              </w:rPr>
            </w:pPr>
          </w:p>
        </w:tc>
      </w:tr>
      <w:tr>
        <w:trPr>
          <w:trHeight w:val="54"/>
        </w:trPr>
        <w:tc>
          <w:tcPr>
            <w:tcW w:w="4000" w:type="dxa"/>
            <w:vAlign w:val="bottom"/>
            <w:gridSpan w:val="2"/>
            <w:vMerge w:val="restart"/>
          </w:tcPr>
          <w:p>
            <w:pPr>
              <w:ind w:left="1380"/>
              <w:spacing w:after="0"/>
              <w:rPr>
                <w:sz w:val="20"/>
                <w:szCs w:val="20"/>
                <w:color w:val="auto"/>
              </w:rPr>
            </w:pPr>
            <w:r>
              <w:rPr>
                <w:rFonts w:ascii="Arial" w:cs="Arial" w:eastAsia="Arial" w:hAnsi="Arial"/>
                <w:sz w:val="16"/>
                <w:szCs w:val="16"/>
                <w:b w:val="1"/>
                <w:bCs w:val="1"/>
                <w:color w:val="auto"/>
              </w:rPr>
              <w:t>to be Registered</w:t>
            </w:r>
          </w:p>
        </w:tc>
        <w:tc>
          <w:tcPr>
            <w:tcW w:w="13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000" w:type="dxa"/>
            <w:vAlign w:val="bottom"/>
            <w:gridSpan w:val="2"/>
            <w:vMerge w:val="continue"/>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Registered </w:t>
            </w:r>
            <w:r>
              <w:rPr>
                <w:rFonts w:ascii="Arial" w:cs="Arial" w:eastAsia="Arial" w:hAnsi="Arial"/>
                <w:sz w:val="12"/>
                <w:szCs w:val="12"/>
                <w:b w:val="1"/>
                <w:bCs w:val="1"/>
                <w:color w:val="auto"/>
              </w:rPr>
              <w:t>(1)</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4"/>
              </w:rPr>
              <w:t>Share</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Offering Price</w:t>
            </w:r>
          </w:p>
        </w:tc>
        <w:tc>
          <w:tcPr>
            <w:tcW w:w="120" w:type="dxa"/>
            <w:vAlign w:val="bottom"/>
          </w:tcPr>
          <w:p>
            <w:pPr>
              <w:spacing w:after="0"/>
              <w:rPr>
                <w:sz w:val="13"/>
                <w:szCs w:val="13"/>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57"/>
        </w:trPr>
        <w:tc>
          <w:tcPr>
            <w:tcW w:w="3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par value $0.0001 per share</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140"/>
              <w:spacing w:after="0"/>
              <w:rPr>
                <w:sz w:val="20"/>
                <w:szCs w:val="20"/>
                <w:color w:val="auto"/>
              </w:rPr>
            </w:pPr>
            <w:r>
              <w:rPr>
                <w:rFonts w:ascii="Arial" w:cs="Arial" w:eastAsia="Arial" w:hAnsi="Arial"/>
                <w:sz w:val="18"/>
                <w:szCs w:val="18"/>
                <w:color w:val="auto"/>
              </w:rPr>
              <w:t>- 2018 Equity Incentive Plan</w:t>
            </w:r>
          </w:p>
        </w:tc>
        <w:tc>
          <w:tcPr>
            <w:tcW w:w="1340" w:type="dxa"/>
            <w:vAlign w:val="bottom"/>
          </w:tcPr>
          <w:p>
            <w:pPr>
              <w:jc w:val="right"/>
              <w:spacing w:after="0"/>
              <w:rPr>
                <w:sz w:val="20"/>
                <w:szCs w:val="20"/>
                <w:color w:val="auto"/>
              </w:rPr>
            </w:pPr>
            <w:r>
              <w:rPr>
                <w:rFonts w:ascii="Arial" w:cs="Arial" w:eastAsia="Arial" w:hAnsi="Arial"/>
                <w:sz w:val="18"/>
                <w:szCs w:val="18"/>
                <w:color w:val="auto"/>
              </w:rPr>
              <w:t>1,629,161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(2)</w:t>
            </w:r>
          </w:p>
        </w:tc>
        <w:tc>
          <w:tcPr>
            <w:tcW w:w="16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 xml:space="preserve">29.99 </w:t>
            </w:r>
            <w:r>
              <w:rPr>
                <w:rFonts w:ascii="Arial" w:cs="Arial" w:eastAsia="Arial" w:hAnsi="Arial"/>
                <w:sz w:val="14"/>
                <w:szCs w:val="14"/>
                <w:color w:val="auto"/>
              </w:rPr>
              <w:t>(4)</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48,858,538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5,330.47</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- 2018 Employee Stock Purchase Plan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325,832</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xml:space="preserve">25.49 </w:t>
            </w:r>
            <w:r>
              <w:rPr>
                <w:rFonts w:ascii="Arial" w:cs="Arial" w:eastAsia="Arial" w:hAnsi="Arial"/>
                <w:sz w:val="14"/>
                <w:szCs w:val="14"/>
                <w:color w:val="auto"/>
              </w:rPr>
              <w:t>(5)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8,305,458</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906.13</w:t>
            </w: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1,954,993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57,163,996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6,236.60</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409" w:hanging="409"/>
        <w:spacing w:after="0" w:line="259" w:lineRule="auto"/>
        <w:tabs>
          <w:tab w:leader="none" w:pos="433"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common stock that become issuable under the plans set forth herein by reason of any stock dividend, stock split, recapitalization, or other similar transaction effected without receipt of consideration that increases the number of the Registrant’s outstanding shares of Common Stock.</w:t>
      </w:r>
    </w:p>
    <w:p>
      <w:pPr>
        <w:spacing w:after="0" w:line="159" w:lineRule="exact"/>
        <w:rPr>
          <w:rFonts w:ascii="Arial" w:cs="Arial" w:eastAsia="Arial" w:hAnsi="Arial"/>
          <w:sz w:val="18"/>
          <w:szCs w:val="18"/>
          <w:color w:val="auto"/>
        </w:rPr>
      </w:pPr>
    </w:p>
    <w:p>
      <w:pPr>
        <w:jc w:val="both"/>
        <w:ind w:left="409" w:hanging="409"/>
        <w:spacing w:after="0" w:line="255" w:lineRule="auto"/>
        <w:tabs>
          <w:tab w:leader="none" w:pos="497"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that were automatically added to the shares authorized for issuance under the Registrant’s 2018 Equity Incentive Plan, as amended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on January 1, 2021 pursuant to an “evergreen” provision contained in the 2018 Plan. Pursuant to such provision, the number of shares reserved for issuance under the 2018 Plan automatically increases on January 1 of each year, starting on January 1, 2019, and continuing through January 1, 2028, by 5% of the total number of shares of the Registrant’s common stock outstanding on December 31st of the preceding calendar year, or a lesser number of shares determined by the Registrant’s board of directors or compensation committee.</w:t>
      </w:r>
    </w:p>
    <w:p>
      <w:pPr>
        <w:spacing w:after="0" w:line="151" w:lineRule="exact"/>
        <w:rPr>
          <w:rFonts w:ascii="Arial" w:cs="Arial" w:eastAsia="Arial" w:hAnsi="Arial"/>
          <w:sz w:val="18"/>
          <w:szCs w:val="18"/>
          <w:color w:val="auto"/>
        </w:rPr>
      </w:pPr>
    </w:p>
    <w:p>
      <w:pPr>
        <w:jc w:val="both"/>
        <w:ind w:left="409" w:hanging="409"/>
        <w:spacing w:after="0" w:line="296" w:lineRule="auto"/>
        <w:tabs>
          <w:tab w:leader="none" w:pos="455"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that were automatically added to the shares authorized for issuance under the Registrant’s 2018 Employee Stock Purchase Plan (the “</w:t>
      </w:r>
      <w:r>
        <w:rPr>
          <w:rFonts w:ascii="Arial" w:cs="Arial" w:eastAsia="Arial" w:hAnsi="Arial"/>
          <w:sz w:val="16"/>
          <w:szCs w:val="16"/>
          <w:b w:val="1"/>
          <w:bCs w:val="1"/>
          <w:i w:val="1"/>
          <w:iCs w:val="1"/>
          <w:color w:val="auto"/>
        </w:rPr>
        <w:t>2018 ESPP</w:t>
      </w:r>
      <w:r>
        <w:rPr>
          <w:rFonts w:ascii="Arial" w:cs="Arial" w:eastAsia="Arial" w:hAnsi="Arial"/>
          <w:sz w:val="16"/>
          <w:szCs w:val="16"/>
          <w:color w:val="auto"/>
        </w:rPr>
        <w:t>”) on January 1, 2021, pursuant to an “evergreen” provision contained in the 2018 ESPP. Pursuant to such provision, the number of shares reserved for issuance under the 2018 ESPP automatically increases on January 1st of each year, starting on January 1, 2019, and continuing through January 1, 2028, by an amount equal to (i) the lesser of 1% of the total number of shares of the Registrant’s common stock outstanding on December 31st of the preceding calendar year, and (ii) 555,555 shares of common stock.</w:t>
      </w:r>
    </w:p>
    <w:p>
      <w:pPr>
        <w:spacing w:after="0" w:line="120" w:lineRule="exact"/>
        <w:rPr>
          <w:rFonts w:ascii="Arial" w:cs="Arial" w:eastAsia="Arial" w:hAnsi="Arial"/>
          <w:sz w:val="16"/>
          <w:szCs w:val="16"/>
          <w:color w:val="auto"/>
        </w:rPr>
      </w:pPr>
    </w:p>
    <w:p>
      <w:pPr>
        <w:jc w:val="both"/>
        <w:ind w:left="409" w:hanging="409"/>
        <w:spacing w:after="0" w:line="263" w:lineRule="auto"/>
        <w:tabs>
          <w:tab w:leader="none" w:pos="42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(h) promulgated under the Securities Act solely for the purpose of calculating the registration fee on the basis of $29.99 per share, the average of the high and low prices of the Registrant’s Common Stock as reported on the Nasdaq Global Market on March 9, 2021.</w:t>
      </w:r>
    </w:p>
    <w:p>
      <w:pPr>
        <w:spacing w:after="0" w:line="156" w:lineRule="exact"/>
        <w:rPr>
          <w:rFonts w:ascii="Arial" w:cs="Arial" w:eastAsia="Arial" w:hAnsi="Arial"/>
          <w:sz w:val="18"/>
          <w:szCs w:val="18"/>
          <w:color w:val="auto"/>
        </w:rPr>
      </w:pPr>
    </w:p>
    <w:p>
      <w:pPr>
        <w:jc w:val="both"/>
        <w:ind w:left="409" w:hanging="409"/>
        <w:spacing w:after="0" w:line="311" w:lineRule="auto"/>
        <w:tabs>
          <w:tab w:leader="none" w:pos="422"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(h) promulgated under the Securities Act solely for the purpose of calculating the registration fee on the basis of $25.49 per share, the average of the high and low prices of the Registrant’s Common Stock as reported on the Nasdaq Global Market on March 9, 2021, multiplied by 85%, which is the percentage of the price per share applicable to purchases under the 2018 ESPP.</w:t>
      </w:r>
    </w:p>
    <w:p>
      <w:pPr>
        <w:sectPr>
          <w:pgSz w:w="11900" w:h="16838" w:orient="portrait"/>
          <w:cols w:equalWidth="0" w:num="1">
            <w:col w:w="10989"/>
          </w:cols>
          <w:pgMar w:left="571"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Pursuant to General Instruction E of Form S-8, 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for the purpose of registering</w:t>
      </w:r>
    </w:p>
    <w:p>
      <w:pPr>
        <w:spacing w:after="0" w:line="59" w:lineRule="exact"/>
        <w:rPr>
          <w:sz w:val="20"/>
          <w:szCs w:val="20"/>
          <w:color w:val="auto"/>
        </w:rPr>
      </w:pPr>
    </w:p>
    <w:p>
      <w:pPr>
        <w:jc w:val="both"/>
        <w:ind w:firstLine="8"/>
        <w:spacing w:after="0" w:line="309"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additional 1,629,161 shares of its common stock, issuable to eligible persons under the 2018 Plan, which common stock is in addition to the shares of common stock previously registered on the Registrant’s Form S-8 registration statements filed on October 19, 2018 (File No. 333-227907), March 22, 2019 (File No. 333-230473) and March 11, 2020 (File No. 333-237091) (the “</w:t>
      </w:r>
      <w:r>
        <w:rPr>
          <w:rFonts w:ascii="Arial" w:cs="Arial" w:eastAsia="Arial" w:hAnsi="Arial"/>
          <w:sz w:val="17"/>
          <w:szCs w:val="17"/>
          <w:b w:val="1"/>
          <w:bCs w:val="1"/>
          <w:i w:val="1"/>
          <w:iCs w:val="1"/>
          <w:color w:val="auto"/>
        </w:rPr>
        <w:t>Prior Forms S-8</w:t>
      </w:r>
      <w:r>
        <w:rPr>
          <w:rFonts w:ascii="Arial" w:cs="Arial" w:eastAsia="Arial" w:hAnsi="Arial"/>
          <w:sz w:val="17"/>
          <w:szCs w:val="17"/>
          <w:color w:val="auto"/>
        </w:rPr>
        <w:t>”) and (b) an additional 325,832 shares of its common stock, issuable to eligible persons under the 2018 ESPP, which common stock is in addition to the shares of common stock previously registered on the Prior Forms S-8. The contents of the Prior Forms S-8 are incorporated by reference in this Registration 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The following documents filed by the Registrant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are incorporated by reference into this Registration Statement:</w:t>
      </w:r>
    </w:p>
    <w:p>
      <w:pPr>
        <w:spacing w:after="0" w:line="130" w:lineRule="exact"/>
        <w:rPr>
          <w:sz w:val="20"/>
          <w:szCs w:val="20"/>
          <w:color w:val="auto"/>
        </w:rPr>
      </w:pPr>
    </w:p>
    <w:p>
      <w:pPr>
        <w:ind w:left="40" w:firstLine="656"/>
        <w:spacing w:after="0" w:line="308" w:lineRule="auto"/>
        <w:tabs>
          <w:tab w:leader="none" w:pos="1094" w:val="left"/>
        </w:tabs>
        <w:numPr>
          <w:ilvl w:val="0"/>
          <w:numId w:val="3"/>
        </w:numPr>
        <w:rPr>
          <w:rFonts w:ascii="Arial" w:cs="Arial" w:eastAsia="Arial" w:hAnsi="Arial"/>
          <w:sz w:val="18"/>
          <w:szCs w:val="18"/>
          <w:color w:val="0000FF"/>
        </w:rPr>
      </w:pPr>
      <w:hyperlink r:id="rId8">
        <w:r>
          <w:rPr>
            <w:rFonts w:ascii="Arial" w:cs="Arial" w:eastAsia="Arial" w:hAnsi="Arial"/>
            <w:sz w:val="18"/>
            <w:szCs w:val="18"/>
            <w:color w:val="auto"/>
          </w:rPr>
          <w:t xml:space="preserve">The contents of the earlier registration statements on Form S-8 relating to the 2018 Plan and 2018 ESPP, filed with the SEC on </w:t>
        </w:r>
        <w:r>
          <w:rPr>
            <w:rFonts w:ascii="Arial" w:cs="Arial" w:eastAsia="Arial" w:hAnsi="Arial"/>
            <w:sz w:val="18"/>
            <w:szCs w:val="18"/>
            <w:u w:val="single" w:color="auto"/>
            <w:color w:val="0000FF"/>
          </w:rPr>
          <w:t>October 19,</w:t>
        </w:r>
      </w:hyperlink>
      <w:r>
        <w:rPr>
          <w:rFonts w:ascii="Arial" w:cs="Arial" w:eastAsia="Arial" w:hAnsi="Arial"/>
          <w:sz w:val="18"/>
          <w:szCs w:val="18"/>
          <w:color w:val="auto"/>
        </w:rPr>
        <w:t xml:space="preserve"> </w:t>
      </w:r>
      <w:hyperlink r:id="rId8">
        <w:r>
          <w:rPr>
            <w:rFonts w:ascii="Arial" w:cs="Arial" w:eastAsia="Arial" w:hAnsi="Arial"/>
            <w:sz w:val="18"/>
            <w:szCs w:val="18"/>
            <w:u w:val="single" w:color="auto"/>
            <w:color w:val="0000FF"/>
          </w:rPr>
          <w:t>2018</w:t>
        </w:r>
        <w:r>
          <w:rPr>
            <w:rFonts w:ascii="Arial" w:cs="Arial" w:eastAsia="Arial" w:hAnsi="Arial"/>
            <w:sz w:val="18"/>
            <w:szCs w:val="18"/>
            <w:color w:val="0000FF"/>
          </w:rPr>
          <w:t xml:space="preserve"> </w:t>
        </w:r>
        <w:r>
          <w:rPr>
            <w:rFonts w:ascii="Arial" w:cs="Arial" w:eastAsia="Arial" w:hAnsi="Arial"/>
            <w:sz w:val="18"/>
            <w:szCs w:val="18"/>
            <w:color w:val="000000"/>
          </w:rPr>
          <w:t>(File No. 333-227907),</w:t>
        </w:r>
        <w:r>
          <w:rPr>
            <w:rFonts w:ascii="Arial" w:cs="Arial" w:eastAsia="Arial" w:hAnsi="Arial"/>
            <w:sz w:val="18"/>
            <w:szCs w:val="18"/>
            <w:color w:val="0000FF"/>
          </w:rPr>
          <w:t xml:space="preserve"> </w:t>
        </w:r>
      </w:hyperlink>
      <w:hyperlink r:id="rId9">
        <w:r>
          <w:rPr>
            <w:rFonts w:ascii="Arial" w:cs="Arial" w:eastAsia="Arial" w:hAnsi="Arial"/>
            <w:sz w:val="18"/>
            <w:szCs w:val="18"/>
            <w:u w:val="single" w:color="auto"/>
            <w:color w:val="0000FF"/>
          </w:rPr>
          <w:t xml:space="preserve">March 22, 2019 </w:t>
        </w:r>
      </w:hyperlink>
      <w:hyperlink r:id="rId8">
        <w:r>
          <w:rPr>
            <w:rFonts w:ascii="Arial" w:cs="Arial" w:eastAsia="Arial" w:hAnsi="Arial"/>
            <w:sz w:val="18"/>
            <w:szCs w:val="18"/>
            <w:color w:val="000000"/>
          </w:rPr>
          <w:t>(File No. 333-230473) and</w:t>
        </w:r>
        <w:r>
          <w:rPr>
            <w:rFonts w:ascii="Arial" w:cs="Arial" w:eastAsia="Arial" w:hAnsi="Arial"/>
            <w:sz w:val="18"/>
            <w:szCs w:val="18"/>
            <w:color w:val="0000FF"/>
          </w:rPr>
          <w:t xml:space="preserve"> </w:t>
        </w:r>
      </w:hyperlink>
      <w:hyperlink r:id="rId10">
        <w:r>
          <w:rPr>
            <w:rFonts w:ascii="Arial" w:cs="Arial" w:eastAsia="Arial" w:hAnsi="Arial"/>
            <w:sz w:val="18"/>
            <w:szCs w:val="18"/>
            <w:u w:val="single" w:color="auto"/>
            <w:color w:val="0000FF"/>
          </w:rPr>
          <w:t xml:space="preserve">March 11, 2020 </w:t>
        </w:r>
      </w:hyperlink>
      <w:hyperlink r:id="rId8">
        <w:r>
          <w:rPr>
            <w:rFonts w:ascii="Arial" w:cs="Arial" w:eastAsia="Arial" w:hAnsi="Arial"/>
            <w:sz w:val="18"/>
            <w:szCs w:val="18"/>
            <w:color w:val="000000"/>
          </w:rPr>
          <w:t>(File No. 333-237091).</w:t>
        </w:r>
      </w:hyperlink>
    </w:p>
    <w:p>
      <w:pPr>
        <w:spacing w:after="0" w:line="197" w:lineRule="exact"/>
        <w:rPr>
          <w:rFonts w:ascii="Arial" w:cs="Arial" w:eastAsia="Arial" w:hAnsi="Arial"/>
          <w:sz w:val="18"/>
          <w:szCs w:val="18"/>
          <w:color w:val="0000FF"/>
        </w:rPr>
      </w:pPr>
    </w:p>
    <w:p>
      <w:pPr>
        <w:ind w:left="1100" w:hanging="40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2020, filed with the SEC on </w:t>
      </w:r>
      <w:hyperlink r:id="rId11">
        <w:r>
          <w:rPr>
            <w:rFonts w:ascii="Arial" w:cs="Arial" w:eastAsia="Arial" w:hAnsi="Arial"/>
            <w:sz w:val="18"/>
            <w:szCs w:val="18"/>
            <w:u w:val="single" w:color="auto"/>
            <w:color w:val="0000FF"/>
          </w:rPr>
          <w:t>March 10, 2021</w:t>
        </w:r>
      </w:hyperlink>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40" w:right="280" w:firstLine="656"/>
        <w:spacing w:after="0" w:line="291" w:lineRule="auto"/>
        <w:tabs>
          <w:tab w:leader="none" w:pos="106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Current Reports on Form 8-K filed with the SEC on </w:t>
      </w:r>
      <w:hyperlink r:id="rId12">
        <w:r>
          <w:rPr>
            <w:rFonts w:ascii="Arial" w:cs="Arial" w:eastAsia="Arial" w:hAnsi="Arial"/>
            <w:sz w:val="17"/>
            <w:szCs w:val="17"/>
            <w:u w:val="single" w:color="auto"/>
            <w:color w:val="0000FF"/>
          </w:rPr>
          <w:t>January 7,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the information in Item 2.02, Item 7.01, and related Exhibits 99.1 and 99.2, which is furnished, not filed) and </w:t>
      </w:r>
      <w:hyperlink r:id="rId13">
        <w:r>
          <w:rPr>
            <w:rFonts w:ascii="Arial" w:cs="Arial" w:eastAsia="Arial" w:hAnsi="Arial"/>
            <w:sz w:val="17"/>
            <w:szCs w:val="17"/>
            <w:u w:val="single" w:color="auto"/>
            <w:color w:val="0000FF"/>
          </w:rPr>
          <w:t>March 8,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Item 2.02 and related exhibit).</w:t>
      </w:r>
    </w:p>
    <w:p>
      <w:pPr>
        <w:spacing w:after="0" w:line="187" w:lineRule="exact"/>
        <w:rPr>
          <w:rFonts w:ascii="Arial" w:cs="Arial" w:eastAsia="Arial" w:hAnsi="Arial"/>
          <w:sz w:val="17"/>
          <w:szCs w:val="17"/>
          <w:color w:val="auto"/>
        </w:rPr>
      </w:pPr>
    </w:p>
    <w:p>
      <w:pPr>
        <w:jc w:val="both"/>
        <w:ind w:left="40" w:firstLine="656"/>
        <w:spacing w:after="0" w:line="290" w:lineRule="auto"/>
        <w:tabs>
          <w:tab w:leader="none" w:pos="113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which is contained in a registration statement on </w:t>
      </w:r>
      <w:hyperlink r:id="rId14">
        <w:r>
          <w:rPr>
            <w:rFonts w:ascii="Arial" w:cs="Arial" w:eastAsia="Arial" w:hAnsi="Arial"/>
            <w:sz w:val="18"/>
            <w:szCs w:val="18"/>
            <w:u w:val="single" w:color="auto"/>
            <w:color w:val="0000FF"/>
          </w:rPr>
          <w:t>Form 8-A filed on October 11, 2018</w:t>
        </w:r>
      </w:hyperlink>
      <w:r>
        <w:rPr>
          <w:rFonts w:ascii="Arial" w:cs="Arial" w:eastAsia="Arial" w:hAnsi="Arial"/>
          <w:sz w:val="18"/>
          <w:szCs w:val="18"/>
          <w:color w:val="auto"/>
        </w:rPr>
        <w:t xml:space="preserve"> (File No. 001-38701)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 including the Description of SI-BONE, Inc. Common stock filed as Exhibit 4.3 to the Registrant's Form 10-K filed with the SEC on May 5, 2020.</w:t>
      </w:r>
    </w:p>
    <w:p>
      <w:pPr>
        <w:spacing w:after="0" w:line="214" w:lineRule="exact"/>
        <w:rPr>
          <w:rFonts w:ascii="Arial" w:cs="Arial" w:eastAsia="Arial" w:hAnsi="Arial"/>
          <w:sz w:val="18"/>
          <w:szCs w:val="18"/>
          <w:color w:val="auto"/>
        </w:rPr>
      </w:pPr>
    </w:p>
    <w:p>
      <w:pPr>
        <w:jc w:val="both"/>
        <w:ind w:left="40" w:firstLine="656"/>
        <w:spacing w:after="0" w:line="325" w:lineRule="auto"/>
        <w:tabs>
          <w:tab w:leader="none" w:pos="1103"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769" w:right="33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to this Registration Statement are listed below.</w:t>
      </w:r>
    </w:p>
    <w:p>
      <w:pPr>
        <w:spacing w:after="0" w:line="307"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w w:val="93"/>
              </w:rPr>
              <w:t>Incorporated by Reference</w:t>
            </w:r>
          </w:p>
        </w:tc>
        <w:tc>
          <w:tcPr>
            <w:tcW w:w="1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6"/>
            <w:vMerge w:val="restart"/>
          </w:tcPr>
          <w:p>
            <w:pPr>
              <w:ind w:left="420"/>
              <w:spacing w:after="0"/>
              <w:rPr>
                <w:sz w:val="20"/>
                <w:szCs w:val="20"/>
                <w:color w:val="auto"/>
              </w:rPr>
            </w:pPr>
            <w:r>
              <w:rPr>
                <w:rFonts w:ascii="Arial" w:cs="Arial" w:eastAsia="Arial" w:hAnsi="Arial"/>
                <w:sz w:val="16"/>
                <w:szCs w:val="16"/>
                <w:b w:val="1"/>
                <w:bCs w:val="1"/>
                <w:color w:val="auto"/>
              </w:rPr>
              <w:t>Description</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Schedule</w:t>
            </w:r>
          </w:p>
        </w:tc>
        <w:tc>
          <w:tcPr>
            <w:tcW w:w="13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File Number</w:t>
            </w:r>
          </w:p>
        </w:tc>
        <w:tc>
          <w:tcPr>
            <w:tcW w:w="11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Exhibit</w:t>
            </w:r>
          </w:p>
        </w:tc>
        <w:tc>
          <w:tcPr>
            <w:tcW w:w="17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Filed On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3"/>
        </w:trPr>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6"/>
            <w:vMerge w:val="continue"/>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Form</w:t>
            </w:r>
          </w:p>
        </w:tc>
        <w:tc>
          <w:tcPr>
            <w:tcW w:w="13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85"/>
        </w:trPr>
        <w:tc>
          <w:tcPr>
            <w:tcW w:w="92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19"/>
          </w:tcPr>
          <w:p>
            <w:pPr>
              <w:spacing w:after="0" w:line="185" w:lineRule="exact"/>
              <w:rPr>
                <w:rFonts w:ascii="Arial" w:cs="Arial" w:eastAsia="Arial" w:hAnsi="Arial"/>
                <w:sz w:val="18"/>
                <w:szCs w:val="18"/>
                <w:color w:val="0000FF"/>
              </w:rPr>
            </w:pPr>
            <w:hyperlink r:id="rId15">
              <w:r>
                <w:rPr>
                  <w:rFonts w:ascii="Arial" w:cs="Arial" w:eastAsia="Arial" w:hAnsi="Arial"/>
                  <w:sz w:val="18"/>
                  <w:szCs w:val="18"/>
                  <w:color w:val="0000FF"/>
                </w:rPr>
                <w:t>Amended and Restated Certificate of</w:t>
              </w:r>
            </w:hyperlink>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ind w:left="60"/>
              <w:spacing w:after="0" w:line="185" w:lineRule="exact"/>
              <w:rPr>
                <w:sz w:val="20"/>
                <w:szCs w:val="20"/>
                <w:color w:val="auto"/>
              </w:rPr>
            </w:pPr>
            <w:r>
              <w:rPr>
                <w:rFonts w:ascii="Arial" w:cs="Arial" w:eastAsia="Arial" w:hAnsi="Arial"/>
                <w:sz w:val="18"/>
                <w:szCs w:val="18"/>
                <w:color w:val="auto"/>
              </w:rPr>
              <w:t>October 19, 2018</w:t>
            </w:r>
          </w:p>
        </w:tc>
        <w:tc>
          <w:tcPr>
            <w:tcW w:w="1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tcBorders>
            <w:gridSpan w:val="9"/>
          </w:tcPr>
          <w:p>
            <w:pPr>
              <w:spacing w:after="0" w:line="156" w:lineRule="exact"/>
              <w:rPr>
                <w:rFonts w:ascii="Arial" w:cs="Arial" w:eastAsia="Arial" w:hAnsi="Arial"/>
                <w:sz w:val="18"/>
                <w:szCs w:val="18"/>
                <w:color w:val="0000FF"/>
                <w:w w:val="98"/>
              </w:rPr>
            </w:pPr>
            <w:hyperlink r:id="rId15">
              <w:r>
                <w:rPr>
                  <w:rFonts w:ascii="Arial" w:cs="Arial" w:eastAsia="Arial" w:hAnsi="Arial"/>
                  <w:sz w:val="18"/>
                  <w:szCs w:val="18"/>
                  <w:color w:val="0000FF"/>
                  <w:w w:val="98"/>
                </w:rPr>
                <w:t>Incorporation of the Registrant, as</w:t>
              </w:r>
            </w:hyperlink>
          </w:p>
        </w:tc>
        <w:tc>
          <w:tcPr>
            <w:tcW w:w="920" w:type="dxa"/>
            <w:vAlign w:val="bottom"/>
            <w:gridSpan w:val="11"/>
          </w:tcPr>
          <w:p>
            <w:pPr>
              <w:spacing w:after="0" w:line="156" w:lineRule="exact"/>
              <w:rPr>
                <w:rFonts w:ascii="Arial" w:cs="Arial" w:eastAsia="Arial" w:hAnsi="Arial"/>
                <w:sz w:val="18"/>
                <w:szCs w:val="18"/>
                <w:color w:val="0000FF"/>
              </w:rPr>
            </w:pPr>
            <w:hyperlink r:id="rId15">
              <w:r>
                <w:rPr>
                  <w:rFonts w:ascii="Arial" w:cs="Arial" w:eastAsia="Arial" w:hAnsi="Arial"/>
                  <w:sz w:val="18"/>
                  <w:szCs w:val="18"/>
                  <w:color w:val="0000FF"/>
                </w:rPr>
                <w:t>currently in</w:t>
              </w:r>
            </w:hyperlink>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5">
              <w:r>
                <w:rPr>
                  <w:rFonts w:ascii="Arial" w:cs="Arial" w:eastAsia="Arial" w:hAnsi="Arial"/>
                  <w:sz w:val="18"/>
                  <w:szCs w:val="18"/>
                  <w:color w:val="0000FF"/>
                  <w:w w:val="89"/>
                </w:rPr>
                <w:t>effect.</w:t>
              </w:r>
            </w:hyperlink>
          </w:p>
        </w:tc>
        <w:tc>
          <w:tcPr>
            <w:tcW w:w="2880" w:type="dxa"/>
            <w:vAlign w:val="bottom"/>
            <w:tcBorders>
              <w:top w:val="single" w:sz="8" w:color="0000FF"/>
            </w:tcBorders>
            <w:gridSpan w:val="16"/>
          </w:tcPr>
          <w:p>
            <w:pPr>
              <w:spacing w:after="0"/>
              <w:rPr>
                <w:sz w:val="13"/>
                <w:szCs w:val="13"/>
                <w:color w:val="auto"/>
              </w:rPr>
            </w:pPr>
          </w:p>
        </w:tc>
        <w:tc>
          <w:tcPr>
            <w:tcW w:w="2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0"/>
          </w:tcPr>
          <w:p>
            <w:pPr>
              <w:spacing w:after="0"/>
              <w:rPr>
                <w:rFonts w:ascii="Arial" w:cs="Arial" w:eastAsia="Arial" w:hAnsi="Arial"/>
                <w:sz w:val="18"/>
                <w:szCs w:val="18"/>
                <w:color w:val="0000FF"/>
              </w:rPr>
            </w:pPr>
            <w:hyperlink r:id="rId16">
              <w:r>
                <w:rPr>
                  <w:rFonts w:ascii="Arial" w:cs="Arial" w:eastAsia="Arial" w:hAnsi="Arial"/>
                  <w:sz w:val="18"/>
                  <w:szCs w:val="18"/>
                  <w:color w:val="0000FF"/>
                </w:rPr>
                <w:t>Amended and Restated Bylaws of the</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Borders>
              <w:top w:val="single" w:sz="8" w:color="0000FF"/>
            </w:tcBorders>
            <w:gridSpan w:val="10"/>
          </w:tcPr>
          <w:p>
            <w:pPr>
              <w:spacing w:after="0" w:line="195" w:lineRule="exact"/>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Registrant, as currently in effect.</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3"/>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gridSpan w:val="20"/>
          </w:tcPr>
          <w:p>
            <w:pPr>
              <w:spacing w:after="0" w:line="190" w:lineRule="exact"/>
              <w:rPr>
                <w:rFonts w:ascii="Arial" w:cs="Arial" w:eastAsia="Arial" w:hAnsi="Arial"/>
                <w:sz w:val="18"/>
                <w:szCs w:val="18"/>
                <w:color w:val="0000FF"/>
              </w:rPr>
            </w:pPr>
            <w:hyperlink r:id="rId17">
              <w:r>
                <w:rPr>
                  <w:rFonts w:ascii="Arial" w:cs="Arial" w:eastAsia="Arial" w:hAnsi="Arial"/>
                  <w:sz w:val="18"/>
                  <w:szCs w:val="18"/>
                  <w:color w:val="0000FF"/>
                </w:rPr>
                <w:t>Form of Registrant’s Common Stock</w:t>
              </w:r>
            </w:hyperlink>
          </w:p>
        </w:tc>
        <w:tc>
          <w:tcPr>
            <w:tcW w:w="108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6"/>
                <w:szCs w:val="16"/>
                <w:color w:val="auto"/>
              </w:rPr>
            </w:pP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7">
              <w:r>
                <w:rPr>
                  <w:rFonts w:ascii="Arial" w:cs="Arial" w:eastAsia="Arial" w:hAnsi="Arial"/>
                  <w:sz w:val="18"/>
                  <w:szCs w:val="18"/>
                  <w:color w:val="0000FF"/>
                </w:rPr>
                <w:t>Certificate.</w:t>
              </w:r>
            </w:hyperlink>
          </w:p>
        </w:tc>
        <w:tc>
          <w:tcPr>
            <w:tcW w:w="3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gridSpan w:val="20"/>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Opinion of Cooley LLP.</w:t>
              </w:r>
            </w:hyperlink>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90"/>
        </w:trPr>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gridSpan w:val="20"/>
          </w:tcPr>
          <w:p>
            <w:pPr>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Consent of Cooley LLP (included in</w:t>
              </w:r>
            </w:hyperlink>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Exhibit 5.1).</w:t>
              </w:r>
            </w:hyperlink>
          </w:p>
        </w:tc>
        <w:tc>
          <w:tcPr>
            <w:tcW w:w="3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PricewaterhouseCoopers LLP,</w:t>
              </w:r>
            </w:hyperlink>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Independent Registered Public Accounting</w:t>
              </w:r>
            </w:hyperlink>
          </w:p>
        </w:tc>
        <w:tc>
          <w:tcPr>
            <w:tcW w:w="10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Firm.</w:t>
              </w:r>
            </w:hyperlink>
          </w:p>
        </w:tc>
        <w:tc>
          <w:tcPr>
            <w:tcW w:w="2700" w:type="dxa"/>
            <w:vAlign w:val="bottom"/>
            <w:gridSpan w:val="1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Power of Attorney (included on the signature</w:t>
              </w:r>
            </w:hyperlink>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page of this Form S-8).</w:t>
              </w:r>
            </w:hyperlink>
          </w:p>
        </w:tc>
        <w:tc>
          <w:tcPr>
            <w:tcW w:w="1600" w:type="dxa"/>
            <w:vAlign w:val="bottom"/>
            <w:tcBorders>
              <w:top w:val="single" w:sz="8" w:color="0000FF"/>
            </w:tcBorders>
            <w:gridSpan w:val="12"/>
          </w:tcPr>
          <w:p>
            <w:pPr>
              <w:spacing w:after="0"/>
              <w:rPr>
                <w:sz w:val="13"/>
                <w:szCs w:val="13"/>
                <w:color w:val="auto"/>
              </w:rPr>
            </w:pPr>
          </w:p>
        </w:tc>
        <w:tc>
          <w:tcPr>
            <w:tcW w:w="3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gridSpan w:val="20"/>
          </w:tcPr>
          <w:p>
            <w:pPr>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2018 Equity Incentive Plan.</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gridSpan w:val="20"/>
          </w:tcPr>
          <w:p>
            <w:pPr>
              <w:spacing w:after="0" w:line="190" w:lineRule="exact"/>
              <w:rPr>
                <w:rFonts w:ascii="Arial" w:cs="Arial" w:eastAsia="Arial" w:hAnsi="Arial"/>
                <w:sz w:val="18"/>
                <w:szCs w:val="18"/>
                <w:color w:val="0000FF"/>
              </w:rPr>
            </w:pPr>
            <w:hyperlink r:id="rId19">
              <w:r>
                <w:rPr>
                  <w:rFonts w:ascii="Arial" w:cs="Arial" w:eastAsia="Arial" w:hAnsi="Arial"/>
                  <w:sz w:val="18"/>
                  <w:szCs w:val="18"/>
                  <w:color w:val="0000FF"/>
                </w:rPr>
                <w:t>Forms of Stock Option Grant Notice, Option</w:t>
              </w:r>
            </w:hyperlink>
          </w:p>
        </w:tc>
        <w:tc>
          <w:tcPr>
            <w:tcW w:w="108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6"/>
                <w:szCs w:val="16"/>
                <w:color w:val="auto"/>
              </w:rPr>
            </w:pP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Agreement and Notice of Exercise under the</w:t>
              </w:r>
            </w:hyperlink>
          </w:p>
        </w:tc>
        <w:tc>
          <w:tcPr>
            <w:tcW w:w="2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9">
              <w:r>
                <w:rPr>
                  <w:rFonts w:ascii="Arial" w:cs="Arial" w:eastAsia="Arial" w:hAnsi="Arial"/>
                  <w:sz w:val="18"/>
                  <w:szCs w:val="18"/>
                  <w:color w:val="0000FF"/>
                </w:rPr>
                <w:t>2018 Equity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0"/>
          </w:tcPr>
          <w:p>
            <w:pPr>
              <w:spacing w:after="0"/>
              <w:rPr>
                <w:rFonts w:ascii="Arial" w:cs="Arial" w:eastAsia="Arial" w:hAnsi="Arial"/>
                <w:sz w:val="18"/>
                <w:szCs w:val="18"/>
                <w:color w:val="0000FF"/>
              </w:rPr>
            </w:pPr>
            <w:hyperlink r:id="rId20">
              <w:r>
                <w:rPr>
                  <w:rFonts w:ascii="Arial" w:cs="Arial" w:eastAsia="Arial" w:hAnsi="Arial"/>
                  <w:sz w:val="18"/>
                  <w:szCs w:val="18"/>
                  <w:color w:val="0000FF"/>
                </w:rPr>
                <w:t>Forms of Restricted Stock Unit Grant Notice</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and Restricted Stock Unit Award Agreement</w:t>
              </w:r>
            </w:hyperlink>
          </w:p>
        </w:tc>
        <w:tc>
          <w:tcPr>
            <w:tcW w:w="34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tcBorders>
              <w:top w:val="single" w:sz="8" w:color="0000FF"/>
            </w:tcBorders>
            <w:gridSpan w:val="14"/>
          </w:tcPr>
          <w:p>
            <w:pPr>
              <w:spacing w:after="0" w:line="195" w:lineRule="exact"/>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under the 2018 Equity Incentive Plan.</w:t>
              </w:r>
            </w:hyperlink>
          </w:p>
        </w:tc>
        <w:tc>
          <w:tcPr>
            <w:tcW w:w="380" w:type="dxa"/>
            <w:vAlign w:val="bottom"/>
            <w:gridSpan w:val="6"/>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gridSpan w:val="20"/>
          </w:tcPr>
          <w:p>
            <w:pPr>
              <w:spacing w:after="0"/>
              <w:rPr>
                <w:rFonts w:ascii="Arial" w:cs="Arial" w:eastAsia="Arial" w:hAnsi="Arial"/>
                <w:sz w:val="18"/>
                <w:szCs w:val="18"/>
                <w:color w:val="0000FF"/>
              </w:rPr>
            </w:pPr>
            <w:hyperlink r:id="rId21">
              <w:r>
                <w:rPr>
                  <w:rFonts w:ascii="Arial" w:cs="Arial" w:eastAsia="Arial" w:hAnsi="Arial"/>
                  <w:sz w:val="18"/>
                  <w:szCs w:val="18"/>
                  <w:u w:val="single" w:color="auto"/>
                  <w:color w:val="0000FF"/>
                </w:rPr>
                <w:t>2018 Employee Stock Purchase Plan</w:t>
              </w:r>
              <w:r>
                <w:rPr>
                  <w:rFonts w:ascii="Arial" w:cs="Arial" w:eastAsia="Arial" w:hAnsi="Arial"/>
                  <w:sz w:val="18"/>
                  <w:szCs w:val="18"/>
                  <w:color w:val="0000FF"/>
                </w:rPr>
                <w:t>.</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769"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10th day of March 2021.</w:t>
      </w:r>
    </w:p>
    <w:p>
      <w:pPr>
        <w:spacing w:after="0" w:line="112"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SI-BONE, Inc.</w:t>
      </w:r>
    </w:p>
    <w:p>
      <w:pPr>
        <w:spacing w:after="0" w:line="81"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W. Dunn</w:t>
            </w:r>
          </w:p>
        </w:tc>
      </w:tr>
      <w:tr>
        <w:trPr>
          <w:trHeight w:val="222"/>
        </w:trPr>
        <w:tc>
          <w:tcPr>
            <w:tcW w:w="8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30"/>
        </w:trPr>
        <w:tc>
          <w:tcPr>
            <w:tcW w:w="8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Jeffrey W. Dunn, Laura A.</w:t>
      </w:r>
      <w:r>
        <w:rPr>
          <w:rFonts w:ascii="Arial" w:cs="Arial" w:eastAsia="Arial" w:hAnsi="Arial"/>
          <w:sz w:val="17"/>
          <w:szCs w:val="17"/>
          <w:b w:val="1"/>
          <w:bCs w:val="1"/>
          <w:color w:val="auto"/>
        </w:rPr>
        <w:t xml:space="preserve"> </w:t>
      </w:r>
      <w:r>
        <w:rPr>
          <w:rFonts w:ascii="Arial" w:cs="Arial" w:eastAsia="Arial" w:hAnsi="Arial"/>
          <w:sz w:val="17"/>
          <w:szCs w:val="17"/>
          <w:color w:val="auto"/>
        </w:rPr>
        <w:t>Francis, and Michael A. 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891" w:right="339" w:bottom="1440" w:gutter="0" w:footer="0" w:header="0"/>
        </w:sectPr>
      </w:pP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Signature</w:t>
      </w:r>
    </w:p>
    <w:p>
      <w:pPr>
        <w:spacing w:after="0" w:line="29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Jeffrey W. Dunn</w:t>
      </w:r>
    </w:p>
    <w:p>
      <w:pPr>
        <w:spacing w:after="0" w:line="25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Laura A. Francis</w:t>
      </w:r>
    </w:p>
    <w:p>
      <w:pPr>
        <w:spacing w:after="0" w:line="239"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Timothy E. Davis, Jr.</w:t>
      </w:r>
    </w:p>
    <w:p>
      <w:pPr>
        <w:spacing w:after="0" w:line="26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 Mark J.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Mark J. Foley</w:t>
      </w:r>
    </w:p>
    <w:p>
      <w:pPr>
        <w:spacing w:after="0" w:line="306"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29210</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John G. Freund, M.D.</w:t>
      </w:r>
    </w:p>
    <w:p>
      <w:pPr>
        <w:spacing w:after="0" w:line="23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Jeryl L. Hilleman</w:t>
      </w:r>
    </w:p>
    <w:p>
      <w:pPr>
        <w:spacing w:after="0" w:line="26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Gregory K. Hinckley</w:t>
      </w:r>
    </w:p>
    <w:p>
      <w:pPr>
        <w:spacing w:after="0" w:line="26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Karen A. Licitra</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jc w:val="center"/>
              <w:ind w:right="490"/>
              <w:spacing w:after="0"/>
              <w:rPr>
                <w:sz w:val="20"/>
                <w:szCs w:val="20"/>
                <w:color w:val="auto"/>
              </w:rPr>
            </w:pPr>
            <w:r>
              <w:rPr>
                <w:rFonts w:ascii="Arial" w:cs="Arial" w:eastAsia="Arial" w:hAnsi="Arial"/>
                <w:sz w:val="18"/>
                <w:szCs w:val="18"/>
                <w:b w:val="1"/>
                <w:bCs w:val="1"/>
                <w:color w:val="auto"/>
                <w:w w:val="97"/>
              </w:rPr>
              <w:t>Title</w:t>
            </w:r>
          </w:p>
        </w:tc>
        <w:tc>
          <w:tcPr>
            <w:tcW w:w="172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Date</w:t>
            </w:r>
          </w:p>
        </w:tc>
      </w:tr>
      <w:tr>
        <w:trPr>
          <w:trHeight w:val="405"/>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2"/>
              </w:rPr>
              <w:t>President, Chief Executive Officer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230"/>
        </w:trPr>
        <w:tc>
          <w:tcPr>
            <w:tcW w:w="4340" w:type="dxa"/>
            <w:vAlign w:val="bottom"/>
          </w:tcPr>
          <w:p>
            <w:pPr>
              <w:jc w:val="center"/>
              <w:ind w:right="470"/>
              <w:spacing w:after="0"/>
              <w:rPr>
                <w:sz w:val="20"/>
                <w:szCs w:val="20"/>
                <w:color w:val="auto"/>
              </w:rPr>
            </w:pPr>
            <w:r>
              <w:rPr>
                <w:rFonts w:ascii="Arial" w:cs="Arial" w:eastAsia="Arial" w:hAnsi="Arial"/>
                <w:sz w:val="18"/>
                <w:szCs w:val="18"/>
                <w:i w:val="1"/>
                <w:iCs w:val="1"/>
                <w:color w:val="auto"/>
                <w:w w:val="94"/>
              </w:rPr>
              <w:t>(Principal Executive Officer)</w:t>
            </w:r>
          </w:p>
        </w:tc>
        <w:tc>
          <w:tcPr>
            <w:tcW w:w="1720" w:type="dxa"/>
            <w:vAlign w:val="bottom"/>
          </w:tcPr>
          <w:p>
            <w:pPr>
              <w:spacing w:after="0"/>
              <w:rPr>
                <w:sz w:val="20"/>
                <w:szCs w:val="20"/>
                <w:color w:val="auto"/>
              </w:rPr>
            </w:pPr>
          </w:p>
        </w:tc>
      </w:tr>
      <w:tr>
        <w:trPr>
          <w:trHeight w:val="499"/>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3"/>
              </w:rPr>
              <w:t>Chief Operating Officer and Chief Financial Officer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230"/>
        </w:trPr>
        <w:tc>
          <w:tcPr>
            <w:tcW w:w="4340" w:type="dxa"/>
            <w:vAlign w:val="bottom"/>
          </w:tcPr>
          <w:p>
            <w:pPr>
              <w:jc w:val="center"/>
              <w:ind w:right="49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720" w:type="dxa"/>
            <w:vAlign w:val="bottom"/>
          </w:tcPr>
          <w:p>
            <w:pPr>
              <w:spacing w:after="0"/>
              <w:rPr>
                <w:sz w:val="20"/>
                <w:szCs w:val="20"/>
                <w:color w:val="auto"/>
              </w:rPr>
            </w:pPr>
          </w:p>
        </w:tc>
      </w:tr>
      <w:tr>
        <w:trPr>
          <w:trHeight w:val="553"/>
        </w:trPr>
        <w:tc>
          <w:tcPr>
            <w:tcW w:w="4340" w:type="dxa"/>
            <w:vAlign w:val="bottom"/>
          </w:tcPr>
          <w:p>
            <w:pPr>
              <w:jc w:val="center"/>
              <w:ind w:right="470"/>
              <w:spacing w:after="0"/>
              <w:rPr>
                <w:sz w:val="20"/>
                <w:szCs w:val="20"/>
                <w:color w:val="auto"/>
              </w:rPr>
            </w:pPr>
            <w:r>
              <w:rPr>
                <w:rFonts w:ascii="Arial" w:cs="Arial" w:eastAsia="Arial" w:hAnsi="Arial"/>
                <w:sz w:val="18"/>
                <w:szCs w:val="18"/>
                <w:color w:val="auto"/>
                <w:w w:val="91"/>
              </w:rPr>
              <w:t>Lead Independent Director, 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729"/>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770"/>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729"/>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689"/>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r>
        <w:trPr>
          <w:trHeight w:val="729"/>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10, 2021</w:t>
            </w:r>
          </w:p>
        </w:tc>
      </w:tr>
    </w:tbl>
    <w:p>
      <w:pPr>
        <w:spacing w:after="0" w:line="460" w:lineRule="exact"/>
        <w:rPr>
          <w:sz w:val="20"/>
          <w:szCs w:val="20"/>
          <w:color w:val="auto"/>
        </w:rPr>
      </w:pPr>
    </w:p>
    <w:p>
      <w:pPr>
        <w:sectPr>
          <w:pgSz w:w="11900" w:h="16838" w:orient="portrait"/>
          <w:cols w:equalWidth="0" w:num="2">
            <w:col w:w="4060" w:space="720"/>
            <w:col w:w="6460"/>
          </w:cols>
          <w:pgMar w:left="320" w:top="891" w:right="339" w:bottom="1440" w:gutter="0" w:footer="0" w:header="0"/>
          <w:type w:val="continuous"/>
        </w:sectPr>
      </w:pPr>
    </w:p>
    <w:p>
      <w:pPr>
        <w:spacing w:after="0" w:line="12"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C. Valentine</w:t>
            </w:r>
          </w:p>
        </w:tc>
        <w:tc>
          <w:tcPr>
            <w:tcW w:w="5160" w:type="dxa"/>
            <w:vAlign w:val="bottom"/>
          </w:tcPr>
          <w:p>
            <w:pPr>
              <w:ind w:left="320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80"/>
              <w:spacing w:after="0"/>
              <w:rPr>
                <w:sz w:val="20"/>
                <w:szCs w:val="20"/>
                <w:color w:val="auto"/>
              </w:rPr>
            </w:pPr>
            <w:r>
              <w:rPr>
                <w:rFonts w:ascii="Arial" w:cs="Arial" w:eastAsia="Arial" w:hAnsi="Arial"/>
                <w:sz w:val="18"/>
                <w:szCs w:val="18"/>
                <w:color w:val="auto"/>
                <w:w w:val="89"/>
              </w:rPr>
              <w:t>March 10, 2021</w:t>
            </w:r>
          </w:p>
        </w:tc>
      </w:tr>
      <w:tr>
        <w:trPr>
          <w:trHeight w:val="237"/>
        </w:trPr>
        <w:tc>
          <w:tcPr>
            <w:tcW w:w="3080" w:type="dxa"/>
            <w:vAlign w:val="bottom"/>
          </w:tcPr>
          <w:p>
            <w:pPr>
              <w:jc w:val="center"/>
              <w:spacing w:after="0"/>
              <w:rPr>
                <w:sz w:val="20"/>
                <w:szCs w:val="20"/>
                <w:color w:val="auto"/>
              </w:rPr>
            </w:pPr>
            <w:r>
              <w:rPr>
                <w:rFonts w:ascii="Arial" w:cs="Arial" w:eastAsia="Arial" w:hAnsi="Arial"/>
                <w:sz w:val="18"/>
                <w:szCs w:val="18"/>
                <w:color w:val="auto"/>
                <w:w w:val="92"/>
              </w:rPr>
              <w:t>Keith C. Valentine</w:t>
            </w:r>
          </w:p>
        </w:tc>
        <w:tc>
          <w:tcPr>
            <w:tcW w:w="51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13"/>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Mika Nishimura</w:t>
            </w:r>
          </w:p>
        </w:tc>
        <w:tc>
          <w:tcPr>
            <w:tcW w:w="5160" w:type="dxa"/>
            <w:vAlign w:val="bottom"/>
          </w:tcPr>
          <w:p>
            <w:pPr>
              <w:ind w:left="320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80"/>
              <w:spacing w:after="0"/>
              <w:rPr>
                <w:sz w:val="20"/>
                <w:szCs w:val="20"/>
                <w:color w:val="auto"/>
              </w:rPr>
            </w:pPr>
            <w:r>
              <w:rPr>
                <w:rFonts w:ascii="Arial" w:cs="Arial" w:eastAsia="Arial" w:hAnsi="Arial"/>
                <w:sz w:val="18"/>
                <w:szCs w:val="18"/>
                <w:color w:val="auto"/>
                <w:w w:val="89"/>
              </w:rPr>
              <w:t>March 10, 2021</w:t>
            </w:r>
          </w:p>
        </w:tc>
      </w:tr>
      <w:tr>
        <w:trPr>
          <w:trHeight w:val="237"/>
        </w:trPr>
        <w:tc>
          <w:tcPr>
            <w:tcW w:w="3080" w:type="dxa"/>
            <w:vAlign w:val="bottom"/>
          </w:tcPr>
          <w:p>
            <w:pPr>
              <w:jc w:val="center"/>
              <w:spacing w:after="0"/>
              <w:rPr>
                <w:sz w:val="20"/>
                <w:szCs w:val="20"/>
                <w:color w:val="auto"/>
              </w:rPr>
            </w:pPr>
            <w:r>
              <w:rPr>
                <w:rFonts w:ascii="Arial" w:cs="Arial" w:eastAsia="Arial" w:hAnsi="Arial"/>
                <w:sz w:val="18"/>
                <w:szCs w:val="18"/>
                <w:color w:val="auto"/>
                <w:w w:val="95"/>
              </w:rPr>
              <w:t>Mika Nishimura</w:t>
            </w:r>
          </w:p>
        </w:tc>
        <w:tc>
          <w:tcPr>
            <w:tcW w:w="516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982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Matthew B. Hemington</w:t>
      </w:r>
    </w:p>
    <w:p>
      <w:pPr>
        <w:spacing w:after="0" w:line="19" w:lineRule="exact"/>
        <w:rPr>
          <w:sz w:val="20"/>
          <w:szCs w:val="20"/>
          <w:color w:val="auto"/>
        </w:rPr>
      </w:pPr>
    </w:p>
    <w:p>
      <w:pPr>
        <w:ind w:right="9440" w:firstLine="8"/>
        <w:spacing w:after="0" w:line="328" w:lineRule="auto"/>
        <w:tabs>
          <w:tab w:leader="none" w:pos="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+1 650 843 5062 hemingtonmb@cooley.com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1,954,993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(i) 1,629,161 shares of Common Stock issuable pursuant to the Company’s 2018 Equity Incentive Plan (the “</w:t>
      </w:r>
      <w:r>
        <w:rPr>
          <w:rFonts w:ascii="Arial" w:cs="Arial" w:eastAsia="Arial" w:hAnsi="Arial"/>
          <w:sz w:val="18"/>
          <w:szCs w:val="18"/>
          <w:b w:val="1"/>
          <w:bCs w:val="1"/>
          <w:i w:val="1"/>
          <w:iCs w:val="1"/>
          <w:color w:val="auto"/>
        </w:rPr>
        <w:t>2018 EIP</w:t>
      </w:r>
      <w:r>
        <w:rPr>
          <w:rFonts w:ascii="Arial" w:cs="Arial" w:eastAsia="Arial" w:hAnsi="Arial"/>
          <w:sz w:val="18"/>
          <w:szCs w:val="18"/>
          <w:color w:val="auto"/>
        </w:rPr>
        <w:t>”) and (ii) 325,832 shares of Common Stock issuable pursuant to the Company’s 2018 Employee Stock Purchase Plan (together with the Company’s 2018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 (b) the Company’s Amended and Restated Certificate of Incorporation and Amended and Restated Bylaws, as currently in effect, (c) the Plans, and (d) such other records, documents, certificates, memoranda and other instruments as in our judgment are necessary or appropriate to enable us to render the opinion expressed below.</w:t>
      </w:r>
    </w:p>
    <w:p>
      <w:pPr>
        <w:spacing w:after="0" w:line="21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6"/>
          <w:szCs w:val="16"/>
          <w:color w:val="auto"/>
        </w:rPr>
        <w:t>We have assumed the genuineness of all signatures, the authenticity of all documents submitted to us as originals, the conformity to originals of all documents submitted to us as copies , the accuracy, completeness and authenticity of certificates of public officials and the due authorization, execution and</w:t>
      </w:r>
    </w:p>
    <w:p>
      <w:pPr>
        <w:jc w:val="both"/>
        <w:ind w:right="20"/>
        <w:spacing w:after="0" w:line="308" w:lineRule="auto"/>
        <w:rPr>
          <w:sz w:val="20"/>
          <w:szCs w:val="20"/>
          <w:color w:val="auto"/>
        </w:rPr>
      </w:pPr>
      <w:r>
        <w:rPr>
          <w:rFonts w:ascii="Arial" w:cs="Arial" w:eastAsia="Arial" w:hAnsi="Arial"/>
          <w:sz w:val="17"/>
          <w:szCs w:val="17"/>
          <w:color w:val="auto"/>
        </w:rPr>
        <w:t>delivery of all documents by all persons other than the Company where execution and delivery are prerequisites to the effectiveness thereof. As to certain factual matters, we have relied upon a certificate of an officer of the Company and have not independently verified such matters.</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Matthew B. Hemington</w:t>
            </w:r>
          </w:p>
        </w:tc>
      </w:tr>
      <w:tr>
        <w:trPr>
          <w:trHeight w:val="228"/>
        </w:trPr>
        <w:tc>
          <w:tcPr>
            <w:tcW w:w="6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Matthew B. Hemington</w:t>
            </w: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769"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We hereby consent to the incorporation by reference in this Registration Statement on Form S-8 of SI-BONE, Inc. of our report dated March 10, 2021 relating to the financial statements, which appears in SI-BONE, Inc.’s Annual Report on Form 10-K for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jpeg"/><Relationship Id="rId8" Type="http://schemas.openxmlformats.org/officeDocument/2006/relationships/hyperlink" Target="http://www.sec.gov/Archives/edgar/data/1459839/000119312518303158/d635537ds8.htm" TargetMode="External"/><Relationship Id="rId9" Type="http://schemas.openxmlformats.org/officeDocument/2006/relationships/hyperlink" Target="http://www.sec.gov/Archives/edgar/data/1459839/000145983919000015/s-8evergreen2019.htm" TargetMode="External"/><Relationship Id="rId10" Type="http://schemas.openxmlformats.org/officeDocument/2006/relationships/hyperlink" Target="http://www.sec.gov/Archives/edgar/data/1459839/000145983920000032/s-8evergreen2020.htm" TargetMode="External"/><Relationship Id="rId11" Type="http://schemas.openxmlformats.org/officeDocument/2006/relationships/hyperlink" Target="http://www.sec.gov/ix?doc=/Archives/edgar/data/1459839/000145983921000012/sibn-20201231.htm" TargetMode="External"/><Relationship Id="rId12" Type="http://schemas.openxmlformats.org/officeDocument/2006/relationships/hyperlink" Target="http://www.sec.gov/ix?doc=/Archives/edgar/data/1459839/000145983921000003/sibn-20210105.htm" TargetMode="External"/><Relationship Id="rId13" Type="http://schemas.openxmlformats.org/officeDocument/2006/relationships/hyperlink" Target="http://www.sec.gov/ix?doc=/Archives/edgar/data/1459839/000145983921000009/sibn-20210304.htm" TargetMode="External"/><Relationship Id="rId14" Type="http://schemas.openxmlformats.org/officeDocument/2006/relationships/hyperlink" Target="http://www.sec.gov/Archives/edgar/data/1459839/000119312518297571/d486750d8a12b.htm" TargetMode="External"/><Relationship Id="rId15" Type="http://schemas.openxmlformats.org/officeDocument/2006/relationships/hyperlink" Target="http://www.sec.gov/Archives/edgar/data/1459839/000119312518303020/d641574dex31.htm" TargetMode="External"/><Relationship Id="rId16" Type="http://schemas.openxmlformats.org/officeDocument/2006/relationships/hyperlink" Target="http://www.sec.gov/Archives/edgar/data/1459839/000119312518293978/d452987dex34.htm" TargetMode="External"/><Relationship Id="rId17" Type="http://schemas.openxmlformats.org/officeDocument/2006/relationships/hyperlink" Target="http://www.sec.gov/Archives/edgar/data/1459839/000119312518293978/d452987dex41.htm" TargetMode="External"/><Relationship Id="rId18" Type="http://schemas.openxmlformats.org/officeDocument/2006/relationships/hyperlink" Target="http://www.sec.gov/Archives/edgar/data/1459839/000119312518293978/d452987dex103.htm" TargetMode="External"/><Relationship Id="rId19" Type="http://schemas.openxmlformats.org/officeDocument/2006/relationships/hyperlink" Target="http://www.sec.gov/Archives/edgar/data/1459839/000119312518293978/d452987dex104.htm" TargetMode="External"/><Relationship Id="rId20" Type="http://schemas.openxmlformats.org/officeDocument/2006/relationships/hyperlink" Target="http://www.sec.gov/Archives/edgar/data/1459839/000119312518293978/d452987dex105.htm" TargetMode="External"/><Relationship Id="rId21" Type="http://schemas.openxmlformats.org/officeDocument/2006/relationships/hyperlink" Target="http://www.sec.gov/Archives/edgar/data/1459839/000119312518293978/d45298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2021-03-10T15:33:29Z</dcterms:created>
  <dcterms:modified xsi:type="dcterms:W3CDTF">2021-03-10T15:33:29Z</dcterms:modified>
</cp:coreProperties>
</file>