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4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4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before="0" w:after="0"/>
        <w:jc w:val="center"/>
        <w:rPr/>
      </w:pPr>
      <w:r>
        <w:rPr/>
      </w:r>
    </w:p>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8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 FOR THE TRANSITION PERIOD FROM                      TO</w:t>
            </w:r>
          </w:p>
        </w:tc>
      </w:tr>
    </w:tbl>
    <w:p>
      <w:pPr>
        <w:pStyle w:val="TextBody"/>
        <w:bidi w:val="0"/>
        <w:spacing w:lineRule="auto" w:line="288" w:before="0" w:after="80"/>
        <w:jc w:val="center"/>
        <w:rPr/>
      </w:pPr>
      <w:r>
        <w:rPr>
          <w:rFonts w:ascii="Times New Roman;sans-serif" w:hAnsi="Times New Roman;sans-serif"/>
          <w:b/>
          <w:color w:val="000000"/>
          <w:sz w:val="18"/>
        </w:rPr>
        <w:t>Commission File Number </w:t>
      </w:r>
      <w:r>
        <w:rPr>
          <w:rFonts w:ascii="Times New Roman;sans-serif" w:hAnsi="Times New Roman;sans-serif"/>
          <w:b/>
          <w:color w:val="000000"/>
          <w:sz w:val="20"/>
        </w:rPr>
        <w:t>001-38701</w:t>
      </w:r>
    </w:p>
    <w:p>
      <w:pPr>
        <w:pStyle w:val="TextBody"/>
        <w:bidi w:val="0"/>
        <w:spacing w:lineRule="auto" w:line="288" w:before="40" w:after="283"/>
        <w:jc w:val="center"/>
        <w:rPr>
          <w:rFonts w:ascii="Times New Roman;sans-serif" w:hAnsi="Times New Roman;sans-serif"/>
          <w:b/>
          <w:color w:val="000000"/>
          <w:sz w:val="40"/>
        </w:rPr>
      </w:pPr>
      <w:r>
        <w:rPr>
          <w:rFonts w:ascii="Times New Roman;sans-serif" w:hAnsi="Times New Roman;sans-serif"/>
          <w:b/>
          <w:color w:val="000000"/>
          <w:sz w:val="40"/>
        </w:rPr>
        <w:t>SI-BONE, Inc.</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048" w:type="dxa"/>
        <w:jc w:val="left"/>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26-2216351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 95050</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including zip code)</w:t>
      </w:r>
    </w:p>
    <w:p>
      <w:pPr>
        <w:pStyle w:val="TextBody"/>
        <w:bidi w:val="0"/>
        <w:spacing w:lineRule="auto" w:line="288" w:before="0" w:after="8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 (408) 207-0700</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lineRule="auto" w:line="288" w:before="0" w:after="80"/>
        <w:jc w:val="center"/>
        <w:rPr/>
      </w:pPr>
      <w:r>
        <w:rPr>
          <w:rFonts w:ascii="Times New Roman;sans-serif" w:hAnsi="Times New Roman;sans-serif"/>
          <w:b w:val="false"/>
          <w:color w:val="000000"/>
          <w:sz w:val="16"/>
        </w:rPr>
        <w:t>Securities registered pursuant to Section 12(g) of the Act:</w:t>
      </w:r>
      <w:r>
        <w:rPr>
          <w:color w:val="000000"/>
        </w:rPr>
        <w:t xml:space="preserve"> </w:t>
      </w:r>
      <w:r>
        <w:rPr>
          <w:rFonts w:ascii="Times New Roman;sans-serif" w:hAnsi="Times New Roman;sans-serif"/>
          <w:b/>
          <w:color w:val="000000"/>
          <w:sz w:val="16"/>
        </w:rPr>
        <w:t>None</w:t>
      </w:r>
    </w:p>
    <w:p>
      <w:pPr>
        <w:pStyle w:val="TextBody"/>
        <w:bidi w:val="0"/>
        <w:spacing w:lineRule="auto" w:line="288" w:before="0" w:after="80"/>
        <w:jc w:val="center"/>
        <w:rPr/>
      </w:pPr>
      <w:r>
        <w:rPr>
          <w:rFonts w:ascii="Times New Roman;sans-serif" w:hAnsi="Times New Roman;sans-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80"/>
        <w:jc w:val="center"/>
        <w:rPr/>
      </w:pPr>
      <w:r>
        <w:rPr>
          <w:rFonts w:ascii="Times New Roman;sans-serif" w:hAnsi="Times New Roman;sans-serif"/>
          <w:b w:val="false"/>
          <w:color w:val="000000"/>
          <w:sz w:val="16"/>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80"/>
        <w:jc w:val="center"/>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20" w:after="8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36"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674"/>
        <w:gridCol w:w="674"/>
        <w:gridCol w:w="677"/>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0" w:after="0"/>
        <w:jc w:val="center"/>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sans-serif" w:hAnsi="Times New Roman;sans-serif"/>
          <w:b w:val="false"/>
          <w:color w:val="000000"/>
          <w:sz w:val="24"/>
        </w:rPr>
        <w:t xml:space="preserve">. </w:t>
      </w:r>
      <w:r>
        <w:rPr>
          <w:color w:val="000000"/>
        </w:rPr>
        <w:t>☐</w:t>
      </w:r>
    </w:p>
    <w:p>
      <w:pPr>
        <w:pStyle w:val="TextBody"/>
        <w:bidi w:val="0"/>
        <w:spacing w:before="0" w:after="0"/>
        <w:jc w:val="center"/>
        <w:rPr/>
      </w:pPr>
      <w:r>
        <w:rPr/>
      </w:r>
    </w:p>
    <w:p>
      <w:pPr>
        <w:pStyle w:val="TextBody"/>
        <w:bidi w:val="0"/>
        <w:spacing w:lineRule="auto" w:line="268" w:before="0" w:after="0"/>
        <w:jc w:val="center"/>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80" w:after="80"/>
        <w:jc w:val="center"/>
        <w:rPr/>
      </w:pPr>
      <w:r>
        <w:rPr>
          <w:rFonts w:ascii="Times New Roman;sans-serif" w:hAnsi="Times New Roman;sans-serif"/>
          <w:b w:val="false"/>
          <w:color w:val="000000"/>
          <w:sz w:val="16"/>
        </w:rPr>
        <w:t>Indicate by check mark whether the Registrant is a shell company (as defined in Rule 12b</w:t>
        <w:noBreakHyphen/>
        <w:t>2 of the Exchange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shares of common stock held by non-affiliates of the registrant as of June 30, 2023, the last business day of the registrant’s most recently completed second fiscal quarter, was approximately $1.1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pStyle w:val="TextBody"/>
        <w:bidi w:val="0"/>
        <w:spacing w:lineRule="auto" w:line="288" w:before="120" w:after="283"/>
        <w:jc w:val="center"/>
        <w:rPr/>
      </w:pPr>
      <w:r>
        <w:rPr>
          <w:rFonts w:ascii="Times New Roman;sans-serif" w:hAnsi="Times New Roman;sans-serif"/>
          <w:b w:val="false"/>
          <w:color w:val="000000"/>
          <w:sz w:val="16"/>
        </w:rPr>
        <w:t xml:space="preserve">The number of shares of Registrant’s Common Stock outstanding </w:t>
      </w:r>
      <w:r>
        <w:rPr>
          <w:rFonts w:ascii="Times New Roman;sans-serif" w:hAnsi="Times New Roman;sans-serif"/>
          <w:b w:val="false"/>
          <w:color w:val="000000"/>
          <w:sz w:val="16"/>
          <w:shd w:fill="FFFFFF" w:val="clear"/>
        </w:rPr>
        <w:t>as of February 20, 2024 was</w:t>
      </w:r>
      <w:r>
        <w:rPr>
          <w:color w:val="000000"/>
        </w:rPr>
        <w:t xml:space="preserve"> </w:t>
      </w:r>
      <w:r>
        <w:rPr>
          <w:rFonts w:ascii="Times New Roman;sans-serif" w:hAnsi="Times New Roman;sans-serif"/>
          <w:b w:val="false"/>
          <w:color w:val="000000"/>
          <w:sz w:val="16"/>
        </w:rPr>
        <w:t>41,064,511</w:t>
      </w:r>
      <w:r>
        <w:rPr>
          <w:color w:val="000000"/>
          <w:shd w:fill="FFFFFF" w:val="clear"/>
        </w:rPr>
        <w:t xml:space="preserve"> </w:t>
      </w:r>
      <w:r>
        <w:rPr>
          <w:rFonts w:ascii="Times New Roman;sans-serif" w:hAnsi="Times New Roman;sans-serif"/>
          <w:b w:val="false"/>
          <w:color w:val="000000"/>
          <w:sz w:val="16"/>
          <w:shd w:fill="FFFFFF" w:val="clear"/>
        </w:rPr>
        <w:t>shares.</w:t>
      </w:r>
    </w:p>
    <w:p>
      <w:pPr>
        <w:pStyle w:val="TextBody"/>
        <w:bidi w:val="0"/>
        <w:spacing w:before="60" w:after="283"/>
        <w:jc w:val="left"/>
        <w:rPr/>
      </w:pPr>
      <w:r>
        <w:rPr/>
      </w:r>
    </w:p>
    <w:p>
      <w:pPr>
        <w:pStyle w:val="TextBody"/>
        <w:bidi w:val="0"/>
        <w:spacing w:lineRule="auto" w:line="288" w:before="0" w:after="80"/>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center"/>
        <w:rPr/>
      </w:pPr>
      <w:r>
        <w:rPr>
          <w:rFonts w:ascii="Times New Roman;sans-serif" w:hAnsi="Times New Roman;sans-serif"/>
          <w:b w:val="false"/>
          <w:color w:val="000000"/>
          <w:sz w:val="16"/>
        </w:rPr>
        <w:t>Portions of the Registrant’s Definitive Proxy Statement relating to the Annual Meeting of Shareholders, which will be filed with the Securities and Exchange Commission within 120 days after the end of the Registrant’s fiscal year ended December 31, 2023, are incorporated by reference into Part III of this Report</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68"/>
        <w:gridCol w:w="235"/>
        <w:gridCol w:w="237"/>
        <w:gridCol w:w="109"/>
        <w:gridCol w:w="109"/>
        <w:gridCol w:w="109"/>
        <w:gridCol w:w="2845"/>
        <w:gridCol w:w="2822"/>
        <w:gridCol w:w="2855"/>
        <w:gridCol w:w="178"/>
        <w:gridCol w:w="178"/>
        <w:gridCol w:w="260"/>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Page </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6">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6">
              <w:r>
                <w:rPr>
                  <w:rStyle w:val="InternetLink"/>
                  <w:rFonts w:ascii="Times New Roman;sans-serif" w:hAnsi="Times New Roman;sans-serif"/>
                  <w:b w:val="false"/>
                  <w:color w:val="0000FF"/>
                  <w:sz w:val="20"/>
                  <w:u w:val="single"/>
                </w:rPr>
                <w:t>Business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16">
              <w:r>
                <w:rPr>
                  <w:rStyle w:val="InternetLink"/>
                  <w:rFonts w:ascii="Times New Roman;sans-serif" w:hAnsi="Times New Roman;sans-serif"/>
                  <w:b w:val="false"/>
                  <w:color w:val="0000FF"/>
                  <w:sz w:val="20"/>
                  <w:u w:val="single"/>
                </w:rPr>
                <w:t>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64">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64">
              <w:r>
                <w:rPr>
                  <w:rStyle w:val="InternetLink"/>
                  <w:rFonts w:ascii="Times New Roman;sans-serif" w:hAnsi="Times New Roman;sans-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64">
              <w:r>
                <w:rPr>
                  <w:rStyle w:val="InternetLink"/>
                  <w:rFonts w:ascii="Times New Roman;sans-serif" w:hAnsi="Times New Roman;sans-serif"/>
                  <w:b w:val="false"/>
                  <w:color w:val="0000FF"/>
                  <w:sz w:val="20"/>
                  <w:u w:val="single"/>
                </w:rPr>
                <w:t>24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67">
              <w:r>
                <w:rPr>
                  <w:rStyle w:val="InternetLink"/>
                  <w:rFonts w:ascii="Times New Roman;sans-serif" w:hAnsi="Times New Roman;sans-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67">
              <w:r>
                <w:rPr>
                  <w:rStyle w:val="InternetLink"/>
                  <w:rFonts w:ascii="Times New Roman;sans-serif" w:hAnsi="Times New Roman;sans-serif"/>
                  <w:b w:val="false"/>
                  <w:color w:val="0000FF"/>
                  <w:sz w:val="20"/>
                  <w:u w:val="single"/>
                </w:rPr>
                <w:t>Unresolved Staff Comments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67">
              <w:r>
                <w:rPr>
                  <w:rStyle w:val="InternetLink"/>
                  <w:rFonts w:ascii="Times New Roman;sans-serif" w:hAnsi="Times New Roman;sans-serif"/>
                  <w:b w:val="false"/>
                  <w:color w:val="0000FF"/>
                  <w:sz w:val="20"/>
                  <w:u w:val="single"/>
                </w:rPr>
                <w:t>58</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046">
              <w:r>
                <w:rPr>
                  <w:rStyle w:val="InternetLink"/>
                  <w:rFonts w:ascii="Times New Roman;sans-serif" w:hAnsi="Times New Roman;sans-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046">
              <w:r>
                <w:rPr>
                  <w:rStyle w:val="InternetLink"/>
                  <w:rFonts w:ascii="Times New Roman;sans-serif" w:hAnsi="Times New Roman;sans-serif"/>
                  <w:b w:val="false"/>
                  <w:color w:val="0000FF"/>
                  <w:sz w:val="20"/>
                  <w:u w:val="single"/>
                </w:rPr>
                <w:t>Cybersecurity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046">
              <w:r>
                <w:rPr>
                  <w:rStyle w:val="InternetLink"/>
                  <w:rFonts w:ascii="Times New Roman;sans-serif" w:hAnsi="Times New Roman;sans-serif"/>
                  <w:b w:val="false"/>
                  <w:color w:val="000080"/>
                  <w:sz w:val="20"/>
                  <w:u w:val="single"/>
                </w:rPr>
                <w:t>5</w:t>
              </w:r>
            </w:hyperlink>
            <w:hyperlink w:anchor="i54c87ac3f4444cf6b5596336ae957190_2046">
              <w:r>
                <w:rPr>
                  <w:rStyle w:val="InternetLink"/>
                  <w:rFonts w:ascii="Times New Roman;sans-serif" w:hAnsi="Times New Roman;sans-serif"/>
                  <w:b w:val="false"/>
                  <w:color w:val="000080"/>
                  <w:sz w:val="20"/>
                  <w:u w:val="single"/>
                </w:rPr>
                <w:t>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0">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0">
              <w:r>
                <w:rPr>
                  <w:rStyle w:val="InternetLink"/>
                  <w:rFonts w:ascii="Times New Roman;sans-serif" w:hAnsi="Times New Roman;sans-serif"/>
                  <w:b w:val="false"/>
                  <w:color w:val="0000FF"/>
                  <w:sz w:val="20"/>
                  <w:u w:val="single"/>
                </w:rPr>
                <w:t>Properties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70">
              <w:r>
                <w:rPr>
                  <w:rStyle w:val="InternetLink"/>
                  <w:rFonts w:ascii="Times New Roman;sans-serif" w:hAnsi="Times New Roman;sans-serif"/>
                  <w:b w:val="false"/>
                  <w:color w:val="0000FF"/>
                  <w:sz w:val="20"/>
                  <w:u w:val="single"/>
                </w:rPr>
                <w:t>59</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3">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3">
              <w:r>
                <w:rPr>
                  <w:rStyle w:val="InternetLink"/>
                  <w:rFonts w:ascii="Times New Roman;sans-serif" w:hAnsi="Times New Roman;sans-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73">
              <w:r>
                <w:rPr>
                  <w:rStyle w:val="InternetLink"/>
                  <w:rFonts w:ascii="Times New Roman;sans-serif" w:hAnsi="Times New Roman;sans-serif"/>
                  <w:b w:val="false"/>
                  <w:color w:val="0000FF"/>
                  <w:sz w:val="20"/>
                  <w:u w:val="single"/>
                </w:rPr>
                <w:t>60</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6">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76">
              <w:r>
                <w:rPr>
                  <w:rStyle w:val="InternetLink"/>
                  <w:rFonts w:ascii="Times New Roman;sans-serif" w:hAnsi="Times New Roman;sans-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76">
              <w:r>
                <w:rPr>
                  <w:rStyle w:val="InternetLink"/>
                  <w:rFonts w:ascii="Times New Roman;sans-serif" w:hAnsi="Times New Roman;sans-serif"/>
                  <w:b w:val="false"/>
                  <w:color w:val="0000FF"/>
                  <w:sz w:val="20"/>
                  <w:u w:val="single"/>
                </w:rPr>
                <w:t>60</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82">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8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82">
              <w:r>
                <w:rPr>
                  <w:rStyle w:val="InternetLink"/>
                  <w:rFonts w:ascii="Times New Roman;sans-serif" w:hAnsi="Times New Roman;sans-serif"/>
                  <w:b w:val="false"/>
                  <w:color w:val="0000FF"/>
                  <w:sz w:val="20"/>
                  <w:u w:val="single"/>
                </w:rPr>
                <w:t>61</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85">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85">
              <w:r>
                <w:rPr>
                  <w:rStyle w:val="InternetLink"/>
                  <w:rFonts w:ascii="Times New Roman;sans-serif" w:hAnsi="Times New Roman;sans-serif"/>
                  <w:b w:val="false"/>
                  <w:color w:val="0000FF"/>
                  <w:sz w:val="20"/>
                  <w:u w:val="single"/>
                </w:rPr>
                <w:t>61</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88">
              <w:r>
                <w:rPr>
                  <w:rStyle w:val="InternetLink"/>
                  <w:rFonts w:ascii="Times New Roman;sans-serif" w:hAnsi="Times New Roman;sans-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88">
              <w:r>
                <w:rPr>
                  <w:rStyle w:val="InternetLink"/>
                  <w:rFonts w:ascii="Times New Roman;sans-serif" w:hAnsi="Times New Roman;sans-serif"/>
                  <w:b w:val="false"/>
                  <w:color w:val="0000FF"/>
                  <w:sz w:val="20"/>
                  <w:u w:val="single"/>
                </w:rPr>
                <w:t>62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36">
              <w:r>
                <w:rPr>
                  <w:rStyle w:val="InternetLink"/>
                  <w:rFonts w:ascii="Times New Roman;sans-serif" w:hAnsi="Times New Roman;sans-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36">
              <w:r>
                <w:rPr>
                  <w:rStyle w:val="InternetLink"/>
                  <w:rFonts w:ascii="Times New Roman;sans-serif" w:hAnsi="Times New Roman;sans-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136">
              <w:r>
                <w:rPr>
                  <w:rStyle w:val="InternetLink"/>
                  <w:rFonts w:ascii="Times New Roman;sans-serif" w:hAnsi="Times New Roman;sans-serif"/>
                  <w:b w:val="false"/>
                  <w:color w:val="0000FF"/>
                  <w:sz w:val="20"/>
                  <w:u w:val="single"/>
                </w:rPr>
                <w:t>73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39">
              <w:r>
                <w:rPr>
                  <w:rStyle w:val="InternetLink"/>
                  <w:rFonts w:ascii="Times New Roman;sans-serif" w:hAnsi="Times New Roman;sans-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39">
              <w:r>
                <w:rPr>
                  <w:rStyle w:val="InternetLink"/>
                  <w:rFonts w:ascii="Times New Roman;sans-serif" w:hAnsi="Times New Roman;sans-serif"/>
                  <w:b w:val="false"/>
                  <w:color w:val="0000FF"/>
                  <w:sz w:val="20"/>
                  <w:u w:val="single"/>
                </w:rPr>
                <w:t>Financial Statements and Supplementary Data</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139">
              <w:r>
                <w:rPr>
                  <w:rStyle w:val="InternetLink"/>
                  <w:rFonts w:ascii="Times New Roman;sans-serif" w:hAnsi="Times New Roman;sans-serif"/>
                  <w:b w:val="false"/>
                  <w:color w:val="0000FF"/>
                  <w:sz w:val="20"/>
                  <w:u w:val="single"/>
                </w:rPr>
                <w:t>74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14">
              <w:r>
                <w:rPr>
                  <w:rStyle w:val="InternetLink"/>
                  <w:rFonts w:ascii="Times New Roman;sans-serif" w:hAnsi="Times New Roman;sans-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1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14">
              <w:r>
                <w:rPr>
                  <w:rStyle w:val="InternetLink"/>
                  <w:rFonts w:ascii="Times New Roman;sans-serif" w:hAnsi="Times New Roman;sans-serif"/>
                  <w:b w:val="false"/>
                  <w:color w:val="0000FF"/>
                  <w:sz w:val="20"/>
                  <w:u w:val="single"/>
                </w:rPr>
                <w:t>102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17">
              <w:r>
                <w:rPr>
                  <w:rStyle w:val="InternetLink"/>
                  <w:rFonts w:ascii="Times New Roman;sans-serif" w:hAnsi="Times New Roman;sans-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17">
              <w:r>
                <w:rPr>
                  <w:rStyle w:val="InternetLink"/>
                  <w:rFonts w:ascii="Times New Roman;sans-serif" w:hAnsi="Times New Roman;sans-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17">
              <w:r>
                <w:rPr>
                  <w:rStyle w:val="InternetLink"/>
                  <w:rFonts w:ascii="Times New Roman;sans-serif" w:hAnsi="Times New Roman;sans-serif"/>
                  <w:b w:val="false"/>
                  <w:color w:val="0000FF"/>
                  <w:sz w:val="20"/>
                  <w:u w:val="single"/>
                </w:rPr>
                <w:t>102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0">
              <w:r>
                <w:rPr>
                  <w:rStyle w:val="InternetLink"/>
                  <w:rFonts w:ascii="Times New Roman;sans-serif" w:hAnsi="Times New Roman;sans-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0">
              <w:r>
                <w:rPr>
                  <w:rStyle w:val="InternetLink"/>
                  <w:rFonts w:ascii="Times New Roman;sans-serif" w:hAnsi="Times New Roman;sans-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20">
              <w:r>
                <w:rPr>
                  <w:rStyle w:val="InternetLink"/>
                  <w:rFonts w:ascii="Times New Roman;sans-serif" w:hAnsi="Times New Roman;sans-serif"/>
                  <w:b w:val="false"/>
                  <w:color w:val="0000FF"/>
                  <w:sz w:val="20"/>
                  <w:u w:val="single"/>
                </w:rPr>
                <w:t>103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0">
              <w:r>
                <w:rPr>
                  <w:rStyle w:val="InternetLink"/>
                  <w:rFonts w:ascii="Times New Roman;sans-serif" w:hAnsi="Times New Roman;sans-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3">
              <w:r>
                <w:rPr>
                  <w:rStyle w:val="InternetLink"/>
                  <w:rFonts w:ascii="Times New Roman;sans-serif" w:hAnsi="Times New Roman;sans-serif"/>
                  <w:b w:val="false"/>
                  <w:color w:val="0000FF"/>
                  <w:sz w:val="20"/>
                  <w:u w:val="single"/>
                </w:rPr>
                <w:t>Disclosure Regarding Foreign Jurisdictions that Prevent Inspections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23">
              <w:r>
                <w:rPr>
                  <w:rStyle w:val="InternetLink"/>
                  <w:rFonts w:ascii="Times New Roman;sans-serif" w:hAnsi="Times New Roman;sans-serif"/>
                  <w:b w:val="false"/>
                  <w:color w:val="0000FF"/>
                  <w:sz w:val="20"/>
                  <w:u w:val="single"/>
                </w:rPr>
                <w:t>103</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9">
              <w:r>
                <w:rPr>
                  <w:rStyle w:val="InternetLink"/>
                  <w:rFonts w:ascii="Times New Roman;sans-serif" w:hAnsi="Times New Roman;sans-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29">
              <w:r>
                <w:rPr>
                  <w:rStyle w:val="InternetLink"/>
                  <w:rFonts w:ascii="Times New Roman;sans-serif" w:hAnsi="Times New Roman;sans-serif"/>
                  <w:b w:val="false"/>
                  <w:color w:val="0000FF"/>
                  <w:sz w:val="20"/>
                  <w:u w:val="single"/>
                </w:rPr>
                <w:t>Directors, Executive Officers and Corporate Governance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29">
              <w:r>
                <w:rPr>
                  <w:rStyle w:val="InternetLink"/>
                  <w:rFonts w:ascii="Times New Roman;sans-serif" w:hAnsi="Times New Roman;sans-serif"/>
                  <w:b w:val="false"/>
                  <w:color w:val="0000FF"/>
                  <w:sz w:val="20"/>
                  <w:u w:val="single"/>
                </w:rPr>
                <w:t>103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2">
              <w:r>
                <w:rPr>
                  <w:rStyle w:val="InternetLink"/>
                  <w:rFonts w:ascii="Times New Roman;sans-serif" w:hAnsi="Times New Roman;sans-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2">
              <w:r>
                <w:rPr>
                  <w:rStyle w:val="InternetLink"/>
                  <w:rFonts w:ascii="Times New Roman;sans-serif" w:hAnsi="Times New Roman;sans-serif"/>
                  <w:b w:val="false"/>
                  <w:color w:val="0000FF"/>
                  <w:sz w:val="20"/>
                  <w:u w:val="single"/>
                </w:rPr>
                <w:t>Executive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32">
              <w:r>
                <w:rPr>
                  <w:rStyle w:val="InternetLink"/>
                  <w:rFonts w:ascii="Times New Roman;sans-serif" w:hAnsi="Times New Roman;sans-serif"/>
                  <w:b w:val="false"/>
                  <w:color w:val="0000FF"/>
                  <w:sz w:val="20"/>
                  <w:u w:val="single"/>
                </w:rPr>
                <w:t>103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5">
              <w:r>
                <w:rPr>
                  <w:rStyle w:val="InternetLink"/>
                  <w:rFonts w:ascii="Times New Roman;sans-serif" w:hAnsi="Times New Roman;sans-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35">
              <w:r>
                <w:rPr>
                  <w:rStyle w:val="InternetLink"/>
                  <w:rFonts w:ascii="Times New Roman;sans-serif" w:hAnsi="Times New Roman;sans-serif"/>
                  <w:b w:val="false"/>
                  <w:color w:val="0000FF"/>
                  <w:sz w:val="20"/>
                  <w:u w:val="single"/>
                </w:rPr>
                <w:t>103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8">
              <w:r>
                <w:rPr>
                  <w:rStyle w:val="InternetLink"/>
                  <w:rFonts w:ascii="Times New Roman;sans-serif" w:hAnsi="Times New Roman;sans-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38">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38">
              <w:r>
                <w:rPr>
                  <w:rStyle w:val="InternetLink"/>
                  <w:rFonts w:ascii="Times New Roman;sans-serif" w:hAnsi="Times New Roman;sans-serif"/>
                  <w:b w:val="false"/>
                  <w:color w:val="0000FF"/>
                  <w:sz w:val="20"/>
                  <w:u w:val="single"/>
                </w:rPr>
                <w:t>104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41">
              <w:r>
                <w:rPr>
                  <w:rStyle w:val="InternetLink"/>
                  <w:rFonts w:ascii="Times New Roman;sans-serif" w:hAnsi="Times New Roman;sans-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41">
              <w:r>
                <w:rPr>
                  <w:rStyle w:val="InternetLink"/>
                  <w:rFonts w:ascii="Times New Roman;sans-serif" w:hAnsi="Times New Roman;sans-serif"/>
                  <w:b w:val="false"/>
                  <w:color w:val="0000FF"/>
                  <w:sz w:val="20"/>
                  <w:u w:val="single"/>
                </w:rPr>
                <w:t>Principal Accountant Fees and Services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41">
              <w:r>
                <w:rPr>
                  <w:rStyle w:val="InternetLink"/>
                  <w:rFonts w:ascii="Times New Roman;sans-serif" w:hAnsi="Times New Roman;sans-serif"/>
                  <w:b w:val="false"/>
                  <w:color w:val="0000FF"/>
                  <w:sz w:val="20"/>
                  <w:u w:val="single"/>
                </w:rPr>
                <w:t>104</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47">
              <w:r>
                <w:rPr>
                  <w:rStyle w:val="InternetLink"/>
                  <w:rFonts w:ascii="Times New Roman;sans-serif" w:hAnsi="Times New Roman;sans-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47">
              <w:r>
                <w:rPr>
                  <w:rStyle w:val="InternetLink"/>
                  <w:rFonts w:ascii="Times New Roman;sans-serif" w:hAnsi="Times New Roman;sans-serif"/>
                  <w:b w:val="false"/>
                  <w:color w:val="0000FF"/>
                  <w:sz w:val="20"/>
                  <w:u w:val="single"/>
                </w:rPr>
                <w:t>Exhibits and Financial Statement Schedules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47">
              <w:r>
                <w:rPr>
                  <w:rStyle w:val="InternetLink"/>
                  <w:rFonts w:ascii="Times New Roman;sans-serif" w:hAnsi="Times New Roman;sans-serif"/>
                  <w:b w:val="false"/>
                  <w:color w:val="0000FF"/>
                  <w:sz w:val="20"/>
                  <w:u w:val="single"/>
                </w:rPr>
                <w:t>105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50">
              <w:r>
                <w:rPr>
                  <w:rStyle w:val="InternetLink"/>
                  <w:rFonts w:ascii="Times New Roman;sans-serif" w:hAnsi="Times New Roman;sans-serif"/>
                  <w:b w:val="false"/>
                  <w:color w:val="0000FF"/>
                  <w:sz w:val="20"/>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50">
              <w:r>
                <w:rPr>
                  <w:rStyle w:val="InternetLink"/>
                  <w:rFonts w:ascii="Times New Roman;sans-serif" w:hAnsi="Times New Roman;sans-serif"/>
                  <w:b w:val="false"/>
                  <w:color w:val="0000FF"/>
                  <w:sz w:val="20"/>
                  <w:u w:val="single"/>
                </w:rPr>
                <w:t>Form 10-K Summary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50">
              <w:r>
                <w:rPr>
                  <w:rStyle w:val="InternetLink"/>
                  <w:rFonts w:ascii="Times New Roman;sans-serif" w:hAnsi="Times New Roman;sans-serif"/>
                  <w:b w:val="false"/>
                  <w:color w:val="0000FF"/>
                  <w:sz w:val="20"/>
                  <w:u w:val="single"/>
                </w:rPr>
                <w:t>107</w:t>
              </w:r>
            </w:hyperlink>
          </w:p>
        </w:tc>
      </w:tr>
      <w:tr>
        <w:trPr/>
        <w:tc>
          <w:tcPr>
            <w:tcW w:w="95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53">
              <w:r>
                <w:rPr>
                  <w:rStyle w:val="InternetLink"/>
                  <w:rFonts w:ascii="Times New Roman;sans-serif" w:hAnsi="Times New Roman;sans-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c87ac3f4444cf6b5596336ae957190_253">
              <w:r>
                <w:rPr>
                  <w:rStyle w:val="InternetLink"/>
                  <w:rFonts w:ascii="Times New Roman;sans-serif" w:hAnsi="Times New Roman;sans-serif"/>
                  <w:b w:val="false"/>
                  <w:color w:val="0000FF"/>
                  <w:sz w:val="20"/>
                  <w:u w:val="single"/>
                </w:rPr>
                <w:t>108</w:t>
              </w:r>
            </w:hyperlink>
          </w:p>
        </w:tc>
      </w:tr>
    </w:tbl>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triangular implants and choose to reimburse for procedures performed with competitive products, our market share and average selling prices could decline, adversely affecting our revenues;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 xml:space="preserve">We may not be able to convince physicians that our products are attractive alternatives to our competitors’ products and that our procedures are attractive alternatives to existing surgical and non-surgical treatments for their respective indications;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Practice trends, market dynamics,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val="false"/>
          <w:color w:val="000000"/>
          <w:sz w:val="20"/>
        </w:rPr>
        <w:t>If clinical experience with our iFuse Bedrock technique, iFuse Bedrock Granite product, or iFuse-TORQ product does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 xml:space="preserve">If we are unable to maintain our network of direct sales representatives, third-party sales agents, and resellers,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able to generate anticipated sales;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Our business could suffer if we lose the services of key members of our senior management, key advisors or personnel;</w:t>
      </w:r>
    </w:p>
    <w:p>
      <w:pPr>
        <w:pStyle w:val="TextBody"/>
        <w:bidi w:val="0"/>
        <w:spacing w:lineRule="auto" w:line="276" w:before="240" w:after="240"/>
        <w:ind w:left="0" w:right="0" w:hanging="360"/>
        <w:jc w:val="both"/>
        <w:rPr/>
      </w:pPr>
      <w:r>
        <w:rPr>
          <w:color w:val="000000"/>
          <w:shd w:fill="FFFFFF" w:val="clear"/>
        </w:rPr>
        <w:t>•</w:t>
      </w:r>
      <w:r>
        <w:rPr>
          <w:rFonts w:ascii="Times New Roman;sans-serif" w:hAnsi="Times New Roman;sans-serif"/>
          <w:b w:val="false"/>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Various factors outside our direct control may adversely affect manufacturing, sterilization, and distribution of our products;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shd w:fill="FFFFFF" w:val="clear"/>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76" w:before="240" w:after="24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and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products/services, limit their use or adoption, and otherwise negatively affect our operating results and business.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312"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w:t>
        <w:noBreakHyphen/>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of the iFuse Implant System, or iFuse;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physicians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clinical and other trials;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 and CE Certificates of Conformity from Notified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epidemics on our operations, financial results, liquidity, and capital resources, including the impact on our global supply chain, demand for and ability to obtain our products and procedures, and our ability to maintain a healthy workforce;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pStyle w:val="TextBody"/>
        <w:bidi w:val="0"/>
        <w:spacing w:before="0" w:after="0"/>
        <w:ind w:left="0" w:right="0" w:firstLine="540"/>
        <w:jc w:val="both"/>
        <w:rPr/>
      </w:pPr>
      <w:r>
        <w:rPr/>
      </w:r>
    </w:p>
    <w:p>
      <w:pPr>
        <w:pStyle w:val="TextBody"/>
        <w:bidi w:val="0"/>
        <w:spacing w:before="0" w:after="0"/>
        <w:ind w:left="0" w:right="0" w:firstLine="5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as well as implantable bone products. Since launching our first generation iFuse in 2009, we have launched new titanium implant product lines, iFuse-3D in 2017, iFuse-TORQ in 2021 and iFuse Bedrock Granite in 2022. Within the United States, iFuse, iFuse-3D and iFuse-TORQ have clearances for applications across sacroiliac joint dysfunction and fusion, adult spinal deformity and degeneration, and pelvic trauma. </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market our products primarily with a direct sales force as well as a number of third-party sales agents in the United States, and with a combination of a direct sales force, and sales agents and resellers in other countries. As of December 31, 2023, more than 95,000 procedures have been performed using our products by over 3,600 physicians in the United States and 38 other countries since we introduced iFuse in 2009.</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from the offering of 3,775,000 shares of our common stock, and the exercise of the underwriter's option to purchase an additional 566,250 shares of our common stock, at a public offering price of $22.00 per share. Of these shares, 272,753 shares were offered by a selling stockholder, and we did not receive any proceeds from the sale by the selling stockholder.</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Product and Applications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Our first-generation iFuse, a machined triangular titanium implant launched in 2009, has a triangular cross section that resists twisting or rotation of the implant. The triangular shape of this implant helps stabilize the joint, and the implant’s porous surface facilitates biologic fixation of the bone onto the implant, or bony on-growth and in-growth that results in fusion. The implant has at least three times the strength of a typical eight-millimeter cannulated surgical screw, and the large porous surface area of our implants allows for bony ingrowth. Our second generation iFuse product, the iFuse-3D implant, launched in 2017, is a patented titanium implant that combines the triangular cross-section of the first generation iFuse implant with a proprietary 3D-printed porous surface and fenestrated design.</w:t>
      </w:r>
      <w:r>
        <w:rPr>
          <w:color w:val="000000"/>
        </w:rPr>
        <w:t xml:space="preserve"> </w:t>
      </w:r>
      <w:r>
        <w:rPr>
          <w:rFonts w:ascii="Times New Roman;sans-serif" w:hAnsi="Times New Roman;sans-serif"/>
          <w:b w:val="false"/>
          <w:color w:val="000000"/>
          <w:sz w:val="20"/>
        </w:rPr>
        <w:t xml:space="preserve">This design, with its open and porous structure, also allows the implant to self-harvest bone as it is impacted through the ilium. We hold patents on implants with cross-sections of many non-round shapes, including the triangular shape, as well as the fenestration configuration we use with our iFuse-3D implants. We also hold patents for the method of placing the implant across the sacroiliac joint, as well as other parts of the spine and pelvis.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we received clearance from the United States Food and Drug Administration, or FDA, to promote the use of our iFuse-3D implants for fusion of the sacroiliac joint in conjunction with multi-level spinal fusion procedures to provide further stabilization and immobilization of the sacroiliac joint, which we call the Bedrock technique. </w:t>
      </w:r>
      <w:bookmarkStart w:id="0" w:name="i2d4ff3b034344f80abb7ee4dbb8dc797_21768"/>
      <w:bookmarkEnd w:id="0"/>
      <w:r>
        <w:rPr>
          <w:rFonts w:ascii="Times New Roman;sans-serif" w:hAnsi="Times New Roman;sans-serif"/>
          <w:b w:val="false"/>
          <w:color w:val="000000"/>
          <w:sz w:val="20"/>
        </w:rPr>
        <w:t>We CE marked and began marketing iFuse for this indication and surgical technique in the European Union ("EU") in December 2019. In late-2019, we introduced iFuse Bone, an implantable bone product manufactured from sterilized recovered cadaveric bone tissue, to meet the demand of some of our surgeon customers to use implantable bone products to support and augment the patient's own bone tissue in orthopedic procedures. In March 2020, we received FDA 510(k) clearance for an expanded indication for our triangular titanium iFuse implants to support our trauma initiative.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launched iFuse-TORQ, a line of 3D-printed threaded implants designed for use in pelvic trauma, as well as applications in sacroiliac joint dysfunction and degeneration. Relative to competitive trauma products, iFuse-TORQ is roughly four times as strong in bending and requires 10 times the rotational force, or torque, to insert due to its porosity and other design features. We believe that this rotational resistance gives physicians confidence in the strength of mechanical fixation that iFuse-TORQ provides, and that the technological advancements incorporated into iFuse-TORQ represent a significant improvement compared to conventional trauma screws. iFuse-TORQ has a larger surface area for bone in-growth and was specifically designed to allow for osteointegration, or incorporation of the bone in the implant's porous surface and structure. In 2022, the FDA provided clearance for an expanded indication for iFuse-TORQ to include acute, non-acute and non-traumatic fractures as well as for placement across the sacroiliac joint using our Bedrock technique.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launched our iFuse Bedrock Granite Implant System. The iFuse Bedrock Granite implant provides sacroiliac fusion and sacropelvic fixation as a foundational element for segmental spinal fusion. The iFuse Bedrock Granite implant has a machined titanium core surrounded by a fusion sleeve that is additively manufactured. The fusion sleeve offers greater surface area for both microporous and macroporous surface features as well as self-harvesting cutting flutes. The fusion sleeve provides numerous means for biological fixation (bony on-growth, in-growth and through-growth). The robust neck and the set screw design also provide more strength and reliability to the iFuse Bedrock Granite implant. Based on the implant's ability to drive fusion and fixation, iFuse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Bedrock Granite is designated by the FDA as a breakthrough device. In August 2022, the Centers for Medicare and Medicaid Services, or CMS, issued a final decision for a New Technology Add-on Payment, or NTAP, of up to $9,828 for eligible cases using iFuse Bedrock Granite. The Breakthrough Device Designation and NTAP award were based on the FDA's recognition of iFuse Bedrock Granite as a new technology that can provide substantial clinical improvement over already available therapies. The NTAP became effective October 1, 2022 and will be effective for a period of up to three years and is exclusive to iFuse Bedrock Granite. In December 2022, we received FDA clearance for promotion of the compatibility of iFuse Bedrock Granite with a broad class of commercially available rods.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implants and instruments, we also provide enabling technologies that are cleared and compatible with Medtronic’s surgical navigation systems and Medtronic Mazor surgical robots. We also market decortication and graft delivery systems that allow surgeons to remove intra-articular cartilage and deliver flowable bone graft materials to the sacroiliac joint.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 xml:space="preserve">Market Opportunity </w:t>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As a sacropelvic solutions company, our products have applications across sacroiliac joint dysfunction and degeneration, spinopelvic fixation, and pelvic fractures.</w:t>
      </w:r>
      <w:r>
        <w:rPr>
          <w:color w:val="000000"/>
        </w:rPr>
        <w:t xml:space="preserve"> </w:t>
      </w:r>
      <w:r>
        <w:rPr>
          <w:rFonts w:ascii="Times New Roman;sans-serif" w:hAnsi="Times New Roman;sans-serif"/>
          <w:b w:val="false"/>
          <w:color w:val="000000"/>
          <w:sz w:val="20"/>
        </w:rPr>
        <w:t>We estimate that our total addressable market in the United States exceeds $3.0 billion.</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Sacroiliac Joint Dysfunction and Degeneration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annual market opportunity for sacroiliac joint fusion in the United States could be approximately 279,000 patients for a potential market in the United States of approximately $2.4 billion per year.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steroid medications and radio frequency ablation, these treatments did not provide long-term pain or disability relief in our randomized controlled clinical trials.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Adult Deformity and Degeneration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strengthen the base of spinal constructs, spine surgeons have been using longer and larger diameter pedicle screws in iliac and sacro-alar iliac trajectories.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a novel, patent-protected device designed for the specific demands of the sacro-pelvic anatomy at the end of spinal fusion constructs. We believe there are over 30,000 surgeries involving fixation of five or more spinal segments that involve fixation to the pelvis and an additional 100,000 surgeries involving two to four level spinal segment fixations to the sacrum, which we estimate to be an approximately $1.0 billion aggregate annual market opportunity.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Pelvic Trauma</w:t>
      </w:r>
    </w:p>
    <w:p>
      <w:pPr>
        <w:pStyle w:val="TextBody"/>
        <w:bidi w:val="0"/>
        <w:spacing w:before="0" w:after="0"/>
        <w:jc w:val="both"/>
        <w:rPr/>
      </w:pPr>
      <w:r>
        <w:rPr/>
      </w:r>
    </w:p>
    <w:p>
      <w:pPr>
        <w:pStyle w:val="TextBody"/>
        <w:bidi w:val="0"/>
        <w:spacing w:lineRule="auto" w:line="276" w:before="0" w:after="0"/>
        <w:ind w:left="0" w:right="0" w:firstLine="450"/>
        <w:jc w:val="both"/>
        <w:rPr/>
      </w:pPr>
      <w:r>
        <w:rPr>
          <w:rFonts w:ascii="Times New Roman;sans-serif" w:hAnsi="Times New Roman;sans-serif"/>
          <w:b w:val="false"/>
          <w:color w:val="000000"/>
          <w:sz w:val="20"/>
        </w:rPr>
        <w:t>Current treatment options for pelvic fragility fractures are sub-optimal. Sacroplasty has high rates of cement leakage and therefore lacks consistent coverage by payors. Traditional trauma screws do not integrate with bone and therefore loosen in more than 20% of the cases in which they are used.</w:t>
      </w:r>
      <w:r>
        <w:rPr>
          <w:color w:val="000000"/>
        </w:rPr>
        <w:t xml:space="preserve"> </w:t>
      </w:r>
      <w:r>
        <w:rPr>
          <w:rFonts w:ascii="Times New Roman;sans-serif" w:hAnsi="Times New Roman;sans-serif"/>
          <w:b w:val="false"/>
          <w:color w:val="000000"/>
          <w:sz w:val="20"/>
        </w:rPr>
        <w:t>As a result, most patients are prescribed bed-rest, involving significant capacity and financial burdens on the health care system, and a one-year mortality rate range of 14%-27%.</w:t>
      </w:r>
      <w:r>
        <w:rPr>
          <w:color w:val="000000"/>
        </w:rPr>
        <w:t xml:space="preserve"> </w:t>
      </w:r>
      <w:r>
        <w:rPr>
          <w:rFonts w:ascii="Times New Roman;sans-serif" w:hAnsi="Times New Roman;sans-serif"/>
          <w:b w:val="false"/>
          <w:color w:val="000000"/>
          <w:sz w:val="20"/>
        </w:rPr>
        <w:t xml:space="preserve">With the introduction of iFuse-TORQ in 2021, we are specifically targeting the pelvic trauma market, which we estimate to be an approximately $350 million market opportunity.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Clinical Evidence</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The safety, effectiveness and cost-effectiveness of our triangular iFuse implants are supported by more than 125 publications and several large prospective clinical studies, including two randomized trials, two large prospective multicenter trials and one long-term follow-up study. Additional long-term independent studies have reported follow-up data as far out as six years.</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Table 1. Summary of SI-BONE sponsored trials.</w:t>
      </w:r>
    </w:p>
    <w:tbl>
      <w:tblPr>
        <w:tblW w:w="8727" w:type="dxa"/>
        <w:jc w:val="left"/>
        <w:tblInd w:w="0" w:type="dxa"/>
        <w:tblLayout w:type="fixed"/>
        <w:tblCellMar>
          <w:top w:w="28" w:type="dxa"/>
          <w:left w:w="28" w:type="dxa"/>
          <w:bottom w:w="28" w:type="dxa"/>
          <w:right w:w="28" w:type="dxa"/>
        </w:tblCellMar>
      </w:tblPr>
      <w:tblGrid>
        <w:gridCol w:w="407"/>
        <w:gridCol w:w="358"/>
        <w:gridCol w:w="360"/>
        <w:gridCol w:w="344"/>
        <w:gridCol w:w="344"/>
        <w:gridCol w:w="348"/>
        <w:gridCol w:w="429"/>
        <w:gridCol w:w="429"/>
        <w:gridCol w:w="431"/>
        <w:gridCol w:w="329"/>
        <w:gridCol w:w="329"/>
        <w:gridCol w:w="331"/>
        <w:gridCol w:w="274"/>
        <w:gridCol w:w="274"/>
        <w:gridCol w:w="276"/>
        <w:gridCol w:w="354"/>
        <w:gridCol w:w="354"/>
        <w:gridCol w:w="356"/>
        <w:gridCol w:w="499"/>
        <w:gridCol w:w="499"/>
        <w:gridCol w:w="501"/>
        <w:gridCol w:w="263"/>
        <w:gridCol w:w="263"/>
        <w:gridCol w:w="375"/>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Study Name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Implant</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Geography</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Condition*</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Design**</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Sample Size</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Follow-up period</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Calibri;sans-serif" w:hAnsi="Calibri;sans-serif"/>
                <w:b/>
                <w:color w:val="000000"/>
                <w:sz w:val="20"/>
              </w:rPr>
            </w:pPr>
            <w:r>
              <w:rPr>
                <w:rFonts w:ascii="Calibri;sans-serif" w:hAnsi="Calibri;sans-serif"/>
                <w:b/>
                <w:color w:val="000000"/>
                <w:sz w:val="20"/>
              </w:rPr>
              <w:t>Status</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iMIA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EU</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103</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INSITE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148</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SIFI</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172</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LOIS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103</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Complete</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SALLY</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iFuse-3D</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51</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5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Ongoing</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SILVIA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iFuse-3D</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 EU &amp; AUS</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ASD</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220</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Ongoing</w:t>
            </w:r>
          </w:p>
        </w:tc>
      </w:tr>
      <w:tr>
        <w:trPr/>
        <w:tc>
          <w:tcPr>
            <w:tcW w:w="1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SAFFRON</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iFuse-TORQ</w:t>
            </w:r>
          </w:p>
        </w:tc>
        <w:tc>
          <w:tcPr>
            <w:tcW w:w="12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FFP</w:t>
            </w:r>
          </w:p>
        </w:tc>
        <w:tc>
          <w:tcPr>
            <w:tcW w:w="8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MRCT</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120</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 year</w:t>
            </w:r>
          </w:p>
        </w:tc>
        <w:tc>
          <w:tcPr>
            <w:tcW w:w="90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Enrolling</w:t>
            </w:r>
          </w:p>
        </w:tc>
      </w:tr>
      <w:tr>
        <w:trPr/>
        <w:tc>
          <w:tcPr>
            <w:tcW w:w="11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STACI</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iFuse-TORQ</w:t>
            </w:r>
          </w:p>
        </w:tc>
        <w:tc>
          <w:tcPr>
            <w:tcW w:w="12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USA</w:t>
            </w:r>
          </w:p>
        </w:tc>
        <w:tc>
          <w:tcPr>
            <w:tcW w:w="9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SIJD</w:t>
            </w:r>
          </w:p>
        </w:tc>
        <w:tc>
          <w:tcPr>
            <w:tcW w:w="8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PMSA</w:t>
            </w:r>
          </w:p>
        </w:tc>
        <w:tc>
          <w:tcPr>
            <w:tcW w:w="1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110</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2 years</w:t>
            </w:r>
          </w:p>
        </w:tc>
        <w:tc>
          <w:tcPr>
            <w:tcW w:w="90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Enrolling</w:t>
            </w:r>
          </w:p>
        </w:tc>
      </w:tr>
    </w:tbl>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*MRCT = multicenter randomized controlled trial; PMSA = prospective, multicenter single-arm</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**SIJD = sacroiliac joint dysfunction; ASD = adult spine deformity; FFP = fragility fracture of the pelvis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Table 1 summarizes clinical trials sponsored by SI-BONE. 4 studies of iFuse Implant System (INSITE, iMIA, SIFI and LOIS) have been completed. INSITE and iMIA were prospective multicenter, randomized controlled trials conducted in the US and Europe, respectively. In both trials, patients with chronic sacroiliac joint pain were assigned at random to either immediate sacroiliac joint fusion using iFuse implants or individually tailored non-surgical management. In both studies, subjects assigned to sacroiliac joint fusion reported large improvements in pain, disability related to pain and quality of life. In contrast, in subjects assigned to non-surgical management, only small, clinically unimportant improvements in these parameters were observed.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INSITE</w:t>
      </w:r>
      <w:r>
        <w:rPr>
          <w:color w:val="000000"/>
        </w:rPr>
        <w:t xml:space="preserve"> </w:t>
      </w:r>
      <w:r>
        <w:rPr>
          <w:rFonts w:ascii="Times New Roman;sans-serif" w:hAnsi="Times New Roman;sans-serif"/>
          <w:b w:val="false"/>
          <w:color w:val="000000"/>
          <w:sz w:val="20"/>
        </w:rPr>
        <w:t>(Investigation of Sacroiliac Fusion Treatment), more than 90% of subjects participating in the non-surgical group decided to cross over to sacroiliac joint fusion surgery, indicating that non-surgical treatment provided ineffective relief of pain and disability related to pain. After crossover sacroiliac joint fusion surgery, these subjects reported improvements in pain, disability and quality of life nearly identical to those subjects originally assigned to sacroiliac joint fusion. At two years, patients undergoing sacroiliac joint fusion had sustained improvements in pain, disability and quality of life. Two-year results from INSITE were published in August 2016. Further, an embedded cost-effectiveness analysis within INSITE, published in December 2015, showed the procedure to be highly cost-effective for the treatment of chronic sacroiliac joint pain.</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iMIA</w:t>
      </w:r>
      <w:r>
        <w:rPr>
          <w:color w:val="000000"/>
        </w:rPr>
        <w:t xml:space="preserve"> </w:t>
      </w:r>
      <w:r>
        <w:rPr>
          <w:rFonts w:ascii="Times New Roman;sans-serif" w:hAnsi="Times New Roman;sans-serif"/>
          <w:b w:val="false"/>
          <w:color w:val="000000"/>
          <w:sz w:val="20"/>
        </w:rPr>
        <w:t>(iFuse Implant System Minimally Invasive Arthrodesis), similar large differences were observed between subjects undergoing sacroiliac joint fusion vs. those undergoing non-surgical management. Similarly, subjects crossing over from non-surgical to surgical treatment showed marked improvements in all parameters assessed. Improvements in pain, disability and quality of life after sacroiliac joint fusion were sustained at two years. Two-year results were published in March 2019.</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 xml:space="preserve">SIFI </w:t>
      </w:r>
      <w:r>
        <w:rPr>
          <w:rFonts w:ascii="Times New Roman;sans-serif" w:hAnsi="Times New Roman;sans-serif"/>
          <w:b w:val="false"/>
          <w:color w:val="000000"/>
          <w:sz w:val="20"/>
        </w:rPr>
        <w:t xml:space="preserve">(Sacroiliac Joint Fusion with iFuse Implant System), patients with chronic sacroiliac joint pain seen at 26 US centers underwent sacroiliac joint fusion using iFuse Implant System. Eligibility criteria were identical to those of INSITE and very similar to those of iMIA. Similar improvement in pain, disability and quality of life were observed throughout study follow-up. Two-year results were published in April 2016.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INSITE, iMIA and SIFI, the rate of procedure-related adverse events was low. </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 xml:space="preserve">In </w:t>
      </w:r>
      <w:r>
        <w:rPr>
          <w:rFonts w:ascii="Times New Roman;sans-serif" w:hAnsi="Times New Roman;sans-serif"/>
          <w:b/>
          <w:i/>
          <w:color w:val="000000"/>
          <w:sz w:val="20"/>
        </w:rPr>
        <w:t>LOIS</w:t>
      </w:r>
      <w:r>
        <w:rPr>
          <w:color w:val="000000"/>
        </w:rPr>
        <w:t xml:space="preserve"> </w:t>
      </w:r>
      <w:r>
        <w:rPr>
          <w:rFonts w:ascii="Times New Roman;sans-serif" w:hAnsi="Times New Roman;sans-serif"/>
          <w:b w:val="false"/>
          <w:color w:val="000000"/>
          <w:sz w:val="20"/>
        </w:rPr>
        <w:t>(Long term Outcomes of INSITE and SIFI), subjects participating in INSITE and SIFI were enrolled in a long-term follow-up study. Five-year results, published in April 2018, showed sustained improvements in pain, disability and quality of life as well as a high satisfaction rate at 5 years. Moreover, independent radiographic analysis showed a high rate of bony apposition to implants on both the sacral and iliac sides (98%) as well as a high rate of sacroiliac joint fusion (88% bridging bone) at five years. There were no reported adverse events related to the study device or procedure at five years.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Ongoing studies are as follows.</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SALLY</w:t>
      </w:r>
      <w:r>
        <w:rPr>
          <w:color w:val="000000"/>
        </w:rPr>
        <w:t xml:space="preserve"> </w:t>
      </w:r>
      <w:r>
        <w:rPr>
          <w:rFonts w:ascii="Times New Roman;sans-serif" w:hAnsi="Times New Roman;sans-serif"/>
          <w:b w:val="false"/>
          <w:color w:val="000000"/>
          <w:sz w:val="20"/>
        </w:rPr>
        <w:t xml:space="preserve">(Study of Bone Growth in the Sacroiliac Joint After Minimally Invasive Surgery with Titanium Implants) is a prospective, multicenter single-arm clinical study of the same patient population (i.e., sacroiliac joint dysfunction) who underwent sacroiliac joint fusion using iFuse-3D. The purpose of the study was to show that the 3D printed version of the device produces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prior studies of iFuse. Two-year results, published in June 2021, showed similar improvements in pain, disability and quality of life compared to prior studies of iFuse as well as CT evidence of earlier fusion of the sacroiliac joint. The study also showed marked reduction in opioid use and improvement in objective functional tests. Five year follow-up is starting and expected to be completed in late 2024.</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SILVIA</w:t>
      </w:r>
      <w:r>
        <w:rPr>
          <w:color w:val="000000"/>
        </w:rPr>
        <w:t xml:space="preserve"> </w:t>
      </w:r>
      <w:r>
        <w:rPr>
          <w:rFonts w:ascii="Times New Roman;sans-serif" w:hAnsi="Times New Roman;sans-serif"/>
          <w:b w:val="false"/>
          <w:color w:val="000000"/>
          <w:sz w:val="20"/>
        </w:rPr>
        <w:t>(sacroiliac joint Stabilization in Long Fusion to the Pelvis: Randomized Controlled Trial) is an ongoing prospective randomized trial of iFuse-3D placement during multilevel spine fusion with fixation to the pelvis. The target patient population of this trial is patients undergoing multilevel spine fusion surgery primarily for degenerative scoliosis of the spine. All participants undergo pelvic fixation. At random, approximately 50% of participants are assigned to additional placement of iFuse-3D in the sacro-alar-iliac trajectory using the Bedrock technique. The primary endpoint of the study is the incidence of sacroiliac joint pain and/or distal junctional failures. The study aims to show that placement of iFuse-3D in the Bedrock configuration reduces the rate of these outcomes. Early study results, which focused on device placement feasibility and 90-day safety events, have been accepted for publication. They demonstrate the feasibility and safety of pelvic fixation utilizing a sacral-alar-iliac screw combined with iFuse-3D in the bedrock configuration. Additionally, the study reveals that sacroiliac joint pain is common among patients undergoing surgery for adult spine deformity, with a baseline prevalence of 16%. Enrollment in this trial was completed in 2022 and follow-up is ongoing. Long-term results are expected to be completed in 2025.</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SAFFRON</w:t>
      </w:r>
      <w:r>
        <w:rPr>
          <w:color w:val="000000"/>
        </w:rPr>
        <w:t xml:space="preserve"> </w:t>
      </w:r>
      <w:r>
        <w:rPr>
          <w:rFonts w:ascii="Times New Roman;sans-serif" w:hAnsi="Times New Roman;sans-serif"/>
          <w:b w:val="false"/>
          <w:color w:val="000000"/>
          <w:sz w:val="20"/>
        </w:rPr>
        <w:t>(Sacral Fracture Fusion/Fixation for Rapid Rehabilitation) is a prospective randomized controlled trial comparing pelvic fracture fixation and sacroiliac joint fusion using iFuse-TORQ with non-surgical management in patients with debilitating fragility fractures of the sacrum. We anticipate initial results to be available in late 2024.</w:t>
      </w:r>
    </w:p>
    <w:p>
      <w:pPr>
        <w:pStyle w:val="TextBody"/>
        <w:bidi w:val="0"/>
        <w:spacing w:before="0" w:after="0"/>
        <w:jc w:val="both"/>
        <w:rPr/>
      </w:pPr>
      <w:r>
        <w:rPr/>
      </w:r>
    </w:p>
    <w:p>
      <w:pPr>
        <w:pStyle w:val="TextBody"/>
        <w:bidi w:val="0"/>
        <w:spacing w:lineRule="auto" w:line="268" w:before="0" w:after="0"/>
        <w:ind w:left="0" w:right="0" w:firstLine="450"/>
        <w:jc w:val="both"/>
        <w:rPr/>
      </w:pPr>
      <w:r>
        <w:rPr>
          <w:rFonts w:ascii="Times New Roman;sans-serif" w:hAnsi="Times New Roman;sans-serif"/>
          <w:b/>
          <w:i/>
          <w:color w:val="000000"/>
          <w:sz w:val="20"/>
        </w:rPr>
        <w:t xml:space="preserve">STACI </w:t>
      </w:r>
      <w:r>
        <w:rPr>
          <w:rFonts w:ascii="Times New Roman;sans-serif" w:hAnsi="Times New Roman;sans-serif"/>
          <w:b w:val="false"/>
          <w:color w:val="000000"/>
          <w:sz w:val="20"/>
        </w:rPr>
        <w:t>(iFuse-TORQ for the treatment of Sacroiliac Joint Dysfunction) is an ongoing prospective, multi-center, single-arm study. This study will enroll 110 subjects with diagnosed sacroiliac joint dysfunction at 15 U.S. sites. All patients undergo sacroiliac joint fusion using iFuse-TORQ and are followed for two years. The study’s eligibility criteria are similar to those of prior U.S. studies (INSITE, SIFI and SALLY). Like previous studies, STACI endpoints include improvement in pain, disability and quality of life. The study is currently enrolling and early study results are expected to be available in late 2024.</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Published Clinical Studies</w:t>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date, several independent clinical studies have provided evidence to support the long-term safety and effectiveness of iFuse for sacroiliac joint fusion. These studies demonstrated pain reduction and/or ODI improvement that is statistically significant and clinically important and a safety file that was similar to that observed in prospective studies. One study showed marked reduction in opioid use after sacroiliac joint fusion compared to similar subjects who underwent non-surgical treatment, and in whom opioid use increased.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Coverage and Reimbursement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and reimbursement for procedures using our implants vary by setting of care, payor type and region. Outside the United States, reimbursement levels vary significantly by country and by region within some countries.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coverage policies, third-party payors regularly update reimbursement amounts and sometimes revise the methodologies used to determine reimbursement amounts. This includes annual updates to payments to physicians, hospitals and ambulatory surgical centers for procedures requiring our products.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U.S. payors reimburse for minimally invasive sacroiliac joint fusion when performed using a lateral transfixing device, and a significant number of U.S. payors have issued positive coverage policies exclusive to our patented design of triangular titanium implants for sacroiliac joint fusion because of the clinical evidence. We believe that the coverage and reimbursement for our lateral transfixing procedure under CPT Code 27279 is generally adequate given the time and complexity of our procedures.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CPT code 27279, which is typically used to code for the iFuse procedure, effective January 1, 2024, the AMA adopted a separate Category 1 CPT code 27278 to describe minimally invasive sacroiliac fusion when performed using an intra-articular implant, placed directly in the joint generally from a posterior approach. This technique, developed more recently, is more commonly used by interventional spine physicians.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Healthcare Professional Training and Education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made considerable investments in teaching healthcare professionals to accurately diagnose sacroiliac joint disorders. Our surgeon training programs are for orthopedic spine surgeons, neurosurgeons, general orthopedic surgeons, and orthopedic trauma surgeons. Our medical affairs team works with leading spine surgeons to educate other orthopedic and neurosurgeons on the differential diagnosis of sacroiliac joint disorders and the use of our implants. Our non-surgeon physician training programs focus on interventionalists, who are generally trained as anesthesiologists, interventional radiologists, or physical medicine and rehabilitation specialists. We also work closely with medical specialty societies to raise the awareness of and teach the appropriate diagnosis of sacroiliac joint dysfunction and the associated treatment options.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focus on </w:t>
      </w:r>
      <w:r>
        <w:rPr>
          <w:rFonts w:ascii="Times New Roman;sans-serif" w:hAnsi="Times New Roman;sans-serif"/>
          <w:b w:val="false"/>
          <w:color w:val="000000"/>
          <w:sz w:val="20"/>
          <w:shd w:fill="FFFFFF" w:val="clear"/>
        </w:rPr>
        <w:t>helping healthcare professionals learn about the sacroiliac joint as a component of lower back pain, proper diagnosis of sacroiliac joint dysfunction, non-surgical treatment options and surgical treatment with our implants.</w:t>
      </w:r>
      <w:r>
        <w:rPr>
          <w:color w:val="000000"/>
        </w:rPr>
        <w:t xml:space="preserve"> </w:t>
      </w:r>
      <w:r>
        <w:rPr>
          <w:rFonts w:ascii="Times New Roman;sans-serif" w:hAnsi="Times New Roman;sans-serif"/>
          <w:b w:val="false"/>
          <w:color w:val="000000"/>
          <w:sz w:val="20"/>
        </w:rPr>
        <w:t xml:space="preserve">In addition to these general educational programs, we provide continuing education programs focused on sacroiliac joint diagnosis and treatment. We can provide these programs in all 50 states and the District of Columbia. </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In early 2020, we implemented a virtual education series for physicians and mid-level practitioners. In July 2020, we began using the SI-BONE SImulator; an innovative, fully portable surgery training simulator. The computer-based surgery training simulator provides quality haptics, or the realistic feel during the physician’s use of the implants and instruments, and the training is performed without need for an operating room or a fluoroscope. The simulator is used to train physicians to perform sacroiliac joint injections, sacroiliac joint fusions, as well as iFuse Bedrock technique using iFuse-3D and iFuse-TORQ, and procedures using iFuse Bedrock Granite. We currently have 25 simulators used worldwide. We utilize the simulators and our existing programs to train new physicians, increase the knowledge and proficiency of existing iFuse physicians and re-engage inactive physicians.</w:t>
      </w:r>
      <w:r>
        <w:rPr>
          <w:color w:val="000000"/>
        </w:rPr>
        <w:t xml:space="preserve">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targeting over 12,000 U.S. physicians including over 8,000 orthopedic and neurological surgeons and approximately 4,500 interventional spine physicians, to perform our procedures. As of December 31, 2023 and 2022, in the United States, more than 2,700 physicians and 2,200 physicians, respectively, have been trained on iFuse and have treated at least one patient using iFuse. Outside the United States, as of December 31, 2023 and 2022, more than 900 physicians and 800 physicians, respectively, have been trained on iFuse and have treated at least one patient using iFuse. </w:t>
      </w:r>
    </w:p>
    <w:p>
      <w:pPr>
        <w:pStyle w:val="TextBody"/>
        <w:bidi w:val="0"/>
        <w:spacing w:before="0" w:after="0"/>
        <w:ind w:left="0" w:right="0" w:firstLine="450"/>
        <w:jc w:val="left"/>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and sell our implants primarily through a direct sales force and third-party sales agents. Our target customer base includes over 12,000 physicians who perform advanced spinal procedures.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 sales organization in the United States covered eighteen sales regions as of December 31, 2023. In each region, a number of territory sales managers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representatives who cover cases. As of December 31, 2023, our U.S. sales force consisted of 82 territory sales managers and 69 clinical specialists directly employed by us, and 175 third-party sales agents. As of December 31, 2023, we had 28 employees working in our European operations across multiple countries. As of December 31, 2023, our international sales force consisted of 14 sales representatives directly employed by us and 31 third-party sales agents, which together had sales in 38 countries through December 31, 2023. We intend to continue to grow our specialized sales force to foster relationships with physicians and support revenue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We remain focused on the development of products and techniques to help physicians improve the treatment of their patients and anticipate continuing to build products and pursue additional indications.</w:t>
      </w:r>
      <w:r>
        <w:rPr>
          <w:color w:val="000000"/>
        </w:rPr>
        <w:t xml:space="preserve"> </w:t>
      </w:r>
      <w:r>
        <w:rPr>
          <w:rFonts w:ascii="Times New Roman;sans-serif" w:hAnsi="Times New Roman;sans-serif"/>
          <w:b w:val="false"/>
          <w:color w:val="000000"/>
          <w:sz w:val="20"/>
        </w:rPr>
        <w:t>Our development team, in consultation with physicians, has a pipeline of products in various stages to provide solutions that respond to the needs of our physician customers and their patients. We plan to seek regulatory clearances for additional indications as required. We anticipate that research and development expenses will continue to increase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We believe we are an industry leader in solving musculoskeletal disorders of the sacropelvic anatomy with our proprietary minimally invasive surgical implant systems. Over the past several years, other companies have subsequently recognized the multi-billion dollar addressable market opportunity and have entered the minimally invasive sacroiliac joint fusion market. We expect more competitors to enter into the market and an increased number of new product introductions by existing competitors. Some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create a barrier to entry for us. For example, some of our competitors offer sacroiliac joint fusion products which integrate with their surgical navigation and robotics platforms, enabling navigation of their procedures or performance of aspects of these procedures by surgical robots. Some of these diversified companies also have much larger sales forces than ours, which allow them to reach more surgeons. Other competitors have entered the market with allograft bone implants marketed as human tissue products and intended for sacroiliac stabilization and/or fusion.</w:t>
      </w:r>
      <w:r>
        <w:rPr>
          <w:color w:val="000000"/>
        </w:rPr>
        <w:t xml:space="preserve"> </w:t>
      </w:r>
      <w:r>
        <w:rPr>
          <w:rFonts w:ascii="Times New Roman;sans-serif" w:hAnsi="Times New Roman;sans-serif"/>
          <w:b w:val="false"/>
          <w:color w:val="000000"/>
          <w:sz w:val="20"/>
        </w:rPr>
        <w:t>Many of these competitors are smaller companies and target interventional pain and other physicians not trained as orthopedic and neurological surgeons for use of these products.</w:t>
      </w:r>
      <w:r>
        <w:rPr>
          <w:color w:val="000000"/>
        </w:rPr>
        <w:t xml:space="preserve"> </w:t>
      </w:r>
      <w:r>
        <w:rPr>
          <w:rFonts w:ascii="Times New Roman;sans-serif" w:hAnsi="Times New Roman;sans-serif"/>
          <w:b w:val="false"/>
          <w:color w:val="000000"/>
          <w:sz w:val="20"/>
        </w:rPr>
        <w:t xml:space="preserve">We also expect there to be a continued push for non-surgical alternatives.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largest competitors currently are Globus Medical, Inc. and Medtronic plc. However, these competitors sell screw-based products, which we believe lack the features, evidence and advantages of our implants. We also compete against non-hardware products, such as allograft bone implants. These allograft products comprise human cells or tissues and are generally regulated by the FDA differently from implantable medical devices made of metallic or other non-tissue based materials, unless these competitors' allograft products fail to meet the FDA's criteria for regulation as a human cell or tissue product.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commercial experience and market research, we believe our implants are currently used in the majority of minimally invasive surgical fusions of the sacroiliac joint in the United States. Our triangular titanium implant is differentiated from other screw-based technologies on the market. Our triangular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125 published papers. We have received exclusive reimbursement coverage in the United States by certain payors based upon our differentiated product and quality of our evidence. We believe that we have the largest dedicated direct salesforce focused on spinopelvic solutions competing in our segment. We believe these factors provide competitive advantages to us in the market. The following are the primary competitive factors on which companies compete in our industry: </w:t>
      </w:r>
    </w:p>
    <w:p>
      <w:pPr>
        <w:pStyle w:val="TextBody"/>
        <w:bidi w:val="0"/>
        <w:spacing w:before="0" w:after="0"/>
        <w:ind w:left="0" w:right="0" w:firstLine="450"/>
        <w:jc w:val="both"/>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and clinical procedure effectiveness;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ease of surgical technique and use of associated instruments;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safety;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published clinical outcomes and evidence;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sales force effectiveness;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support and service, and customer service;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comprehensive training, including disease, anatomy, diagnosis and treatment;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product innovation and the speed of innovation;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accountability and responsiveness to customers’ demands;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scientific (biomechanics) data;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pricing and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Intellectual Property </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We protect our intellectual property through our pending patent applications and issued patents. </w:t>
      </w:r>
      <w:r>
        <w:rPr>
          <w:rFonts w:ascii="Times New Roman;sans-serif" w:hAnsi="Times New Roman;sans-serif"/>
          <w:b w:val="false"/>
          <w:color w:val="000000"/>
          <w:sz w:val="20"/>
          <w:shd w:fill="FFFFFF" w:val="clear"/>
        </w:rPr>
        <w:t>As of December 31, 2023, we had been issued 59 issued U.S. patents and had 34 pending U.S. patent applications, and we owned 18 issued foreign patents and had 22 pending foreign patent applications. We have focused the majority of our foreign patent efforts in China, Europe, and Japan. Our current U.S. patents on the design of our first generation iFuse implant, including its triangular shape, expire in December 2025. Our current U.S. patents on iFuse-3D, including the fenestrated design, expire in September 2035. Our current U.S. patents on the triangular cutting tool used to place our implants expire in February 2034, and our current U.S. patents protecting the design of our iFuse Bedrock Granite implants expire in February 2039. Our foreign patents will expire between August 2025 and September 2035.</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As of December 31, 2023, we hav</w:t>
      </w:r>
      <w:r>
        <w:rPr>
          <w:rFonts w:ascii="Times New Roman;sans-serif" w:hAnsi="Times New Roman;sans-serif"/>
          <w:b w:val="false"/>
          <w:color w:val="000000"/>
          <w:sz w:val="20"/>
          <w:shd w:fill="FFFFFF" w:val="clear"/>
        </w:rPr>
        <w:t>e 20 registered trademarks in the United States and have filed for three more. We have sought protection for at least two of these trademarks in 61 countries including the 27 European member countries of the Madrid Protocol.</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Regulation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Domestic Regulation of Our Products and Business </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FDA regulatory requirements governing the clearance or approval and marketing of our products. These include: </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product listing and establishment registration, which helps facilitate FDA inspections and other regulatory action;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investigational device exemptions to conduct premarket clinical trials, which include extensive monitoring, recordkeeping, and reporting requirements in compliance with good clinical practices (“GCP”) and with institutional review board (“IRB”) oversight;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Quality System Regulation (“QSR”), which requires manufacturers, including third-party manufacturers, to follow stringent design, testing, control, documentation and other quality assurance procedures during all aspects of the manufacturing process;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labeling regulations and FDA prohibitions against the promotion of products for uncleared, unapproved or off-label use or indication;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clearance of product modifications that could significantly affect safety or effectiveness or that would constitute a major change in intended use of one of our cleared devices;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approval of product modifications that affect the safety or effectiveness of one of our approved devices;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post-approval restrictions or conditions, including post-approval study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post-market surveillance regulations, which apply when necessary to protect the public health or to provide additional safety and effectiveness data for the device;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FDA’s recall authority, whereby it can ask, or under certain conditions order, device manufacturers to recall from the market a product that is in violation of governing laws and regulations;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regulations pertaining to voluntary recalls;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notices of corrections or removals.</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FDA Premarket Clearance and Approval Requirements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an exemption applies, each medical device we wish to commercially distribute in the United States will require either premarket notification, or 510(k), clearance or approval of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510(k) Clearance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 </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Regulation of Human Cell and Tissue Based Products</w:t>
      </w:r>
    </w:p>
    <w:p>
      <w:pPr>
        <w:pStyle w:val="TextBody"/>
        <w:bidi w:val="0"/>
        <w:spacing w:lineRule="auto" w:line="276" w:before="24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iFuse Bone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 </w:t>
      </w:r>
    </w:p>
    <w:p>
      <w:pPr>
        <w:pStyle w:val="TextBody"/>
        <w:bidi w:val="0"/>
        <w:spacing w:before="0" w:after="0"/>
        <w:ind w:left="0" w:right="0" w:firstLine="45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AATB has issued operating standards for tissue banking. Accreditation is voluntary, but compliance with these standards is a requirement to become an AATB-accredited tissue establishment. In addition, some states have their own tissue banking regulations. As of December 31, 2023, we are licensed or have permits for tissue banking in California and Maryland.</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Pervasive and Continuing Regulation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device is placed on the market, numerous regulatory requirements continue to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registered our facility with the FDA as a medical device manufacturer. The FDA has broad post-market and regulatory enforcement powers. We are subject to announced and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 </w:t>
      </w:r>
    </w:p>
    <w:p>
      <w:pPr>
        <w:pStyle w:val="TextBody"/>
        <w:bidi w:val="0"/>
        <w:spacing w:before="0" w:after="120"/>
        <w:ind w:left="0" w:right="0" w:hanging="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untitled letters, warning letters, fines, injunctions, consent decrees, and civil penalties;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unanticipated expenditures to address or defend such 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customer notifications for repair, replacement, refunds;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recall, detention or seizure of our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refusing or delaying our requests for 510(k) clearance or PMA approval of new products or modified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restrictions;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refusal to grant export approval for our products;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criminal prosecution.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Promotional Materials - “Off-Label” Promotion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the federal Lanham Act and similar state laws, competitors, and others can initiate litigation relating to advertising claims. </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International Regulation of Our Products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development and clinical programs, as well as our manufacturing and marketing operations, are subject to extensive regulation in countries outside of the US.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European Economic Area (“EEA”) (comprised of the 27 EU Member States, plus Iceland, Lichtenstein and Norway), Regulation (EU) 2017/745 on Medical Devices, or the Medical Device Regulation (“MDR”) and its associated guidance documents and harmonized standards govern many aspects of the regulation of medical devices. This includes device design and development, preclinical and clinical or performance testing, premarket conformity assessment, registration and listing, manufacturing, labeling, storage, claims, sales and distribution, export and import and post-market surveillance, vigilance, and market surveillance.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Medical devices must comply with the General Safety and Performance Requirements (“GSPRs”), set out in Annex I to the Medical Device Regulation. Compliance with these requirements is a prerequisite to affixing the CE mark to devices, without which they cannot be marketed or sold in the EEA. To demonstrate compliance with the GSPRs provided in the Medical Device Regulation and obtain the right to affix the CE mark, medical devices manufacturers must conduct a conformity assessment procedure, which varies according to the type of medical device and its classification. Apart from low-risk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A Notified Body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 Following a successful assessment process, the Notified Body issues a CE Certificate of Conformity. This Certificate and completion of the related conformity assessment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entitles the manufacturer to affix the CE mark to its medical devices after having prepared and signed a related EU Declaration of Conformity.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investigations conducted on the devices being assessed, (2) scientific literature from similar devices whose equivalence with the assessed device can be demonstrated or (3) both clinical investigations and scientific literature. Moreover, after a device is placed on the market, it remains subject to significant regulatory requirements that must commonly be fulfilled by the manufacturer or on their behalf.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includes a number of transitional provisions. Manufacturers of medical devices may only benefit from the transitional provisions if certain conditions are fulfilled.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in the EEA is subject to the national laws of the individual EEA countries. Directive 2006/114/EC concerning misleading and comparative advertising, and Directive 2005/29/EC on unfair commercial practices, as well as other national legislation of individual EEA countries govern the advertisement and promotion of medical devices. The national legislation of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outside the United States, interactions between medical device companies and healthcare professionals are also governed by strict laws, such as national anti-bribery laws of EEA countries, national sunshine rules, regulations, industry self-regulation codes of conduct and physicians’ codes of professional conduct.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UK, medical devices are governed by the Medical Device Regulations (UK MDR) 2002, as amended. In light of the fact that the CE Marking process discussed above is set out in EU law, which no longer applies in the United Kingdom, the United Kingdom has devised a new route to market culminating in a UKCA Mark to replace the CE Mark. The UK Government has established transitional provision to recognize the acceptance of CE marked medical devices on the Great Britain market.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Regulatory Status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2008, we received 510(k) clearance to market our first generation iFuse implant from the FDA. Since 2008, we have received additional FDA 510(k) clearances for new instruments, additional implant sizes and labeling changes. In the United States, our first-generation iFuse implants and our iFuse-3D implants are intended for sacroiliac fusion for the following conditions: sacroiliac joint dysfunction that is a direct result of sacroiliac joint disruptions and degenerative sacroiliitis, which includes conditions where symptoms began during pregnancy or in the peripartum period and have persisted postpartum for more than six months; to augment immobilization and stabilization of the sacroiliac joint in skeletally mature patients undergoing sacropelvic fixation as part of a lumbar or thoracolumbar fusion; and acute, non-acute, and non-traumatic fractures involving the sacroiliac joint.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received 510(k) clearance to market our iFuse-TORQ from the FDA.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received an additional 510(k) clearance from the FDA to extend the use of iFuse-TORQ to include fragility fractures. This clearance opens a new population that can benefit from sacroiliac joint fusion and fracture fixation using iFuse-TORQ.</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received 510(k) clearance from the FDA for use of iFuse-TORQ using the Bedrock technique. This clearance allows us to promote the use of a threaded implant (iFuse-TORQ) in a trajectory that is familiar to surgeons through a previous clearance for the same use for iFuse-3D. In the United States, the iFuse TORQ Implant System is indicated for sacroiliac joint fusion for: </w:t>
      </w:r>
    </w:p>
    <w:p>
      <w:pPr>
        <w:pStyle w:val="TextBody"/>
        <w:bidi w:val="0"/>
        <w:spacing w:lineRule="auto" w:line="288" w:before="240" w:after="240"/>
        <w:ind w:left="0" w:right="0" w:firstLine="450"/>
        <w:jc w:val="both"/>
        <w:rPr/>
      </w:pPr>
      <w:r>
        <w:rPr>
          <w:color w:val="000000"/>
        </w:rPr>
        <w:t>•</w:t>
      </w:r>
      <w:r>
        <w:rPr>
          <w:rFonts w:ascii="Times New Roman;sans-serif" w:hAnsi="Times New Roman;sans-serif"/>
          <w:b w:val="false"/>
          <w:color w:val="000000"/>
          <w:sz w:val="20"/>
        </w:rPr>
        <w:t xml:space="preserve">Sacroiliac joint dysfunction including sacroiliac joint disruption and degenerative sacroiliitis.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Augmenting immobilization and stabilization of the sacroiliac joint in skeletally mature patients undergoing sacropelvic fixation as part of a lumbar or thoracolumbar fusion.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iFuse TORQ Implant System is also indicated for fracture fixation of the pelvis, including acute, non-acute and non-traumatic fractures. </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we received 510(k) clearance from the FDA for iFuse Bedrock Granite. This implant combines benefits of a pelvic fixation screw with attachment to posterior rods of pedicle screw systems and simultaneous fusion of the sacroiliac joint related to the device’s porous surface. This device previously received breakthrough device designation from the FDA in November 2021. The combination of breakthrough designation and FDA clearance allowed us to obtain a new technology add-on payment (NTAP) from CMS. NTAP provides an additional payment to hospitals for eligible cases that use iFuse Bedrock Granite.</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received 510(k) clearance from the FDA for iFuse-TORQ placement in the posterolateral or lateral oblique trajectory. The most recent FDA 510(k) premarket clearance was received in January 2024 for the iFuse Bedrock Granite® Implant System in a smaller (9.5 mm) diameter with both an expanded indication in pediatric patients, and an expanded application that includes use in the S1 trajectory. </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plan to pursue additional 510(k) clearances for new products and changes to the current indication for iFuse.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2010, we obtained a CE Certificate of Conformity from our Notified Body (DEKRA) and affixed a CE mark to our iFuse Implant System in accordance with the MDD to allow commercialization of our triangular iFuse implants in the EEA. In the EEA and Switzerland, iFuse is intended for sacroiliac joint fusion, including use in high and low energy fractures of the pelvic ring. Since 2010, we have renewed our Certificates, added additional instruments, implant sizes and labeling updates and iFuse-3D, our second generation iFuse implant, to our product offerings in the EEA. We plan to continue to work with our Notified Body to update our Technical Files and incorporate updates to our products in the EEA in accordance with applicable legislative requirements.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2021, a UK Responsible Person was appointed and we registered the iFuse Implant System with the Medicines and Healthcare products regulatory agency. We rely on our CE marks to continue to place our devices on the market in Great Britain until the requirement to obtain a UK Conformity Assessed (UKCA) mark applies to our devices.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26, 2021, the European Union no longer applies the Mutual Recognition Agreement between the EEA and Switzerland. However, Switzerland continues to recognize marked medical devices CE marked in accordance with the relevant EU legislation. As a result, we rely on our CE mark to continue to place our devices on the market in Switzerland.. Manufacturers based outside of Switzerland are required to appoint a Swiss authorized representative in compliance with the Swiss Medical Device Ordinance. As a consequence, we have appointed an authorized representative in Switzerland and continue to work to meet Swiss requirements for the import of medical devices.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began the effort of obtaining approval for iFuse and iFuse-3D under EU MDR. As of December 2023, our quality system received MDR approval under ISO 13485:2016. We are awaiting issuance of our MDR Certificates of Conformity for the iFuse-3D implants.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approval for iFuse in regions beyond the United States and the EEA, including Australia, New Zealand, and Israel. </w:t>
      </w:r>
    </w:p>
    <w:p>
      <w:pPr>
        <w:pStyle w:val="TextBody"/>
        <w:bidi w:val="0"/>
        <w:spacing w:lineRule="auto" w:line="288" w:before="24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Regulations</w:t>
      </w:r>
    </w:p>
    <w:p>
      <w:pPr>
        <w:pStyle w:val="TextBody"/>
        <w:bidi w:val="0"/>
        <w:spacing w:lineRule="auto" w:line="288" w:before="240" w:after="24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pStyle w:val="TextBody"/>
        <w:bidi w:val="0"/>
        <w:spacing w:lineRule="auto" w:line="288" w:before="24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Healthcare Fraud and Abuse</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 xml:space="preserve">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action by a private individual in the name of the government and to share in any monetary recovery. There are also criminal penalties for making or presenting a false or fictitious or fraudulent claim to the federal government;</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federal Physician Payment Sunshine Act, implemented by the Centers for Medicare &amp; Medicaid Services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and requires applicable manufacturers to report annually to CMS ownership and investment interests held by physicians and their immediate family members and payments or other “transfers of value” to such physician owners;</w:t>
      </w:r>
    </w:p>
    <w:p>
      <w:pPr>
        <w:pStyle w:val="TextBody"/>
        <w:bidi w:val="0"/>
        <w:spacing w:lineRule="auto" w:line="288" w:before="240" w:after="240"/>
        <w:ind w:left="0" w:right="0" w:hanging="360"/>
        <w:jc w:val="both"/>
        <w:rPr/>
      </w:pPr>
      <w:r>
        <w:rPr>
          <w:color w:val="000000"/>
        </w:rPr>
        <w:t>•</w:t>
      </w:r>
      <w:r>
        <w:rPr>
          <w:rFonts w:ascii="Times New Roman;sans-serif" w:hAnsi="Times New Roman;sans-serif"/>
          <w:b w:val="false"/>
          <w:color w:val="000000"/>
          <w:sz w:val="20"/>
        </w:rPr>
        <w:t>analogous state and foreign law equivalents of each of the above federal laws, such as anti-kickback and false claims laws, which may apply to items or services reimbursed by any third-party payor, including commercial insurers and patients; state and foreign laws that require device companies to comply with the industry’s voluntary compliance guidelines and the applicable compliance guidance promulgated by the government or otherwise restrict payments that may be made to healthcare providers and other potential referral sources; state and foreign beneficiary inducement laws, and state and foreign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 care programs, such as Medicare and Medicaid, and equivalents foreign penalties,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r>
        <w:rPr>
          <w:color w:val="000000"/>
        </w:rPr>
        <w:t xml:space="preserve"> </w:t>
      </w:r>
      <w:r>
        <w:rPr>
          <w:rFonts w:ascii="Times New Roman;sans-serif" w:hAnsi="Times New Roman;sans-serif"/>
          <w:b w:val="false"/>
          <w:color w:val="000000"/>
          <w:sz w:val="20"/>
        </w:rPr>
        <w:t xml:space="preserve">in the Risks Related to Our Legal and Regulatory Environment section of Item 1A of this Annual Report on Form 10-K.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(“FCPA”) and similar anti-bribery laws in other countries, such as the United Kingdom Bribery Act (“UKBA”), generally prohibit companies and their intermediaries from making improper payments to government officials and/or other persons for the purpose of obtaining or retaining business. Our policies mandate compliance with these anti-bribery laws.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w:t>
      </w: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Data Privacy and Security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may process personal or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European Union’s General Data Protection Regulation 2016/679 (“EU GDPR”), the EU GDPR as it forms part of United Kingdom (“UK”) law by virtue of section 3 of the European Union (Withdrawal) Act 2018 (“UK GDPR”), and the ePrivacy Directive. Several states within the United States have enacted or proposed data privacy laws. For example, California passed the California Consumer Privacy Act of 2018, as amended by the California Privacy Rights Act of 2020 (“CPRA”) (collectively, “CCPA”).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CPRA expanded the CCPA by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 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federal, state and foreign laws that protect the confidentiality of certain patient health information, including patient medical records, and restrict the use and disclosure of patient health information by healthcare providers, such as the Health Insurance Portability and Accountability Act, and its implementing regulations, as amended by Health Information Technology for Economic and Clinical Health Act enacted under the American Recovery and Reinvestment Act 2009 (collectively, “HIPAA”), in the United States.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HIPAA imposes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HIPAA also requires the notification of patients, reporting to the U.S. Department of Health and Human Services (“HHS”), and other compliance actions, in the event of a breach of unsecured Protected Health Information (“PHI”). Required notification must be provided without unreasonable delay and in no event later than 60 calendar days after discovery of the breach, under HIPAA. In addition, if the PHI of 500 or more individuals is improperly used or disclosed, HHS would post the notification on its website, and we may be required to notify the media. Failure to comply with the HIPAA privacy and security standards can result in significant civil monetary penalties, and, in certain circumstances, criminal penalties, including imprisonment.</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Manufacturing and Supply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manufacturers to produce our implants and instruments. To mitigate supply risk, we use a rolling twelve month forecast and take into consideration production lead times to maintain adequate levels of inventory for our iFuse-3D, iFuse-TORQ and iFuse Bedrock Granite implants. Most of our instruments have secondary manufacturing suppliers and we continually work with additional manufacturers as our secondary suppliers. Substantially all of our products, including all of our implants, are manufactured in the United States.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 for iFuse-3D and iFuse-TORQ is rms Company ("RMS"). We entered into an exclusive Manufacture and Supply Agreement with RMS in February 2024 (the "Manufacture and Supply Agreement") which supersedes and replaces our prior Manufacturing, Quality and Supply Agreement with RMS. Pursuant to the Manufacture and Supply Agreement, RMS manufactures certain of our implants in accordance with our specifications. The agreement provides us with the right to quality alternative sources from whom we may purchase products in the event of a supply failure by RMS. The prices we pay for products are fixed under the agreement through 2026. The agreement has a three-year initial term and automatically renews for successive one-year periods; provided, however, the agreement may be terminated early by either party, as specified in the agreement. RMS is currently our only supplier of iFuse-3D and iFuse-TORQ implants.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Bedrock Granite implant is manufactured and assembled by third-party suppliers, including RMS.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manufacturing operations, and those of our suppliers, comply with regulations mandated by the FDA and the EU. Manufacturing facilities that produce medical devices or component parts intended for distribution world-wide are subject to regulation and periodic planned and unannounced inspection by the FDA and other domestic and foreign regulatory authorities as well as Notified Bodies.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products we sell are required to be manufactured in compliance with the FDA's Quality System Regulation, codified at 21 CFR Part 820, which covers the methods used in, and the facilities used for, the design, testing, control, manufacturing, labeling, quality assurance, packaging, storage, and shipping. In international markets, we are required to comply with similar requirements. Our status in FDA’s Establishment Registration and Device Listing is active and we also maintain the Medical Device Manufacturing License issued by the State of California’s Department of Public Health Food and Drug Branch. In the EEA, we are required to comply with Quality Management System (“QMS”) requirements established in EU medical device legislation. To demonstrate compliance with these requirements, we obtain and maintain ISO13485:2016 Quality Management System certification for our locations in Santa Clara, California, and Gallarate Italy, issued by DEKRA Certification, B.V.</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obtain and maintain appropriate CE Certificates of Conformity delivered by our Notified Body, DEKRA, for any medical devices we placed on the EU market in accordance with applicable EU medical device legislation.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demonstrate continuing compliance with applicable requirements to maintain these certifications and CE Certificates of Conformity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EU regulatory requirements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or renewing regulatory approvals or CE Certificates of Conformity, recalls, enforcement actions, including injunctive relief or consent decrees, or other consequences, which could, in turn,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Product Liability and Insurance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maintain executive and organization liability insurance in a form and with aggregate coverage limits that we believe are adequate for our business purposes, but our coverage limits may prove not to be adequate in some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Human Capital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commitment to employee retention by leveraging insights from exit interviews and engagement surveys to continuously enhance the workplace experience. </w:t>
      </w:r>
    </w:p>
    <w:p>
      <w:pPr>
        <w:pStyle w:val="TextBody"/>
        <w:bidi w:val="0"/>
        <w:spacing w:before="0" w:after="0"/>
        <w:ind w:left="0" w:right="0" w:firstLine="450"/>
        <w:jc w:val="left"/>
        <w:rPr/>
      </w:pPr>
      <w:r>
        <w:rPr/>
      </w:r>
    </w:p>
    <w:p>
      <w:pPr>
        <w:pStyle w:val="TextBody"/>
        <w:bidi w:val="0"/>
        <w:spacing w:lineRule="auto" w:line="276" w:before="0" w:after="0"/>
        <w:ind w:left="0" w:right="0" w:firstLine="450"/>
        <w:jc w:val="both"/>
        <w:rPr/>
      </w:pPr>
      <w:r>
        <w:rPr>
          <w:rFonts w:ascii="Times New Roman;sans-serif" w:hAnsi="Times New Roman;sans-serif"/>
          <w:b w:val="false"/>
          <w:color w:val="000000"/>
          <w:sz w:val="20"/>
        </w:rPr>
        <w:t>As of December 31, 2023, we had 344 employees, including sales and marketing, product development, general administrative and accounting, both domestically and internationally. As of December 31, 2023, we had a direct field sales organization of 151 in the United St</w:t>
      </w:r>
      <w:r>
        <w:rPr>
          <w:rFonts w:ascii="Times New Roman;sans-serif" w:hAnsi="Times New Roman;sans-serif"/>
          <w:b w:val="false"/>
          <w:color w:val="000000"/>
          <w:sz w:val="20"/>
          <w:shd w:fill="FFFFFF" w:val="clear"/>
        </w:rPr>
        <w:t>ates and 14 in Europe. During 2023, our voluntary attrition rate was approximately 10%.</w:t>
      </w:r>
    </w:p>
    <w:p>
      <w:pPr>
        <w:pStyle w:val="TextBody"/>
        <w:bidi w:val="0"/>
        <w:spacing w:before="0" w:after="0"/>
        <w:ind w:left="0" w:right="0" w:firstLine="45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realize our mission and vision, we are committed to actively fostering workforce diversity and an environment of cultural inclusion throughout the company. We maintain a Diversity and Inclusion Plan which is overseen by our Nominating and Corporate Governance Committee. Our program goal is to promote diversity, inclusion, equal employment opportunities, and a work environment free of harassment and hostility. Accordingly, we track and report annually to the Board of Directors the gender, ethnicity, disability, and protected veteran status among our U.S. workforce.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maintain a mix of backgrounds, skills, and experiences in our board composition to understand and reflect the needs of our diverse stakeholders. Currently, four of our nine board members are women and two of our board members self-identify as Asian American.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Workplace Health and Safety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and safety of our employees is a priority in which we have always invested and intend to continue to do. Following the pandemic, we have implemented health and safety measures that include maximizing personal workspaces, providing personal protective equipment and holding on-site vaccinations events.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competitive compensation and benefits programs to help meet the needs of our employees. In addition to base compensation, these programs, which vary by country, include annual bonuses, restricted stock unit awards, an Employee Stock Purchase Plan, 401(k), health and wellness benefits, health savings and flexible spending accounts, paid time off, family leave, paid parental leave, flexible work schedules, and others.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and their families have access to a variety of innovative, flexible, and convenient health and wellness programs. These benefits are intended to provide protection and security, so employees can have peace of mind concerning events that may require time away from work or that may impact their financial well-being. Additionally, we offer programs to help support employee physical and mental health and offer choices where possible, so they are customized to meet their needs and the needs of their families.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Ensuring fair and equitable pay is integral to our commitment to our employees. Our executive team and Board of Directors strongly support this commitment. On an ongoing basis we monitor pay equity to identify any pay disparities and then to determine appropriate adjustments.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Learning and Talent Development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value our employees and the passion, commitment, and professional expertise they provide. To enhance employee retention and job satisfaction, we offer ongoing learning and leadership training opportunities that support growth and development.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regularly evaluate our workforce and plan to address key skill and leadership gaps through a talent management process. In 2022, we implemented a new career development program which includes a formalized framework that reflects how an employee can advance their career within the company. This provides many benefits including clarity, structure, and direction for employees and managers for career advancement and their future at SI-BONE which increases employee motivation, engagement, and retention.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robust annual performance review process for reviewing employees’ performance and compensation. To support our managers, we train them on conducting effective performance reviews and making compensation recommendations, which take into consideration external and internal benchmarks and performance.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Engagement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building connections between our employees, their families, and our communities creates a more meaningful and fulfilling workplace. Through our engagement programs, our employees can pursue their interests and connect to volunteering and giving opportunities. On an ongoing basis we sponsor philanthropic and volunteer events in which our employees can participate. During 2023, we organized employee cash donations to food banks to support the neediest individuals in San Francisco Bay Area communities.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encourage you to review our ESG Shareholder Letter in the Governance Documents of the Corporate Governance section of our Investor website for more detailed information regarding our human capital programs and initiatives. Nothing on our website, including our ESG Shareholder Letter, shall be deemed part of or incorporated by reference into this Annual Report.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Company History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SI-BONE was founded in 2008 by the principal inventor of the iFuse triangle, orthopedist Mark A. Reiley, M.D., our current Chairman of the Board, Jeffrey W. Dunn, and orthopedic surgeon Leonard Rudolf, M.D.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 xml:space="preserve">Corporate Information </w:t>
      </w:r>
    </w:p>
    <w:p>
      <w:pPr>
        <w:pStyle w:val="TextBody"/>
        <w:bidi w:val="0"/>
        <w:spacing w:lineRule="auto" w:line="312" w:before="240" w:after="283"/>
        <w:ind w:left="0" w:right="0" w:firstLine="450"/>
        <w:jc w:val="both"/>
        <w:rPr/>
      </w:pPr>
      <w:r>
        <w:rPr>
          <w:rFonts w:ascii="Times New Roman;sans-serif" w:hAnsi="Times New Roman;sans-serif"/>
          <w:b w:val="false"/>
          <w:color w:val="000000"/>
          <w:sz w:val="20"/>
          <w:shd w:fill="FFFFFF" w:val="clear"/>
        </w:rPr>
        <w:t>We were incorporated in March 2008 in Delaware. Our principal executive offices are located at 471 El Camino Real, Suite 101, Santa Clara, California 95050 and our telephone number is (408) 207-0700. Our website address is </w:t>
      </w:r>
      <w:r>
        <w:rPr>
          <w:rFonts w:ascii="Times New Roman;sans-serif" w:hAnsi="Times New Roman;sans-serif"/>
          <w:b w:val="false"/>
          <w:color w:val="000000"/>
          <w:sz w:val="20"/>
          <w:u w:val="single"/>
          <w:shd w:fill="FFFFFF" w:val="clear"/>
        </w:rPr>
        <w:t>www.si-bone.com</w:t>
      </w:r>
      <w:r>
        <w:rPr>
          <w:rFonts w:ascii="Times New Roman;sans-serif" w:hAnsi="Times New Roman;sans-serif"/>
          <w:b w:val="false"/>
          <w:color w:val="000000"/>
          <w:sz w:val="20"/>
          <w:shd w:fill="FFFFFF" w:val="clear"/>
        </w:rPr>
        <w:t xml:space="preserve">. We completed our initial public offering in </w:t>
      </w:r>
      <w:r>
        <w:rPr>
          <w:rFonts w:ascii="Times New Roman;sans-serif" w:hAnsi="Times New Roman;sans-serif"/>
          <w:b w:val="false"/>
          <w:color w:val="000000"/>
          <w:sz w:val="20"/>
        </w:rPr>
        <w:t xml:space="preserve">October 2018, and our common stock is listed on the Nasdaq Global Market under the symbol “SIBN.” </w:t>
      </w:r>
    </w:p>
    <w:p>
      <w:pPr>
        <w:pStyle w:val="TextBody"/>
        <w:bidi w:val="0"/>
        <w:spacing w:lineRule="auto" w:line="312"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 </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in 2008. For the years ended December 31, 2023 and 2022, we had net losses of $43.3 million and $61.3 million, respectively. As of December 31, 2023, we had an accumulated deficit of $400.4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expanding our physician base, the expansion of our sales force,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Prolonged inflation and supply chain disruptions could result in delayed product launches, lost revenue, higher costs and decreased profit margins. </w:t>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and growing sales of our products depends on the availability of adequate coverage and reimbursement from third-party payors, including government programs such as Medicare and Medicaid, private insurance plans, and managed care programs. Hospitals, physicians, and other healthcare providers that purchase or use medical devices generally rely on third-party payors to pay for all or part of the costs and fees associated with the procedures performed with these devices. When a procedure using our implants is performed, both the physicians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physicians for their time spent diagnosing patients and performing procedures using our products. Even if favorable coverage and reimbursement status is attained for procedures using our implants, less favorable coverage policies and reimbursement rates may be implemented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all Medicare Administrative Contractors are regularly reimbursing for minimally invasive sacroiliac joint fusion utilizing laterally placed transfixing devices, a small number of private payors still have policies that treat the procedure as experimental or investigational and do not regularly reimburse for the procedure.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American Medical Association (AMA) develops and maintains Current Procedural Terminology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 Category II codes are supplemental tracking codes, and Category III codes are temporary codes that represent new technologies, services, and procedures. A Category III code does not have a payment rate established and reimbursement is at the payor’s discretion.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CPT Code 27279, which describes minimally invasive surgical fusion of the sacroiliac joint performed with our laterally placed transfixing iFuse implants, is a Category I CPT code. This CPT code has been clarified to describe procedures in which implants pass through the ilium, go across the sacroiliac joint, and into the sacrum (transfixation).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Effective January 1, 2024, the AMA CPT Editorial panel adopted an additional Category I code, CPT Code 27278, to describe procedures using intra-articular, non-transfixing implants, including bone allograft products and/or metal plugs. Effective January 1, 2024, the Medicare physician fee reimbursement for minimally invasive fusion with our laterally placed transfixing iFuse implants, described as CPT Code 27279, is $791; and for our intra-articular non-transfixing iFuse implants, described as CPT 27278, the Medicare physician fee is $459 when performed in the facility setting, and $11,934 when performed in the physician office (e.g., office-based lab) setting. Minimally invasive sacroiliac fusion performed with a transfixing device is not eligible for the office-based lab site-of-service and there is therefore no corresponding value for office-based reimbursement for CPT Code 27279.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payors generally set their physician fee reimbursement with reference to Medicare reimbursement rates. We believe that some physicians may continue to view the Medicare and commercial reimbursement amounts as insufficient for the lateral procedure described by CPT Code 27279, given the work effort involved with the procedure, including the time to diagnose the patient and obtain prior authorization from the patient’s health insurer if necessary. We believe that some private payors apply their own coverage policies and criteria inconsistently, and physicians may not be able to consistently have minimally invasive sacroiliac fusion procedures utilizing laterally placed transfixing devices approved and covered. The perception by physicians performing the lateral procedure described by CPT Code 27279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 If the levels of reimbursement for, and consistency of coverage associated with, procedures performed with our medical devices under CPT Code 27279 decreases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Medicare Administrative Contractors have not yet fully evaluated the evidence for CPT 27278 procedures and may engage in reviews of the evidence and coverage advisory activities which may lead to revising or adding Local Coverage Determinations and Coverage Articles, which may limit or qualify their coverage of them. Private payors evaluating these procedures may decide not to cover them until more evidence is developed. We do not yet have sufficient experience with the new reimbursement rates for CPT Code 27278 to determine if physicians will judge the reimbursement rates for that procedure to be sufficient and the impact this will have on demand for the products used in these procedures.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action by the Centers for Medicare and Medicaid Services (“CMS”) or third-party payors may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Further, CMS budget neutrality requirements may impose cuts to the Medicare physician fee schedule, which may be mitigated by acts of Congress or other changes to regulations. Other federal laws, known as budget sequestration, further reduce Medicare’s payments to providers by 2%, which, due to subsequent legislative amendments, will stay in effect through 2032.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healthcare payors reverse decisions to cover minimally invasive sacroiliac joint fusion exclusively when performed with iFuse triangular implants and choose to reimburse for procedures performed with competitive products, our market share and average selling prices could decline, adversely affecting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shd w:fill="FFFFFF" w:val="clear"/>
        </w:rPr>
        <w:t xml:space="preserve">Healthcare payors which have adopted sacroiliac joint fusion coverage policies exclusive to titanium triangular implants could reverse the exclusive nature of their policies and allow </w:t>
      </w:r>
      <w:r>
        <w:rPr>
          <w:rFonts w:ascii="Times New Roman;sans-serif" w:hAnsi="Times New Roman;sans-serif"/>
          <w:b w:val="false"/>
          <w:color w:val="000000"/>
          <w:sz w:val="20"/>
        </w:rPr>
        <w:t>physicians</w:t>
      </w:r>
      <w:r>
        <w:rPr>
          <w:color w:val="000000"/>
          <w:shd w:fill="FFFFFF" w:val="clear"/>
        </w:rPr>
        <w:t xml:space="preserve"> </w:t>
      </w:r>
      <w:r>
        <w:rPr>
          <w:rFonts w:ascii="Times New Roman;sans-serif" w:hAnsi="Times New Roman;sans-serif"/>
          <w:b w:val="false"/>
          <w:color w:val="000000"/>
          <w:sz w:val="20"/>
          <w:shd w:fill="FFFFFF" w:val="clear"/>
        </w:rPr>
        <w:t xml:space="preserve">to use other types of products when performing sacroiliac fusion procedures. Some payor have removed such exclusivity in the past and others could do so in the future.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the average selling price of our triangular iFuse implants could decline and their sales could decline or </w:t>
      </w:r>
      <w:r>
        <w:rPr>
          <w:rFonts w:ascii="Times New Roman;sans-serif" w:hAnsi="Times New Roman;sans-serif"/>
          <w:b w:val="false"/>
          <w:color w:val="000000"/>
          <w:sz w:val="20"/>
        </w:rPr>
        <w:t>fail to grow. If physicians choose to substitute our triangular iFuse implants with competitors' products, this could adversely affect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Epidemic diseases, or the perception of their effects, may continue to adversely affect our business, financial condition, results of operations, or cash flows.</w:t>
      </w:r>
    </w:p>
    <w:p>
      <w:pPr>
        <w:pStyle w:val="TextBody"/>
        <w:bidi w:val="0"/>
        <w:spacing w:lineRule="auto" w:line="276" w:before="0" w:after="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impact of COVID-19 on our business remains highly dependent on future developments, which are uncertain and unpredictable. Although the U.S. public health emergency ended on May 11, 2023, an outbreak of an infectious disease, or a re-escalation of COVID-19 infection rates could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existence and further duration of COVID-19 may also further exacerbate certain of the risks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Natural disasters and man-made business disruptions such as war and terrorism could seriously harm our future revenue and financial condition and increase our costs and expenses.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in regions subject to natural and man-made disasters or business interruptions. Our corporate headquarters are located in Santa Clara, California, a region which has experienced and will continue to experience earthquakes, fires, power shortages, telecommunications failures, water shortages, floods, shifting climate patterns, and extreme weather conditions. We also rely on third-party manufacturers to produce our products and on third-party logistics companies to transport our products. A major earthquake, fire, tornado, blizzard or other disaster (such as a flood, storm, drought or terrorist attack) could significantly disrupt our operations, ranging from production and shipping delays to lost revenue and increased costs. The occurrence of any of these natural or man-made disasters or other business disruptions could seriously harm our operations and financial condition and increase our costs and expenses. Additionally, if our facilities or any of our customers' facilities are negatively impacted by a disaster, procedures using our products could be delayed or canceled.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or brownouts, which could disrupt the operations of our affected facilities and harm our business. Further, concerns about terrorism, the effects of a terrorist attack, or political turmoil could have a negative effect on our operations, those of our suppliers and customers, and the ability to travel, which could harm our business, financial condition, and results of operations.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Physicians, in consultation with their patients, play the primary role in determining the course of treatment and, ultimately, any product that will be used in treatment. For us to sell our products successfully, we must demonstrate to physicians through education and training that treatment with iFuse is beneficial, safe, and cost-effective for patients as compared to our competitors’ products. If we are not successful in demonstrating the merits of our products to physicians, their use of our products may decline, adversely affecting our revenues and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many physicians did not include an evaluation of the sacroiliac joint in their diagnostic work-up because they did not have an adequate surgical procedure to perform for patients diagnosed with sacroiliac joint dysfunction. We believe that educating physicians and other healthcare professionals about the clinical merits and patient benefits of iFuse is an important element of building our business. If we fail to effectively educate physicians and other medical professionals, they may not include a sacroiliac joint evaluation as part of their diagnosis and, as a result, those patients may continue to receive unnecessary surgical procedures or only non-surgical treatment.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Physicians may also hesitate to change their medical treatment practices for other reasons, including the following:</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lack of experience with minimally invasive procedures;</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perceived liability risks generally associated with the use of our products and procedures;</w:t>
      </w:r>
    </w:p>
    <w:p>
      <w:pPr>
        <w:pStyle w:val="TextBody"/>
        <w:bidi w:val="0"/>
        <w:spacing w:lineRule="auto" w:line="276" w:before="240" w:after="240"/>
        <w:ind w:left="0" w:right="0" w:firstLine="135"/>
        <w:jc w:val="both"/>
        <w:rPr/>
      </w:pPr>
      <w:r>
        <w:rPr>
          <w:color w:val="000000"/>
        </w:rPr>
        <w:t>•</w:t>
      </w:r>
      <w:r>
        <w:rPr>
          <w:rFonts w:ascii="Times New Roman;sans-serif" w:hAnsi="Times New Roman;sans-serif"/>
          <w:b w:val="false"/>
          <w:color w:val="000000"/>
          <w:sz w:val="20"/>
        </w:rPr>
        <w:t xml:space="preserve">costs associated with the purchase of our products; and </w:t>
      </w:r>
    </w:p>
    <w:p>
      <w:pPr>
        <w:pStyle w:val="TextBody"/>
        <w:bidi w:val="0"/>
        <w:spacing w:lineRule="auto" w:line="276" w:before="240" w:after="240"/>
        <w:ind w:left="0" w:right="0" w:firstLine="135"/>
        <w:jc w:val="both"/>
        <w:rPr/>
      </w:pPr>
      <w:r>
        <w:rPr>
          <w:color w:val="000000"/>
        </w:rPr>
        <w:t xml:space="preserve">• </w:t>
      </w:r>
      <w:r>
        <w:rPr>
          <w:rFonts w:ascii="Times New Roman;sans-serif" w:hAnsi="Times New Roman;sans-serif"/>
          <w:b w:val="false"/>
          <w:color w:val="000000"/>
          <w:sz w:val="20"/>
        </w:rPr>
        <w:t>time commitment that may be required for training.</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physicians will not widely use our products unless they determine, based on experience, clinical data, and published peer-reviewed publications, that our products offer an attractive alternative to non-surgical treatments of sacroiliac joint dysfunction. In addition, we believe support for our products relies heavily on long-term data showing their benefits. If we are unable to provide that data, physicians may not use our products. In such circumstances, we may not achieve expected sales and may be unable to achieve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training is particularly important in instances of newly launched products or the introduction of a product into a new market. If physicians are not properly trained, they may misuse our products, which may result in unsatisfactory patient outcomes, patient injury, negative publicity, or lawsuits against us. In addition, a failure to educate the medical community regarding our products may impair our ability to achieve market acceptance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Patients with sacroiliac joint dysfunction are cared for by a variety of health care providers, including spine surgeons and pain physicians and other interventionalist spine physicians, who are generally trained as anesthesiologists, interventional radiologists, or physical medicine and rehabilitation specialists. These interventionalists often offer a variety of non-surgical and surgical interventions to sacroiliac joint dysfunction patients, including, but not limited to, steroid injections, radiofrequency ablation of the nerves serving the sacroiliac joint, and implantation of neurostimulation devices, allografts, fusion devices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their patients with sacroiliac joint dysfunction to physicians who have been trained to perform our procedures. Providers who have not been educated on or adopted our procedures may prefer to continue to treat these patients with other interventions they offer because of physician preference or their view that these interventions are superior.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2024, the AMA CPT Editorial Panel introduced a new permanent Category 1 CPT Code, 27278, to describe minimally invasive sacroiliac fusion achieved with placement of an intra-articular implant, typically from a posterior approach, and without the use of a transfixing device. While we offer products that can be used in procedures described by both CPT Codes 27278 and 27279, historically our primary focus has been on products used in procedures described by CPT Code 27279. If more physicians elect to offer, or more patients elect to undergo, procedures described by CPT Code 27278, or if we are unable to demonstrate to physicians the comparative benefits of our products, sales of our iFuse implants could decline or fail to grow, which could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we currently market in the United States have either received premarket clearance under Section 510(k) of the United States Federal Food, Drug, and Cosmetic Act (“FDCA”), or are exempt from premarket review. Those marketed in the EEA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iFuse-TORQ and iFuse Bedrock Granite have been launched prior to gathering substantial prospective clinical trial evidence, and our post-market clinical studies may lack the size and scope of randomized controlled clinical trials required to support approval of a PMA. For these reasons, physicians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physicians, significantly reduce our ability to achieve expected sales, and could prevent us from achieving profitability.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Practice trends, market dynamics,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more outpatient eligible procedures will be performed in ASCs to control costs and expand patient access to medical procedures. This shift accelerated during the COVID-19 pandemic, and we expect it to continue because ASCs are generally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more economically favorable site of service, and physicians performing the procedures sometimes have ownership interests in the ASC. Because ASC facility fee reimbursement is typically less than facility fee reimbursement for hospitals and due to physicians’ economic interest in ASCs, we typically experience more pressure on the pricing of our products by ASCs than by hospitals, and the average price for which we sell our products to ASCs is less than the average prices we charge to hospitals. In addition, some physicians may choose to use fewer implants due to their interest in the profitability of the ASC. An accelerated shift of procedures using our products to ASCs could adversely impact the average selling prices of our products and our revenues could suffer as a result.</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companies selling allograft implants for use by a variety of physicians have collectively become a much larger presence in our market. If customers view allograft implants and our titanium implants as interchangeable, we risk increased pricing pressure on our products. It is unclear how the Category I Code 27278 effective January 1, 2024, will impact the market for these products and procedures.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physicians,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clinical experience with our iFuse Bedrock technique, iFuse Bedrock Granite product, or iFuse-TORQ product does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pStyle w:val="TextBody"/>
        <w:bidi w:val="0"/>
        <w:spacing w:before="0" w:after="0"/>
        <w:jc w:val="left"/>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w:t>
      </w:r>
      <w:r>
        <w:rPr>
          <w:color w:val="000000"/>
        </w:rPr>
        <w:t xml:space="preserve"> </w:t>
      </w:r>
      <w:r>
        <w:rPr>
          <w:rFonts w:ascii="Times New Roman;sans-serif" w:hAnsi="Times New Roman;sans-serif"/>
          <w:b w:val="false"/>
          <w:color w:val="000000"/>
          <w:sz w:val="20"/>
        </w:rPr>
        <w:t>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we launched iFuse-TORQ, a line of 3D-printed threaded implants designed for use in pelvic trauma, as well as applications in sacroiliac joint dysfunction and degeneration. In 2022, the FDA provided clearance for an expanded indication for iFuse-TORQ to include acute, non-acute and non-traumatic fractures as well as for placement across the sacroiliac joint using our Bedrock technique. Clinical experience with iFuse-TORQ is limited and we have yet to complete a clinical trial to evaluate the use of iFuse-TORQ in patients with sacral fragility or insufficiency fractures. Physicians do not yet know if pelvic fracture fixation and sacroiliac joint fusion using iFuse-TORQ is superior to nonsurgical management in this class of patients. If physicians'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network of direct sales representatives, third-party sales agents, and resellers, we may not be able to generate anticipated sales.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U.S. sales force consisted of 82 territory sales managers and 69 clinical support specialists directly employed by us and 175 third-party sales agents. As of December 31, 2023, our international sales force consisted of 14 sales representatives directly employed by us and a total of 31 third-party sales agents and resellers, which together have had sales in 38 countries through December 31, 2023. Our operating results are directly dependent upon the sales and marketing efforts of both our direct sales force and of our third-party sales agents and resellers.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generating sales. If our direct sales representatives or third-party sales agents fail to adequately promote, market and sell our products or decide to leave or cease to do business with us, our sales could significantly decrease.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lose the services of key members of our senior management, key advisors or personnel.</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remains significant. If we experience turnover among our employees at a higher rate than expected, managing our labor force could become difficult and more costly, adversely impacting our results of operation. Sustained pressure in these labor markets could also cause prevailing wages to rise, which could adversely impact our business, results of operation and financial condition. </w:t>
      </w:r>
    </w:p>
    <w:p>
      <w:pPr>
        <w:pStyle w:val="TextBody"/>
        <w:bidi w:val="0"/>
        <w:spacing w:lineRule="auto" w:line="276" w:before="24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Unforeseen adverse events related to our products could arise either during clinical development or, if cleared, approved, or subject to CE Certificate of Conformity and CE marked,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and CE marked, after the product has been marketed.</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others later identify adverse events caused by our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sales of the product may decrease significantly, and we may not achieve the anticipated market share;</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required to change instructions regarding the way the product is implanted or conduct additional clinical trials;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subject to limitations on how we may promote the product;</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regulatory authorities may require us to temporarily or permanently take our approved product off the market or to conduct other field safety corrective actions;</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our Notified Body may suspend, amend, or withdraw our CE Certificate of Conformity or refuse or delay any ongoing applications relating to the issuance or renewal of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required to modify our product;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we may be subject to litigation fines or product liability claims;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our reputation may suffer.</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Unfavorable media reports or other negative publicity concerning both alleged improper methods of tissue recovery from donors and disease transmission from donated tissue could limit widespread acceptance of some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iFuse Bone is an implantable bone product manufactured from sterilized recovered cadaveric bone tissue.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failure to complete sterilization on time or in compliance with the required regulatory standards;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transportation and import and export risk;</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large-scale epidemics of communicable diseases such as COVID-19;</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supply chain disruptions, including those caused by material and labor supply shortages and prolonged inflation;</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instruments and currently rely on RMS for iFuse-3D and iFuse-TORQ implants and Orchid for iFuse implants. Our dependence on such a limited number of suppliers exposes us to risks, including, among other things: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0"/>
        </w:rPr>
        <w:t>third-party contract manufacturers or suppliers may fail to maintain good manufacturing practices, leading to quality control problems or regulatory findings that could cause disruptions in their manufacturing processes and affect the safety or effectiveness of our products or cause or lead to delays in shipments of our products;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we or our third-party manufacturers and suppliers may be subject to price fluctuations due to a lack of long-term supply arrangements for key components;</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pStyle w:val="TextBody"/>
        <w:bidi w:val="0"/>
        <w:spacing w:lineRule="auto" w:line="276" w:before="180" w:after="180"/>
        <w:ind w:left="0" w:right="0" w:hanging="450"/>
        <w:jc w:val="both"/>
        <w:rPr>
          <w:color w:val="000000"/>
        </w:rPr>
      </w:pPr>
      <w:r>
        <w:rPr>
          <w:color w:val="000000"/>
        </w:rPr>
        <w:t xml:space="preserve">• </w:t>
      </w:r>
      <w:r>
        <w:rPr>
          <w:rFonts w:ascii="Times New Roman;sans-serif" w:hAnsi="Times New Roman;sans-serif"/>
          <w:b w:val="false"/>
          <w:color w:val="000000"/>
          <w:sz w:val="20"/>
        </w:rPr>
        <w:t>we may experience delays in delivery by our third-party manufacturers and suppliers due to changes in demand from us or their other customers;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third-party manufacturers and suppliers may wish to discontinue supplying components or services to us for risk management reasons;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we may not be able to find new or alternative components or reconfigure our system and manufacturing processes in a timely manner if the necessary components become unavailable; and</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third-party manufacturers and suppliers may encounter financial hardships unrelated to our demand, which could inhibit their ability to fulfill our orders and meet our requirements.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similar components from other suppliers that are acceptable to the FDA, other foreign regulatory authorities, or applicable QMS requirements and the failure of our suppliers to comply with strictly enforced regulatory requirements could expose us to delays in obtaining clearances approvals or CE Certificates of Conformity, regulatory action including warning letters, product recalls, termination of distribution, operating restrictions, interruption of production, delays in the introduction of products into the market,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each of our third-party suppliers operates at a facility in a single location and substantially all of our inventory of component supplies and finished goods is held at these locations. A local outbreak of COVID-19 cases, vandalism, terrorism,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managing production yields;</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maintaining quality control and assurance;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providing component and service availability;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maintaining adequate control policies and procedures;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hiring and retaining qualified personnel;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complying with state, federal, and foreign regulations.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do not enhance and broaden our product offerings through our research and development efforts, we may be unable to compete effectively.</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physicians or the third-party payors who reimburse for many of the procedures performed with our products. The success of any new product offering or enhancement to an existing product will depend on numerous factors, including our ability to:</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properly identify and anticipate physician and patient needs;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develop and introduce new products or product enhancements in a timely manner;</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create sufficient product differentiation to expand overall market share and minimize cannibalization of existing product markets;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obtain and maintain adequate coverage from third-party payors for new products or procedures;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mitigate downward pricing pressure on new and existing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demonstrate the safety and effectiveness of new products; and</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provide sufficient infrastructure needed for product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ans-serif" w:hAnsi="Times New Roman;sans-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ans-serif" w:hAnsi="Times New Roman;sans-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maintain adequate levels of inventory, the failure of which could consume our resources and reduce our cash flows.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physicians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addition, market demand for our new products may be less than expected, resulting in excess inventory from the supply purchased for launch. For example, in the quarter ending December 31, 2023 we took a $1.7 million in reserves for excess inventory related to the "lag" configuration of our iFuse-TORQ product, reflecting its below-expected market demand.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not aware of an independent third-party study that reliably reports the potential market size for invasive sacroiliac fusion performed using a lateral approach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are unable to manage our international business effectively.</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countries in which we sell or plan to sell our products are, to some degree, subject to various risks, including:</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exposure to different legal and regulatory standards;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lack of stringent protection of intellectual property;</w:t>
      </w:r>
    </w:p>
    <w:p>
      <w:pPr>
        <w:pStyle w:val="TextBody"/>
        <w:bidi w:val="0"/>
        <w:spacing w:lineRule="auto" w:line="276" w:before="0" w:after="0"/>
        <w:ind w:left="0" w:right="0" w:hanging="450"/>
        <w:jc w:val="both"/>
        <w:rPr>
          <w:color w:val="000000"/>
        </w:rPr>
      </w:pPr>
      <w:r>
        <w:rPr>
          <w:color w:val="000000"/>
        </w:rPr>
        <w:t>•    </w:t>
      </w:r>
      <w:r>
        <w:rPr>
          <w:rFonts w:ascii="Times New Roman;sans-serif" w:hAnsi="Times New Roman;sans-serif"/>
          <w:b w:val="false"/>
          <w:color w:val="000000"/>
          <w:sz w:val="20"/>
        </w:rPr>
        <w:t>inability of the local healthcare system to absorb prices for our product that would enable our business to become profitable in those markets;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obstacles to obtaining domestic and foreign export, import, and other governmental approvals, permits, and licenses and compliance with foreign laws;</w:t>
      </w:r>
    </w:p>
    <w:p>
      <w:pPr>
        <w:pStyle w:val="TextBody"/>
        <w:bidi w:val="0"/>
        <w:spacing w:lineRule="auto" w:line="276" w:before="0" w:after="0"/>
        <w:ind w:left="0" w:right="0" w:hanging="450"/>
        <w:jc w:val="left"/>
        <w:rPr>
          <w:color w:val="000000"/>
        </w:rPr>
      </w:pPr>
      <w:r>
        <w:rPr>
          <w:color w:val="000000"/>
        </w:rPr>
        <w:t>•    </w:t>
      </w:r>
      <w:r>
        <w:rPr>
          <w:rFonts w:ascii="Times New Roman;sans-serif" w:hAnsi="Times New Roman;sans-serif"/>
          <w:b w:val="false"/>
          <w:color w:val="000000"/>
          <w:sz w:val="20"/>
        </w:rPr>
        <w:t>lower average selling prices of our implants in most foreign markets;</w:t>
      </w:r>
    </w:p>
    <w:p>
      <w:pPr>
        <w:pStyle w:val="TextBody"/>
        <w:bidi w:val="0"/>
        <w:spacing w:lineRule="auto" w:line="276" w:before="0" w:after="0"/>
        <w:ind w:left="0" w:right="0" w:hanging="450"/>
        <w:jc w:val="left"/>
        <w:rPr>
          <w:color w:val="000000"/>
        </w:rPr>
      </w:pPr>
      <w:r>
        <w:rPr>
          <w:color w:val="000000"/>
        </w:rPr>
        <w:t>•    </w:t>
      </w:r>
      <w:r>
        <w:rPr>
          <w:rFonts w:ascii="Times New Roman;sans-serif" w:hAnsi="Times New Roman;sans-serif"/>
          <w:b w:val="false"/>
          <w:color w:val="000000"/>
          <w:sz w:val="20"/>
        </w:rPr>
        <w:t>reliance on a more concentrated surgeon base in international markets due to the surgeon acquisition costs relative to the selling price of our implants;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potentially adverse tax consequences and the complexities of foreign value-added tax systems;</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adverse changes in tariffs and trade restrictions;</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limitations on the repatriation of earnings;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bidi w:val="0"/>
        <w:spacing w:lineRule="auto" w:line="276" w:before="0" w:after="0"/>
        <w:ind w:left="0" w:right="0" w:hanging="450"/>
        <w:jc w:val="both"/>
        <w:rPr>
          <w:color w:val="000000"/>
        </w:rPr>
      </w:pPr>
      <w:r>
        <w:rPr>
          <w:color w:val="000000"/>
        </w:rPr>
        <w:t>•    </w:t>
      </w:r>
      <w:r>
        <w:rPr>
          <w:rFonts w:ascii="Times New Roman;sans-serif" w:hAnsi="Times New Roman;sans-serif"/>
          <w:b w:val="false"/>
          <w:color w:val="000000"/>
          <w:sz w:val="20"/>
        </w:rPr>
        <w:t>insufficient numbers of patients requiring procedures that use our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transportation delays and difficulties of managing international distribution channels;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longer collection periods and difficulties in collecting receivables from foreign entities;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increased financing costs;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currency risks;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political, social, and economic instability and increased security concerns.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In the future our products may become obsolete, which would negatively affect operations and financial condition.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experience significant disruptions in our information technology systems, our business, results of operations, and financial condition could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depends on our information technology systems. We rely on our information technology systems to effectively manage: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sales and marketing, accounting, and financial functions;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customer relationship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inventory management;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compliance and regulatory reporting requirements;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engineering and product development tasks;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our research and development data.</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are vulnerable to damage or interruption from:</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earthquakes, fires, floods, and other natural disasters;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terrorist attacks and attacks by computer viruses or hackers or internal or external breaches of our cybersecurity;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power losses; and</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computer systems, internet, telecommunications, or data network failures.</w:t>
      </w:r>
      <w:r>
        <w:rPr>
          <w:color w:val="000000"/>
        </w:rPr>
        <w:t>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 </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problems assimilating the purchased technologies, products, or business operations;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unanticipated costs and liabilities associated with acquisitions;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diversion of management’s attention from our core business;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adverse effects on existing business relationships with suppliers and customers;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risks associated with entering new markets in which we have limited or no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potential loss of key employees of acquired businesses; and</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increased legal and accounting compliance costs.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large accelerated filer and may no longer provide scaled disclosures as a smaller reporting company beginning with our Quarterly Report on Form 10-Q for the quarter ending March 31, 2024, which will increase our costs and demands on management.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a large accelerated filer and beginning with our Quarterly Report on Form 10-Q for the quarter ending March 31, 2024, we may no longer provide scaled disclosure as a “smaller reporting company” as defined under the Securities Exchange Act of 1934, as amended (the “Exchange Act”).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we had the option to take advantage of certain exemptions from various reporting requirements that are applicable to other public companies, including, but not limited to, reduced disclosure obligations regarding executive compensation in our periodic reports and proxy statements.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a non-accelerated filer and smaller reporting company, we have availed ourselves of the exemption from the requirement that our independent registered public accounting firm attest to the effectiveness of our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reporting under Section 404(b) of the Sarbanes Oxley Act (“Section 404”). However, we may no longer avail ourselves of this exemption as a large accelerated filer, which will increase our expenses and require a significant amount of management time.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market price of our common shares.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disclose changes made in our internal controls and procedures on a quarterly basis and our management is required to assess the effectiveness of these controls annually. We are also required to obtain an independent assessment of the effectiveness of our internal controls which could detect problems that our management’s assessment might not. Going forward,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If we or our independent registered public accounting firm identifies deficiencies in our internal control over financial reporting that are deemed to be material weaknesses or that may require prospective or retroactive changes to our financial statements, investors may lose confidence in our reported financial information, which could cause the market price of our common shares to decline and we could be subject to sanctions or investigations by the SEC or other regulatory authorities, which would require additional financial and management resources. Irrespective of compliance with Section 404, any failure of our internal control over financial reporting could have a material adverse effect on our stated operating results and harm our reputation.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76" w:before="240" w:after="283"/>
        <w:jc w:val="both"/>
        <w:rPr>
          <w:rFonts w:ascii="Times New Roman;sans-serif" w:hAnsi="Times New Roman;sans-serif"/>
          <w:b/>
          <w:i/>
          <w:color w:val="000000"/>
          <w:sz w:val="20"/>
        </w:rPr>
      </w:pPr>
      <w:r>
        <w:rPr>
          <w:rFonts w:ascii="Times New Roman;sans-serif" w:hAnsi="Times New Roman;sans-serif"/>
          <w:b/>
          <w:i/>
          <w:color w:val="000000"/>
          <w:sz w:val="20"/>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and foreign regulatory authorities. The FDA and other U.S. and foreign regulatory authorities regulate, among other things, with respect to medical devices: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design, development, and manufacturing;</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testing, labeling, content, and language of instructions for use and storage;</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clinical trials;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product safety;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marketing, sales, and distribution;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premarket clearance and approval;</w:t>
      </w:r>
    </w:p>
    <w:p>
      <w:pPr>
        <w:pStyle w:val="TextBody"/>
        <w:bidi w:val="0"/>
        <w:spacing w:lineRule="auto" w:line="268" w:before="0" w:after="0"/>
        <w:ind w:left="0" w:right="0" w:hanging="450"/>
        <w:jc w:val="left"/>
        <w:rPr>
          <w:color w:val="000000"/>
        </w:rPr>
      </w:pPr>
      <w:r>
        <w:rPr>
          <w:color w:val="000000"/>
        </w:rPr>
        <w:t>•    </w:t>
      </w:r>
      <w:r>
        <w:rPr>
          <w:rFonts w:ascii="Times New Roman;sans-serif" w:hAnsi="Times New Roman;sans-serif"/>
          <w:b w:val="false"/>
          <w:color w:val="000000"/>
          <w:sz w:val="20"/>
        </w:rPr>
        <w:t>conformity assessment procedures and the issue of related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record keeping procedures;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advertising and promotion;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compliance with good manufacturing practices requirements;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recalls and field safety corrective actions;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post-market surveillance, including reporting of deaths or serious injuries and malfunctions that, if they were to recur, could lead to death or serious injury;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post-market approval studies;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product import and export.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can market or sell a new regulated medical device or make a significant modification to an existing product in the United States, with limited exceptions, we must obtain either clearance under Section 510(k) of the FDCA for Class II devices or approval of a PMA application from the FDA for a Class III device. </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 If current or future products that we seek to commercialize are determined to require a PMA or De Novo 510(k) clearance, FDA may require evidence from clinical trials conducted under an investigational device exemption (“IDE”).</w:t>
      </w:r>
      <w:r>
        <w:rPr>
          <w:color w:val="000000"/>
        </w:rPr>
        <w:t xml:space="preserve"> </w:t>
      </w:r>
      <w:r>
        <w:rPr>
          <w:rFonts w:ascii="Times New Roman;sans-serif" w:hAnsi="Times New Roman;sans-serif"/>
          <w:b w:val="false"/>
          <w:color w:val="000000"/>
          <w:sz w:val="20"/>
        </w:rPr>
        <w:t xml:space="preserve">Trials conducted under an IDE and a PMA or De Novo 510(k) submission to the FDA can be lengthy and costly processes, which could delay and add to the cost of commercializing our products, which could adversely affect our financial results. </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or approval of a device for many reasons, including:</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we may not be able to demonstrate to the FDA’s satisfaction that our products are safe and effective for their intended uses;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data from our pre-clinical studies and clinical trials may be insufficient to support clearance or approval, where required;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the manufacturing process or facilities we use may not meet applicable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EU, the Medical Device Regulation became applicable on May 26, 2021, repealing and replacing the MDD. The Medical Device Regulation establishes transitional provisions. However, the changes to the regulatory system implemented in the EU by the Medical Device Regulation include stricter requirements for clinical evidence and pre-market assessment of safety and performance, new classifications to indicate risk levels, requirements for third party testing by Notified Bodies, tightened and streamlined QMS assessment procedures and additional requirements for the QMS, additional requirements for traceability of products and transparency as well a refined responsibility of economic operators. We are also required to provide clinical data in the form of a clinical evaluation report. Fulfillment of the obligations imposed by the Medical Device Regulation may cause us to incur substantial costs. We may be unable to fulfil these obligations, or our Notified Body may consider that we have not adequately demonstrated compliance with our related obligations to merit a CE Certificate of Conformity on the basis of the Medical Device Regulation.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including foreign authorities, have broad enforcement powers. Regulatory enforcement or inquiries, or other increased scrutiny on us, could dissuade some physicians from using our products and adversely affect our reputation and the perceived safety and effectiveness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could jeopardize our ability to sell our products and result in enforcement actions such as: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warning letters;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fines;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injunctions;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civil penalties;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termination of distribution;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recalls or seizures of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delays in the introduction of products into the market;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total or partial suspension of production;</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facility closures;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refusal of the FDA or our Notified Body or other regulator to grant future clearances or approvals or to issue CE Certificates of Conformity;</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withdrawals, variation, or suspensions of current clearances or approvals and CE Certificates of Conformity, resulting in prohibitions on sales of our products;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 the most serious cases, criminal penalties.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action by an applicable regulatory authority,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consulting agreements and royalty agreements with physicians and healthcare executives, including some who are customers. We also engage in co-marketing arrangements with certain physicians who use our products. In addition,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and federal regulatory and enforcement agencies, and foreign equivalents,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In addition, most of these laws apply to not only the actions taken by us, but also actions taken by our distributors and other third party agents, and healthcare providers with whom we interact. We have limited control over the business practices of our distributors and agents, and we may face regulatory action against us as a result of their actions which could have a material adverse effect on our reputation, business, results of operations, and financial condition.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and other adverse business consequences.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process personal data and other sensitive information. We process data of our employees, consultants, certain individuals who may be affiliated with our customers, including physician users of our products and, in the context of clinical investigations, patients. The personal data may include sensitive personal data including health information. We collect this kind of information for several purposes, such as billing, reimbursement support, marketing purposes, post-marketing safety vigilance, servicing potential warranty claims and during the course of clinical trials. We are subject to various federal, state and foreign laws that protect the confidentiality of certain sensitive information including patient health information, such as patient medical records, and restrict the use and disclosure of patient health information by healthcare providers, such as HIPAA in the United States and regulations in the European Union (“EU”), which are described in detail in "Item 1. Business - Data Privacy and Security Laws.”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U.S. states have enacted laws regulating the collection, use and disclosure of personal data and requiring that companies implement reasonable data security measures. Laws in all states and U.S. territories also require businesses to notify affected individuals, governmental entities and/or credit reporting agencies of certain security breaches affecting personal data. These laws are not consistent, and increase our compliance costs and potential liability in the event of a data breach.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 CCPA includes exemptions for certain clinical trials data, and protected health information governed by HIPAA, the law may increase our compliance costs and potential liability with respect to other personal data we collect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 and our customers.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govern data privacy and security. For example, the European Union’s General Data Protection Regulation (“GDPR”) and the United Kingdom’s GDPR (“UK GDPR”) impose strict requirements for processing personal data. The GDPR is directly applicable in each EU Member State. This should, in principle, result in a more uniform application of data privacy laws across the EU. The GDPR imposes onerous accountability obligations requiring data controllers and processors to maintain a record of their data processing and policies. It requires data controllers to be transparent and to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 — the greater of € 20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 Each EU Member State may also adopt additional related legislation and guidance in its own national data privacy regime and therefore the laws may differ by jurisdiction, sometimes significantly. We need to ensure compliance with the rules in each jurisdiction where we are established or are otherwise subject to local privacy laws.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and security laws, we are contractually subject to industry standards adopted by industry groups and, we are, or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applicable laws, and that they have sufficient technical and organizational security measures in place to fulfil their related obligations. These third party service providers may breach their contractual or legal obligations, which could negatively effect our business and/or our reputation.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could be in the future, subject to data breaches. Our failure (or perceived failure) to comply with applicable data privacy and security obligations, or to protect such data, could result in significant consequences to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Evolving and changing definitions of personal data,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non-U.S. operations.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bidi w:val="0"/>
        <w:spacing w:lineRule="auto" w:line="256" w:before="0" w:after="0"/>
        <w:ind w:left="0" w:right="0" w:firstLine="495"/>
        <w:jc w:val="left"/>
        <w:rPr/>
      </w:pPr>
      <w:r>
        <w:rPr>
          <w:rFonts w:ascii="Times New Roman;sans-serif" w:hAnsi="Times New Roman;sans-serif"/>
          <w:b w:val="false"/>
          <w:color w:val="000000"/>
          <w:sz w:val="20"/>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EU QMS requirements applicable to medical device</w:t>
      </w:r>
      <w:r>
        <w:rPr>
          <w:rFonts w:ascii="Calibri;sans-serif" w:hAnsi="Calibri;sans-serif"/>
          <w:b w:val="false"/>
          <w:color w:val="000000"/>
          <w:sz w:val="20"/>
        </w:rPr>
        <w:t xml:space="preserve">s </w:t>
      </w:r>
      <w:r>
        <w:rPr>
          <w:rFonts w:ascii="Times New Roman;sans-serif" w:hAnsi="Times New Roman;sans-serif"/>
          <w:b w:val="false"/>
          <w:color w:val="000000"/>
          <w:sz w:val="20"/>
        </w:rPr>
        <w:t>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untitled letters, warning letters, fines, injunctions, consent, and civil penalties;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unanticipated expenditures to address or defend such actions;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customer notifications for repair, replacement, refunds;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recall, detention, or seizure of our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refusing or delaying our requests for 510(k) clearance or premarket approval and applications for or conduct of conformity assessments of new products or modified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limitations on the intended uses for which the product may be marketed;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operating restrictions;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suspension, variation or withdrawal of CE Certificates of Conformity;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refusal to grant export approval for our products;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criminal prosecution.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or QMS,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manufacturers,and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enforcement action, including fines, penalties or injunctions, if we are determined to be engaging in the off-label promotion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specific surgical procedures for which our products are marketed fall within the scope of the surgical applications that have been cleared by the FDA and our Notified Body. However, if the FDA or an equivalent foreign regulatory authority determines that our promotional materials or training constitutes promotion of an off-label use, it could request that we modify our training or promotional materials, require us to stop promoting our products for those specific procedures until we obtain FDA or foreign regulatory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authority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report certain malfunctions, deaths, and serious injuries associated with our products, which can result in voluntary corrective actions or agency enforcement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FDA’s medical device reporting, regulations, and equivalent rules of other countries we are required to report to the FDA and comparable foreign regulatory authorities, any information that our product may have caused or contributed to a death or serious injury or in which our product malfunctioned and, if the malfunction were to recur, would likely cause or contribute to death or serious injury. In the EEA, we must report serious incidents, field safety corrective actions and trend reports through the EUDAMED module on vigilance and post-market surveillance. However, EUDAMED is not yet fully functional and the related module on vigilance and post-market surveillance is not available yet. Until the entire EUDAMED system is fully functional, serious incidents and field safety corrective actions must be reported to the national competent authorities through national systems.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report these events to the FDA or comparable foreign regulatory authorities within the required timeframes, or at all, FDA, or the competent foreign regulatory authority could take enforcement action against us. Any such adverse event involving our products or repeated product malfunctions may result in voluntary or involuntary corrective actions, such as recalls or customer notifications, or action by competent regulatory authorities,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adverse event involving our products, whether in the United States or abroad could result in future voluntary corrective actions, such as recalls, including corrections, or customer notifications, or action by competent regulatory authorities,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regulatory authority, including foreign regulatory authorities, or the discovery of serious safety issues or malfunctions with our products, can result in voluntary corrective actions or regulatory enforcement actions, which could have a significant adverse impact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regulatory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EEA, we must inform the Notified Body that carried out the conformity assessment of the medical devices we market or sell in the EEA of any planned significant changes are made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regulatory strategies for obtaining clearance approval or CE Certificates of Conformity for future products. Some of them may require 510(k) clearance by the FDA or a new CE Certificate of Conformity by a Notified Body.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 Certificates of Conformity for our new products would have an adverse effect on our ability to expand our business.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results of our clinical trials may not support our product candidate claims or may result in the occurrence of adverse events.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Another example can be found in the EEA. The Medical Device Regulation entered into application on May 26, 2021, and introduced substantial changes to the obligations with which medical device manufacturers must comply in the EEA. Examples of the changes introduced by the Medical Device Regulations include the following:</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additional scrutiny during the conformity assessment procedure for high risk medical devices;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strengthening of the clinical data requirements related to medical devices;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strengthening of the designation and monitoring processes governing Notified Bodies;</w:t>
      </w:r>
    </w:p>
    <w:p>
      <w:pPr>
        <w:pStyle w:val="TextBody"/>
        <w:bidi w:val="0"/>
        <w:spacing w:lineRule="auto" w:line="276" w:before="180" w:after="180"/>
        <w:ind w:left="0" w:right="0" w:hanging="450"/>
        <w:jc w:val="both"/>
        <w:rPr/>
      </w:pPr>
      <w:r>
        <w:rPr>
          <w:color w:val="000000"/>
        </w:rPr>
        <w:t>•    </w:t>
      </w:r>
      <w:r>
        <w:rPr>
          <w:rFonts w:ascii="Times New Roman;sans-serif" w:hAnsi="Times New Roman;sans-serif"/>
          <w:b w:val="false"/>
          <w:color w:val="000000"/>
          <w:sz w:val="20"/>
        </w:rPr>
        <w:t>the obligation for manufacturers and authorized representative to have a person responsible for regulatory compliance continuously at their disposal;</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authorized representatives held legally responsible and liable for defective products placed on the EU market;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increased traceability of medical devices following the introduction of a Unique Device Identification (“UDI”), system;</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new rules governing the reprocessing of medical devices;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Transition of our products from the regulatory framework of the MDD to the regulatory framework of the Medical Devices Regulation has required and will continue to require a substantial transition effort by us. In the EU, Notified Bodies must be officially designated by a Competent Authority of an EEA country. While several Notified Bodies have been designated, the currently designated Notified Bodies are facing a large amount of requests for (re)certification under the MDR and as a consequence, review times have lengthened. Furthermore, failure to update our quality system and regulatory documentation could delay our compliance with the Medical Devices Regulation and delay or prevent us from obtaining new CE Certificates of Conformity issued in accordance with the Medical Device Regulation. Transition to the Medical Devices Regulation could result in disruption to our business in the EEA which could adversely affect our business, results of operation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the exit of the UK from the EU, commonly referred to as “Brexit” could lead to regulatory divergence between the EU and the UK. On May 26, 2021, the Medical Device Regulation became applicable in the EU. However, the Medical Device Regulation is not applicable in the UK. In the UK, medical devices are governed by the Medical Devices Regulations 2002 (SI 2002 No 618, as amended) (UK MDR 2002) which, for the time being, retains a regulatory framework similar to the framework set out by the MDD. The UK government plans to introduce new legislation governing medical devices with an aim for core aspects of the future regime for medical devices to apply from July 1, 2025. New legislation has been proposed and is also anticipated for adoption in 2024 to bring into force strengthened post-market surveillance requirements ahead of the wider future regulatory regime. These post-market surveillance requirements are expected to apply from mid-2024.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before="0" w:after="0"/>
        <w:ind w:left="0" w:right="0" w:firstLine="495"/>
        <w:jc w:val="both"/>
        <w:rPr/>
      </w:pPr>
      <w:r>
        <w:rPr/>
      </w:r>
    </w:p>
    <w:p>
      <w:pPr>
        <w:pStyle w:val="TextBody"/>
        <w:bidi w:val="0"/>
        <w:spacing w:lineRule="auto" w:line="256" w:before="0" w:after="0"/>
        <w:ind w:left="0" w:right="0" w:firstLine="450"/>
        <w:jc w:val="both"/>
        <w:rPr/>
      </w:pPr>
      <w:r>
        <w:rPr>
          <w:rFonts w:ascii="Times New Roman;sans-serif" w:hAnsi="Times New Roman;sans-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and providing the basis for cooperation at EU level for joint clinical assessments in these areas.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r>
        <w:rPr>
          <w:rFonts w:ascii="Calibri;sans-serif" w:hAnsi="Calibri;sans-serif"/>
          <w:b w:val="false"/>
          <w:color w:val="000000"/>
          <w:sz w:val="2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the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a prolonged government shutdown occurs,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laws and regulations that can impose significant costs and expose us to potential financial liabilities.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ans-serif" w:hAnsi="Times New Roman;sans-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derived from human tissue and are or could be subject to additional regulations and requirements.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procurement of certain human organs and tissue for transplantation is subject to the National Organ Transplant Act ("NOTA"), which prohibits the transfer of certain human organs, including skin and related tissue, for valuable consideration, but permits the reasonable payment for costs associated with the removal, transportation, implantation, processing, preservation, quality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control, and storage of human tissue and skin. We reimburse tissue banks for their expenses associated with the recovery, storage, and transportation of donated human tissue they provide to use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80" w:after="240"/>
        <w:jc w:val="both"/>
        <w:rPr>
          <w:rFonts w:ascii="Times New Roman;sans-serif" w:hAnsi="Times New Roman;sans-serif"/>
          <w:b/>
          <w:i/>
          <w:color w:val="000000"/>
          <w:sz w:val="20"/>
        </w:rPr>
      </w:pPr>
      <w:r>
        <w:rPr>
          <w:rFonts w:ascii="Times New Roman;sans-serif" w:hAnsi="Times New Roman;sans-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We rely primarily on patent, copyright, trademark and trade secret laws, as well as confidentiality and nondisclosure agreements and other methods, to protect our proprietary technologies and know-how.</w:t>
      </w:r>
      <w:r>
        <w:rPr>
          <w:color w:val="000000"/>
          <w:shd w:fill="FFFFFF" w:val="clear"/>
        </w:rPr>
        <w:t xml:space="preserve"> </w:t>
      </w:r>
      <w:r>
        <w:rPr>
          <w:rFonts w:ascii="Times New Roman;sans-serif" w:hAnsi="Times New Roman;sans-serif"/>
          <w:b w:val="false"/>
          <w:color w:val="000000"/>
          <w:sz w:val="20"/>
          <w:shd w:fill="FFFFFF" w:val="clear"/>
        </w:rPr>
        <w:t>As of December 31, 2023, we owned 59 issued U.S. patents and had 34 pending U.S. patent applications, and we owned 18 issued foreign patents and had 22 pending foreign patent applications. We have focused the majority of our foreign patent efforts in China, Europe, a</w:t>
      </w:r>
      <w:r>
        <w:rPr>
          <w:rFonts w:ascii="Times New Roman;sans-serif" w:hAnsi="Times New Roman;sans-serif"/>
          <w:b w:val="false"/>
          <w:color w:val="000000"/>
          <w:sz w:val="20"/>
        </w:rPr>
        <w:t>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pStyle w:val="TextBody"/>
        <w:bidi w:val="0"/>
        <w:spacing w:lineRule="auto" w:line="288" w:before="180" w:after="240"/>
        <w:jc w:val="both"/>
        <w:rPr/>
      </w:pPr>
      <w:r>
        <w:rPr>
          <w:color w:val="000000"/>
        </w:rPr>
        <w:t>    </w:t>
      </w:r>
      <w:r>
        <w:rPr>
          <w:rFonts w:ascii="Times New Roman;sans-serif" w:hAnsi="Times New Roman;sans-serif"/>
          <w:b w:val="false"/>
          <w:color w:val="000000"/>
          <w:sz w:val="20"/>
        </w:rPr>
        <w:t>As of December 31, 2023, we have 20 registered trademarks in the United States and have filed for three more. We have sought protection for at least</w:t>
      </w:r>
      <w:r>
        <w:rPr>
          <w:color w:val="000000"/>
          <w:shd w:fill="FFFFFF" w:val="clear"/>
        </w:rPr>
        <w:t xml:space="preserve"> </w:t>
      </w:r>
      <w:r>
        <w:rPr>
          <w:rFonts w:ascii="Times New Roman;sans-serif" w:hAnsi="Times New Roman;sans-serif"/>
          <w:b w:val="false"/>
          <w:color w:val="000000"/>
          <w:sz w:val="20"/>
          <w:shd w:fill="FFFFFF" w:val="clear"/>
        </w:rPr>
        <w:t>two</w:t>
      </w:r>
      <w:r>
        <w:rPr>
          <w:color w:val="000000"/>
        </w:rPr>
        <w:t xml:space="preserve"> </w:t>
      </w:r>
      <w:r>
        <w:rPr>
          <w:rFonts w:ascii="Times New Roman;sans-serif" w:hAnsi="Times New Roman;sans-serif"/>
          <w:b w:val="false"/>
          <w:color w:val="000000"/>
          <w:sz w:val="20"/>
        </w:rPr>
        <w:t>of these trademarks in 61 countries including the 27 European member countries of the Madrid Protocol.</w:t>
      </w:r>
    </w:p>
    <w:p>
      <w:pPr>
        <w:pStyle w:val="TextBody"/>
        <w:bidi w:val="0"/>
        <w:spacing w:lineRule="auto" w:line="276"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our employees, or our third-party sales agents or resellers have wrongfully used or disclosed alleged trade secrets of our competitors or are in breach of non-competition or non-solicitation agreements with our competitors.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or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changes in interest rates, investor risk appetite and other macroeconomic factors impacting the market for securities issued by medical device companies;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the risk of inflation, interest rate increases and other macroeconomic factors impacting patients’ economic ability and likelihood of undergoing elective procedures, whether real or as perceived by investors;</w:t>
      </w:r>
    </w:p>
    <w:p>
      <w:pPr>
        <w:pStyle w:val="TextBody"/>
        <w:bidi w:val="0"/>
        <w:spacing w:lineRule="auto" w:line="276" w:before="180" w:after="180"/>
        <w:ind w:left="0" w:right="0" w:hanging="45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results of our clinical trials and that of our competitors’ products;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negative publicity;</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litigation involving us, our industry, or both;</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76" w:before="180" w:after="180"/>
        <w:ind w:left="0" w:right="0" w:hanging="450"/>
        <w:jc w:val="left"/>
        <w:rPr/>
      </w:pPr>
      <w:r>
        <w:rPr>
          <w:color w:val="000000"/>
        </w:rPr>
        <w:t>•    </w:t>
      </w:r>
      <w:r>
        <w:rPr>
          <w:rFonts w:ascii="Times New Roman;sans-serif" w:hAnsi="Times New Roman;sans-serif"/>
          <w:b w:val="false"/>
          <w:color w:val="000000"/>
          <w:sz w:val="20"/>
        </w:rPr>
        <w:t>lock-up releases and sales of large blocks of our common stock;</w:t>
      </w:r>
      <w:r>
        <w:rPr>
          <w:color w:val="000000"/>
        </w:rPr>
        <w:t> </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additions or departures of key employees or scientific personnel; and</w:t>
      </w:r>
    </w:p>
    <w:p>
      <w:pPr>
        <w:pStyle w:val="TextBody"/>
        <w:bidi w:val="0"/>
        <w:spacing w:lineRule="auto" w:line="276" w:before="180" w:after="180"/>
        <w:ind w:left="0" w:right="0" w:hanging="450"/>
        <w:jc w:val="left"/>
        <w:rPr>
          <w:color w:val="000000"/>
        </w:rPr>
      </w:pPr>
      <w:r>
        <w:rPr>
          <w:color w:val="000000"/>
        </w:rPr>
        <w:t>•    </w:t>
      </w:r>
      <w:r>
        <w:rPr>
          <w:rFonts w:ascii="Times New Roman;sans-serif" w:hAnsi="Times New Roman;sans-serif"/>
          <w:b w:val="false"/>
          <w:color w:val="000000"/>
          <w:sz w:val="20"/>
        </w:rPr>
        <w:t>general economic conditions and trends.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sales volumes and our operating results may fluctuate over the course of the year, which could affect the price of our common stock.</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payor coverage and reimbursement;</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number of products sold in the quarter and our ability to drive increased sales of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ability to establish and maintain an effective and dedicated sales force;</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pricing pressure applicable to our products, including adverse third-party coverage and reimbursement outcomes;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COVID-19 or other infectious disease outbreaks on our business;</w:t>
      </w:r>
      <w:r>
        <w:rPr>
          <w:color w:val="000000"/>
        </w:rPr>
        <w:t xml:space="preserve"> </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results of clinical research and trials on our existing products and products in development;</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mix of our products sold because profit margins differ amongst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ability of our suppliers to timely provide us with an adequate supply of materials and components;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evolving product offerings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demand for, and pricing of, our products and the products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factors that may affect the sale of our products, including seasonality and budgets of our customers;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domestic and international regulatory clearances or approvals, or CE Certificates of Conformity, and legislative changes affecting the products we may offer or those of our competitors;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interruption in the manufacturing or distribution of our products;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effect of competing technological, industry and market developments;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our ability to expand the geographic reach of our sales and marketing efforts;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costs of maintaining adequate insurance coverage, including product liability insurance;</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availability and cost of components and materials;</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the number of selling days in the quarter;</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fluctuation in foreign currency exchange rates; and</w:t>
      </w:r>
    </w:p>
    <w:p>
      <w:pPr>
        <w:pStyle w:val="TextBody"/>
        <w:bidi w:val="0"/>
        <w:spacing w:lineRule="auto" w:line="276" w:before="180" w:after="180"/>
        <w:ind w:left="0" w:right="0" w:hanging="450"/>
        <w:jc w:val="both"/>
        <w:rPr/>
      </w:pPr>
      <w:r>
        <w:rPr>
          <w:color w:val="000000"/>
        </w:rPr>
        <w:t>•</w:t>
      </w:r>
      <w:r>
        <w:rPr>
          <w:rFonts w:ascii="Times New Roman;sans-serif" w:hAnsi="Times New Roman;sans-serif"/>
          <w:b w:val="false"/>
          <w:color w:val="000000"/>
          <w:sz w:val="20"/>
        </w:rPr>
        <w:t>impairment and other special charges.</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utilize our federal and state net operating loss carryforwards to reduce our income taxes.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As of December 31, 2023, we had net operating loss (“NOL”) carryforwards of $331.6 million and $259.6 million available to reduce future taxable income, if any, for U.S. federal income tax and state income tax purposes, respectively. If not utilized, our federal and state NOL carryforwards begin to expire in 2030 and 2023,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 unused U.S. federal NOLs generated in tax years beginning after December 31, 2017</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w:t>
      </w:r>
      <w:r>
        <w:rPr>
          <w:color w:val="000000"/>
          <w:shd w:fill="FFFFFF" w:val="clear"/>
        </w:rPr>
        <w:t xml:space="preserve"> </w:t>
      </w:r>
      <w:r>
        <w:rPr>
          <w:rFonts w:ascii="Times New Roman;sans-serif" w:hAnsi="Times New Roman;sans-serif"/>
          <w:b w:val="false"/>
          <w:color w:val="000000"/>
          <w:sz w:val="20"/>
        </w:rPr>
        <w:t xml:space="preserve">our NOLs and tax credit carryforwards are subject to limitation as a result of the ownership change. </w:t>
      </w:r>
    </w:p>
    <w:p>
      <w:pPr>
        <w:pStyle w:val="TextBody"/>
        <w:bidi w:val="0"/>
        <w:spacing w:lineRule="auto" w:line="276" w:before="240" w:after="2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charter documents and Delaware law could discourage takeover attempts and lead to management entrenchment.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76" w:before="180" w:after="180"/>
        <w:ind w:left="0" w:right="0" w:hanging="450"/>
        <w:jc w:val="both"/>
        <w:rPr>
          <w:color w:val="000000"/>
        </w:rPr>
      </w:pPr>
      <w:r>
        <w:rPr>
          <w:color w:val="000000"/>
        </w:rPr>
        <w:t>•    </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bidi w:val="0"/>
        <w:spacing w:lineRule="auto" w:line="276" w:before="180" w:after="180"/>
        <w:ind w:left="0" w:right="0" w:hanging="450"/>
        <w:jc w:val="both"/>
        <w:rPr/>
      </w:pPr>
      <w:r>
        <w:rPr>
          <w:color w:val="000000"/>
        </w:rPr>
        <w:t>•    </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The existence of these provisions could negatively affect the price of our common stock and limit opportunities for our stockholders to realize value in a corporate transaction.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bidi w:val="0"/>
        <w:spacing w:lineRule="auto" w:line="276" w:before="0" w:after="0"/>
        <w:jc w:val="both"/>
        <w:rPr/>
      </w:pPr>
      <w:r>
        <w:rPr>
          <w:rFonts w:ascii="Times New Roman;sans-serif" w:hAnsi="Times New Roman;sans-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r>
        <w:rPr>
          <w:rFonts w:ascii="Times New Roman;sans-serif" w:hAnsi="Times New Roman;sans-serif"/>
          <w:b/>
          <w:i/>
          <w:color w:val="008080"/>
          <w:sz w:val="24"/>
        </w:rPr>
        <w: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loan and security agreement contains covenants that may restrict our business and financing activities.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(as amended, the "Amended Loan Agreement") with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is secured by substantially all our assets other than our intellectual property, which intellectual property is subject to a negative pledge under the terms of the Amended Loan Agreement.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Loan Agreement with First-Citizens provides for a secured revolving credit facility (the “Revolving Line”), in an aggregate principal amount of up to $15.0 million. The Revolving Line matures on July 6, 2025. As of December 31, 2023, we had not drawn on this credit facility. On March 10, 2023, we violated certain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Any future violation of any of the covenants, as amended, could result in a default under the Amended Loan Agreement that would permit First-Citizens to restrict our ability to further access the Revolving Line for loans and require the immediate repayment of any outstanding loans under the agreement. In addition, certain provisions in the these covenants are subject to renegotiation at the beginning of each fiscal year, which further reduces our ability to anticipate whether this source of capital will continue to be available in the near term. As of December 31, 2023, we had cash management accounts with a financial institution other than First-Citizens and instructed our customers to direct payments to us to these separate operating accounts. Until certain such customer payments to third party operating accounts are re-directed to the cash collateral accounts with First-Citizens, and certain account balances are moved back to cash collateral accounts and other accounts held at First-Citizens, we will be unable to obtain credit advances under the Revolving Line. See “Note 7. Borrowings” to the “Notes to Consolidated Financial Statements” included in this report.</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The Amended Loan Agreement terminates on December 1, 2027, and if we cannot renew or refinance this facility or obtain funding when needed, in each case on acceptable terms, such conditions may have an adverse effect on our ability to operate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312" w:before="18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 management and strategy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We recognize the importance of protecting our critical information technology (“IT”) systems and data from material risks from cybersecurity threats. Risk management for cybersecurity threats is integrated into our overall enterprise risk management system.</w:t>
      </w:r>
      <w:r>
        <w:rPr>
          <w:color w:val="000000"/>
        </w:rPr>
        <w:t xml:space="preserve"> </w:t>
      </w:r>
      <w:r>
        <w:rPr>
          <w:rFonts w:ascii="Times New Roman;sans-serif" w:hAnsi="Times New Roman;sans-serif"/>
          <w:b w:val="false"/>
          <w:color w:val="000000"/>
          <w:sz w:val="20"/>
        </w:rPr>
        <w:t>We consider cybersecurity risks alongside other business risks. Our risk management framework includes risk assessments, internal controls, and systems monitoring mechanisms.</w:t>
      </w:r>
      <w:r>
        <w:rPr>
          <w:color w:val="000000"/>
        </w:rPr>
        <w:t xml:space="preserve"> </w:t>
      </w:r>
      <w:r>
        <w:rPr>
          <w:rFonts w:ascii="Times New Roman;sans-serif" w:hAnsi="Times New Roman;sans-serif"/>
          <w:b w:val="false"/>
          <w:color w:val="000000"/>
          <w:sz w:val="20"/>
        </w:rPr>
        <w:t xml:space="preserve">We have established processes designed to assess, identify, and manage material risks from cybersecurity threats to our IT systems and critical data, including intellectual property, confidential information, and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data (“Information Systems and Data”).</w:t>
      </w:r>
      <w:r>
        <w:rPr>
          <w:color w:val="000000"/>
        </w:rPr>
        <w:t xml:space="preserve"> </w:t>
      </w:r>
      <w:r>
        <w:rPr>
          <w:rFonts w:ascii="Times New Roman;sans-serif" w:hAnsi="Times New Roman;sans-serif"/>
          <w:b w:val="false"/>
          <w:color w:val="000000"/>
          <w:sz w:val="20"/>
        </w:rPr>
        <w:t>Third parties also play a role in our cybersecurity efforts. We engage third-party services to assist us from time to time to conduct evaluations of our security controls, whether through penetration testing, independent audits or consulting on practices to address new challenges.</w:t>
      </w:r>
      <w:r>
        <w:rPr>
          <w:color w:val="000000"/>
        </w:rPr>
        <w:t xml:space="preserve"> </w:t>
      </w:r>
      <w:r>
        <w:rPr>
          <w:rFonts w:ascii="Times New Roman;sans-serif" w:hAnsi="Times New Roman;sans-serif"/>
          <w:b w:val="false"/>
          <w:color w:val="000000"/>
          <w:sz w:val="20"/>
        </w:rPr>
        <w:t>We conduct audits and evaluations of our IT infrastructure, network architecture, and software applications to help us identify vulnerabilities, potential entry points, and areas for improvement.</w:t>
      </w:r>
      <w:r>
        <w:rPr>
          <w:color w:val="000000"/>
        </w:rPr>
        <w:t xml:space="preserve"> </w:t>
      </w:r>
      <w:r>
        <w:rPr>
          <w:rFonts w:ascii="Times New Roman;sans-serif" w:hAnsi="Times New Roman;sans-serif"/>
          <w:b w:val="false"/>
          <w:color w:val="000000"/>
          <w:sz w:val="20"/>
        </w:rPr>
        <w:t xml:space="preserve">We perform assessments considering principles from the National Institute of Standards and Technology Cybersecurity Framework and by using an external third-party security assessor from time to time.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we employ strategies and practices designed to protect and mitigate cybersecurity material risks to our Information Systems and Data, including but not limited to:</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Utilizing third-party tools to monitor threats and cybersecurity vulnerabilities, reduce risk, and enhance governance, risk, and compliance management.</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Engaging a managed cybersecurity service provider to monitor and assess cybersecurity threats, serve as a point of contact for incident notification, and collaborate with our in-house IT team.</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Maintaining security policies, procedures, and standards considering evolving threats and industry standards.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Engaging external subject matter experts and advisors to inform us of current cyber practices, policies, and programs.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Conducting tabletop exercises focused on scenarios such as ransomware, disaster recovery, and business continuity.</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Providing mandatory annual security and privacy awareness training to all employees who have access to company email and connected devices.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Conducting phishing simulations and cyber hygiene training sessions to educate employees and promote responsible cybersecurity practices.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Maintaining an incident response plan and conducting tabletop exercises.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have established an incident response team, which is led by our IT, legal, and compliance leaders and is comprised of stakeholders from various departments in the Company.</w:t>
      </w:r>
      <w:r>
        <w:rPr>
          <w:color w:val="000000"/>
        </w:rPr>
        <w:t xml:space="preserve"> </w:t>
      </w:r>
      <w:r>
        <w:rPr>
          <w:rFonts w:ascii="Times New Roman;sans-serif" w:hAnsi="Times New Roman;sans-serif"/>
          <w:b w:val="false"/>
          <w:color w:val="000000"/>
          <w:sz w:val="20"/>
        </w:rPr>
        <w:t xml:space="preserve">A designated member from our IT team is responsible for conducting incident assessments, determining severity levels, informing relevant stakeholder, such as the incident response team and senior management, and maintaining documentation of the remediation activity.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security incident, our incident response processes are designed to escalate certain cybersecurity incidents to senior leadership, the audit committee and the board of directors, as deemed appropriate.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audit committee is responsible for overseeing our cybersecurity risk management processes, including regarding cybersecurity threats.</w:t>
      </w:r>
      <w:r>
        <w:rPr>
          <w:color w:val="000000"/>
        </w:rPr>
        <w:t xml:space="preserve"> </w:t>
      </w:r>
      <w:r>
        <w:rPr>
          <w:rFonts w:ascii="Times New Roman;sans-serif" w:hAnsi="Times New Roman;sans-serif"/>
          <w:b w:val="false"/>
          <w:color w:val="000000"/>
          <w:sz w:val="20"/>
        </w:rPr>
        <w:t>Our CFO, Anshul Maheshwari, and Senior Vice President of Operations &amp; Technology, Jeff Bertolini, provide briefings to our audit committee on the effectiveness and progress of our cybersecurity risk management program on regular basis.</w:t>
      </w:r>
      <w:r>
        <w:rPr>
          <w:color w:val="000000"/>
        </w:rPr>
        <w:t xml:space="preserve"> </w:t>
      </w:r>
      <w:r>
        <w:rPr>
          <w:rFonts w:ascii="Times New Roman;sans-serif" w:hAnsi="Times New Roman;sans-serif"/>
          <w:b w:val="false"/>
          <w:color w:val="000000"/>
          <w:sz w:val="20"/>
        </w:rPr>
        <w:t>Mr. Bertolini has completed the Chief Technology Officer program at the Wharton School of the University of Pennsylvania and has over 30 years of experience leading all aspects of operations and IT. Our board of directors receives regular reports from our audit committee chair regarding our cyber risk management programs, potential cybersecurity risks, efforts to mitigate such risks, and the audit committee’s oversight of these activities.</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risks from cybersecurity threats that may materially affect the Company and how they may do so, see Item 1A. “Risk Factors”, including “If we experience significant disruptions in our information technology systems,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 xml:space="preserve">Our leased headquarters in Santa Clara, California, comprises approximately 21,848 square feet, and the lease for this space expires in May 2025. Our headquarters houses our product development, marketing, finance, education, and administration functions. </w:t>
      </w:r>
      <w:r>
        <w:rPr>
          <w:rFonts w:ascii="Times New Roman;sans-serif" w:hAnsi="Times New Roman;sans-serif"/>
          <w:b w:val="false"/>
          <w:color w:val="000000"/>
          <w:sz w:val="20"/>
        </w:rPr>
        <w:t xml:space="preserve">We also lease research and development and warehouse space in another building in Santa Clara, California under a lease that will expire in October 2026, and office spaces in Gallarate, Italy which expires in August 2027 to accommodate our European sales and marketing team. </w:t>
      </w:r>
      <w:r>
        <w:rPr>
          <w:rFonts w:ascii="Times New Roman;sans-serif" w:hAnsi="Times New Roman;sans-serif"/>
          <w:b w:val="false"/>
          <w:color w:val="000000"/>
          <w:sz w:val="20"/>
          <w:shd w:fill="FFFFFF" w:val="clear"/>
        </w:rPr>
        <w:t xml:space="preserve">We believe our facilities are adequate and suitable for our current needs but in the future we may need additional space.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2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312" w:before="0" w:after="240"/>
        <w:jc w:val="both"/>
        <w:rPr>
          <w:rFonts w:ascii="Times New Roman;sans-serif" w:hAnsi="Times New Roman;sans-serif"/>
          <w:b/>
          <w:color w:val="000000"/>
          <w:sz w:val="20"/>
        </w:rPr>
      </w:pPr>
      <w:r>
        <w:rPr>
          <w:rFonts w:ascii="Times New Roman;sans-serif" w:hAnsi="Times New Roman;sans-serif"/>
          <w:b/>
          <w:color w:val="000000"/>
          <w:sz w:val="20"/>
        </w:rPr>
        <w:t>Market Price of Common Stock</w:t>
      </w:r>
    </w:p>
    <w:p>
      <w:pPr>
        <w:pStyle w:val="TextBody"/>
        <w:bidi w:val="0"/>
        <w:spacing w:lineRule="auto" w:line="312"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w:t>
      </w: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20, 2024, we had 132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312" w:before="0" w:after="24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312" w:before="0" w:after="24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never declared or paid any cash dividends on our capital stock, and we do not currently intend to pay any cash dividends on our capital stock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100" w:after="10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Annual Report on Form 10-K,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include a series of patented titanium implants and the instruments used to implant them, as well as implantable bone products. Since launching our first generation iFuse in 2009, we have launched new titanium implant product lines, iFuse-3D in 2017, iFuse-TORQ in 2021 and iFuse Bedrock Granite in 2022. Within the United States, our iFuse, iFuse-3D and iFuse-TORQ have clearances for applications across sacroiliac joint dysfunction and fusion, adult deformity and degeneration, and pelvic trauma. </w:t>
      </w:r>
    </w:p>
    <w:p>
      <w:pPr>
        <w:pStyle w:val="TextBody"/>
        <w:bidi w:val="0"/>
        <w:spacing w:lineRule="auto" w:line="276"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in the United States, and with a combination of a direct sales force and sales agents in other countries. As of December 31, 2023, more than 95,000 procedures have been performed by over 3,600 physicians in the United States and 38 other countries since we introduced iFuse in 2009.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U.S. sales force consisted of 82 territory sales managers and 69 clinical support specialists directly employed by us and 175 third-party sales agents, compared to 88 territory sales managers and 73 clinical support specialists directly employed by us and 105 third-party sales agent as of December 31, 2022. As of December 31, 2023, our international sales force consisted of 14 sales representatives directly employed by us and 31 third-party sales agents and resellers, compared to 18 sales representatives directly employed by us and 30 third-party sales agents and resellers as of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over 20 percent of our procedures for sacroiliac joint dysfunction were performed at ambulatory surgery centers, or ASCs.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physicians in their area who perform minimally invasive sacroiliac joint procedures through our Find-a-Doctor website tool. Through a variety of channels, including search, social and display, we have deployed a number of campaigns and are continually optimizing to maximize patient awareness and to connect patients with physicians. Our data-driven approach enables us to focus our investment on the most cost-effective programs. </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Physician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physician and other healthcare professionals about the clinical merits and patient benefits of our solutions will be important to grow physician adoption.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we have several initiatives to re-engage inactive physicians.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SI-BONE SImulator - a portable, radiation-free, haptics and computer-based simulator - for training purposes, and optimize our programs to improve adoption rate, time to first case and ultimately physician productivity.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targeting over 12,000 U.S. physicians including over 8,000 orthopedic and neurological surgeons and approximately 4,500 interventional spine physicians, to perform our procedures. As of December 31, 2023 and 2022, in the United States more than 2,700 physicians and 2,200 physicians, respectively, have been trained on iFuse and have treated at least one patient. Outside the United States, as of December 31, 2023 and 2022, more than 900 and 800 physicians, respectively, have been trained on iFuse and have treated at least one patient. Since launching our academic training program in August 2018, we have trained residents and fellows in over 240 academic programs in the United States, resulting in the training of approximately 1,600 surgical residents and fellows. </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physicians with a comprehensive set of alternatives, and positions us as the top choice for physicians for sacropelvic solutions. We also offer an allograft bone implant for physicians who believe that this kind of implant can be important to obtaining stabilization and /or fusion.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multi-center randomized controlled trial of two different methods for pelvic fixation in adult patients undergoing multi-segmental, or long-construct, spinal fusion. We anticipate the results for the primary endpoint in 2025.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 We are working with a select group of physicians on STACI, a prospective study on the use of iFuse-TORQ in patients with sacroiliac joint dysfunction. The purpose of STACI is to provide post-market information on the safety and effectiveness of minimally invasive sacroiliac joint fusion procedures performed with iFuse-TORQ.</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research and development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In 2023, we spent $15.0 million on research and development, equating to 11% of our 2023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commitment to employee retention by leveraging insights from exit interviews and engagement surveys to continuously enhance the workplace experience.</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Our average revenue per territory sales manager has increased to approximately $1.6 million in fiscal year 2023, from $1.2 million in fiscal year 2022.</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pStyle w:val="TextBody"/>
        <w:bidi w:val="0"/>
        <w:spacing w:lineRule="auto" w:line="276" w:before="36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Term Loan.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consolidated financial statements:</w:t>
      </w:r>
    </w:p>
    <w:tbl>
      <w:tblPr>
        <w:tblW w:w="9598" w:type="dxa"/>
        <w:jc w:val="center"/>
        <w:tblInd w:w="0" w:type="dxa"/>
        <w:tblLayout w:type="fixed"/>
        <w:tblCellMar>
          <w:top w:w="28" w:type="dxa"/>
          <w:left w:w="28" w:type="dxa"/>
          <w:bottom w:w="28" w:type="dxa"/>
          <w:right w:w="28" w:type="dxa"/>
        </w:tblCellMar>
      </w:tblPr>
      <w:tblGrid>
        <w:gridCol w:w="1413"/>
        <w:gridCol w:w="1242"/>
        <w:gridCol w:w="1245"/>
        <w:gridCol w:w="266"/>
        <w:gridCol w:w="1042"/>
        <w:gridCol w:w="137"/>
        <w:gridCol w:w="137"/>
        <w:gridCol w:w="137"/>
        <w:gridCol w:w="137"/>
        <w:gridCol w:w="233"/>
        <w:gridCol w:w="233"/>
        <w:gridCol w:w="341"/>
        <w:gridCol w:w="109"/>
        <w:gridCol w:w="109"/>
        <w:gridCol w:w="109"/>
        <w:gridCol w:w="265"/>
        <w:gridCol w:w="1037"/>
        <w:gridCol w:w="136"/>
        <w:gridCol w:w="136"/>
        <w:gridCol w:w="136"/>
        <w:gridCol w:w="136"/>
        <w:gridCol w:w="233"/>
        <w:gridCol w:w="233"/>
        <w:gridCol w:w="396"/>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150,313 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United States. Revenue by geography is based on billing address of the customer. The table below summarizes our revenue by geography:</w:t>
      </w:r>
    </w:p>
    <w:tbl>
      <w:tblPr>
        <w:tblW w:w="6852" w:type="dxa"/>
        <w:jc w:val="center"/>
        <w:tblInd w:w="0" w:type="dxa"/>
        <w:tblLayout w:type="fixed"/>
        <w:tblCellMar>
          <w:top w:w="28" w:type="dxa"/>
          <w:left w:w="28" w:type="dxa"/>
          <w:bottom w:w="28" w:type="dxa"/>
          <w:right w:w="28" w:type="dxa"/>
        </w:tblCellMar>
      </w:tblPr>
      <w:tblGrid>
        <w:gridCol w:w="435"/>
        <w:gridCol w:w="381"/>
        <w:gridCol w:w="383"/>
        <w:gridCol w:w="266"/>
        <w:gridCol w:w="1042"/>
        <w:gridCol w:w="137"/>
        <w:gridCol w:w="137"/>
        <w:gridCol w:w="137"/>
        <w:gridCol w:w="137"/>
        <w:gridCol w:w="209"/>
        <w:gridCol w:w="212"/>
        <w:gridCol w:w="341"/>
        <w:gridCol w:w="109"/>
        <w:gridCol w:w="109"/>
        <w:gridCol w:w="109"/>
        <w:gridCol w:w="265"/>
        <w:gridCol w:w="1037"/>
        <w:gridCol w:w="136"/>
        <w:gridCol w:w="136"/>
        <w:gridCol w:w="136"/>
        <w:gridCol w:w="136"/>
        <w:gridCol w:w="232"/>
        <w:gridCol w:w="234"/>
        <w:gridCol w:w="39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40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2023 and 2022 </w:t>
      </w:r>
    </w:p>
    <w:p>
      <w:pPr>
        <w:pStyle w:val="TextBody"/>
        <w:bidi w:val="0"/>
        <w:spacing w:lineRule="auto" w:line="288" w:before="240" w:after="283"/>
        <w:jc w:val="both"/>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249" w:type="dxa"/>
        <w:jc w:val="center"/>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68" w:before="0" w:after="0"/>
        <w:ind w:left="0" w:right="0" w:firstLine="495"/>
        <w:jc w:val="left"/>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year ended December 31, 2023 compared to the year ended December 31, 2022 comprised a $31.9 million increase in our U.S. revenue and an increase of $0.6 million i</w:t>
      </w:r>
      <w:r>
        <w:rPr>
          <w:rFonts w:ascii="Times New Roman;sans-serif" w:hAnsi="Times New Roman;sans-serif"/>
          <w:b w:val="false"/>
          <w:color w:val="000000"/>
          <w:sz w:val="20"/>
          <w:shd w:fill="FFFFFF" w:val="clear"/>
        </w:rPr>
        <w:t xml:space="preserve">n our international revenue. The increase in revenue is due to the increase in case volumes, driven by a seasoned and growing base of active physicians and an expanded product portfolio.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95"/>
        <w:jc w:val="left"/>
        <w:rPr/>
      </w:pPr>
      <w:r>
        <w:rPr>
          <w:rFonts w:ascii="Times New Roman;sans-serif" w:hAnsi="Times New Roman;sans-serif"/>
          <w:b w:val="false"/>
          <w:i/>
          <w:color w:val="000000"/>
          <w:sz w:val="20"/>
          <w:shd w:fill="FFFFFF" w:val="clear"/>
        </w:rPr>
        <w:t>Gross Profit and Gross Margin.</w:t>
      </w:r>
      <w:r>
        <w:rPr>
          <w:color w:val="000000"/>
          <w:shd w:fill="FFFFFF" w:val="clear"/>
        </w:rPr>
        <w:t xml:space="preserve"> </w:t>
      </w:r>
      <w:r>
        <w:rPr>
          <w:rFonts w:ascii="Times New Roman;sans-serif" w:hAnsi="Times New Roman;sans-serif"/>
          <w:b w:val="false"/>
          <w:color w:val="000000"/>
          <w:sz w:val="20"/>
          <w:shd w:fill="FFFFFF" w:val="clear"/>
        </w:rPr>
        <w:t xml:space="preserve">Gross profit increased $18.7 million for the year ended December 31, 2023 compared to the year ended December 31, 2022 driven by higher revenue. Gross margin was 79% for the year ended December 31, 2023 compared to 85% in the prior year. Gross margin decreased </w:t>
      </w:r>
      <w:r>
        <w:rPr>
          <w:rFonts w:ascii="Times New Roman;sans-serif" w:hAnsi="Times New Roman;sans-serif"/>
          <w:b w:val="false"/>
          <w:color w:val="000000"/>
          <w:sz w:val="20"/>
        </w:rPr>
        <w:t>due to procedure and product mix given the higher total costs of iFuse-TORQ and iFuse Bedrock Granite implants including royalties, the increase in inventory reserve expense and the increase in depreciation costs to support the growth of the business</w:t>
      </w:r>
      <w:r>
        <w:rPr>
          <w:rFonts w:ascii="Times New Roman;sans-serif" w:hAnsi="Times New Roman;sans-serif"/>
          <w:b w:val="false"/>
          <w:color w:val="000000"/>
          <w:sz w:val="20"/>
          <w:shd w:fill="FFFFFF" w:val="clear"/>
        </w:rPr>
        <w:t xml:space="preserve">. </w:t>
      </w:r>
    </w:p>
    <w:p>
      <w:pPr>
        <w:pStyle w:val="TextBody"/>
        <w:bidi w:val="0"/>
        <w:spacing w:lineRule="auto" w:line="288" w:before="240" w:after="120"/>
        <w:jc w:val="left"/>
        <w:rPr/>
      </w:pPr>
      <w:r>
        <w:rPr>
          <w:rFonts w:ascii="Times New Roman;sans-serif" w:hAnsi="Times New Roman;sans-serif"/>
          <w:b/>
          <w:i/>
          <w:color w:val="000000"/>
          <w:sz w:val="20"/>
          <w:shd w:fill="FFFFFF" w:val="clear"/>
        </w:rPr>
        <w:t>Operating Expenses</w:t>
      </w:r>
      <w:r>
        <w:rPr>
          <w:rFonts w:ascii="Times New Roman;sans-serif" w:hAnsi="Times New Roman;sans-serif"/>
          <w:b w:val="false"/>
          <w:color w:val="000000"/>
          <w:sz w:val="20"/>
          <w:shd w:fill="FFFFFF" w:val="clear"/>
        </w:rPr>
        <w:t>:</w:t>
      </w:r>
    </w:p>
    <w:tbl>
      <w:tblPr>
        <w:tblW w:w="7495" w:type="dxa"/>
        <w:jc w:val="center"/>
        <w:tblInd w:w="0" w:type="dxa"/>
        <w:tblLayout w:type="fixed"/>
        <w:tblCellMar>
          <w:top w:w="28" w:type="dxa"/>
          <w:left w:w="28" w:type="dxa"/>
          <w:bottom w:w="28" w:type="dxa"/>
          <w:right w:w="28" w:type="dxa"/>
        </w:tblCellMar>
      </w:tblPr>
      <w:tblGrid>
        <w:gridCol w:w="835"/>
        <w:gridCol w:w="735"/>
        <w:gridCol w:w="740"/>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99"/>
        <w:gridCol w:w="199"/>
        <w:gridCol w:w="578"/>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pPr>
      <w:r>
        <w:rPr>
          <w:rFonts w:ascii="Times New Roman;sans-serif" w:hAnsi="Times New Roman;sans-serif"/>
          <w:b w:val="false"/>
          <w:i/>
          <w:color w:val="000000"/>
          <w:sz w:val="20"/>
          <w:shd w:fill="FFFFFF" w:val="clear"/>
        </w:rPr>
        <w:t xml:space="preserve">Sales and Marketing Expenses. </w:t>
      </w:r>
      <w:r>
        <w:rPr>
          <w:rFonts w:ascii="Times New Roman;sans-serif" w:hAnsi="Times New Roman;sans-serif"/>
          <w:b w:val="false"/>
          <w:color w:val="000000"/>
          <w:sz w:val="20"/>
          <w:shd w:fill="FFFFFF" w:val="clear"/>
        </w:rPr>
        <w:t>The increase in sales and marketing expenses for the year ended December 31, 2023 as compared to the year ended December 31, 2022 was</w:t>
      </w:r>
      <w:r>
        <w:rPr>
          <w:color w:val="000000"/>
        </w:rPr>
        <w:t xml:space="preserve"> </w:t>
      </w:r>
      <w:r>
        <w:rPr>
          <w:rFonts w:ascii="Times New Roman;sans-serif" w:hAnsi="Times New Roman;sans-serif"/>
          <w:b w:val="false"/>
          <w:color w:val="000000"/>
          <w:sz w:val="20"/>
        </w:rPr>
        <w:t>primarily due to a $6.1 million increase in commissions driven by higher revenues, partially offset by a $3.6 million decrease in employee related costs and travel related costs driven by lower headcount within sales and marketing as well as timing of certain commercial activities.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year ended December 31, 2023 as compared to the year ended December 31, 2022 was primarily due to a $0.9 million increase in employee related costs and stock-based compensation due to higher compensation, a $0.4 million increase in consulting costs and travel related costs driven by more projects in development, and a $0.1 million increase in facilities and other related costs resulting from the research and development facility.</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year ended December 31, 2023 as compared to the year ended December 31, 2022 was primarily due to a $1.6 million increase in employee related costs and stock-based compensation, a $0.6 million increase in the allowance for credit losses and a $0.3 million increase in accounting and audit fees primarily associated with Sarbanes-Oxley compliance requirements, partially offset by a $0.4 million decrease in consulting costs.</w:t>
      </w:r>
    </w:p>
    <w:p>
      <w:pPr>
        <w:pStyle w:val="TextBody"/>
        <w:bidi w:val="0"/>
        <w:spacing w:lineRule="auto" w:line="288" w:before="240" w:after="283"/>
        <w:jc w:val="left"/>
        <w:rPr/>
      </w:pPr>
      <w:r>
        <w:rPr>
          <w:rFonts w:ascii="Times New Roman;sans-serif" w:hAnsi="Times New Roman;sans-serif"/>
          <w:b/>
          <w:i/>
          <w:color w:val="000000"/>
          <w:sz w:val="20"/>
          <w:shd w:fill="FFFFFF" w:val="clear"/>
        </w:rPr>
        <w:t>Interest and Other Income (Expense), Net</w:t>
      </w:r>
      <w:r>
        <w:rPr>
          <w:rFonts w:ascii="Times New Roman;sans-serif" w:hAnsi="Times New Roman;sans-serif"/>
          <w:b w:val="false"/>
          <w:color w:val="000000"/>
          <w:sz w:val="20"/>
          <w:shd w:fill="FFFFFF" w:val="clear"/>
        </w:rPr>
        <w:t>:</w:t>
      </w:r>
    </w:p>
    <w:tbl>
      <w:tblPr>
        <w:tblW w:w="8733" w:type="dxa"/>
        <w:jc w:val="center"/>
        <w:tblInd w:w="0" w:type="dxa"/>
        <w:tblLayout w:type="fixed"/>
        <w:tblCellMar>
          <w:top w:w="28" w:type="dxa"/>
          <w:left w:w="28" w:type="dxa"/>
          <w:bottom w:w="28" w:type="dxa"/>
          <w:right w:w="28" w:type="dxa"/>
        </w:tblCellMar>
      </w:tblPr>
      <w:tblGrid>
        <w:gridCol w:w="1386"/>
        <w:gridCol w:w="1217"/>
        <w:gridCol w:w="1222"/>
        <w:gridCol w:w="211"/>
        <w:gridCol w:w="616"/>
        <w:gridCol w:w="109"/>
        <w:gridCol w:w="109"/>
        <w:gridCol w:w="109"/>
        <w:gridCol w:w="109"/>
        <w:gridCol w:w="211"/>
        <w:gridCol w:w="691"/>
        <w:gridCol w:w="109"/>
        <w:gridCol w:w="109"/>
        <w:gridCol w:w="109"/>
        <w:gridCol w:w="109"/>
        <w:gridCol w:w="211"/>
        <w:gridCol w:w="616"/>
        <w:gridCol w:w="109"/>
        <w:gridCol w:w="109"/>
        <w:gridCol w:w="109"/>
        <w:gridCol w:w="109"/>
        <w:gridCol w:w="233"/>
        <w:gridCol w:w="233"/>
        <w:gridCol w:w="578"/>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78" w:type="dxa"/>
            <w:tcBorders/>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income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year ended December 31, 2023 as compared to the year ended December 31, 2022 was mainly due to higher interest earned on our investments in marketable securities, primarily as a result of higher interest rates earned on higher cash and investment balances.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year ended December 31, 2023 as compared to the year ended December 31, 2022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Other income (expense), net changed from expense to income for the year ended December 31, 2023 as compared to the year ended December 31, 2022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marketable securities of $166.0 million compared to $97.3 million as of December 31, 2022. We have financed our operations primarily through our public offerings and debt financing arrangements. As of December 31, 2023 and 2022 we had $36.1 million and $35.2 million outstanding debt, respectively.</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an accumulated deficit of $400.4 million. During the years ended December 31, 2023 and 2022, we incurred a net loss of $43.3 million and $61.3 million, respectively, and expect to incur additional losses in the future. We have not achieved positive cash flow from operations to date.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after deducting the underwriting discounts and commissions from the public offering of our common stock.</w:t>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trays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debt is related to a term loan pursuant to the Loan and Security Agreement dated August 12, 2021 (the “Effective Date”), entered into by us and Silicon Valley Bank (“SVB”). Pursuant the agreement, SVB provided a term loan in the aggregate principal amount of $35.0 million to us (the “Original Term Loan”).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(the “Amendment”) with SVB, which amends our Original Term Loan pursuant to which we had a term loan facility in an aggregate principal amount of $35.0 million (the “Original Loan Agreement” and with the Amendment, collectively the “Amended Loan Agreement”). Upon entry into the Amended Loan Agreement, we borrowed $36.0 million pursuant to a new term loan (the “Term Loan”), which was substantially used to repay in full the $35.0 million term loan facility outstanding under the Original Loan Agreement and secured a revolving credit facility in an aggregate principal amount of up to $15.0 million (the “Revolving Line"). 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our request. The Term Loan matures on December 1, 2027 (the “Term Loan Maturity Date”). Interest on the Term Loan will be payable monthly at a floating annual rate set at the greater of the prime rate as published in the Wall Street Journal plus 0.5% or 6.75%. Commencing on July 1, 2025, we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we do not maintain an adjusted quick ratio of at least 1.5 to 1.0, then falling below such threshold will allow First-Citizens to apply accounts receivable collections to outstanding Revolving Line borrowings. We will pay a total commitment fee of $187,500 on account of the Revolving Line payable in installments, but fully earned at close. We will also be required to pay a fee of $150,000 if we terminate the Amended Loan Agreement or the Revolving Line prior to Revolving Line Maturity Date, or if First-Citizens terminates the Loan Agreement or the Revolving Line following an event of default. No termination fee would be due if the Revolving Line is replaced with a new facility with First-Citizens. No amounts were outstanding under the Revolving Line as of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violated certain terms of the credit facility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the Revolving Line of Credit for loans and require the immediate repayment of any outstanding loans under the agreement. As of December 31, 2023, we were in compliance with all debt covenants, provided, however, that in order to access future credit advances under the Revolving Line of Credit, we will be required to redirect certain customer payments and transfer certain cash management account balances, in each case, back to First-Citizens. As of December 31, 2023, we had cash management accounts with a financial institution other than First-Citizens and instructed our customers to direct payments to us to these separate operating accounts. Until such customer payments are directed back to certain First-Citizens cash collateral accounts, and certain balances and funds are moved back to the First-Citizens cash collateral accounts and other accounts held at First-Citizens, we will be unable to obtain credit advances under the Revolving Line.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Amended Loan Agreement contains a financial covenant which requires us to maintain, at all times during which we are subject to financial covenants under the Amended Loan Agreement is in effect, certain net revenue levels as agreed upon by us and First-Citizens. If we do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Revolving Line, require the immediate payment of all loans and other amounts outstanding under the Amended Loan Agreement, and foreclose on all collateral. </w:t>
      </w:r>
    </w:p>
    <w:p>
      <w:pPr>
        <w:pStyle w:val="TextBody"/>
        <w:bidi w:val="0"/>
        <w:spacing w:lineRule="auto" w:line="276"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239"/>
        <w:gridCol w:w="1031"/>
        <w:gridCol w:w="1038"/>
        <w:gridCol w:w="211"/>
        <w:gridCol w:w="721"/>
        <w:gridCol w:w="109"/>
        <w:gridCol w:w="109"/>
        <w:gridCol w:w="109"/>
        <w:gridCol w:w="109"/>
        <w:gridCol w:w="271"/>
        <w:gridCol w:w="793"/>
        <w:gridCol w:w="140"/>
        <w:gridCol w:w="109"/>
        <w:gridCol w:w="109"/>
        <w:gridCol w:w="109"/>
        <w:gridCol w:w="211"/>
        <w:gridCol w:w="721"/>
        <w:gridCol w:w="109"/>
        <w:gridCol w:w="109"/>
        <w:gridCol w:w="109"/>
        <w:gridCol w:w="109"/>
        <w:gridCol w:w="211"/>
        <w:gridCol w:w="721"/>
        <w:gridCol w:w="109"/>
        <w:gridCol w:w="109"/>
        <w:gridCol w:w="109"/>
        <w:gridCol w:w="109"/>
        <w:gridCol w:w="344"/>
        <w:gridCol w:w="663"/>
        <w:gridCol w:w="255"/>
      </w:tblGrid>
      <w:tr>
        <w:trPr/>
        <w:tc>
          <w:tcPr>
            <w:tcW w:w="123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and final fee on long-term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and the final fee at maturities of our First-Citizens Term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future interest obligations on our First-Citizens Term Loan estimated using an interest rate of 9.0% as of December 31,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compared to $48.7 million of contractual obligations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5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350" w:type="dxa"/>
        <w:jc w:val="center"/>
        <w:tblInd w:w="0" w:type="dxa"/>
        <w:tblLayout w:type="fixed"/>
        <w:tblCellMar>
          <w:top w:w="28" w:type="dxa"/>
          <w:left w:w="28" w:type="dxa"/>
          <w:bottom w:w="28" w:type="dxa"/>
          <w:right w:w="28" w:type="dxa"/>
        </w:tblCellMar>
      </w:tblPr>
      <w:tblGrid>
        <w:gridCol w:w="1864"/>
        <w:gridCol w:w="1644"/>
        <w:gridCol w:w="1652"/>
        <w:gridCol w:w="211"/>
        <w:gridCol w:w="796"/>
        <w:gridCol w:w="109"/>
        <w:gridCol w:w="109"/>
        <w:gridCol w:w="109"/>
        <w:gridCol w:w="109"/>
        <w:gridCol w:w="211"/>
        <w:gridCol w:w="796"/>
        <w:gridCol w:w="109"/>
        <w:gridCol w:w="109"/>
        <w:gridCol w:w="109"/>
        <w:gridCol w:w="109"/>
        <w:gridCol w:w="211"/>
        <w:gridCol w:w="721"/>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Net cash used in operating activities for the year ended December 31, 2023 of $18.7 million resulted from cash outflows due to net loss of $43.3 million, adjusted for $29.5 million of non-cash items and cash outflows from changes in operating assets and liabilities of $4.8 million. Net cash used in operation activities for the year ended December 31, 2022 of $41.7 million resulted from cash outflows due to net loss of $61.3 million, adjusted for $27.6 million of non-cash items and cash outflows from changes in operating assets and liabilities of $8.0 million. The decrease in net loss, net of non-cash items for the year ended December 31, 2023 compared to the year ended December 31, 2022 was mainly due to increased revenues. Net cash outflows from changes in operating assets and liabilities for year ended December 31, 2023 were primarily due to higher accounts receivable due to timing of collections and</w:t>
      </w:r>
      <w:r>
        <w:rPr>
          <w:color w:val="000000"/>
          <w:shd w:fill="FFFFFF" w:val="clear"/>
        </w:rPr>
        <w:t xml:space="preserve"> </w:t>
      </w:r>
      <w:r>
        <w:rPr>
          <w:rFonts w:ascii="Times New Roman;sans-serif" w:hAnsi="Times New Roman;sans-serif"/>
          <w:b w:val="false"/>
          <w:color w:val="000000"/>
          <w:sz w:val="20"/>
          <w:shd w:fill="FFFFFF" w:val="clear"/>
        </w:rPr>
        <w:t xml:space="preserve">the increase in revenue in the fourth quarter of 2023, </w:t>
      </w:r>
      <w:r>
        <w:rPr>
          <w:rFonts w:ascii="Times New Roman;sans-serif" w:hAnsi="Times New Roman;sans-serif"/>
          <w:b w:val="false"/>
          <w:color w:val="000000"/>
          <w:sz w:val="20"/>
        </w:rPr>
        <w:t>higher inventory build-up related to our implants, higher prepaid expenses due to timing of payments, and lower</w:t>
      </w:r>
      <w:r>
        <w:rPr>
          <w:color w:val="000000"/>
          <w:shd w:fill="FFFFFF" w:val="clear"/>
        </w:rPr>
        <w:t xml:space="preserve"> </w:t>
      </w:r>
      <w:r>
        <w:rPr>
          <w:rFonts w:ascii="Times New Roman;sans-serif" w:hAnsi="Times New Roman;sans-serif"/>
          <w:b w:val="false"/>
          <w:color w:val="000000"/>
          <w:sz w:val="20"/>
          <w:shd w:fill="FFFFFF" w:val="clear"/>
        </w:rPr>
        <w:t>accounts payable attributable to the normal course timing of expenses, offset in part by an increase in accrued liabilities and other due to timing of other third-party payments and higher compensation and benefits accruals.</w:t>
      </w:r>
      <w:r>
        <w:rPr>
          <w:color w:val="000000"/>
        </w:rPr>
        <w:t xml:space="preserve"> </w:t>
      </w:r>
      <w:r>
        <w:rPr>
          <w:rFonts w:ascii="Times New Roman;sans-serif" w:hAnsi="Times New Roman;sans-serif"/>
          <w:b w:val="false"/>
          <w:color w:val="000000"/>
          <w:sz w:val="20"/>
        </w:rPr>
        <w:t xml:space="preserve">Net cash outflows from changes in operating assets and liabilities for the year ended December 31, 2022 </w:t>
      </w:r>
      <w:r>
        <w:rPr>
          <w:rFonts w:ascii="Times New Roman;sans-serif" w:hAnsi="Times New Roman;sans-serif"/>
          <w:b w:val="false"/>
          <w:color w:val="000000"/>
          <w:sz w:val="20"/>
          <w:shd w:fill="FFFFFF" w:val="clear"/>
        </w:rPr>
        <w:t>were primarily due to higher inventory build-up related to our iFuse-TORQ and iFuse Bedrock Granite implants and higher accounts receivable due to timing of collections and the increase in revenue in the fourth quarter of 2022, offset in part by a decrease in prepaid expenses due to timing of payments for software subscriptions and lower prepaid annual insurance premiums, an increase in accounts payable due to the timing of vendor payments, and an increase in accrued liabilities and other due to timing of other third-party payments and higher compensation and benefits accruals.</w:t>
      </w:r>
    </w:p>
    <w:p>
      <w:pPr>
        <w:pStyle w:val="TextBody"/>
        <w:bidi w:val="0"/>
        <w:spacing w:lineRule="auto" w:line="288" w:before="2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lineRule="auto" w:line="288" w:before="240" w:after="240"/>
        <w:ind w:left="0" w:right="0" w:firstLine="450"/>
        <w:jc w:val="both"/>
        <w:rPr/>
      </w:pPr>
      <w:r>
        <w:rPr>
          <w:rFonts w:ascii="Times New Roman;sans-serif" w:hAnsi="Times New Roman;sans-serif"/>
          <w:b w:val="false"/>
          <w:color w:val="000000"/>
          <w:sz w:val="20"/>
        </w:rPr>
        <w:t>Net cash used in investing activities in the year ended December 31, 2023 was $59.8 million compared to net cash used in investing activities of $2.8 million in the year ended December 31, 2022. Net cash used in inves</w:t>
      </w:r>
      <w:r>
        <w:rPr>
          <w:rFonts w:ascii="Times New Roman;sans-serif" w:hAnsi="Times New Roman;sans-serif"/>
          <w:b w:val="false"/>
          <w:color w:val="000000"/>
          <w:sz w:val="20"/>
          <w:shd w:fill="FFFFFF" w:val="clear"/>
        </w:rPr>
        <w:t>ting activities for the year ended December 31, 2023 consisted of purchases of property and equipment of $7.8 million related to individual components in instrument trays to support increased case volumes and capitalized costs related to the lease in Santa Clara and equipment and purchases of our marketable securities, net of maturities, of $52.0 million. Net c</w:t>
      </w:r>
      <w:r>
        <w:rPr>
          <w:rFonts w:ascii="Times New Roman;sans-serif" w:hAnsi="Times New Roman;sans-serif"/>
          <w:b w:val="false"/>
          <w:color w:val="000000"/>
          <w:sz w:val="20"/>
        </w:rPr>
        <w:t>ash used in investing activities for the year ended December 31, 2022 consisted of purchases of property and equipment of $9.5 million related to individual components in instrument trays to support increased case volumes, increased demand for iFuse-TORQ and the launch of iFuse Bedrock Granite, as well as capitalized costs related to the lease in Santa Clara, partially offset by maturities of our marketable securities, net of purchases of $6.7 million.</w:t>
      </w:r>
    </w:p>
    <w:p>
      <w:pPr>
        <w:pStyle w:val="TextBody"/>
        <w:bidi w:val="0"/>
        <w:spacing w:lineRule="auto" w:line="288" w:before="240" w:after="24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year ended December 31, 2023 was $90.9 million resulting from proceeds of $83.7 million from the issuance of common stock under our follow-on public offering, proceeds of $6.6 million from the issuance of common stock under our stock-based incentive compensation plans, and net proceeds of $0.7 million from the refinancing of our term loan with First-Citizens. Cash provided by financing activities for the year ended December 31, 2022 was $2.2 million related to proceeds from the issuance of common stock under our stock-based incentive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Summary of Significant Account Policies” in the accompanying Notes to Consolidated Financial Statements in Item 8 of this Form 10-K.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our revenue from the sale of our products to medical groups and hospitals through our direct sales force and third-party sales agents throughout the United States and Europe. We receive payment for the implants consumed during the surgery and do not receive additional or separate consideration for the use of the instrument tray furnished for the physicians’s use. We identify the instrument trays as a lease component and the implants as a non-lease component in our arrangements with our customers. We determine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third-party sales agents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a reduction to revenue, calculated based on the terms agreed to with the customer.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third-party sales agents,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are paid to our sales representatives in connection with each surgery performed. The period of benefit is concurrent when we recognize our revenue, as such, we also recognize sales commission as expense when incurred.</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Note 2 of Notes to Consolidated Financial Statements for related discussions on recently adopted accounting standards and updates on recently issued accounting standards not yet effective, which information is incorporated by reference 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became a large accelerated filer as of December 31, 2023, we are not required to reflect the change in our smaller reporting company status and comply with the associated increased disclosure obligations until our quarterly report for the three-month period ending March 31, 2024. As a result, we are not required to provide the information otherwise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750" w:type="dxa"/>
        <w:jc w:val="center"/>
        <w:tblInd w:w="0" w:type="dxa"/>
        <w:tblLayout w:type="fixed"/>
        <w:tblCellMar>
          <w:top w:w="28" w:type="dxa"/>
          <w:left w:w="28" w:type="dxa"/>
          <w:bottom w:w="28" w:type="dxa"/>
          <w:right w:w="28" w:type="dxa"/>
        </w:tblCellMar>
      </w:tblPr>
      <w:tblGrid>
        <w:gridCol w:w="2275"/>
        <w:gridCol w:w="1999"/>
        <w:gridCol w:w="2010"/>
        <w:gridCol w:w="136"/>
        <w:gridCol w:w="136"/>
        <w:gridCol w:w="19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45">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238)</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45">
              <w:r>
                <w:rPr>
                  <w:rStyle w:val="InternetLink"/>
                  <w:rFonts w:ascii="Times New Roman;sans-serif" w:hAnsi="Times New Roman;sans-serif"/>
                  <w:b w:val="false"/>
                  <w:color w:val="0000FF"/>
                  <w:sz w:val="20"/>
                  <w:u w:val="single"/>
                </w:rPr>
                <w:t>75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48">
              <w:r>
                <w:rPr>
                  <w:rStyle w:val="InternetLink"/>
                  <w:rFonts w:ascii="Times New Roman;sans-serif" w:hAnsi="Times New Roman;sans-serif"/>
                  <w:b w:val="false"/>
                  <w:color w:val="0000FF"/>
                  <w:sz w:val="20"/>
                  <w:u w:val="single"/>
                </w:rPr>
                <w:t>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48">
              <w:r>
                <w:rPr>
                  <w:rStyle w:val="InternetLink"/>
                  <w:rFonts w:ascii="Times New Roman;sans-serif" w:hAnsi="Times New Roman;sans-serif"/>
                  <w:b w:val="false"/>
                  <w:color w:val="0000FF"/>
                  <w:sz w:val="20"/>
                  <w:u w:val="single"/>
                </w:rPr>
                <w:t>77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51">
              <w:r>
                <w:rPr>
                  <w:rStyle w:val="InternetLink"/>
                  <w:rFonts w:ascii="Times New Roman;sans-serif" w:hAnsi="Times New Roman;sans-serif"/>
                  <w:b w:val="false"/>
                  <w:color w:val="0000FF"/>
                  <w:sz w:val="20"/>
                  <w:u w:val="single"/>
                </w:rPr>
                <w:t>Consolidated Statements of Operations and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51">
              <w:r>
                <w:rPr>
                  <w:rStyle w:val="InternetLink"/>
                  <w:rFonts w:ascii="Times New Roman;sans-serif" w:hAnsi="Times New Roman;sans-serif"/>
                  <w:b w:val="false"/>
                  <w:color w:val="0000FF"/>
                  <w:sz w:val="20"/>
                  <w:u w:val="single"/>
                </w:rPr>
                <w:t>78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54">
              <w:r>
                <w:rPr>
                  <w:rStyle w:val="InternetLink"/>
                  <w:rFonts w:ascii="Times New Roman;sans-serif" w:hAnsi="Times New Roman;sans-serif"/>
                  <w:b w:val="false"/>
                  <w:color w:val="0000FF"/>
                  <w:sz w:val="20"/>
                  <w:u w:val="single"/>
                </w:rPr>
                <w:t>Consolidated Statements of Changes in Stockholders' Equity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54">
              <w:r>
                <w:rPr>
                  <w:rStyle w:val="InternetLink"/>
                  <w:rFonts w:ascii="Times New Roman;sans-serif" w:hAnsi="Times New Roman;sans-serif"/>
                  <w:b w:val="false"/>
                  <w:color w:val="0000FF"/>
                  <w:sz w:val="20"/>
                  <w:u w:val="single"/>
                </w:rPr>
                <w:t>79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57">
              <w:r>
                <w:rPr>
                  <w:rStyle w:val="InternetLink"/>
                  <w:rFonts w:ascii="Times New Roman;sans-serif" w:hAnsi="Times New Roman;sans-serif"/>
                  <w:b w:val="false"/>
                  <w:color w:val="0000FF"/>
                  <w:sz w:val="20"/>
                  <w:u w:val="single"/>
                </w:rPr>
                <w:t>Consolidated 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57">
              <w:r>
                <w:rPr>
                  <w:rStyle w:val="InternetLink"/>
                  <w:rFonts w:ascii="Times New Roman;sans-serif" w:hAnsi="Times New Roman;sans-serif"/>
                  <w:b w:val="false"/>
                  <w:color w:val="0000FF"/>
                  <w:sz w:val="20"/>
                  <w:u w:val="single"/>
                </w:rPr>
                <w:t>80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160">
              <w:r>
                <w:rPr>
                  <w:rStyle w:val="InternetLink"/>
                  <w:rFonts w:ascii="Times New Roman;sans-serif" w:hAnsi="Times New Roman;sans-serif"/>
                  <w:b w:val="false"/>
                  <w:color w:val="0000FF"/>
                  <w:sz w:val="20"/>
                  <w:u w:val="single"/>
                </w:rPr>
                <w:t>Notes to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160">
              <w:r>
                <w:rPr>
                  <w:rStyle w:val="InternetLink"/>
                  <w:rFonts w:ascii="Times New Roman;sans-serif" w:hAnsi="Times New Roman;sans-serif"/>
                  <w:b w:val="false"/>
                  <w:color w:val="0000FF"/>
                  <w:sz w:val="20"/>
                  <w:u w:val="single"/>
                </w:rPr>
                <w:t>81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11">
              <w:r>
                <w:rPr>
                  <w:rStyle w:val="InternetLink"/>
                  <w:rFonts w:ascii="Times New Roman;sans-serif" w:hAnsi="Times New Roman;sans-serif"/>
                  <w:b w:val="false"/>
                  <w:color w:val="0000FF"/>
                  <w:sz w:val="20"/>
                  <w:u w:val="single"/>
                </w:rPr>
                <w:t>Supplementary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c87ac3f4444cf6b5596336ae957190_211">
              <w:r>
                <w:rPr>
                  <w:rStyle w:val="InternetLink"/>
                  <w:rFonts w:ascii="Times New Roman;sans-serif" w:hAnsi="Times New Roman;sans-serif"/>
                  <w:b w:val="false"/>
                  <w:color w:val="0000FF"/>
                  <w:sz w:val="20"/>
                  <w:u w:val="singl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07060"/>
                <wp:effectExtent l="0" t="0" r="0" b="0"/>
                <wp:wrapNone/>
                <wp:docPr id="76" name="Frame7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SI-BONE,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SI-BONE, Inc. and its subsidiaries (the “Company”) as of December 31, 2023 and 2022, and the related consolidated statements of operations and comprehensive loss, of changes in stockholders’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consolidated financial statements referred to above present fairly, in all material respects, the financial position of the Company as of December 31, 2023 and 2022, and the results of its operations and its cash flows for each of the years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07060"/>
                <wp:effectExtent l="0" t="0" r="0" b="0"/>
                <wp:wrapNone/>
                <wp:docPr id="77" name="Frame7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 U.S. Implantation Product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2 to the consolidated financial statements, product sales where the Company’s sales representative delivers the product at the point of implantation at the hospital or medical facilities represent the majority of the Company's consolidated revenue. The Company’s consolidated revenue was $138.9 million for the year ended December 31, 2023, of which, $130.6 million is related to the U.S. Management recognizes the revenue from these sales upon completion of the procedure and authorization by the customer, net of rebates and price discounts. This represents the majority of the Company’s consolidated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revenue recognition - U.S. implantation product sales is a critical audit matter is a high degree of auditor effort in performing procedures related to the Company’s revenue recognition.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product sales upon completion of the procedure and authorization by the customer. These procedures also included, among others,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proof of implantation for unpaid invoices, and obtaining subsequent cash receipt for paid invoices, where applicable, for confirmations not returned, and (iv) testing the completeness and accuracy of data provided by management.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07060"/>
                <wp:effectExtent l="0" t="0" r="0" b="0"/>
                <wp:wrapNone/>
                <wp:docPr id="78" name="Frame7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0"/>
        <w:gridCol w:w="2169"/>
        <w:gridCol w:w="2177"/>
        <w:gridCol w:w="251"/>
        <w:gridCol w:w="986"/>
        <w:gridCol w:w="130"/>
        <w:gridCol w:w="109"/>
        <w:gridCol w:w="109"/>
        <w:gridCol w:w="109"/>
        <w:gridCol w:w="249"/>
        <w:gridCol w:w="980"/>
        <w:gridCol w:w="186"/>
      </w:tblGrid>
      <w:tr>
        <w:trPr/>
        <w:tc>
          <w:tcPr>
            <w:tcW w:w="275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$1,118 and $400,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40,693,299 and 34,731,577 shares issued and outstanding,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(400,441)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230,425 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07060"/>
                <wp:effectExtent l="0" t="0" r="0" b="0"/>
                <wp:wrapNone/>
                <wp:docPr id="79" name="Frame7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tbl>
      <w:tblPr>
        <w:tblW w:w="10205" w:type="dxa"/>
        <w:jc w:val="center"/>
        <w:tblInd w:w="0" w:type="dxa"/>
        <w:tblLayout w:type="fixed"/>
        <w:tblCellMar>
          <w:top w:w="28" w:type="dxa"/>
          <w:left w:w="28" w:type="dxa"/>
          <w:bottom w:w="28" w:type="dxa"/>
          <w:right w:w="28" w:type="dxa"/>
        </w:tblCellMar>
      </w:tblPr>
      <w:tblGrid>
        <w:gridCol w:w="2643"/>
        <w:gridCol w:w="2266"/>
        <w:gridCol w:w="2260"/>
        <w:gridCol w:w="109"/>
        <w:gridCol w:w="109"/>
        <w:gridCol w:w="109"/>
        <w:gridCol w:w="211"/>
        <w:gridCol w:w="826"/>
        <w:gridCol w:w="109"/>
        <w:gridCol w:w="109"/>
        <w:gridCol w:w="109"/>
        <w:gridCol w:w="109"/>
        <w:gridCol w:w="219"/>
        <w:gridCol w:w="862"/>
        <w:gridCol w:w="155"/>
      </w:tblGrid>
      <w:tr>
        <w:trPr/>
        <w:tc>
          <w:tcPr>
            <w:tcW w:w="2643"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34,201,824 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662"/>
        <w:gridCol w:w="335"/>
        <w:gridCol w:w="336"/>
        <w:gridCol w:w="109"/>
        <w:gridCol w:w="109"/>
        <w:gridCol w:w="109"/>
        <w:gridCol w:w="548"/>
        <w:gridCol w:w="548"/>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50"/>
        <w:gridCol w:w="162"/>
      </w:tblGrid>
      <w:tr>
        <w:trPr/>
        <w:tc>
          <w:tcPr>
            <w:tcW w:w="6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br/>
              <w:t xml:space="preserve">Stockholders’ Equity </w:t>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33,674,085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134,420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34,731,577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98,302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from public offerings, net of underwriting discounts, commissions and offering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40,693,299</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569,477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(400,441)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169,375</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07060"/>
                <wp:effectExtent l="0" t="0" r="0" b="0"/>
                <wp:wrapNone/>
                <wp:docPr id="81" name="Frame8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pPr>
      <w:r>
        <w:rPr>
          <w:color w:val="000000"/>
          <w:shd w:fill="FFFFFF" w:val="clear"/>
        </w:rPr>
        <w:t> </w:t>
      </w:r>
      <w:r>
        <w:rPr>
          <w:rFonts w:ascii="Times New Roman;sans-serif" w:hAnsi="Times New Roman;sans-serif"/>
          <w:b/>
          <w:color w:val="000000"/>
          <w:sz w:val="20"/>
          <w:shd w:fill="FFFFFF" w:val="clear"/>
        </w:rPr>
        <w:t>SI-BONE,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73" w:type="dxa"/>
        <w:jc w:val="center"/>
        <w:tblInd w:w="0" w:type="dxa"/>
        <w:tblLayout w:type="fixed"/>
        <w:tblCellMar>
          <w:top w:w="28" w:type="dxa"/>
          <w:left w:w="28" w:type="dxa"/>
          <w:bottom w:w="28" w:type="dxa"/>
          <w:right w:w="28" w:type="dxa"/>
        </w:tblCellMar>
      </w:tblPr>
      <w:tblGrid>
        <w:gridCol w:w="2661"/>
        <w:gridCol w:w="2340"/>
        <w:gridCol w:w="2348"/>
        <w:gridCol w:w="196"/>
        <w:gridCol w:w="721"/>
        <w:gridCol w:w="109"/>
        <w:gridCol w:w="109"/>
        <w:gridCol w:w="109"/>
        <w:gridCol w:w="109"/>
        <w:gridCol w:w="196"/>
        <w:gridCol w:w="721"/>
        <w:gridCol w:w="154"/>
      </w:tblGrid>
      <w:tr>
        <w:trPr/>
        <w:tc>
          <w:tcPr>
            <w:tcW w:w="2661"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Accounts receivable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 reserve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(amortization) of discount and premium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follow-on public offering, net of underwriting discounts, commissions and offering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 financing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debt financing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debt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common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at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year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Unpaid 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07060"/>
                <wp:effectExtent l="0" t="0" r="0" b="0"/>
                <wp:wrapNone/>
                <wp:docPr id="82" name="Frame8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United States, in 2010 in certain countries in the European Union, and in 2015 in certain countries in the rest of the world. The second generation iFuse implant, iFuse 3-D, was introduced in 2017 followed by iFuse-TORQ in 2021 and iFuse Bedrock Granite in 2022.</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pStyle w:val="TextBody"/>
        <w:bidi w:val="0"/>
        <w:spacing w:lineRule="auto" w:line="288" w:before="18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two major financial institutions in the U.S. Deposits in these banks may exceed the federally insured limits or any other insurance provided on such deposits, if any. The Company had accounts with Silicon Valley Bank (“SVB”). On March 10, 2023, California regulators shut down SVB and the FDIC was appointed as SVB’s receiver. On March 26, 2023, the FDIC announced that it had entered into a purchase and assumption agreement with First-Citizens Bank &amp; Trust Company (“First-Citizens”) under which all deposits of the former Silicon Valley Bank were assumed by First-Citizens.</w:t>
      </w:r>
      <w:r>
        <w:rPr>
          <w:color w:val="000000"/>
        </w:rPr>
        <w:t xml:space="preserve"> </w:t>
      </w:r>
      <w:r>
        <w:rPr>
          <w:rFonts w:ascii="Times New Roman;sans-serif" w:hAnsi="Times New Roman;sans-serif"/>
          <w:b w:val="false"/>
          <w:color w:val="000000"/>
          <w:sz w:val="20"/>
        </w:rPr>
        <w:t>First-Citizens acquired the rights as lender under the Company’s Loan and Security Agreement as amended. To date, the Company has not experienced any losses on its deposits of cash, cash equivalents and marketable securities and continues to have access to these funds. As such the Company's future results of operations and liquidity could be adversely impacted by a variety of factors including those discussed in the section entitled "Risk Factors" in this report. As of the date of issuance of these consolidated financial statements, the extent to which the current macroeconomic environment may materially impact the Company's financial condition, liquidity, or results of operations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10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w:t>
      </w:r>
      <w:r>
        <w:rPr>
          <w:rFonts w:ascii="Times New Roman;sans-serif" w:hAnsi="Times New Roman;sans-serif"/>
          <w:b w:val="false"/>
          <w:color w:val="000000"/>
          <w:sz w:val="20"/>
          <w:shd w:fill="FFFFFF" w:val="clear"/>
        </w:rPr>
        <w:t xml:space="preserve">. Significant accounting estimates and management judgments reflected in the consolidated financial </w:t>
      </w:r>
      <w:r>
        <w:rPr>
          <w:rFonts w:ascii="Times New Roman;sans-serif" w:hAnsi="Times New Roman;sans-serif"/>
          <w:b w:val="false"/>
          <w:color w:val="000000"/>
          <w:sz w:val="20"/>
        </w:rPr>
        <w:t xml:space="preserve">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TextBody"/>
        <w:bidi w:val="0"/>
        <w:spacing w:lineRule="auto" w:line="288" w:before="18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Reclassification of prior year presentation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for consistency with the current year presentation. These reclassifications are limited to the consolidated statements of cash flows and have no effect on the reported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450"/>
        <w:jc w:val="both"/>
        <w:rPr>
          <w:color w:val="000000"/>
        </w:rPr>
      </w:pPr>
      <w:r>
        <w:rPr>
          <w:color w:val="000000"/>
        </w:rPr>
        <w:t> </w:t>
      </w:r>
      <w:r>
        <w:rPr>
          <w:rFonts w:ascii="Times New Roman;sans-serif" w:hAnsi="Times New Roman;sans-serif"/>
          <w:b w:val="false"/>
          <w:color w:val="000000"/>
          <w:sz w:val="20"/>
        </w:rPr>
        <w:t xml:space="preserve">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07060"/>
                <wp:effectExtent l="0" t="0" r="0" b="0"/>
                <wp:wrapNone/>
                <wp:docPr id="83" name="Frame8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managers who are held accountable for operations, operating results or plans for levels or components below the consolidated unit level. Accordingly, the Company has determined that it has a single reportable and operating segment structure.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substantially all of its revenue from sales to customers in the United States Revenue by geography is based on billing address of the customer. International revenue accounted for less than 10% of the total revenue during the periods presented. Long-lived assets held outside the United States are immaterial. Following table summarizes the Company's revenue by geography:</w:t>
      </w:r>
    </w:p>
    <w:tbl>
      <w:tblPr>
        <w:tblW w:w="3863"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a concentration of credit risk consist of cash and marketable securities. The Company’s cash and marketable securities are deposited with financial institutions in the United States and in Europe. The majority of the Company’s cash and marketable securities are deposited with a single financial institution in the United States Deposits in this institution exceed the amount of insurance provided on such deposits. The Company has not experienced any net losses on its deposits of cash and marketable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and accounts receivable are spread across a large number of customers, primarily in the United States, and no customer accounts for more than 10% of total revenue or gross accounts receivable in any period presented.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1: Quoted prices (unadjusted) in active market that are accessible at measurement date for assets or liabilities. The fair value hierarchy gives the highest priority to Level 1 inputs.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2: Observable prices that are based on inputs not quoted on active markets, but corroborated by market data.</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are used when little or no market data is available. The fair value hierarchy gives the lowest priority to Level 3 inputs.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07060"/>
                <wp:effectExtent l="0" t="0" r="0" b="0"/>
                <wp:wrapNone/>
                <wp:docPr id="84" name="Frame8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remaining maturities at the date of purchase of three months or less to be cash equivalents.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marketable securities primarily consist of investments in money market funds, U.S. treasury securities, U.S. agency bonds, corporate bonds and commercial paper.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accounts receivable are recorded at the invoiced amount, net of allowances for credit losses for any potential uncollectible amounts. The allowance for credit losses is based on our assessment of the collectability of accounts.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 </w:t>
      </w:r>
    </w:p>
    <w:p>
      <w:pPr>
        <w:pStyle w:val="TextBody"/>
        <w:bidi w:val="0"/>
        <w:spacing w:lineRule="auto" w:line="288" w:before="180" w:after="283"/>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4573" w:type="dxa"/>
        <w:jc w:val="left"/>
        <w:tblInd w:w="0" w:type="dxa"/>
        <w:tblLayout w:type="fixed"/>
        <w:tblCellMar>
          <w:top w:w="28" w:type="dxa"/>
          <w:left w:w="28" w:type="dxa"/>
          <w:bottom w:w="28" w:type="dxa"/>
          <w:right w:w="28" w:type="dxa"/>
        </w:tblCellMar>
      </w:tblPr>
      <w:tblGrid>
        <w:gridCol w:w="891"/>
        <w:gridCol w:w="783"/>
        <w:gridCol w:w="786"/>
        <w:gridCol w:w="213"/>
        <w:gridCol w:w="622"/>
        <w:gridCol w:w="110"/>
        <w:gridCol w:w="110"/>
        <w:gridCol w:w="110"/>
        <w:gridCol w:w="110"/>
        <w:gridCol w:w="213"/>
        <w:gridCol w:w="470"/>
        <w:gridCol w:w="155"/>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year</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All property and equipment is depreciated on a straight-line basis over the estimated useful lives of the assets, which are as follows:</w:t>
      </w:r>
    </w:p>
    <w:tbl>
      <w:tblPr>
        <w:tblW w:w="3719" w:type="dxa"/>
        <w:jc w:val="center"/>
        <w:tblInd w:w="0" w:type="dxa"/>
        <w:tblLayout w:type="fixed"/>
        <w:tblCellMar>
          <w:top w:w="28" w:type="dxa"/>
          <w:left w:w="28" w:type="dxa"/>
          <w:bottom w:w="28" w:type="dxa"/>
          <w:right w:w="28" w:type="dxa"/>
        </w:tblCellMar>
      </w:tblPr>
      <w:tblGrid>
        <w:gridCol w:w="979"/>
        <w:gridCol w:w="859"/>
        <w:gridCol w:w="862"/>
        <w:gridCol w:w="297"/>
        <w:gridCol w:w="297"/>
        <w:gridCol w:w="425"/>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bidi w:val="0"/>
        <w:spacing w:lineRule="auto" w:line="288" w:before="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in progress includes assets that have not yet been placed into service including the cost of individual components of an instrument tray. Once an instrument tray is placed into service, the Company transfers its carrying value into surgical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07060"/>
                <wp:effectExtent l="0" t="0" r="0" b="0"/>
                <wp:wrapNone/>
                <wp:docPr id="85" name="Frame8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instrument trays and begins depreciating the cost of the instrument tray over its useful life. Leasehold improvements are amortized over the lesser of their useful lives or the life of the lease. 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2023 and 2022, the Company has not experienced impairment losses on its long-lived assets.</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Accounting Standards Update ("ASU") 2016-02, Leases Topic 842 ("Topic 842"), 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certain practical expedients under Topic 842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lease payments in a similar economic environment. The Company uses its headquarters in the United States ("parent entity")’s incremental borrowing rates as the treasury operations are managed centrally by the parent entity.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derived from the sale of its products to medical groups and hospitals through its direct sales force and third-party sales agents and resellers throughout the United States and Europe. The Company receives payment for its implants consumed during the surgery and does not receive additional or separate consideration for the use of the instrument tray furnished by the Company for the physicians’s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third-party sales agents and to certain hospital or medical facilities where the products are ordered in advance of a procedure. The performance obligation is the delivery of the products and therefore, revenue is recognized upon shipment to the customers, net of re</w:t>
      </w:r>
      <w:r>
        <w:rPr>
          <w:rFonts w:ascii="Times New Roman;sans-serif" w:hAnsi="Times New Roman;sans-serif"/>
          <w:b w:val="false"/>
          <w:color w:val="000000"/>
          <w:sz w:val="20"/>
          <w:shd w:fill="FFFFFF" w:val="clear"/>
        </w:rPr>
        <w:t xml:space="preserve">bates and price discounts. The Company accounts for rebates and price discounts as a reduction to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07060"/>
                <wp:effectExtent l="0" t="0" r="0" b="0"/>
                <wp:wrapNone/>
                <wp:docPr id="86" name="Frame8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third-party sales agents,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Shipping and Handling Costs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treated as fulfillment costs, which are expensed as incurred and are included in cost of goods sold.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Costs to Obtain Customer Contracts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commissions as expense when incurred.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Warranty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2023 and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charged to operations as incurred and consist of costs incurred by the Company for the development of the Company’s product which primarily include: (1) employee-related expenses, including salaries, benefits, travel and stock-based compensation expense; (2) external research and development expenses; and (3) other expenses, which include direct and allocated expenses for facilities and other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 Expenditures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advertising is expensed as incurred and is included under sales and marketing expense in the consolidated statements of operations. Advertising expenses were $1.1 million and $1.6 million for the years ended December 31, 2023 and 2022,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Loss Contingency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07060"/>
                <wp:effectExtent l="0" t="0" r="0" b="0"/>
                <wp:wrapNone/>
                <wp:docPr id="87" name="Frame8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Expected Term - </w:t>
      </w:r>
      <w:r>
        <w:rPr>
          <w:rFonts w:ascii="Times New Roman;sans-serif" w:hAnsi="Times New Roman;sans-serif"/>
          <w:b w:val="false"/>
          <w:color w:val="000000"/>
          <w:sz w:val="20"/>
        </w:rPr>
        <w:t>The expected term represents the period that the share-based awards are expected to be outstanding. The Company uses the simplified method to determine the expected term as permitted by the guidance. The simplified method is calculated as the average of the time to vesting and the contractual life of the options.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Expected Volatility - </w:t>
      </w:r>
      <w:r>
        <w:rPr>
          <w:rFonts w:ascii="Times New Roman;sans-serif" w:hAnsi="Times New Roman;sans-serif"/>
          <w:b w:val="false"/>
          <w:color w:val="000000"/>
          <w:sz w:val="20"/>
        </w:rPr>
        <w:t>The expected volatility is measured using the historical daily changes in the market price of the Company's common stock over a period consistent with the expected term.</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Risk-Free Interest Rate - </w:t>
      </w:r>
      <w:r>
        <w:rPr>
          <w:rFonts w:ascii="Times New Roman;sans-serif" w:hAnsi="Times New Roman;sans-serif"/>
          <w:b w:val="false"/>
          <w:color w:val="000000"/>
          <w:sz w:val="20"/>
        </w:rPr>
        <w:t>The risk-free interest rate is based on the U.S. Treasury zero coupon issued in effect at the time of grant for periods corresponding with the expected term of the option.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Dividend Yield - </w:t>
      </w:r>
      <w:r>
        <w:rPr>
          <w:rFonts w:ascii="Times New Roman;sans-serif" w:hAnsi="Times New Roman;sans-serif"/>
          <w:b w:val="false"/>
          <w:color w:val="000000"/>
          <w:sz w:val="20"/>
        </w:rPr>
        <w:t>The Company has not paid any dividends and has no current plans to pay dividends on its common stock. As such, the Company uses expected dividend yield of zero.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restricted stock unit (“RSU”) grant is based on the market price of the Company’s common stock on the date of grant.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uncertain tax positions when it meets a more-likely-than-not threshold. The Company recognizes potential accrued interest and penalties related to unrecognized tax benefits as income tax expense.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 of Common Stock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ESPP purchase rights and warrants are considered to be potentially dilutive securities. Because the Company has reported a net loss in all periods presented, common stock options, restricted stock units, ESPP purchase rights and warrants are anti-dilutive and therefore diluted net loss per common share is the same as basic net loss per common share for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07060"/>
                <wp:effectExtent l="0" t="0" r="0" b="0"/>
                <wp:wrapNone/>
                <wp:docPr id="88" name="Frame8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 </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 Not Yet Adopted</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ASU 2023-06, Disclosure Agreements - Codification Amendments in Response to the SEC’s Disclosure Update and Simplification Initiative ("ASU 2023-06"). This amendment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impacts of the amendment on its disclosures.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requires companies with a single reportable segment to provide all existing segment disclosures, as well as requires incremental segment information to be disclosed. The guidance is effective for fiscal years beginning after December 15, 2023 on a retrospective basis, and interim periods within fiscal years beginning after December 15, 2024. Early adoption is permitted. The Company is currently evaluating the guidance to determine the impact on its disclosures.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and for interim periods for fiscal years beginning after December 15, 2025. The Company is currently evaluating the impacts of ASU 2023-09 on its disclosures.</w:t>
      </w:r>
    </w:p>
    <w:p>
      <w:pPr>
        <w:pStyle w:val="TextBody"/>
        <w:bidi w:val="0"/>
        <w:spacing w:before="180" w:after="240"/>
        <w:ind w:left="0" w:right="0" w:firstLine="495"/>
        <w:jc w:val="both"/>
        <w:rPr/>
      </w:pPr>
      <w:r>
        <w:rPr/>
      </w:r>
    </w:p>
    <w:p>
      <w:pPr>
        <w:pStyle w:val="TextBody"/>
        <w:bidi w:val="0"/>
        <w:spacing w:before="180" w:after="24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07060"/>
                <wp:effectExtent l="0" t="0" r="0" b="0"/>
                <wp:wrapNone/>
                <wp:docPr id="89" name="Frame8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marketable securities: </w:t>
      </w:r>
    </w:p>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132,683 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132,748 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156,014 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3" w:type="dxa"/>
        <w:jc w:val="center"/>
        <w:tblInd w:w="0" w:type="dxa"/>
        <w:tblLayout w:type="fixed"/>
        <w:tblCellMar>
          <w:top w:w="28" w:type="dxa"/>
          <w:left w:w="28" w:type="dxa"/>
          <w:bottom w:w="28" w:type="dxa"/>
          <w:right w:w="28" w:type="dxa"/>
        </w:tblCellMar>
      </w:tblPr>
      <w:tblGrid>
        <w:gridCol w:w="834"/>
        <w:gridCol w:w="735"/>
        <w:gridCol w:w="740"/>
        <w:gridCol w:w="267"/>
        <w:gridCol w:w="914"/>
        <w:gridCol w:w="138"/>
        <w:gridCol w:w="109"/>
        <w:gridCol w:w="109"/>
        <w:gridCol w:w="109"/>
        <w:gridCol w:w="413"/>
        <w:gridCol w:w="796"/>
        <w:gridCol w:w="215"/>
        <w:gridCol w:w="109"/>
        <w:gridCol w:w="109"/>
        <w:gridCol w:w="109"/>
        <w:gridCol w:w="391"/>
        <w:gridCol w:w="892"/>
        <w:gridCol w:w="202"/>
        <w:gridCol w:w="109"/>
        <w:gridCol w:w="109"/>
        <w:gridCol w:w="109"/>
        <w:gridCol w:w="347"/>
        <w:gridCol w:w="1185"/>
        <w:gridCol w:w="253"/>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2023 and 2022,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2023 and 2022.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The Company elected to present accrued interest receivable separately from short-term and long-term investments on its consolidated balance sheets. Accrued interest rec</w:t>
      </w:r>
      <w:r>
        <w:rPr>
          <w:rFonts w:ascii="Times New Roman;sans-serif" w:hAnsi="Times New Roman;sans-serif"/>
          <w:b w:val="false"/>
          <w:color w:val="000000"/>
          <w:sz w:val="20"/>
          <w:shd w:fill="FFFFFF" w:val="clear"/>
        </w:rPr>
        <w:t>eivable w</w:t>
      </w:r>
      <w:r>
        <w:rPr>
          <w:rFonts w:ascii="Times New Roman;sans-serif" w:hAnsi="Times New Roman;sans-serif"/>
          <w:b w:val="false"/>
          <w:color w:val="000000"/>
          <w:sz w:val="20"/>
        </w:rPr>
        <w:t xml:space="preserve">as $0.2 million </w:t>
      </w:r>
      <w:r>
        <w:rPr>
          <w:rFonts w:ascii="Times New Roman;sans-serif" w:hAnsi="Times New Roman;sans-serif"/>
          <w:b w:val="false"/>
          <w:color w:val="000000"/>
          <w:sz w:val="20"/>
          <w:shd w:fill="FFFFFF" w:val="clear"/>
        </w:rPr>
        <w:t>as of December 31, 2023</w:t>
      </w:r>
      <w:r>
        <w:rPr>
          <w:rFonts w:ascii="Times New Roman;sans-serif" w:hAnsi="Times New Roman;sans-serif"/>
          <w:b w:val="false"/>
          <w:color w:val="000000"/>
          <w:sz w:val="20"/>
        </w:rPr>
        <w:t>,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07060"/>
                <wp:effectExtent l="0" t="0" r="0" b="0"/>
                <wp:wrapNone/>
                <wp:docPr id="90" name="Frame9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394" w:type="dxa"/>
        <w:jc w:val="center"/>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417"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inventory consisted of finished goods of $18.8 million and work-in-progress and components of $1.4 million. As of December 31, 2022, inventory consisted of finished goods of $15.6 million and work-in-progress and components of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07060"/>
                <wp:effectExtent l="0" t="0" r="0" b="0"/>
                <wp:wrapNone/>
                <wp:docPr id="91" name="Frame9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ind w:left="0" w:right="0" w:firstLine="495"/>
        <w:jc w:val="left"/>
        <w:rPr/>
      </w:pPr>
      <w:r>
        <w:rPr>
          <w:rFonts w:ascii="Times New Roman;sans-serif" w:hAnsi="Times New Roman;sans-serif"/>
          <w:b/>
          <w:i/>
          <w:color w:val="000000"/>
          <w:sz w:val="20"/>
        </w:rPr>
        <w:t>Property and Equipment, net</w:t>
      </w:r>
      <w:r>
        <w:rPr>
          <w:rFonts w:ascii="Times New Roman;sans-serif" w:hAnsi="Times New Roman;sans-serif"/>
          <w:b w:val="false"/>
          <w:color w:val="000000"/>
          <w:sz w:val="20"/>
        </w:rPr>
        <w:t>:</w:t>
      </w:r>
    </w:p>
    <w:tbl>
      <w:tblPr>
        <w:tblW w:w="7616" w:type="dxa"/>
        <w:jc w:val="center"/>
        <w:tblInd w:w="0" w:type="dxa"/>
        <w:tblLayout w:type="fixed"/>
        <w:tblCellMar>
          <w:top w:w="28" w:type="dxa"/>
          <w:left w:w="28" w:type="dxa"/>
          <w:bottom w:w="28" w:type="dxa"/>
          <w:right w:w="28" w:type="dxa"/>
        </w:tblCellMar>
      </w:tblPr>
      <w:tblGrid>
        <w:gridCol w:w="1504"/>
        <w:gridCol w:w="1321"/>
        <w:gridCol w:w="1330"/>
        <w:gridCol w:w="313"/>
        <w:gridCol w:w="1070"/>
        <w:gridCol w:w="161"/>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Instrument trays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construction in progress pertains to cost of individual components of a custom instrument set used for surgical placement of the Company's products that have not yet been placed into service of $3.5 million and software costs of $0.4 million. Depreciation expense was $5.4 million and $3.4 million for the years ended December 31, 2023 and 2022, respectively.</w:t>
      </w:r>
    </w:p>
    <w:p>
      <w:pPr>
        <w:pStyle w:val="TextBody"/>
        <w:bidi w:val="0"/>
        <w:spacing w:lineRule="auto" w:line="288" w:before="240" w:after="283"/>
        <w:ind w:left="0" w:right="0" w:firstLine="495"/>
        <w:jc w:val="left"/>
        <w:rPr/>
      </w:pPr>
      <w:r>
        <w:rPr>
          <w:rFonts w:ascii="Times New Roman;sans-serif" w:hAnsi="Times New Roman;sans-serif"/>
          <w:b/>
          <w:i/>
          <w:color w:val="000000"/>
          <w:sz w:val="20"/>
        </w:rPr>
        <w:t>Accrued Liabilities and Other</w:t>
      </w:r>
      <w:r>
        <w:rPr>
          <w:rFonts w:ascii="Times New Roman;sans-serif" w:hAnsi="Times New Roman;sans-serif"/>
          <w:b w:val="false"/>
          <w:color w:val="000000"/>
          <w:sz w:val="20"/>
        </w:rPr>
        <w:t>:</w:t>
      </w:r>
    </w:p>
    <w:tbl>
      <w:tblPr>
        <w:tblW w:w="7166" w:type="dxa"/>
        <w:jc w:val="center"/>
        <w:tblInd w:w="0" w:type="dxa"/>
        <w:tblLayout w:type="fixed"/>
        <w:tblCellMar>
          <w:top w:w="28" w:type="dxa"/>
          <w:left w:w="28" w:type="dxa"/>
          <w:bottom w:w="28" w:type="dxa"/>
          <w:right w:w="28" w:type="dxa"/>
        </w:tblCellMar>
      </w:tblPr>
      <w:tblGrid>
        <w:gridCol w:w="1340"/>
        <w:gridCol w:w="1179"/>
        <w:gridCol w:w="1186"/>
        <w:gridCol w:w="313"/>
        <w:gridCol w:w="1070"/>
        <w:gridCol w:w="161"/>
        <w:gridCol w:w="109"/>
        <w:gridCol w:w="109"/>
        <w:gridCol w:w="109"/>
        <w:gridCol w:w="309"/>
        <w:gridCol w:w="1056"/>
        <w:gridCol w:w="225"/>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a non-cancelable operating lease for its office building spaces in Gallarate, Italy which expires in August 2027.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leases vehicles under operating lease arrangements for certain of its personnel in Europe which expire at various times throughout 2022 to 2026.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lease expense and valuation of the lease assets and lease liabilities are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07060"/>
                <wp:effectExtent l="0" t="0" r="0" b="0"/>
                <wp:wrapNone/>
                <wp:docPr id="92" name="Frame9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1" w:type="dxa"/>
        <w:jc w:val="left"/>
        <w:tblInd w:w="0" w:type="dxa"/>
        <w:tblLayout w:type="fixed"/>
        <w:tblCellMar>
          <w:top w:w="28" w:type="dxa"/>
          <w:left w:w="28" w:type="dxa"/>
          <w:bottom w:w="28" w:type="dxa"/>
          <w:right w:w="28" w:type="dxa"/>
        </w:tblCellMar>
      </w:tblPr>
      <w:tblGrid>
        <w:gridCol w:w="2401"/>
        <w:gridCol w:w="2108"/>
        <w:gridCol w:w="2121"/>
        <w:gridCol w:w="759"/>
        <w:gridCol w:w="392"/>
        <w:gridCol w:w="394"/>
        <w:gridCol w:w="109"/>
        <w:gridCol w:w="109"/>
        <w:gridCol w:w="109"/>
        <w:gridCol w:w="759"/>
        <w:gridCol w:w="392"/>
        <w:gridCol w:w="394"/>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bidi w:val="0"/>
              <w:spacing w:before="0" w:after="0"/>
              <w:jc w:val="left"/>
              <w:rPr/>
            </w:pPr>
            <w:r>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December 31, 2023 was as follows:</w:t>
      </w:r>
    </w:p>
    <w:p>
      <w:pPr>
        <w:pStyle w:val="TextBody"/>
        <w:bidi w:val="0"/>
        <w:spacing w:before="0" w:after="0"/>
        <w:jc w:val="both"/>
        <w:rPr/>
      </w:pPr>
      <w:r>
        <w:rPr/>
      </w:r>
    </w:p>
    <w:tbl>
      <w:tblPr>
        <w:tblW w:w="3929" w:type="dxa"/>
        <w:jc w:val="left"/>
        <w:tblInd w:w="0" w:type="dxa"/>
        <w:tblLayout w:type="fixed"/>
        <w:tblCellMar>
          <w:top w:w="28" w:type="dxa"/>
          <w:left w:w="28" w:type="dxa"/>
          <w:bottom w:w="28" w:type="dxa"/>
          <w:right w:w="28" w:type="dxa"/>
        </w:tblCellMar>
      </w:tblPr>
      <w:tblGrid>
        <w:gridCol w:w="960"/>
        <w:gridCol w:w="846"/>
        <w:gridCol w:w="848"/>
        <w:gridCol w:w="274"/>
        <w:gridCol w:w="801"/>
        <w:gridCol w:w="200"/>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no operating lease liabilities that had not commenced.</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$0.4 million and $0.8 million as of December 31, 2023 and 2022, respectively. </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07060"/>
                <wp:effectExtent l="0" t="0" r="0" b="0"/>
                <wp:wrapNone/>
                <wp:docPr id="93" name="Frame9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before="0" w:after="0"/>
        <w:ind w:left="0" w:right="0" w:firstLine="54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the periods presented:</w:t>
      </w:r>
    </w:p>
    <w:tbl>
      <w:tblPr>
        <w:tblW w:w="9820" w:type="dxa"/>
        <w:jc w:val="center"/>
        <w:tblInd w:w="0" w:type="dxa"/>
        <w:tblLayout w:type="fixed"/>
        <w:tblCellMar>
          <w:top w:w="28" w:type="dxa"/>
          <w:left w:w="28" w:type="dxa"/>
          <w:bottom w:w="28" w:type="dxa"/>
          <w:right w:w="28" w:type="dxa"/>
        </w:tblCellMar>
      </w:tblPr>
      <w:tblGrid>
        <w:gridCol w:w="2303"/>
        <w:gridCol w:w="2025"/>
        <w:gridCol w:w="2031"/>
        <w:gridCol w:w="313"/>
        <w:gridCol w:w="1070"/>
        <w:gridCol w:w="161"/>
        <w:gridCol w:w="109"/>
        <w:gridCol w:w="109"/>
        <w:gridCol w:w="109"/>
        <w:gridCol w:w="270"/>
        <w:gridCol w:w="922"/>
        <w:gridCol w:w="398"/>
      </w:tblGrid>
      <w:tr>
        <w:trPr/>
        <w:tc>
          <w:tcPr>
            <w:tcW w:w="230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 and final fee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Unaccreted value of final fee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36,065 </w:t>
            </w:r>
          </w:p>
        </w:tc>
        <w:tc>
          <w:tcPr>
            <w:tcW w:w="1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3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entered into by the Company with Silicon Valley Bank (“SVB”). Pursuant the agreement, SVB provided a term loan in the aggregate principal amount of $35.0 million to the Company (the “Original Term Loan”). </w:t>
      </w:r>
    </w:p>
    <w:p>
      <w:pPr>
        <w:pStyle w:val="TextBody"/>
        <w:bidi w:val="0"/>
        <w:spacing w:before="180" w:after="283"/>
        <w:ind w:left="0" w:right="0" w:firstLine="495"/>
        <w:jc w:val="both"/>
        <w:rPr/>
      </w:pPr>
      <w:r>
        <w:rPr/>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On January 6, 2023, the Company entered into a First Amendment to Loan and Security Agreement (the “Amendment”) with SVB, which amended the Company's Original Term Loan pursuant to which the Company had a new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“Revolving Line”). On March 14, 2023 all of SVB’s assets and liabilities, including all of SVB’s rights as the lender pursuant to the Amended Loan Agreement, were assigned to Silicon Valley Bridge Bank.</w:t>
      </w:r>
      <w:r>
        <w:rPr>
          <w:color w:val="000000"/>
        </w:rPr>
        <w:t xml:space="preserve"> </w:t>
      </w:r>
      <w:r>
        <w:rPr>
          <w:rFonts w:ascii="Times New Roman;sans-serif" w:hAnsi="Times New Roman;sans-serif"/>
          <w:b w:val="false"/>
          <w:color w:val="000000"/>
          <w:sz w:val="20"/>
        </w:rPr>
        <w:t>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the Company’s request. The Term Loan matures on December 1, 2027 (the “Term Loan Maturity Date”). Interest on the Term Loan will be payable monthly at a floating annual rate set at the greater of the prime rate as 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“Revolving Line Maturity Date”). Borrowings under the Revolving Line are based on 80% of eligible domestic accounts receivable borrowing base. Interest on the outstanding balance of the Revolving Line will be payable monthly at a floating annual rate set at the greater of the prime rate as published in the Wall Street Journal or 6.25%. Interest on borrowings is due monthly and any principal balance is due on the Revolving Line Maturity Date, provided that when Revolving Line Advances are outstanding, in the event the Company does not maintain an adjusted quick ratio of at least 1.5 to 1.0, then falling below such threshold will allow First-Citizens to apply accounts receivable collections to outstanding Revolving Line borrowings. The Company will pay a total commitment fee of $187,500 on account of the Revolving Line payable in installments, but fully earned at close. The Company will also be required to pay a fee of $150,000 if it terminates the Amended Loan Agreement or Revolving Line prior to Revolving Line Maturity Date, or if First-Citizens terminates the Loan Agreement or the Revolving Line following an event of default. No termination fee would be due if the Revolving Line is replaced with a new facility with First-Citizens. No amounts were outstanding under the Revolving Line as of December 31,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Amended Loan Agreement as a debt modification. Accordingly, the remaining unamortized debt issuance costs related to the Original Loan Agreement together with any lender fees incurred in connection with the entry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07060"/>
                <wp:effectExtent l="0" t="0" r="0" b="0"/>
                <wp:wrapNone/>
                <wp:docPr id="94" name="Frame9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Loan Agreement are amortized to interest expense using the straight-line method over the new term of the loan through December 2027.</w:t>
      </w:r>
    </w:p>
    <w:p>
      <w:pPr>
        <w:pStyle w:val="TextBody"/>
        <w:bidi w:val="0"/>
        <w:spacing w:lineRule="auto" w:line="276" w:before="1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related to the First-Citizens Term Loan for the the years ended December 31, 2023 was 9.0%. The effective interest rate related to the Original Term Loan was 7.8% for the year ended December 31, 2022.</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and final fee payments under the Term Loan as of December 31, 2023:</w:t>
      </w:r>
    </w:p>
    <w:tbl>
      <w:tblPr>
        <w:tblW w:w="4484" w:type="dxa"/>
        <w:jc w:val="center"/>
        <w:tblInd w:w="0" w:type="dxa"/>
        <w:tblLayout w:type="fixed"/>
        <w:tblCellMar>
          <w:top w:w="28" w:type="dxa"/>
          <w:left w:w="28" w:type="dxa"/>
          <w:bottom w:w="28" w:type="dxa"/>
          <w:right w:w="28" w:type="dxa"/>
        </w:tblCellMar>
      </w:tblPr>
      <w:tblGrid>
        <w:gridCol w:w="1162"/>
        <w:gridCol w:w="1020"/>
        <w:gridCol w:w="1028"/>
        <w:gridCol w:w="247"/>
        <w:gridCol w:w="847"/>
        <w:gridCol w:w="180"/>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and final fee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2023, the Company was in compliance with all debt covenants. </w:t>
      </w:r>
    </w:p>
    <w:p>
      <w:pPr>
        <w:pStyle w:val="TextBody"/>
        <w:bidi w:val="0"/>
        <w:spacing w:lineRule="auto" w:line="276"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Company's outstanding amount under the Original Term Loan was refinanced on a long-term basis and was accordingly classified as term note, non-current as of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a warrant holder exercised warrants, and the Company issued 22,603 net shares of common stock through a cashless exercise of the warrants in accordance with the conversion terms. The table below summarizes common stock warrants issued and outstanding at December 31, 2023 and 2022: </w:t>
      </w:r>
    </w:p>
    <w:tbl>
      <w:tblPr>
        <w:tblW w:w="10205" w:type="dxa"/>
        <w:jc w:val="center"/>
        <w:tblInd w:w="0" w:type="dxa"/>
        <w:tblLayout w:type="fixed"/>
        <w:tblCellMar>
          <w:top w:w="28" w:type="dxa"/>
          <w:left w:w="28" w:type="dxa"/>
          <w:bottom w:w="28" w:type="dxa"/>
          <w:right w:w="28" w:type="dxa"/>
        </w:tblCellMar>
      </w:tblPr>
      <w:tblGrid>
        <w:gridCol w:w="298"/>
        <w:gridCol w:w="262"/>
        <w:gridCol w:w="264"/>
        <w:gridCol w:w="109"/>
        <w:gridCol w:w="109"/>
        <w:gridCol w:w="109"/>
        <w:gridCol w:w="314"/>
        <w:gridCol w:w="314"/>
        <w:gridCol w:w="315"/>
        <w:gridCol w:w="109"/>
        <w:gridCol w:w="109"/>
        <w:gridCol w:w="109"/>
        <w:gridCol w:w="439"/>
        <w:gridCol w:w="439"/>
        <w:gridCol w:w="440"/>
        <w:gridCol w:w="109"/>
        <w:gridCol w:w="109"/>
        <w:gridCol w:w="109"/>
        <w:gridCol w:w="261"/>
        <w:gridCol w:w="261"/>
        <w:gridCol w:w="262"/>
        <w:gridCol w:w="109"/>
        <w:gridCol w:w="109"/>
        <w:gridCol w:w="109"/>
        <w:gridCol w:w="303"/>
        <w:gridCol w:w="303"/>
        <w:gridCol w:w="305"/>
        <w:gridCol w:w="109"/>
        <w:gridCol w:w="109"/>
        <w:gridCol w:w="109"/>
        <w:gridCol w:w="304"/>
        <w:gridCol w:w="304"/>
        <w:gridCol w:w="305"/>
        <w:gridCol w:w="109"/>
        <w:gridCol w:w="109"/>
        <w:gridCol w:w="109"/>
        <w:gridCol w:w="282"/>
        <w:gridCol w:w="282"/>
        <w:gridCol w:w="283"/>
        <w:gridCol w:w="109"/>
        <w:gridCol w:w="109"/>
        <w:gridCol w:w="109"/>
        <w:gridCol w:w="398"/>
        <w:gridCol w:w="398"/>
        <w:gridCol w:w="58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Price per </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2023</w:t>
            </w:r>
          </w:p>
        </w:tc>
      </w:tr>
      <w:tr>
        <w:trPr/>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w:t>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Common and Preferred Stock</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certificate of incorporation as amended and restated in October 2018, authorizes the Company to issue 100,000,000 shares of common stock and 5,000,000 shares of preferred stock, each having a par value of $0.0001. Common stock issued and outstanding as of December 31, 2023 and 2022 were 40,693,299 shares and 34,731,577 shares, respectively. As of December 31, 2023 and 2022, there was no preferred stock issued and outstanding.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receive dividends whenever funds are legally available, as, when, and if declared by the Board of Directors. There have been no dividends declared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07060"/>
                <wp:effectExtent l="0" t="0" r="0" b="0"/>
                <wp:wrapNone/>
                <wp:docPr id="95" name="Frame9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2008 Stock Option Plan and 2018 Equity Incentive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2023, a total of 4,454,432 shares of common stock are available for future grants under the 2018 EIP. On January 1, 2024, the total number of shares of common stock reserved for issuance under the 2018 EIP automatically increased by 2,034,664 shares.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have a term of 10 years, except, options granted to individuals holding more than 10% of the outstanding shares have a term of five years. Options generally vest over a four-year period. RSUs granted under the 2018 EIP generally vest over two to four years based upon continued services and are settled at vesting in shares of the Company's common stock.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5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years ended December 31, 2023 and 2022:</w:t>
      </w:r>
    </w:p>
    <w:tbl>
      <w:tblPr>
        <w:tblW w:w="10205" w:type="dxa"/>
        <w:jc w:val="center"/>
        <w:tblInd w:w="0" w:type="dxa"/>
        <w:tblLayout w:type="fixed"/>
        <w:tblCellMar>
          <w:top w:w="28" w:type="dxa"/>
          <w:left w:w="28" w:type="dxa"/>
          <w:bottom w:w="28" w:type="dxa"/>
          <w:right w:w="28" w:type="dxa"/>
        </w:tblCellMar>
      </w:tblPr>
      <w:tblGrid>
        <w:gridCol w:w="795"/>
        <w:gridCol w:w="698"/>
        <w:gridCol w:w="700"/>
        <w:gridCol w:w="504"/>
        <w:gridCol w:w="480"/>
        <w:gridCol w:w="316"/>
        <w:gridCol w:w="109"/>
        <w:gridCol w:w="109"/>
        <w:gridCol w:w="109"/>
        <w:gridCol w:w="603"/>
        <w:gridCol w:w="603"/>
        <w:gridCol w:w="605"/>
        <w:gridCol w:w="109"/>
        <w:gridCol w:w="109"/>
        <w:gridCol w:w="109"/>
        <w:gridCol w:w="752"/>
        <w:gridCol w:w="752"/>
        <w:gridCol w:w="753"/>
        <w:gridCol w:w="109"/>
        <w:gridCol w:w="109"/>
        <w:gridCol w:w="109"/>
        <w:gridCol w:w="322"/>
        <w:gridCol w:w="1100"/>
        <w:gridCol w:w="241"/>
      </w:tblGrid>
      <w:tr>
        <w:trPr/>
        <w:tc>
          <w:tcPr>
            <w:tcW w:w="7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Contractual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 (in thousands)</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2,009,513 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(80,571)</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(698,627)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exercisable as of December 31, 2023</w:t>
            </w:r>
          </w:p>
        </w:tc>
        <w:tc>
          <w:tcPr>
            <w:tcW w:w="98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31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 vested and expected to vest as of December 31, 2023</w:t>
            </w:r>
          </w:p>
        </w:tc>
        <w:tc>
          <w:tcPr>
            <w:tcW w:w="98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3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pPr>
      <w:r>
        <w:rPr>
          <w:rFonts w:ascii="Times New Roman;sans-serif" w:hAnsi="Times New Roman;sans-serif"/>
          <w:b w:val="false"/>
          <w:color w:val="000000"/>
          <w:sz w:val="20"/>
        </w:rPr>
        <w:t>The aggregate intrinsic value of options exercised during the years ended December 31, 2023 and 2022 amounte</w:t>
      </w:r>
      <w:r>
        <w:rPr>
          <w:rFonts w:ascii="Times New Roman;sans-serif" w:hAnsi="Times New Roman;sans-serif"/>
          <w:b w:val="false"/>
          <w:color w:val="000000"/>
          <w:sz w:val="20"/>
          <w:shd w:fill="FFFFFF" w:val="clear"/>
        </w:rPr>
        <w:t>d to $11.7 million and</w:t>
      </w:r>
      <w:r>
        <w:rPr>
          <w:color w:val="000000"/>
        </w:rPr>
        <w:t xml:space="preserve"> </w:t>
      </w:r>
      <w:r>
        <w:rPr>
          <w:rFonts w:ascii="Times New Roman;sans-serif" w:hAnsi="Times New Roman;sans-serif"/>
          <w:b w:val="false"/>
          <w:color w:val="000000"/>
          <w:sz w:val="20"/>
        </w:rPr>
        <w:t xml:space="preserve">$1.0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2023 represents the difference between the exercise price and the closing price of the Company’s common stock on the last trading day of the year.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exercisable options information by range of exercise prices as of December 31, 2023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07060"/>
                <wp:effectExtent l="0" t="0" r="0" b="0"/>
                <wp:wrapNone/>
                <wp:docPr id="96" name="Frame9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center"/>
        <w:tblInd w:w="0" w:type="dxa"/>
        <w:tblLayout w:type="fixed"/>
        <w:tblCellMar>
          <w:top w:w="28" w:type="dxa"/>
          <w:left w:w="28" w:type="dxa"/>
          <w:bottom w:w="28" w:type="dxa"/>
          <w:right w:w="28" w:type="dxa"/>
        </w:tblCellMar>
      </w:tblPr>
      <w:tblGrid>
        <w:gridCol w:w="249"/>
        <w:gridCol w:w="219"/>
        <w:gridCol w:w="223"/>
        <w:gridCol w:w="126"/>
        <w:gridCol w:w="126"/>
        <w:gridCol w:w="126"/>
        <w:gridCol w:w="224"/>
        <w:gridCol w:w="224"/>
        <w:gridCol w:w="228"/>
        <w:gridCol w:w="109"/>
        <w:gridCol w:w="109"/>
        <w:gridCol w:w="109"/>
        <w:gridCol w:w="504"/>
        <w:gridCol w:w="500"/>
        <w:gridCol w:w="479"/>
        <w:gridCol w:w="115"/>
        <w:gridCol w:w="115"/>
        <w:gridCol w:w="115"/>
        <w:gridCol w:w="357"/>
        <w:gridCol w:w="357"/>
        <w:gridCol w:w="359"/>
        <w:gridCol w:w="115"/>
        <w:gridCol w:w="115"/>
        <w:gridCol w:w="115"/>
        <w:gridCol w:w="375"/>
        <w:gridCol w:w="375"/>
        <w:gridCol w:w="377"/>
        <w:gridCol w:w="109"/>
        <w:gridCol w:w="109"/>
        <w:gridCol w:w="109"/>
        <w:gridCol w:w="505"/>
        <w:gridCol w:w="501"/>
        <w:gridCol w:w="473"/>
        <w:gridCol w:w="257"/>
        <w:gridCol w:w="257"/>
        <w:gridCol w:w="257"/>
        <w:gridCol w:w="343"/>
        <w:gridCol w:w="343"/>
        <w:gridCol w:w="497"/>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7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7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Average </w:t>
              <w:br/>
              <w:t xml:space="preserve">Remaining </w:t>
              <w:br/>
              <w:t xml:space="preserve">Contractual </w:t>
              <w:br/>
              <w:t>Life (Years)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Exercise Price</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375,262 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375,262 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300,673 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300,673 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198,341 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198,341 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$18.11</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18,838 </w:t>
            </w:r>
          </w:p>
        </w:tc>
        <w:tc>
          <w:tcPr>
            <w:tcW w:w="4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$18.71</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295,594 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295,594 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years ended December 31, 2023 and 2022. </w:t>
      </w:r>
    </w:p>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is no unrecognized compensation cost related to stock options.</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(“RSUs”) are share awards that entitle the holder to receive freely tradable shares of the Company’s common stock upon vesting. RSUs generally vest over two to four years based upon continued services and are settled at vesting in shares of the Company's common stock. The grant date fair value of the RSUs is equal to the closing price of the Company’s common stock on the grant date. </w:t>
      </w:r>
    </w:p>
    <w:p>
      <w:pPr>
        <w:pStyle w:val="TextBody"/>
        <w:bidi w:val="0"/>
        <w:spacing w:lineRule="auto" w:line="288" w:before="180" w:after="283"/>
        <w:ind w:left="0" w:right="0" w:firstLine="360"/>
        <w:jc w:val="both"/>
        <w:rPr/>
      </w:pPr>
      <w:r>
        <w:rPr>
          <w:rFonts w:ascii="Times New Roman;sans-serif" w:hAnsi="Times New Roman;sans-serif"/>
          <w:b w:val="false"/>
          <w:color w:val="000000"/>
          <w:sz w:val="20"/>
          <w:shd w:fill="FFFFFF" w:val="clear"/>
        </w:rPr>
        <w:t>The Company has granted performance-based restricted stock unit awards subject to market and service vesting conditions to certain executive officers under SI-BONE's 2018 Equity Incentive Plan (“PSUs”). The shares subject to the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w:t>
      </w:r>
      <w:r>
        <w:rPr>
          <w:rFonts w:ascii="Times New Roman;sans-serif" w:hAnsi="Times New Roman;sans-serif"/>
          <w:b w:val="false"/>
          <w:color w:val="000000"/>
          <w:sz w:val="20"/>
        </w:rPr>
        <w:t>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185"/>
        <w:gridCol w:w="1027"/>
        <w:gridCol w:w="1030"/>
        <w:gridCol w:w="109"/>
        <w:gridCol w:w="109"/>
        <w:gridCol w:w="109"/>
        <w:gridCol w:w="109"/>
        <w:gridCol w:w="109"/>
        <w:gridCol w:w="109"/>
        <w:gridCol w:w="494"/>
        <w:gridCol w:w="271"/>
        <w:gridCol w:w="509"/>
        <w:gridCol w:w="183"/>
        <w:gridCol w:w="620"/>
        <w:gridCol w:w="183"/>
        <w:gridCol w:w="183"/>
        <w:gridCol w:w="183"/>
        <w:gridCol w:w="208"/>
        <w:gridCol w:w="205"/>
        <w:gridCol w:w="200"/>
        <w:gridCol w:w="109"/>
        <w:gridCol w:w="109"/>
        <w:gridCol w:w="109"/>
        <w:gridCol w:w="240"/>
        <w:gridCol w:w="240"/>
        <w:gridCol w:w="237"/>
        <w:gridCol w:w="109"/>
        <w:gridCol w:w="109"/>
        <w:gridCol w:w="109"/>
        <w:gridCol w:w="210"/>
        <w:gridCol w:w="203"/>
        <w:gridCol w:w="200"/>
        <w:gridCol w:w="109"/>
        <w:gridCol w:w="109"/>
        <w:gridCol w:w="109"/>
        <w:gridCol w:w="217"/>
        <w:gridCol w:w="217"/>
        <w:gridCol w:w="325"/>
      </w:tblGrid>
      <w:tr>
        <w:trPr/>
        <w:tc>
          <w:tcPr>
            <w:tcW w:w="118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070" w:type="dxa"/>
            <w:gridSpan w:val="18"/>
            <w:tcBorders/>
          </w:tcPr>
          <w:p>
            <w:pPr>
              <w:pStyle w:val="TableContents"/>
              <w:bidi w:val="0"/>
              <w:spacing w:before="0" w:after="283"/>
              <w:jc w:val="left"/>
              <w:rPr>
                <w:sz w:val="4"/>
                <w:szCs w:val="4"/>
              </w:rPr>
            </w:pPr>
            <w:r>
              <w:rPr>
                <w:sz w:val="4"/>
                <w:szCs w:val="4"/>
              </w:rPr>
            </w:r>
          </w:p>
        </w:tc>
      </w:tr>
      <w:tr>
        <w:trPr/>
        <w:tc>
          <w:tcPr>
            <w:tcW w:w="3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86" w:type="dxa"/>
            <w:gridSpan w:val="6"/>
            <w:tcBorders/>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86" w:type="dxa"/>
            <w:gridSpan w:val="6"/>
            <w:tcBorders/>
          </w:tcPr>
          <w:p>
            <w:pPr>
              <w:pStyle w:val="TableContents"/>
              <w:bidi w:val="0"/>
              <w:spacing w:before="0" w:after="283"/>
              <w:jc w:val="left"/>
              <w:rPr>
                <w:sz w:val="4"/>
                <w:szCs w:val="4"/>
              </w:rPr>
            </w:pPr>
            <w:r>
              <w:rPr>
                <w:sz w:val="4"/>
                <w:szCs w:val="4"/>
              </w:rPr>
            </w:r>
          </w:p>
        </w:tc>
      </w:tr>
      <w:tr>
        <w:trPr/>
        <w:tc>
          <w:tcPr>
            <w:tcW w:w="3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70"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and PSU activity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07060"/>
                <wp:effectExtent l="0" t="0" r="0" b="0"/>
                <wp:wrapNone/>
                <wp:docPr id="97" name="Frame9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9830" w:type="dxa"/>
        <w:jc w:val="center"/>
        <w:tblInd w:w="0" w:type="dxa"/>
        <w:tblLayout w:type="fixed"/>
        <w:tblCellMar>
          <w:top w:w="28" w:type="dxa"/>
          <w:left w:w="28" w:type="dxa"/>
          <w:bottom w:w="28" w:type="dxa"/>
          <w:right w:w="28" w:type="dxa"/>
        </w:tblCellMar>
      </w:tblPr>
      <w:tblGrid>
        <w:gridCol w:w="1180"/>
        <w:gridCol w:w="1036"/>
        <w:gridCol w:w="1039"/>
        <w:gridCol w:w="109"/>
        <w:gridCol w:w="109"/>
        <w:gridCol w:w="109"/>
        <w:gridCol w:w="488"/>
        <w:gridCol w:w="488"/>
        <w:gridCol w:w="331"/>
        <w:gridCol w:w="109"/>
        <w:gridCol w:w="109"/>
        <w:gridCol w:w="109"/>
        <w:gridCol w:w="459"/>
        <w:gridCol w:w="459"/>
        <w:gridCol w:w="461"/>
        <w:gridCol w:w="109"/>
        <w:gridCol w:w="109"/>
        <w:gridCol w:w="109"/>
        <w:gridCol w:w="413"/>
        <w:gridCol w:w="413"/>
        <w:gridCol w:w="331"/>
        <w:gridCol w:w="109"/>
        <w:gridCol w:w="109"/>
        <w:gridCol w:w="109"/>
        <w:gridCol w:w="417"/>
        <w:gridCol w:w="417"/>
        <w:gridCol w:w="590"/>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Grant Date 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Grant Date Fair </w:t>
              <w:br/>
              <w:t>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1,566,522 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(806,204)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1,794,928 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1,235,471 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(967,145)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1,899,790 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385,122 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bl>
    <w:p>
      <w:pPr>
        <w:pStyle w:val="TextBody"/>
        <w:bidi w:val="0"/>
        <w:spacing w:lineRule="auto" w:line="288" w:before="1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unrecognized compensation cost related to the RSUs was $30.2 million, which is expected to be recognized over a period of approximately 2.3 years. As of December 31, 2023, the unrecognized compensation cost related to the PSUs was $2.2 million, which is expected to be recognized over a period of approximately 1.8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 total of 1,218,576 shares of common stock are available for future grants under the ESPP. On January 1, 2024, the total number of shares of common stock reserved for issuance under the ESPP Plan increased by 406,932 shares.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ESPP shares is estimated using the Black-Scholes option pricing model, which is being amortized over the requisite service period. The Company issued 178,918 shares and 170,717 shares under the ESPP during the years ended December 31, 2023 and 2022, respectively, representing $2.2 million and $1.8 million in employee contributions. For each of the years ended December 31, 2023 and 2022, total accumulated ESPP related employee payroll deductions amounted to $0.4 million and $0.3 million, respectively, which were included within accrued compensation and related expenses in the consolidated balance sheets. For the years ended December 31, 2023 and 2022, the Company recognized $1.0 million and $0.7 million, respectively, of stock-based compensation expense related to ESPP. As of December 31, 2023, the unrecognized compensation cost for the ESPP was $0.4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07060"/>
                <wp:effectExtent l="0" t="0" r="0" b="0"/>
                <wp:wrapNone/>
                <wp:docPr id="98" name="Frame9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ESPP purchase rights during the offering period using a Black-Scholes option pricing model with the following assumptions:</w:t>
      </w:r>
    </w:p>
    <w:tbl>
      <w:tblPr>
        <w:tblW w:w="5417" w:type="dxa"/>
        <w:jc w:val="center"/>
        <w:tblInd w:w="0" w:type="dxa"/>
        <w:tblLayout w:type="fixed"/>
        <w:tblCellMar>
          <w:top w:w="28" w:type="dxa"/>
          <w:left w:w="28" w:type="dxa"/>
          <w:bottom w:w="28" w:type="dxa"/>
          <w:right w:w="28" w:type="dxa"/>
        </w:tblCellMar>
      </w:tblPr>
      <w:tblGrid>
        <w:gridCol w:w="677"/>
        <w:gridCol w:w="597"/>
        <w:gridCol w:w="600"/>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5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62.1%</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stock-based compensation expense recognized for the periods presented: </w:t>
      </w:r>
    </w:p>
    <w:tbl>
      <w:tblPr>
        <w:tblW w:w="4763" w:type="dxa"/>
        <w:jc w:val="center"/>
        <w:tblInd w:w="0" w:type="dxa"/>
        <w:tblLayout w:type="fixed"/>
        <w:tblCellMar>
          <w:top w:w="28" w:type="dxa"/>
          <w:left w:w="28" w:type="dxa"/>
          <w:bottom w:w="28" w:type="dxa"/>
          <w:right w:w="28" w:type="dxa"/>
        </w:tblCellMar>
      </w:tblPr>
      <w:tblGrid>
        <w:gridCol w:w="837"/>
        <w:gridCol w:w="730"/>
        <w:gridCol w:w="742"/>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Employee Benefit Plan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sponsors a 401(k) plan covering all employees. Contributions made by the Company are discretionary and are determined annually by the Board of Directors. Effective January 1, 2019, the Company made a discretionary matching contribution equal to dollar for dollar employee contribution, up to 3% eligible compensation of the employee, with a maximum annual contribution from the Company of one thousand dollars per employee. Further, in order for an employee to receive the matching contribution, the employee must be at least 21 years old, work at least 1,000 hours per year, and must be employed by the Company at the beginning through the end of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Net Loss Per Share of Common Stock</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share:</w:t>
      </w:r>
    </w:p>
    <w:tbl>
      <w:tblPr>
        <w:tblW w:w="10205" w:type="dxa"/>
        <w:jc w:val="center"/>
        <w:tblInd w:w="0" w:type="dxa"/>
        <w:tblLayout w:type="fixed"/>
        <w:tblCellMar>
          <w:top w:w="28" w:type="dxa"/>
          <w:left w:w="28" w:type="dxa"/>
          <w:bottom w:w="28" w:type="dxa"/>
          <w:right w:w="28" w:type="dxa"/>
        </w:tblCellMar>
      </w:tblPr>
      <w:tblGrid>
        <w:gridCol w:w="2301"/>
        <w:gridCol w:w="2020"/>
        <w:gridCol w:w="2025"/>
        <w:gridCol w:w="313"/>
        <w:gridCol w:w="1179"/>
        <w:gridCol w:w="161"/>
        <w:gridCol w:w="161"/>
        <w:gridCol w:w="161"/>
        <w:gridCol w:w="161"/>
        <w:gridCol w:w="313"/>
        <w:gridCol w:w="1179"/>
        <w:gridCol w:w="231"/>
      </w:tblGrid>
      <w:tr>
        <w:trPr/>
        <w:tc>
          <w:tcPr>
            <w:tcW w:w="2301"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 except share and per share data)</w:t>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38,427,419 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34,201,824 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07060"/>
                <wp:effectExtent l="0" t="0" r="0" b="0"/>
                <wp:wrapNone/>
                <wp:docPr id="99" name="Frame9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tbl>
      <w:tblPr>
        <w:tblW w:w="4847" w:type="dxa"/>
        <w:jc w:val="center"/>
        <w:tblInd w:w="0" w:type="dxa"/>
        <w:tblLayout w:type="fixed"/>
        <w:tblCellMar>
          <w:top w:w="28" w:type="dxa"/>
          <w:left w:w="28" w:type="dxa"/>
          <w:bottom w:w="28" w:type="dxa"/>
          <w:right w:w="28" w:type="dxa"/>
        </w:tblCellMar>
      </w:tblPr>
      <w:tblGrid>
        <w:gridCol w:w="748"/>
        <w:gridCol w:w="659"/>
        <w:gridCol w:w="662"/>
        <w:gridCol w:w="457"/>
        <w:gridCol w:w="255"/>
        <w:gridCol w:w="229"/>
        <w:gridCol w:w="229"/>
        <w:gridCol w:w="229"/>
        <w:gridCol w:w="229"/>
        <w:gridCol w:w="530"/>
        <w:gridCol w:w="296"/>
        <w:gridCol w:w="32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1,188,708</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2,284,912</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1,950,524</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102,172</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134,226 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3,660,931</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loss before income taxes are as follows:</w:t>
      </w:r>
    </w:p>
    <w:tbl>
      <w:tblPr>
        <w:tblW w:w="4764" w:type="dxa"/>
        <w:jc w:val="center"/>
        <w:tblInd w:w="0" w:type="dxa"/>
        <w:tblLayout w:type="fixed"/>
        <w:tblCellMar>
          <w:top w:w="28" w:type="dxa"/>
          <w:left w:w="28" w:type="dxa"/>
          <w:bottom w:w="28" w:type="dxa"/>
          <w:right w:w="28" w:type="dxa"/>
        </w:tblCellMar>
      </w:tblPr>
      <w:tblGrid>
        <w:gridCol w:w="781"/>
        <w:gridCol w:w="688"/>
        <w:gridCol w:w="691"/>
        <w:gridCol w:w="211"/>
        <w:gridCol w:w="796"/>
        <w:gridCol w:w="109"/>
        <w:gridCol w:w="109"/>
        <w:gridCol w:w="109"/>
        <w:gridCol w:w="109"/>
        <w:gridCol w:w="211"/>
        <w:gridCol w:w="79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provision for income taxes recorded for the years ended December 31, 2023 and 2022.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 </w:t>
      </w:r>
    </w:p>
    <w:p>
      <w:pPr>
        <w:pStyle w:val="TextBody"/>
        <w:bidi w:val="0"/>
        <w:spacing w:before="1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07060"/>
                <wp:effectExtent l="0" t="0" r="0" b="0"/>
                <wp:wrapNone/>
                <wp:docPr id="100" name="Frame10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deferred income taxes are as follows:</w:t>
      </w:r>
    </w:p>
    <w:tbl>
      <w:tblPr>
        <w:tblW w:w="6113" w:type="dxa"/>
        <w:jc w:val="center"/>
        <w:tblInd w:w="0" w:type="dxa"/>
        <w:tblLayout w:type="fixed"/>
        <w:tblCellMar>
          <w:top w:w="28" w:type="dxa"/>
          <w:left w:w="28" w:type="dxa"/>
          <w:bottom w:w="28" w:type="dxa"/>
          <w:right w:w="28" w:type="dxa"/>
        </w:tblCellMar>
      </w:tblPr>
      <w:tblGrid>
        <w:gridCol w:w="1317"/>
        <w:gridCol w:w="1156"/>
        <w:gridCol w:w="1186"/>
        <w:gridCol w:w="211"/>
        <w:gridCol w:w="721"/>
        <w:gridCol w:w="109"/>
        <w:gridCol w:w="109"/>
        <w:gridCol w:w="109"/>
        <w:gridCol w:w="109"/>
        <w:gridCol w:w="211"/>
        <w:gridCol w:w="721"/>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tax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differs from the amount computed by applying the statutory federal income tax rate due to the following: </w:t>
      </w:r>
    </w:p>
    <w:tbl>
      <w:tblPr>
        <w:tblW w:w="6291" w:type="dxa"/>
        <w:jc w:val="center"/>
        <w:tblInd w:w="0" w:type="dxa"/>
        <w:tblLayout w:type="fixed"/>
        <w:tblCellMar>
          <w:top w:w="28" w:type="dxa"/>
          <w:left w:w="28" w:type="dxa"/>
          <w:bottom w:w="28" w:type="dxa"/>
          <w:right w:w="28" w:type="dxa"/>
        </w:tblCellMar>
      </w:tblPr>
      <w:tblGrid>
        <w:gridCol w:w="1323"/>
        <w:gridCol w:w="1167"/>
        <w:gridCol w:w="1169"/>
        <w:gridCol w:w="293"/>
        <w:gridCol w:w="293"/>
        <w:gridCol w:w="433"/>
        <w:gridCol w:w="174"/>
        <w:gridCol w:w="174"/>
        <w:gridCol w:w="174"/>
        <w:gridCol w:w="293"/>
        <w:gridCol w:w="293"/>
        <w:gridCol w:w="505"/>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statutory federal rate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tax valuation allowance</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differences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and carryforwards that give rise to significant portions of the deferred tax assets are presented below:</w:t>
      </w:r>
    </w:p>
    <w:tbl>
      <w:tblPr>
        <w:tblW w:w="6698" w:type="dxa"/>
        <w:jc w:val="center"/>
        <w:tblInd w:w="0" w:type="dxa"/>
        <w:tblLayout w:type="fixed"/>
        <w:tblCellMar>
          <w:top w:w="28" w:type="dxa"/>
          <w:left w:w="28" w:type="dxa"/>
          <w:bottom w:w="28" w:type="dxa"/>
          <w:right w:w="28" w:type="dxa"/>
        </w:tblCellMar>
      </w:tblPr>
      <w:tblGrid>
        <w:gridCol w:w="1536"/>
        <w:gridCol w:w="1352"/>
        <w:gridCol w:w="1356"/>
        <w:gridCol w:w="211"/>
        <w:gridCol w:w="721"/>
        <w:gridCol w:w="109"/>
        <w:gridCol w:w="109"/>
        <w:gridCol w:w="109"/>
        <w:gridCol w:w="109"/>
        <w:gridCol w:w="211"/>
        <w:gridCol w:w="721"/>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40" w:after="283"/>
              <w:ind w:left="0" w:right="0" w:firstLine="495"/>
              <w:jc w:val="both"/>
              <w:rPr>
                <w:color w:val="000000"/>
              </w:rPr>
            </w:pPr>
            <w:r>
              <w:rPr>
                <w:color w:val="000000"/>
              </w:rPr>
              <w:t> </w:t>
            </w:r>
            <w:r>
              <w:rPr>
                <w:rFonts w:ascii="Times New Roman;sans-serif" w:hAnsi="Times New Roman;sans-serif"/>
                <w:b/>
                <w:color w:val="000000"/>
                <w:sz w:val="18"/>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limitation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 net of valuation allowance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changes in the valuation allowance for the years ended December 31, 2023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07060"/>
                <wp:effectExtent l="0" t="0" r="0" b="0"/>
                <wp:wrapNone/>
                <wp:docPr id="101" name="Frame10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5123" w:type="dxa"/>
        <w:jc w:val="center"/>
        <w:tblInd w:w="0" w:type="dxa"/>
        <w:tblLayout w:type="fixed"/>
        <w:tblCellMar>
          <w:top w:w="28" w:type="dxa"/>
          <w:left w:w="28" w:type="dxa"/>
          <w:bottom w:w="28" w:type="dxa"/>
          <w:right w:w="28" w:type="dxa"/>
        </w:tblCellMar>
      </w:tblPr>
      <w:tblGrid>
        <w:gridCol w:w="929"/>
        <w:gridCol w:w="815"/>
        <w:gridCol w:w="820"/>
        <w:gridCol w:w="211"/>
        <w:gridCol w:w="826"/>
        <w:gridCol w:w="109"/>
        <w:gridCol w:w="109"/>
        <w:gridCol w:w="109"/>
        <w:gridCol w:w="109"/>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during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both"/>
        <w:rPr/>
      </w:pPr>
      <w:r>
        <w:rPr>
          <w:rFonts w:ascii="Times New Roman;sans-serif" w:hAnsi="Times New Roman;sans-serif"/>
          <w:b w:val="false"/>
          <w:color w:val="000000"/>
          <w:sz w:val="20"/>
        </w:rPr>
        <w:t xml:space="preserve">As of December 31, 2023, the Company had net operating loss (“NOL”) carryforwards of approximately $331.6 million and $259.6 million available to reduce future taxable income, if any, for federal and state income tax purposes, respectively. If not utilized, the Company’s federal NOL carryforward begins to expire in 2030, and the state NOL carryforward began </w:t>
      </w:r>
      <w:r>
        <w:rPr>
          <w:rFonts w:ascii="Times New Roman;sans-serif" w:hAnsi="Times New Roman;sans-serif"/>
          <w:b w:val="false"/>
          <w:color w:val="000000"/>
          <w:sz w:val="20"/>
          <w:shd w:fill="FFFFFF" w:val="clear"/>
        </w:rPr>
        <w:t>to expire in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credit carryforwards of approximately $4.6 million and $3.8 million available to reduce future taxable income, if any, for both federal and state income tax purposes, respectively. The federal credits begin to expire in 2029, and the state credits have no expiration date.</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updated its Section 382 ownership change analysis through December 31, 2020 and determined that the last ownership change was in February 2020 due to the follow-offering. The analysis concluded that no additional NOL carryforwards will expire due to the Section 382 limitation from the ownership change for both federal and state tax purposes. The Company maintains the reduction of $1.4 million of its NOL carryforwards from the previous ownership change. The Company has reviewed changes in the outstanding number of shares and equity transactions for the period January 1, 2021 through December 31, 2023 to determine if an additional ownership change occurred for Section 382 purposes. The Company reasonably believes no additional ownership change occurred in the current year, however, noted there has been a material increase to the equity shift. The Company will continually assess the need to update its Section 382 ownership change analysis. An ownership change in the future could materially limit the Company’s ability to utilize its NOL carryforwards and other tax attributes.</w:t>
      </w:r>
    </w:p>
    <w:p>
      <w:pPr>
        <w:pStyle w:val="TextBody"/>
        <w:bidi w:val="0"/>
        <w:spacing w:lineRule="auto" w:line="268"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 million are subject to a minimum ETR of 15% on income arising in low-tax jurisdictions. Rules under Pillar Two are expected to be enacted beginning January 1, 2024. The Company will continue to monitor the impact of Pillar Two; however, the Pillar Two is currently not applicable as the Company does not meet the threshold of having consolidated revenue over €750 million.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2023 and 2022 consisted of the following:</w:t>
      </w:r>
    </w:p>
    <w:tbl>
      <w:tblPr>
        <w:tblW w:w="7149" w:type="dxa"/>
        <w:jc w:val="center"/>
        <w:tblInd w:w="0" w:type="dxa"/>
        <w:tblLayout w:type="fixed"/>
        <w:tblCellMar>
          <w:top w:w="28" w:type="dxa"/>
          <w:left w:w="28" w:type="dxa"/>
          <w:bottom w:w="28" w:type="dxa"/>
          <w:right w:w="28" w:type="dxa"/>
        </w:tblCellMar>
      </w:tblPr>
      <w:tblGrid>
        <w:gridCol w:w="1778"/>
        <w:gridCol w:w="1557"/>
        <w:gridCol w:w="1570"/>
        <w:gridCol w:w="211"/>
        <w:gridCol w:w="616"/>
        <w:gridCol w:w="109"/>
        <w:gridCol w:w="109"/>
        <w:gridCol w:w="109"/>
        <w:gridCol w:w="109"/>
        <w:gridCol w:w="211"/>
        <w:gridCol w:w="61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tax positions taken prior to current year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year's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recognize interest and penalties related to uncertain tax positions as a component of income tax expense. The Company has no accrued interest related to unrecognized tax benefits as of December 31, 2023 and 2022. None of the Company’s unrecognized tax benefits that, if recognized, would affect its effective tax rates for the years ended December 31, 2023 and 2022. The Company does not anticipate the total amounts of unrecognized tax benefits will significantly increase or decrease in the next 12 months.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has no federal, state or foreign tax examinations in progress nor has it had any federal or state examinations since inception. As a result of the Company’s net operating loss carry forwards, all of its tax years are subject to federal and state tax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07060"/>
                <wp:effectExtent l="0" t="0" r="0" b="0"/>
                <wp:wrapNone/>
                <wp:docPr id="102" name="Frame10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Related Party Transactions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2020, the Company entered into a joint development agreement (the “Development Agreement”) with SeaSpine Orthopedics Corporation (“SeaSpine”), which recently merged with Orthofix Medical, Inc. ("Orthofix"),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 On October 4, 2023, Keith C. Valentine resigned as a member of the Board of Directors of Orthofix. As such, subsequent to October 4, 2023, SeaSpine is no longer a related party of the Company. </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year ended December 31, 2023, the Company did not incur any</w:t>
      </w:r>
      <w:r>
        <w:rPr>
          <w:color w:val="000000"/>
          <w:shd w:fill="FFFFFF" w:val="clear"/>
        </w:rPr>
        <w:t xml:space="preserve"> </w:t>
      </w:r>
      <w:r>
        <w:rPr>
          <w:rFonts w:ascii="Times New Roman;sans-serif" w:hAnsi="Times New Roman;sans-serif"/>
          <w:b w:val="false"/>
          <w:color w:val="000000"/>
          <w:sz w:val="20"/>
          <w:shd w:fill="FFFFFF" w:val="clear"/>
        </w:rPr>
        <w:t xml:space="preserve">reimbursement charges but purchased an immaterial amount of instrument components from Seaspine. </w:t>
      </w:r>
      <w:r>
        <w:rPr>
          <w:rFonts w:ascii="Times New Roman;sans-serif" w:hAnsi="Times New Roman;sans-serif"/>
          <w:b w:val="false"/>
          <w:color w:val="000000"/>
          <w:sz w:val="20"/>
        </w:rPr>
        <w:t xml:space="preserve">For the year ended December 31, 2022, the Company expensed $38,725 of reimbursement charges from SeaSpine. The reimbursement charges were recorded within research and development expense in the consolidated statement of operations. </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rPr>
        <w:t>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party, as provided for by the Development Agreement.</w:t>
      </w:r>
      <w:r>
        <w:rPr>
          <w:color w:val="000000"/>
          <w:shd w:fill="FFFFFF" w:val="clear"/>
        </w:rPr>
        <w:t xml:space="preserve"> </w:t>
      </w:r>
      <w:r>
        <w:rPr>
          <w:rFonts w:ascii="Times New Roman;sans-serif" w:hAnsi="Times New Roman;sans-serif"/>
          <w:b w:val="false"/>
          <w:color w:val="000000"/>
          <w:sz w:val="20"/>
          <w:shd w:fill="FFFFFF" w:val="clear"/>
        </w:rPr>
        <w:t xml:space="preserve">The Company recorded $0.3 million of royalty </w:t>
      </w:r>
      <w:r>
        <w:rPr>
          <w:rFonts w:ascii="Times New Roman;sans-serif" w:hAnsi="Times New Roman;sans-serif"/>
          <w:b w:val="false"/>
          <w:color w:val="000000"/>
          <w:sz w:val="20"/>
        </w:rPr>
        <w:t xml:space="preserve">for the year ended December 31, 2023. </w:t>
      </w:r>
      <w:r>
        <w:rPr>
          <w:rFonts w:ascii="Times New Roman;sans-serif" w:hAnsi="Times New Roman;sans-serif"/>
          <w:b w:val="false"/>
          <w:color w:val="000000"/>
          <w:sz w:val="20"/>
          <w:shd w:fill="FFFFFF" w:val="clear"/>
        </w:rPr>
        <w:t xml:space="preserve">The Company recorded an immaterial amount of royalty </w:t>
      </w:r>
      <w:r>
        <w:rPr>
          <w:rFonts w:ascii="Times New Roman;sans-serif" w:hAnsi="Times New Roman;sans-serif"/>
          <w:b w:val="false"/>
          <w:color w:val="000000"/>
          <w:sz w:val="20"/>
        </w:rPr>
        <w:t>for the year ended December 31, 2022.</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outstanding liability to SeaSpine as of December 31, 2023 and December 31, 2022 was $0.1 million and was recorded within accounts payable and accrued liabilities and other in the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entered into a Second Amendment to Loan and Security Agreement (the “Second Amendment”) with SVB which amends the Company's First Amendment. The Second Amendment revised certain provisions related to financial covenants and the periods in which the covenants apply.</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the Company entered into a Manufacture and Supply Agreement with RMS Company, for the manufacture and supply of our requirements for iFuse-3D, iFuse-TORQ and components of iFuse Bedrock Granite implants. Pricing is set forth in the agreement through the end of 2026. The agreement has a three year initial term with automatic one-year renewals.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07060"/>
                <wp:effectExtent l="0" t="0" r="0" b="0"/>
                <wp:wrapNone/>
                <wp:docPr id="103" name="Frame10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Supplementary Data</w:t>
      </w:r>
    </w:p>
    <w:p>
      <w:pPr>
        <w:pStyle w:val="TextBody"/>
        <w:bidi w:val="0"/>
        <w:spacing w:lineRule="auto" w:line="288" w:before="180" w:after="18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Selected Quarterly Consolidated Financial Data (Unaudited)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Schedule II - Valuation and Qualifying Accounts</w:t>
      </w:r>
    </w:p>
    <w:p>
      <w:pPr>
        <w:pStyle w:val="TextBody"/>
        <w:bidi w:val="0"/>
        <w:spacing w:before="0" w:after="0"/>
        <w:jc w:val="both"/>
        <w:rPr/>
      </w:pPr>
      <w:r>
        <w:rPr/>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312" w:before="24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312" w:before="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as amended). Based on that evaluation, our CEO and our CFO have concluded that, as of December 31, 2023, our disclosure controls and procedures were effective at the reasonable assurance level. </w:t>
      </w:r>
    </w:p>
    <w:p>
      <w:pPr>
        <w:pStyle w:val="TextBody"/>
        <w:bidi w:val="0"/>
        <w:spacing w:lineRule="auto" w:line="312" w:before="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2023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2023 based on those criteria. The effectiveness of our internal control over financial reporting as of December 31, 2023 has been audited by our independent registered public accounting firm, PricewaterhouseCoopers LLP, as stated in their report, which appears in Part II, Item 8 of this Annual Report on Form 10-K.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i/>
          <w:color w:val="000000"/>
          <w:sz w:val="20"/>
        </w:rPr>
        <w:t>Changes in Internal Control Over Financial Reporting</w:t>
      </w:r>
      <w:r>
        <w:rPr>
          <w:rFonts w:ascii="Times New Roman;sans-serif" w:hAnsi="Times New Roman;sans-serif"/>
          <w:b w:val="false"/>
          <w:i/>
          <w:color w:val="000000"/>
          <w:sz w:val="20"/>
        </w:rPr>
        <w: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that occurred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07060"/>
                <wp:effectExtent l="0" t="0" r="0" b="0"/>
                <wp:wrapNone/>
                <wp:docPr id="104" name="Frame10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31, 2023, the following Section 16 officer and director adopted, modified or terminated a “Rule 10b5-1 trading arrangement” (as defined in Item 408 of Regulation S-K of the Exchange Act) as set forth in the table below.</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11"/>
        <w:gridCol w:w="501"/>
        <w:gridCol w:w="503"/>
        <w:gridCol w:w="294"/>
        <w:gridCol w:w="294"/>
        <w:gridCol w:w="298"/>
        <w:gridCol w:w="478"/>
        <w:gridCol w:w="478"/>
        <w:gridCol w:w="479"/>
        <w:gridCol w:w="254"/>
        <w:gridCol w:w="254"/>
        <w:gridCol w:w="254"/>
        <w:gridCol w:w="471"/>
        <w:gridCol w:w="309"/>
        <w:gridCol w:w="285"/>
        <w:gridCol w:w="473"/>
        <w:gridCol w:w="473"/>
        <w:gridCol w:w="475"/>
        <w:gridCol w:w="535"/>
        <w:gridCol w:w="535"/>
        <w:gridCol w:w="536"/>
        <w:gridCol w:w="353"/>
        <w:gridCol w:w="353"/>
        <w:gridCol w:w="509"/>
      </w:tblGrid>
      <w:tr>
        <w:trPr/>
        <w:tc>
          <w:tcPr>
            <w:tcW w:w="8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Type of Trading Arrangement</w:t>
            </w:r>
          </w:p>
        </w:tc>
        <w:tc>
          <w:tcPr>
            <w:tcW w:w="14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Position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Adoption/Termination Date</w:t>
            </w:r>
          </w:p>
        </w:tc>
        <w:tc>
          <w:tcPr>
            <w:tcW w:w="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0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1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Shares of Common Stock to be Sold</w:t>
            </w:r>
          </w:p>
        </w:tc>
        <w:tc>
          <w:tcPr>
            <w:tcW w:w="16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Shares of Common Stock to be Purchased</w:t>
            </w:r>
          </w:p>
        </w:tc>
        <w:tc>
          <w:tcPr>
            <w:tcW w:w="1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Jeffrey W. Dunn, Chairman</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262,239</w:t>
            </w:r>
          </w:p>
        </w:tc>
        <w:tc>
          <w:tcPr>
            <w:tcW w:w="16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r>
      <w:tr>
        <w:trPr/>
        <w:tc>
          <w:tcPr>
            <w:tcW w:w="18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Anthony Recupero, President of Commercial Operations</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4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13, 2023</w:t>
            </w:r>
          </w:p>
        </w:tc>
        <w:tc>
          <w:tcPr>
            <w:tcW w:w="7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0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12,687</w:t>
            </w:r>
          </w:p>
        </w:tc>
        <w:tc>
          <w:tcPr>
            <w:tcW w:w="16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r>
      <w:tr>
        <w:trPr/>
        <w:tc>
          <w:tcPr>
            <w:tcW w:w="18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instruction or written plan intended to satisfy the affirmative defense conditions of Rule 10b5-1(c) under the Exchange Act</w:t>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“Non-Rule 10b5-1 trading arrangement” as defined in Item 408(c) of Regulation S-K under the Exchange Act. </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other directors or executive officers adopted a Rule 10b5-1 trading arrangement or a non-Rule 10b5-1 trading arrangement, as defined in Item 408 of Regulation S-K under the Exchange Act during the three-month period ended December 31,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will be contained in our definitive proxy statement to be filed with the Securities and Exchange Commission on Schedule 14A in connection with our 2024 Annual Meeting of Stockholders, or the 2024 Proxy Statement, which will be filed not later than 120 days after the end of our fiscal year ended December 31, 2023, under the headings “Management,” “Proposal 1 - Election of Directors,” “Information Regarding the Board of Directors and Corporate Governance”, and, if applicable, “Delinquent Section 16(a) Reports”, and is incorporated herein by reference.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executive compensation will be incorporated by reference to the information set forth in the sections titled “Executive Compensation” and “Compensation of Non-Employee Board Members” in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certain relationships and related transactions and director independence will be incorporated by reference to the information set forth in the sections titled “Certain Relationships and Related Party Transactions” and “Information Regarding the Board of Directors and Corporate Governance”, respectively, in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4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regarding principal accountant fees and services will be incorporated by reference to the information set forth in the section titled “Principal Accountant Fees and Services” in our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 response to this Item is included in Part II, Item 8 of this Annual Report on Form 10</w:t>
        <w:noBreakHyphen/>
        <w:t>K.</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shown in the financial statements or notes thereto.</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as required by Item 601 of Regulation S-K are attached or incorporated by reference as stated below.</w:t>
      </w:r>
    </w:p>
    <w:p>
      <w:pPr>
        <w:pStyle w:val="TextBody"/>
        <w:bidi w:val="0"/>
        <w:spacing w:before="0" w:after="160"/>
        <w:jc w:val="left"/>
        <w:rPr/>
      </w:pPr>
      <w:r>
        <w:rPr/>
      </w:r>
    </w:p>
    <w:p>
      <w:pPr>
        <w:pStyle w:val="TextBody"/>
        <w:bidi w:val="0"/>
        <w:spacing w:lineRule="auto" w:line="312" w:before="0" w:after="24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708"/>
        <w:gridCol w:w="1657"/>
        <w:gridCol w:w="1674"/>
        <w:gridCol w:w="109"/>
        <w:gridCol w:w="109"/>
        <w:gridCol w:w="109"/>
        <w:gridCol w:w="176"/>
        <w:gridCol w:w="176"/>
        <w:gridCol w:w="177"/>
        <w:gridCol w:w="119"/>
        <w:gridCol w:w="119"/>
        <w:gridCol w:w="119"/>
        <w:gridCol w:w="359"/>
        <w:gridCol w:w="284"/>
        <w:gridCol w:w="211"/>
        <w:gridCol w:w="119"/>
        <w:gridCol w:w="119"/>
        <w:gridCol w:w="119"/>
        <w:gridCol w:w="210"/>
        <w:gridCol w:w="210"/>
        <w:gridCol w:w="211"/>
        <w:gridCol w:w="109"/>
        <w:gridCol w:w="109"/>
        <w:gridCol w:w="109"/>
        <w:gridCol w:w="217"/>
        <w:gridCol w:w="217"/>
        <w:gridCol w:w="31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shd w:fill="FFFFFF" w:val="clear"/>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shd w:fill="FFFFFF" w:val="clear"/>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shd w:fill="FFFFFF" w:val="clear"/>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 xml:space="preserve">Reference is made to Exhibits </w:t>
            </w:r>
            <w:hyperlink r:id="rId5">
              <w:r>
                <w:rPr>
                  <w:rStyle w:val="InternetLink"/>
                  <w:rFonts w:ascii="Times New Roman;sans-serif" w:hAnsi="Times New Roman;sans-serif"/>
                  <w:b w:val="false"/>
                  <w:color w:val="0000FF"/>
                  <w:sz w:val="20"/>
                  <w:u w:val="single"/>
                  <w:shd w:fill="FFFFFF" w:val="clear"/>
                </w:rPr>
                <w:t>3.1</w:t>
              </w:r>
            </w:hyperlink>
            <w:r>
              <w:rPr>
                <w:color w:val="000000"/>
                <w:shd w:fill="FFFFFF" w:val="clear"/>
              </w:rPr>
              <w:t xml:space="preserve"> </w:t>
            </w:r>
            <w:r>
              <w:rPr>
                <w:rFonts w:ascii="Times New Roman;sans-serif" w:hAnsi="Times New Roman;sans-serif"/>
                <w:b w:val="false"/>
                <w:color w:val="000000"/>
                <w:sz w:val="20"/>
                <w:shd w:fill="FFFFFF" w:val="clear"/>
              </w:rPr>
              <w:t xml:space="preserve">and </w:t>
            </w:r>
            <w:hyperlink r:id="rId6">
              <w:r>
                <w:rPr>
                  <w:rStyle w:val="InternetLink"/>
                  <w:rFonts w:ascii="Times New Roman;sans-serif" w:hAnsi="Times New Roman;sans-serif"/>
                  <w:b w:val="false"/>
                  <w:color w:val="0000FF"/>
                  <w:sz w:val="20"/>
                  <w:u w:val="single"/>
                  <w:shd w:fill="FFFFFF" w:val="clear"/>
                </w:rPr>
                <w:t>3.2</w:t>
              </w:r>
            </w:hyperlink>
            <w:r>
              <w:rPr>
                <w:rFonts w:ascii="Times New Roman;sans-serif" w:hAnsi="Times New Roman;sans-serif"/>
                <w:b w:val="false"/>
                <w:color w:val="000000"/>
                <w:sz w:val="20"/>
                <w:shd w:fill="FFFFFF" w:val="clea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SI-BONE, Inc.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Indemnity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2008 Stock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2018 Equity Incentive Plan</w:t>
              </w:r>
            </w:hyperlink>
            <w:r>
              <w:rPr>
                <w:rFonts w:ascii="Times New Roman;sans-serif" w:hAnsi="Times New Roman;sans-serif"/>
                <w:b w:val="false"/>
                <w:color w:val="0000FF"/>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Forms of Stock Option Grant Notice, Option Agreement and Notice of Exercise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Forms of Restricted Stock Unit Grant Notice and Restricted Stock Unit Award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Offer Letter Agreement, dated December 15, 2009, between the Registrant and Jeffrey W.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Offer Letter Agreement, dated June 19, 2016, between the Registrant and Anthony J. Recupero.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Amended and Restated Investors’ Rights Agreement, dated June 2, 2016, by and among the Registrant and the parties thereto, as amended on October 4,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Amendment to Restricted Stock Units of Laura Francis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11/12/2019</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Amendment to Offer Letter with Jeffrey Dunn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1/7/2021</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 xml:space="preserve">2023 Non-Employee Directors' Compensation Policy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8/08/2023</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SI-BONE, Inc. Severance Benefit Plan and Form of Participation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8"/>
        <w:gridCol w:w="218"/>
        <w:gridCol w:w="220"/>
        <w:gridCol w:w="109"/>
        <w:gridCol w:w="109"/>
        <w:gridCol w:w="109"/>
        <w:gridCol w:w="2311"/>
        <w:gridCol w:w="1493"/>
        <w:gridCol w:w="1497"/>
        <w:gridCol w:w="109"/>
        <w:gridCol w:w="109"/>
        <w:gridCol w:w="109"/>
        <w:gridCol w:w="136"/>
        <w:gridCol w:w="136"/>
        <w:gridCol w:w="137"/>
        <w:gridCol w:w="109"/>
        <w:gridCol w:w="109"/>
        <w:gridCol w:w="109"/>
        <w:gridCol w:w="329"/>
        <w:gridCol w:w="251"/>
        <w:gridCol w:w="253"/>
        <w:gridCol w:w="109"/>
        <w:gridCol w:w="109"/>
        <w:gridCol w:w="109"/>
        <w:gridCol w:w="215"/>
        <w:gridCol w:w="215"/>
        <w:gridCol w:w="219"/>
        <w:gridCol w:w="109"/>
        <w:gridCol w:w="109"/>
        <w:gridCol w:w="109"/>
        <w:gridCol w:w="246"/>
        <w:gridCol w:w="180"/>
        <w:gridCol w:w="266"/>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hanging="90"/>
              <w:jc w:val="left"/>
              <w:rPr>
                <w:sz w:val="4"/>
                <w:szCs w:val="4"/>
              </w:rPr>
            </w:pPr>
            <w:r>
              <w:rPr>
                <w:sz w:val="4"/>
                <w:szCs w:val="4"/>
              </w:rPr>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Offer Letter Agreement, dated April 19, 2021, between the Registrant and Helen Loh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5/4/2021</w:t>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Offer Letter Agreement, dated March 4, 2021, between the Registrant and Mika Nishimura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5/4/2021</w:t>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Office Lease Agreement, dated February 2, 2018, between the Registrant and Bixby SPE Finance 11, LLC, as amended on April 16,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Loan and Security Agreement, dated August 12, 2021, between SI-BONE, Inc.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Second Amendment to the Offer Letter Agreement and Severance Plan Participation Agreement with Jeffery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Offer Letter Agreement, dated April 20, 2021, between the Registrant and Anshul Maheshwari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4/20/2021</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Amended and Restated Participation Agreement dated April 20, 2021, between the Registrant and Laura Francis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4/20/2021</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11/8/2022</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First Amendment to Loan and Security Agreement, dated January 6, 2023 between SI-BONE, Inc.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3/2/2023</w:t>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80"/>
                  <w:sz w:val="20"/>
                  <w:u w:val="single"/>
                </w:rPr>
                <w:t>Letter Agreement, dated March 24, 2023 between SI-BONE, Inc. and Silicon</w:t>
              </w:r>
            </w:hyperlink>
            <w:hyperlink r:id="rId31">
              <w:r>
                <w:rPr>
                  <w:rStyle w:val="InternetLink"/>
                  <w:rFonts w:ascii="Times New Roman;sans-serif" w:hAnsi="Times New Roman;sans-serif"/>
                  <w:b w:val="false"/>
                  <w:color w:val="000080"/>
                  <w:sz w:val="20"/>
                  <w:u w:val="single"/>
                </w:rPr>
                <w:t xml:space="preserve"> Valley Bridge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5/2/2023</w:t>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Office Lease Agreement, dated February 2, 2018, between the Registrant and Bixby SPE Finance 11, LLC, as amended on April 16,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9/20/2018</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Performance Stock Unit Grants to Executive Officers or Key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1/10/2022</w:t>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condamendmenttocreditfac.htm">
              <w:r>
                <w:rPr>
                  <w:rStyle w:val="InternetLink"/>
                  <w:rFonts w:ascii="Times New Roman;sans-serif" w:hAnsi="Times New Roman;sans-serif"/>
                  <w:b w:val="false"/>
                  <w:color w:val="000080"/>
                  <w:sz w:val="20"/>
                  <w:u w:val="single"/>
                </w:rPr>
                <w:t xml:space="preserve">Second Amendment to Loan and Security Agreement, dated January </w:t>
              </w:r>
            </w:hyperlink>
            <w:hyperlink w:anchor="secondamendmenttocreditfac.htm">
              <w:r>
                <w:rPr>
                  <w:rStyle w:val="InternetLink"/>
                  <w:rFonts w:ascii="Times New Roman;sans-serif" w:hAnsi="Times New Roman;sans-serif"/>
                  <w:b w:val="false"/>
                  <w:color w:val="000080"/>
                  <w:sz w:val="20"/>
                  <w:u w:val="single"/>
                </w:rPr>
                <w:t>25</w:t>
              </w:r>
            </w:hyperlink>
            <w:hyperlink w:anchor="secondamendmenttocreditfac.htm">
              <w:r>
                <w:rPr>
                  <w:rStyle w:val="InternetLink"/>
                  <w:rFonts w:ascii="Times New Roman;sans-serif" w:hAnsi="Times New Roman;sans-serif"/>
                  <w:b w:val="false"/>
                  <w:color w:val="000080"/>
                  <w:sz w:val="20"/>
                  <w:u w:val="single"/>
                </w:rPr>
                <w:t>, 202</w:t>
              </w:r>
            </w:hyperlink>
            <w:hyperlink w:anchor="secondamendmenttocreditfac.htm">
              <w:r>
                <w:rPr>
                  <w:rStyle w:val="InternetLink"/>
                  <w:rFonts w:ascii="Times New Roman;sans-serif" w:hAnsi="Times New Roman;sans-serif"/>
                  <w:b w:val="false"/>
                  <w:color w:val="000080"/>
                  <w:sz w:val="20"/>
                  <w:u w:val="single"/>
                </w:rPr>
                <w:t>4</w:t>
              </w:r>
            </w:hyperlink>
            <w:hyperlink w:anchor="secondamendmenttocreditfac.htm">
              <w:r>
                <w:rPr>
                  <w:rStyle w:val="InternetLink"/>
                  <w:rFonts w:ascii="Times New Roman;sans-serif" w:hAnsi="Times New Roman;sans-serif"/>
                  <w:b w:val="false"/>
                  <w:color w:val="000080"/>
                  <w:sz w:val="20"/>
                  <w:u w:val="single"/>
                </w:rPr>
                <w:t xml:space="preserve"> between SI-BONE, Inc.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onermsmsa022324final.htm">
              <w:r>
                <w:rPr>
                  <w:rStyle w:val="InternetLink"/>
                  <w:rFonts w:ascii="Times New Roman;sans-serif" w:hAnsi="Times New Roman;sans-serif"/>
                  <w:b w:val="false"/>
                  <w:color w:val="000080"/>
                  <w:sz w:val="20"/>
                  <w:u w:val="single"/>
                </w:rPr>
                <w:t>Man</w:t>
              </w:r>
            </w:hyperlink>
            <w:hyperlink w:anchor="si-bonermsmsa022324final.htm">
              <w:r>
                <w:rPr>
                  <w:rStyle w:val="InternetLink"/>
                  <w:rFonts w:ascii="Times New Roman;sans-serif" w:hAnsi="Times New Roman;sans-serif"/>
                  <w:b w:val="false"/>
                  <w:color w:val="000080"/>
                  <w:sz w:val="20"/>
                  <w:u w:val="single"/>
                </w:rPr>
                <w:t>ufacture and Supply Agreement, dated February 23, 2024, between SI-BONE, Inc.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10x02recoupmentclawb.htm">
              <w:r>
                <w:rPr>
                  <w:rStyle w:val="InternetLink"/>
                  <w:rFonts w:ascii="Times New Roman;sans-serif" w:hAnsi="Times New Roman;sans-serif"/>
                  <w:b w:val="false"/>
                  <w:color w:val="000080"/>
                  <w:sz w:val="20"/>
                  <w:u w:val="single"/>
                </w:rPr>
                <w:t>2023</w:t>
              </w:r>
            </w:hyperlink>
            <w:hyperlink w:anchor="a2023-10x02recoupmentclawb.htm">
              <w:r>
                <w:rPr>
                  <w:rStyle w:val="InternetLink"/>
                  <w:rFonts w:ascii="Times New Roman;sans-serif" w:hAnsi="Times New Roman;sans-serif"/>
                  <w:b w:val="false"/>
                  <w:color w:val="000080"/>
                  <w:sz w:val="20"/>
                  <w:u w:val="single"/>
                </w:rPr>
                <w:t xml:space="preserve"> Recoupment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11_12312023listxof.htm">
              <w:r>
                <w:rPr>
                  <w:rStyle w:val="InternetLink"/>
                  <w:rFonts w:ascii="Times New Roman;sans-serif" w:hAnsi="Times New Roman;sans-serif"/>
                  <w:b w:val="false"/>
                  <w:color w:val="0000FF"/>
                  <w:sz w:val="20"/>
                  <w:u w:val="single"/>
                </w:rPr>
                <w:t>List of Subsidiaries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31_pwcxconsent1231.htm">
              <w:r>
                <w:rPr>
                  <w:rStyle w:val="InternetLink"/>
                  <w:rFonts w:ascii="Times New Roman;sans-serif" w:hAnsi="Times New Roman;sans-serif"/>
                  <w:b w:val="false"/>
                  <w:color w:val="0000FF"/>
                  <w:sz w:val="20"/>
                  <w:u w:val="single"/>
                </w:rPr>
                <w:t>Consent of PricewaterhouseCoopers,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4c87ac3f4444cf6b5596336ae957190_253">
              <w:r>
                <w:rPr>
                  <w:rStyle w:val="InternetLink"/>
                  <w:rFonts w:ascii="Times New Roman;sans-serif" w:hAnsi="Times New Roman;sans-serif"/>
                  <w:b w:val="false"/>
                  <w:color w:val="0000FF"/>
                  <w:sz w:val="20"/>
                  <w:u w:val="single"/>
                </w:rPr>
                <w:t>Power of Attorney (contained in the signature page of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12312310xk.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12312310xk.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12312310xk.htm">
              <w:r>
                <w:rPr>
                  <w:rStyle w:val="InternetLink"/>
                  <w:rFonts w:ascii="Times New Roman;sans-serif" w:hAnsi="Times New Roman;sans-serif"/>
                  <w:b w:val="false"/>
                  <w:color w:val="0000FF"/>
                  <w:sz w:val="20"/>
                  <w:u w:val="single"/>
                </w:rPr>
                <w:t>Certification of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5"/>
        <w:gridCol w:w="270"/>
        <w:gridCol w:w="274"/>
        <w:gridCol w:w="109"/>
        <w:gridCol w:w="109"/>
        <w:gridCol w:w="109"/>
        <w:gridCol w:w="2117"/>
        <w:gridCol w:w="2117"/>
        <w:gridCol w:w="212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3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a management contract or compensatory plan.</w:t>
      </w:r>
    </w:p>
    <w:p>
      <w:pPr>
        <w:pStyle w:val="TextBody"/>
        <w:bidi w:val="0"/>
        <w:spacing w:lineRule="auto" w:line="28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Confidential treatment has been granted with respect to certain portions of this exhibit. </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We have filed, or incorporated into this Annual Report on Form 10</w:t>
        <w:noBreakHyphen/>
        <w:t>K by reference, the exhibits listed on the Exhibit Index immediately above.</w:t>
      </w:r>
    </w:p>
    <w:p>
      <w:pPr>
        <w:pStyle w:val="TextBody"/>
        <w:bidi w:val="0"/>
        <w:spacing w:lineRule="auto" w:line="312"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16.</w:t>
      </w:r>
      <w:r>
        <w:rPr>
          <w:color w:val="000000"/>
        </w:rPr>
        <w:t>    </w:t>
      </w:r>
      <w:r>
        <w:rPr>
          <w:rFonts w:ascii="Times New Roman;sans-serif" w:hAnsi="Times New Roman;sans-serif"/>
          <w:b/>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provided.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560" w:type="dxa"/>
        <w:jc w:val="center"/>
        <w:tblInd w:w="0" w:type="dxa"/>
        <w:tblLayout w:type="fixed"/>
        <w:tblCellMar>
          <w:top w:w="28" w:type="dxa"/>
          <w:left w:w="28" w:type="dxa"/>
          <w:bottom w:w="28" w:type="dxa"/>
          <w:right w:w="28" w:type="dxa"/>
        </w:tblCellMar>
      </w:tblPr>
      <w:tblGrid>
        <w:gridCol w:w="754"/>
        <w:gridCol w:w="664"/>
        <w:gridCol w:w="667"/>
        <w:gridCol w:w="200"/>
        <w:gridCol w:w="200"/>
        <w:gridCol w:w="200"/>
        <w:gridCol w:w="1416"/>
        <w:gridCol w:w="1416"/>
        <w:gridCol w:w="204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2024</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pStyle w:val="TextBody"/>
        <w:bidi w:val="0"/>
        <w:spacing w:lineRule="auto" w:line="288"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9233"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613"/>
        <w:gridCol w:w="1613"/>
        <w:gridCol w:w="1633"/>
        <w:gridCol w:w="109"/>
        <w:gridCol w:w="109"/>
        <w:gridCol w:w="109"/>
        <w:gridCol w:w="477"/>
        <w:gridCol w:w="477"/>
        <w:gridCol w:w="6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Duly Authorized Officer and Principal Executive Officer</w:t>
            </w:r>
            <w:r>
              <w:rPr>
                <w:rFonts w:ascii="Times New Roman;sans-serif" w:hAnsi="Times New Roman;sans-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Helen Loh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Helen Loh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Keith C. Valentine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Keith C. Valentine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10.26</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INFORMATION IDENTIFIED BY “[***]” HAS BEEN EXCLUDED FROM THE EXHIBIT BECAUSE IT IS BOTH NOT MATERIAL AND IS THE TYPE OF INFORMATION THAT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SECOND AMENDMENT</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LOAN AND SECURITY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SECOND AMENDMENT TO LOAN AND SECURITY AGREEMENT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 xml:space="preserve">Agreement”) is entered into as of January 25, 2024, by and between </w:t>
      </w:r>
      <w:r>
        <w:rPr>
          <w:rFonts w:ascii="Times New Roman;sans-serif" w:hAnsi="Times New Roman;sans-serif"/>
          <w:b/>
          <w:color w:val="000000"/>
          <w:sz w:val="20"/>
        </w:rPr>
        <w:t>SILICON VALLEY BANK</w:t>
      </w:r>
      <w:r>
        <w:rPr>
          <w:rFonts w:ascii="Times New Roman;sans-serif" w:hAnsi="Times New Roman;sans-serif"/>
          <w:b w:val="false"/>
          <w:color w:val="000000"/>
          <w:sz w:val="20"/>
        </w:rPr>
        <w:t>, a division of First-Citizens Bank &amp; Trust (“Bank”) and SI-BONE, INC., a Delaware corporation (“Borrower”).</w:t>
      </w:r>
    </w:p>
    <w:p>
      <w:pPr>
        <w:pStyle w:val="TextBody"/>
        <w:bidi w:val="0"/>
        <w:spacing w:before="0" w:after="0"/>
        <w:jc w:val="both"/>
        <w:rPr/>
      </w:pPr>
      <w:r>
        <w:rPr/>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0"/>
        </w:rPr>
        <w:t>A.</w:t>
      </w:r>
      <w:r>
        <w:rPr>
          <w:color w:val="000000"/>
        </w:rPr>
        <w:t>    </w:t>
      </w:r>
      <w:r>
        <w:rPr>
          <w:rFonts w:ascii="Times New Roman;sans-serif" w:hAnsi="Times New Roman;sans-serif"/>
          <w:b w:val="false"/>
          <w:color w:val="000000"/>
          <w:sz w:val="20"/>
        </w:rPr>
        <w:t>Bank and Borrower have entered into that certain Loan and Security Agreement dated as of August 12, 2021, (as the same may from time to time be amended, modified, supplemented or restated, including without limitation by that certain First Amendment to Loan and Security Agreement by and between Bank and Borrower dated January 6, 2023 and that certain Letter Agreement by and between Bank and Borrower dated as of March 24, 2023, the “Loan Agreement”). Bank has extended credit to Borrower for the purposes permitted in the Loan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B.    </w:t>
      </w:r>
      <w:r>
        <w:rPr>
          <w:rFonts w:ascii="Times New Roman;sans-serif" w:hAnsi="Times New Roman;sans-serif"/>
          <w:b w:val="false"/>
          <w:color w:val="000000"/>
          <w:sz w:val="20"/>
        </w:rPr>
        <w:t>Borrower has requested that Bank amend the Loan Agreement to make certain other revisions to the Loan Agreement as more fully set forth herein. Bank has agreed to so amend certain provisions of the Loan Agreement, but only to the extent, in accordance with the terms, subject to the conditions and in reliance upon the representations and warranties set forth below.</w: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bidi w:val="0"/>
        <w:spacing w:lineRule="auto" w:line="240" w:before="0" w:after="240"/>
        <w:jc w:val="both"/>
        <w:rPr/>
      </w:pPr>
      <w:r>
        <w:rPr>
          <w:color w:val="000000"/>
        </w:rPr>
        <w:t>    </w:t>
      </w:r>
      <w:r>
        <w:rPr>
          <w:rFonts w:ascii="Times New Roman;sans-serif" w:hAnsi="Times New Roman;sans-serif"/>
          <w:b/>
          <w:color w:val="000000"/>
          <w:sz w:val="20"/>
        </w:rPr>
        <w:t>Now, Therefore,</w:t>
      </w:r>
      <w:r>
        <w:rPr>
          <w:color w:val="000000"/>
        </w:rPr>
        <w:t xml:space="preserve"> </w:t>
      </w:r>
      <w:r>
        <w:rPr>
          <w:rFonts w:ascii="Times New Roman;sans-serif" w:hAnsi="Times New Roman;sans-serif"/>
          <w:b w:val="false"/>
          <w:color w:val="000000"/>
          <w:sz w:val="20"/>
        </w:rPr>
        <w:t>in consideration of the foregoing recitals and other good and valuable consideration, the receipt and adequacy of which is hereby acknowledged, and intending to be legally bound, the parties hereto agree as follows:</w:t>
      </w:r>
    </w:p>
    <w:p>
      <w:pPr>
        <w:pStyle w:val="TextBody"/>
        <w:bidi w:val="0"/>
        <w:spacing w:lineRule="auto" w:line="240" w:before="0" w:after="240"/>
        <w:jc w:val="both"/>
        <w:rPr/>
      </w:pPr>
      <w:r>
        <w:rPr>
          <w:rFonts w:ascii="Times New Roman;sans-serif" w:hAnsi="Times New Roman;sans-serif"/>
          <w:b/>
          <w:color w:val="000000"/>
          <w:sz w:val="20"/>
        </w:rPr>
        <w:t>1.</w:t>
      </w:r>
      <w:r>
        <w:rPr>
          <w:rFonts w:ascii="Times New Roman;sans-serif" w:hAnsi="Times New Roman;sans-serif"/>
          <w:b/>
          <w:color w:val="000000"/>
          <w:sz w:val="20"/>
        </w:rPr>
        <w:t>Definitions.</w:t>
      </w:r>
      <w:r>
        <w:rPr>
          <w:color w:val="000000"/>
        </w:rPr>
        <w:t xml:space="preserve"> </w:t>
      </w:r>
      <w:r>
        <w:rPr>
          <w:rFonts w:ascii="Times New Roman;sans-serif" w:hAnsi="Times New Roman;sans-serif"/>
          <w:b w:val="false"/>
          <w:color w:val="000000"/>
          <w:sz w:val="20"/>
        </w:rPr>
        <w:t>Capitalized terms used but not defined in this Agreement shall have the meanings given to them in the Loan Agreement.</w:t>
      </w:r>
    </w:p>
    <w:p>
      <w:pPr>
        <w:pStyle w:val="TextBody"/>
        <w:bidi w:val="0"/>
        <w:spacing w:lineRule="auto" w:line="240" w:before="0" w:after="240"/>
        <w:jc w:val="both"/>
        <w:rPr/>
      </w:pPr>
      <w:r>
        <w:rPr>
          <w:rFonts w:ascii="Times New Roman;sans-serif" w:hAnsi="Times New Roman;sans-serif"/>
          <w:b/>
          <w:color w:val="000000"/>
          <w:sz w:val="20"/>
        </w:rPr>
        <w:t>2.</w:t>
      </w:r>
      <w:r>
        <w:rPr>
          <w:rFonts w:ascii="Times New Roman;sans-serif" w:hAnsi="Times New Roman;sans-serif"/>
          <w:b/>
          <w:color w:val="000000"/>
          <w:sz w:val="20"/>
        </w:rPr>
        <w:t>Amendments to Loan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2.a</w:t>
      </w:r>
      <w:r>
        <w:rPr>
          <w:rFonts w:ascii="Times New Roman;sans-serif" w:hAnsi="Times New Roman;sans-serif"/>
          <w:b/>
          <w:color w:val="000000"/>
          <w:sz w:val="20"/>
        </w:rPr>
        <w:t>Section 5.10 (Financial Covenant (Net Revenue))</w:t>
      </w:r>
      <w:r>
        <w:rPr>
          <w:rFonts w:ascii="Times New Roman;sans-serif" w:hAnsi="Times New Roman;sans-serif"/>
          <w:b w:val="false"/>
          <w:color w:val="000000"/>
          <w:sz w:val="20"/>
        </w:rPr>
        <w:t xml:space="preserve">. Section 5.10 of the Loan Agreement hereby is amended and restated in its entirety to read as follows: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 xml:space="preserve">5.10    Financial Covenant (Net Revenue). </w:t>
      </w:r>
      <w:r>
        <w:rPr>
          <w:rFonts w:ascii="Times New Roman;sans-serif" w:hAnsi="Times New Roman;sans-serif"/>
          <w:b w:val="false"/>
          <w:color w:val="000000"/>
          <w:sz w:val="20"/>
        </w:rPr>
        <w:t>When a Financial Covenant Measuring Period is in effect, Borrower shall achieve Net Revenue (measured in accordance with GAAP on a trailing six (6) month basis), tested quarterly on the last day of each calendar quarter, in an amount equal to or greater than the levels to be agreed upon between Borrower and Bank with respect to which Borrower hereby agrees: (i) shall be documented in an amendment to this Agreement, in form and substance acceptable to Bank, which amendment shall be executed no later than: (x) for the fiscal year ending on December 31, 2025, the earlier to occur of 1) the date when Borrower’s unrestricted cash and Cash Equivalent held with Bank and Bank’s Affiliates is equal to or falls below [***] Dollars, and 2) May 31, 2025, with Borrower’s failure to enter into such amendment to this Agreement to reset such covenant levels on or prior to such date being an immediate and non-curable Event of Default hereunder; and (y) for the fiscal year ending on December 31, 2026 and any fiscal year after that, February 28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beginning with February 28, 2026, with Borrower’s failure to enter into such amendment to this Agreement to reset such covenant levels on or prior to February 28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being an immediate and non-curable Event of Default hereunder; (ii) shall be based on Borrower’s projections delivered to Bank in accordance with Section 5.3(e) hereof and acceptable to Bank in its commercially reasonable discretion with such projections for Borrower’s 2025 fiscal year showing a year-over-year growth satisfactory to Bank in its sole discretion.”</w:t>
      </w:r>
    </w:p>
    <w:p>
      <w:pPr>
        <w:pStyle w:val="TextBody"/>
        <w:bidi w:val="0"/>
        <w:spacing w:lineRule="auto" w:line="240" w:before="0" w:after="240"/>
        <w:ind w:left="0" w:right="0" w:firstLine="720"/>
        <w:jc w:val="both"/>
        <w:rPr/>
      </w:pPr>
      <w:r>
        <w:rPr>
          <w:rFonts w:ascii="Times New Roman;sans-serif" w:hAnsi="Times New Roman;sans-serif"/>
          <w:b/>
          <w:color w:val="000000"/>
          <w:sz w:val="20"/>
        </w:rPr>
        <w:t>2.b</w:t>
      </w:r>
      <w:r>
        <w:rPr>
          <w:rFonts w:ascii="Times New Roman;sans-serif" w:hAnsi="Times New Roman;sans-serif"/>
          <w:b/>
          <w:color w:val="000000"/>
          <w:sz w:val="20"/>
        </w:rPr>
        <w:t>Section 12.2 (Definitions)</w:t>
      </w:r>
      <w:r>
        <w:rPr>
          <w:rFonts w:ascii="Times New Roman;sans-serif" w:hAnsi="Times New Roman;sans-serif"/>
          <w:b w:val="false"/>
          <w:color w:val="000000"/>
          <w:sz w:val="20"/>
        </w:rPr>
        <w:t>. The following term and its definition hereby is amended and restated in its entirety in Section 12.2 of the Loan Agreement to read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color w:val="000000"/>
          <w:sz w:val="20"/>
        </w:rPr>
        <w:t>Financial Covenant Measuring Period</w:t>
      </w:r>
      <w:r>
        <w:rPr>
          <w:color w:val="000000"/>
        </w:rPr>
        <w:t xml:space="preserve">” </w:t>
      </w:r>
      <w:r>
        <w:rPr>
          <w:rFonts w:ascii="Times New Roman;sans-serif" w:hAnsi="Times New Roman;sans-serif"/>
          <w:b w:val="false"/>
          <w:color w:val="000000"/>
          <w:sz w:val="20"/>
        </w:rPr>
        <w:t>is any period of time (a) commencing on the later to occur of (i) the date on which the aggregate value of the Borrower’s unrestricted and unencumbered (except for Liens in favor of Bank) cash and Cash Equivalents held at Bank and Bank’s Affiliates falls below [***] Dollars, and (ii) January 1, 2025 and (b) terminating on the date on which Borrower has achieved two (2) consecutive quarters of Adjusted EBITDA greater than Zero Dollars ($0). After the termination of a Financial Covenant Measuring Period, if both (X) Borrower’s Adjusted EBITDA is equal to or less than Zero Dollars ($0) for the most recently completed fiscal quarter and (Y) the aggregate value of the Borrower’s unrestricted and unencumbered (except for Liens in favor of Bank) cash and Cash Equivalents held at Bank and Bank’s Affiliates is less than [***] Dollars, then a new Financial Covenant Measuring Period shall start and shall not terminate until Borrower again achieves Adjusted EBITDA Balance greater than Zero Dollars ($0) for two (2) new consecutive quarters.”</w:t>
      </w:r>
    </w:p>
    <w:p>
      <w:pPr>
        <w:pStyle w:val="TextBody"/>
        <w:bidi w:val="0"/>
        <w:spacing w:lineRule="auto" w:line="240" w:before="0" w:after="24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3.Limitation of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3.a</w:t>
      </w:r>
      <w:r>
        <w:rPr>
          <w:rFonts w:ascii="Times New Roman;sans-serif" w:hAnsi="Times New Roman;sans-serif"/>
          <w:b w:val="false"/>
          <w:color w:val="000000"/>
          <w:sz w:val="20"/>
        </w:rPr>
        <w:t>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lineRule="auto" w:line="240" w:before="0" w:after="240"/>
        <w:ind w:left="0" w:right="0" w:firstLine="720"/>
        <w:jc w:val="both"/>
        <w:rPr/>
      </w:pPr>
      <w:r>
        <w:rPr>
          <w:rFonts w:ascii="Times New Roman;sans-serif" w:hAnsi="Times New Roman;sans-serif"/>
          <w:b/>
          <w:color w:val="000000"/>
          <w:sz w:val="20"/>
        </w:rPr>
        <w:t>3.b</w:t>
      </w:r>
      <w:r>
        <w:rPr>
          <w:rFonts w:ascii="Times New Roman;sans-serif" w:hAnsi="Times New Roman;sans-serif"/>
          <w:b w:val="false"/>
          <w:color w:val="000000"/>
          <w:sz w:val="20"/>
        </w:rPr>
        <w:t>This Agreement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pStyle w:val="TextBody"/>
        <w:bidi w:val="0"/>
        <w:spacing w:lineRule="auto" w:line="240" w:before="0" w:after="240"/>
        <w:jc w:val="both"/>
        <w:rPr/>
      </w:pPr>
      <w:r>
        <w:rPr>
          <w:rFonts w:ascii="Times New Roman;sans-serif" w:hAnsi="Times New Roman;sans-serif"/>
          <w:b/>
          <w:color w:val="000000"/>
          <w:sz w:val="20"/>
        </w:rPr>
        <w:t>4.</w:t>
      </w:r>
      <w:r>
        <w:rPr>
          <w:rFonts w:ascii="Times New Roman;sans-serif" w:hAnsi="Times New Roman;sans-serif"/>
          <w:b/>
          <w:color w:val="000000"/>
          <w:sz w:val="20"/>
        </w:rPr>
        <w:t>Representations and Warranties.</w:t>
      </w:r>
      <w:r>
        <w:rPr>
          <w:color w:val="000000"/>
        </w:rPr>
        <w:t xml:space="preserve"> </w:t>
      </w:r>
      <w:r>
        <w:rPr>
          <w:rFonts w:ascii="Times New Roman;sans-serif" w:hAnsi="Times New Roman;sans-serif"/>
          <w:b w:val="false"/>
          <w:color w:val="000000"/>
          <w:sz w:val="20"/>
        </w:rPr>
        <w:t>To induce Bank to enter into this Agreement, Borrower hereby represents and warrants to Bank as follows:</w:t>
      </w:r>
    </w:p>
    <w:p>
      <w:pPr>
        <w:pStyle w:val="TextBody"/>
        <w:bidi w:val="0"/>
        <w:spacing w:lineRule="auto" w:line="240" w:before="0" w:after="240"/>
        <w:ind w:left="0" w:right="0" w:firstLine="720"/>
        <w:jc w:val="both"/>
        <w:rPr/>
      </w:pPr>
      <w:r>
        <w:rPr>
          <w:rFonts w:ascii="Times New Roman;sans-serif" w:hAnsi="Times New Roman;sans-serif"/>
          <w:b/>
          <w:color w:val="000000"/>
          <w:sz w:val="20"/>
        </w:rPr>
        <w:t>4.a</w:t>
      </w:r>
      <w:r>
        <w:rPr>
          <w:rFonts w:ascii="Times New Roman;sans-serif" w:hAnsi="Times New Roman;sans-serif"/>
          <w:b w:val="false"/>
          <w:color w:val="000000"/>
          <w:sz w:val="20"/>
        </w:rPr>
        <w:t>Immediately after giving effect to this Agreement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Default or Event of Default has occurred and is continuing. Borrower understands and agrees that in modifying the existing Obligations, Bank is relying upon Borrower’s representations, warranties, and agreements, as set forth in the Loan Documents;</w:t>
      </w:r>
    </w:p>
    <w:p>
      <w:pPr>
        <w:pStyle w:val="TextBody"/>
        <w:bidi w:val="0"/>
        <w:spacing w:lineRule="auto" w:line="240" w:before="0" w:after="240"/>
        <w:ind w:left="0" w:right="0" w:firstLine="720"/>
        <w:jc w:val="both"/>
        <w:rPr/>
      </w:pPr>
      <w:r>
        <w:rPr>
          <w:rFonts w:ascii="Times New Roman;sans-serif" w:hAnsi="Times New Roman;sans-serif"/>
          <w:b/>
          <w:color w:val="000000"/>
          <w:sz w:val="20"/>
        </w:rPr>
        <w:t>4.b</w:t>
      </w:r>
      <w:r>
        <w:rPr>
          <w:rFonts w:ascii="Times New Roman;sans-serif" w:hAnsi="Times New Roman;sans-serif"/>
          <w:b w:val="false"/>
          <w:color w:val="000000"/>
          <w:sz w:val="20"/>
        </w:rPr>
        <w:t>Borrower has the power and authority to execute and deliver this Agreement and to perform its obligations under the Loan Agreement, as amended by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4.c</w:t>
      </w:r>
      <w:r>
        <w:rPr>
          <w:rFonts w:ascii="Times New Roman;sans-serif" w:hAnsi="Times New Roman;sans-serif"/>
          <w:b w:val="false"/>
          <w:color w:val="000000"/>
          <w:sz w:val="20"/>
        </w:rPr>
        <w:t>The organizational documents of Borrower delivered to Bank on the Effective Date remain true, accurate and complete and have not been amended, supplemented or restated and are and continue to be in full force and effect;</w:t>
      </w:r>
    </w:p>
    <w:p>
      <w:pPr>
        <w:pStyle w:val="TextBody"/>
        <w:bidi w:val="0"/>
        <w:spacing w:lineRule="auto" w:line="240" w:before="0" w:after="240"/>
        <w:ind w:left="0" w:right="0" w:firstLine="720"/>
        <w:jc w:val="both"/>
        <w:rPr/>
      </w:pPr>
      <w:r>
        <w:rPr>
          <w:rFonts w:ascii="Times New Roman;sans-serif" w:hAnsi="Times New Roman;sans-serif"/>
          <w:b/>
          <w:color w:val="000000"/>
          <w:sz w:val="20"/>
        </w:rPr>
        <w:t>4.d</w:t>
      </w:r>
      <w:r>
        <w:rPr>
          <w:rFonts w:ascii="Times New Roman;sans-serif" w:hAnsi="Times New Roman;sans-serif"/>
          <w:b w:val="false"/>
          <w:color w:val="000000"/>
          <w:sz w:val="20"/>
        </w:rPr>
        <w:t xml:space="preserve">The execution and delivery by Borrower of this Agreement and the performance by Borrower of its obligations under the Loan Agreement, as amended by this Agreement, have been duly authorized by all necessary action on the part of Borrower; </w:t>
      </w:r>
    </w:p>
    <w:p>
      <w:pPr>
        <w:pStyle w:val="TextBody"/>
        <w:bidi w:val="0"/>
        <w:spacing w:lineRule="auto" w:line="240" w:before="0" w:after="240"/>
        <w:ind w:left="0" w:right="0" w:firstLine="720"/>
        <w:jc w:val="both"/>
        <w:rPr/>
      </w:pPr>
      <w:r>
        <w:rPr>
          <w:rFonts w:ascii="Times New Roman;sans-serif" w:hAnsi="Times New Roman;sans-serif"/>
          <w:b/>
          <w:color w:val="000000"/>
          <w:sz w:val="20"/>
        </w:rPr>
        <w:t>4.e</w:t>
      </w:r>
      <w:r>
        <w:rPr>
          <w:rFonts w:ascii="Times New Roman;sans-serif" w:hAnsi="Times New Roman;sans-serif"/>
          <w:b w:val="false"/>
          <w:color w:val="000000"/>
          <w:sz w:val="20"/>
        </w:rPr>
        <w:t xml:space="preserve">The execution and delivery by Borrower of this Agreement and the performance by Borrower of its obligations under the Loan Agreement, as amended by this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lineRule="auto" w:line="240" w:before="0" w:after="240"/>
        <w:ind w:left="0" w:right="0" w:firstLine="720"/>
        <w:jc w:val="both"/>
        <w:rPr/>
      </w:pPr>
      <w:r>
        <w:rPr>
          <w:rFonts w:ascii="Times New Roman;sans-serif" w:hAnsi="Times New Roman;sans-serif"/>
          <w:b/>
          <w:color w:val="000000"/>
          <w:sz w:val="20"/>
        </w:rPr>
        <w:t>4.f</w:t>
      </w:r>
      <w:r>
        <w:rPr>
          <w:rFonts w:ascii="Times New Roman;sans-serif" w:hAnsi="Times New Roman;sans-serif"/>
          <w:b w:val="false"/>
          <w:color w:val="000000"/>
          <w:sz w:val="20"/>
        </w:rPr>
        <w:t>The execution and delivery by Borrower of this Agreement and the performance by Borrower of its obligations under the Loan Agreement, as amended by this Agreement,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lineRule="auto" w:line="240" w:before="0" w:after="240"/>
        <w:ind w:left="0" w:right="0" w:firstLine="720"/>
        <w:jc w:val="both"/>
        <w:rPr/>
      </w:pPr>
      <w:r>
        <w:rPr>
          <w:rFonts w:ascii="Times New Roman;sans-serif" w:hAnsi="Times New Roman;sans-serif"/>
          <w:b/>
          <w:color w:val="000000"/>
          <w:sz w:val="20"/>
        </w:rPr>
        <w:t>4.g</w:t>
      </w:r>
      <w:r>
        <w:rPr>
          <w:rFonts w:ascii="Times New Roman;sans-serif" w:hAnsi="Times New Roman;sans-serif"/>
          <w:b w:val="false"/>
          <w:color w:val="000000"/>
          <w:sz w:val="20"/>
        </w:rPr>
        <w:t>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lineRule="auto" w:line="240" w:before="0" w:after="240"/>
        <w:jc w:val="both"/>
        <w:rPr/>
      </w:pPr>
      <w:r>
        <w:rPr>
          <w:rFonts w:ascii="Times New Roman;sans-serif" w:hAnsi="Times New Roman;sans-serif"/>
          <w:b/>
          <w:color w:val="000000"/>
          <w:sz w:val="20"/>
        </w:rPr>
        <w:t>5.</w:t>
      </w:r>
      <w:r>
        <w:rPr>
          <w:rFonts w:ascii="Times New Roman;sans-serif" w:hAnsi="Times New Roman;sans-serif"/>
          <w:b/>
          <w:color w:val="000000"/>
          <w:sz w:val="20"/>
        </w:rPr>
        <w:t>Release by Borrower</w:t>
      </w:r>
      <w:r>
        <w:rPr>
          <w:rFonts w:ascii="Times New Roman;sans-serif" w:hAnsi="Times New Roman;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0"/>
        </w:rPr>
        <w:t>5.a</w:t>
      </w:r>
      <w:r>
        <w:rPr>
          <w:rFonts w:ascii="Times New Roman;sans-serif" w:hAnsi="Times New Roman;sans-serif"/>
          <w:b/>
          <w:color w:val="000000"/>
          <w:sz w:val="20"/>
        </w:rPr>
        <w:t>FOR GOOD AND VALUABLE CONSIDERATION</w:t>
      </w:r>
      <w:r>
        <w:rPr>
          <w:rFonts w:ascii="Times New Roman;sans-serif" w:hAnsi="Times New Roman;sans-serif"/>
          <w:b w:val="false"/>
          <w:color w:val="000000"/>
          <w:sz w:val="20"/>
        </w:rPr>
        <w:t>, Borrower hereby forever relieves, releases, and discharges Bank and its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Agreement (collectively “Released Claims”).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pStyle w:val="TextBody"/>
        <w:bidi w:val="0"/>
        <w:spacing w:lineRule="auto" w:line="240" w:before="0" w:after="240"/>
        <w:ind w:left="0" w:right="0" w:firstLine="720"/>
        <w:jc w:val="both"/>
        <w:rPr/>
      </w:pPr>
      <w:r>
        <w:rPr>
          <w:rFonts w:ascii="Times New Roman;sans-serif" w:hAnsi="Times New Roman;sans-serif"/>
          <w:b/>
          <w:color w:val="000000"/>
          <w:sz w:val="20"/>
        </w:rPr>
        <w:t>5.b</w:t>
      </w:r>
      <w:r>
        <w:rPr>
          <w:rFonts w:ascii="Times New Roman;sans-serif" w:hAnsi="Times New Roman;sans-serif"/>
          <w:b w:val="false"/>
          <w:color w:val="000000"/>
          <w:sz w:val="20"/>
        </w:rPr>
        <w:t>In furtherance of this release, Borrower expressly acknowledges and waives any and all rights under Section 1542 of the California Civil Code, which provides as follows:</w:t>
      </w:r>
    </w:p>
    <w:p>
      <w:pPr>
        <w:pStyle w:val="TextBody"/>
        <w:bidi w:val="0"/>
        <w:spacing w:lineRule="auto" w:line="240" w:before="0" w:after="0"/>
        <w:jc w:val="both"/>
        <w:rPr/>
      </w:pPr>
      <w:r>
        <w:rPr>
          <w:color w:val="000000"/>
        </w:rPr>
        <w:t>“</w:t>
      </w:r>
      <w:r>
        <w:rPr>
          <w:rFonts w:ascii="Times New Roman;sans-serif" w:hAnsi="Times New Roman;sans-serif"/>
          <w:b/>
          <w:color w:val="000000"/>
          <w:sz w:val="20"/>
        </w:rPr>
        <w:t>A general release</w:t>
      </w:r>
      <w:r>
        <w:rPr>
          <w:color w:val="000000"/>
        </w:rPr>
        <w:t xml:space="preserve"> </w:t>
      </w:r>
      <w:r>
        <w:rPr>
          <w:rFonts w:ascii="Times New Roman;sans-serif" w:hAnsi="Times New Roman;sans-serif"/>
          <w:b w:val="false"/>
          <w:color w:val="000000"/>
          <w:sz w:val="20"/>
        </w:rPr>
        <w:t>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0"/>
        </w:rPr>
        <w:t>5.c</w:t>
      </w:r>
      <w:r>
        <w:rPr>
          <w:rFonts w:ascii="Times New Roman;sans-serif" w:hAnsi="Times New Roman;sans-serif"/>
          <w:b w:val="false"/>
          <w:color w:val="000000"/>
          <w:sz w:val="20"/>
        </w:rPr>
        <w:t>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pStyle w:val="TextBody"/>
        <w:bidi w:val="0"/>
        <w:spacing w:lineRule="auto" w:line="240" w:before="0" w:after="240"/>
        <w:ind w:left="0" w:right="0" w:firstLine="720"/>
        <w:jc w:val="both"/>
        <w:rPr/>
      </w:pPr>
      <w:r>
        <w:rPr>
          <w:rFonts w:ascii="Times New Roman;sans-serif" w:hAnsi="Times New Roman;sans-serif"/>
          <w:b/>
          <w:color w:val="000000"/>
          <w:sz w:val="20"/>
        </w:rPr>
        <w:t>5.d</w:t>
      </w:r>
      <w:r>
        <w:rPr>
          <w:rFonts w:ascii="Times New Roman;sans-serif" w:hAnsi="Times New Roman;sans-serif"/>
          <w:b w:val="false"/>
          <w:color w:val="000000"/>
          <w:sz w:val="20"/>
        </w:rPr>
        <w:t>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Bank to enter into this Agreement, and that Bank would not have done so but for Bank’s expectation that such release is valid and enforceable in all events.</w:t>
      </w:r>
    </w:p>
    <w:p>
      <w:pPr>
        <w:pStyle w:val="TextBody"/>
        <w:bidi w:val="0"/>
        <w:spacing w:lineRule="auto" w:line="240" w:before="0" w:after="240"/>
        <w:ind w:left="0" w:right="0" w:firstLine="720"/>
        <w:jc w:val="both"/>
        <w:rPr/>
      </w:pPr>
      <w:r>
        <w:rPr>
          <w:rFonts w:ascii="Times New Roman;sans-serif" w:hAnsi="Times New Roman;sans-serif"/>
          <w:b/>
          <w:color w:val="000000"/>
          <w:sz w:val="20"/>
        </w:rPr>
        <w:t>5.e</w:t>
      </w:r>
      <w:r>
        <w:rPr>
          <w:rFonts w:ascii="Times New Roman;sans-serif" w:hAnsi="Times New Roman;sans-serif"/>
          <w:b w:val="false"/>
          <w:color w:val="000000"/>
          <w:sz w:val="20"/>
        </w:rPr>
        <w:t>Borrower hereby acknowledges and agrees that Borrower has no offsets, defenses, claims, or counterclaims against Bank with respect to the Obligations, or otherwise, and that if Borrower now has, or ever did have, any offsets, defenses, claims, or counterclaims against Bank, whether known or unknown, at law or in equity, all of them are hereby expressly WAIVED and Borrower hereby RELEASES Bank from any liability thereunder.</w:t>
      </w:r>
    </w:p>
    <w:p>
      <w:pPr>
        <w:pStyle w:val="TextBody"/>
        <w:bidi w:val="0"/>
        <w:spacing w:lineRule="auto" w:line="240" w:before="0" w:after="240"/>
        <w:ind w:left="0" w:right="0" w:firstLine="720"/>
        <w:jc w:val="both"/>
        <w:rPr/>
      </w:pPr>
      <w:r>
        <w:rPr>
          <w:rFonts w:ascii="Times New Roman;sans-serif" w:hAnsi="Times New Roman;sans-serif"/>
          <w:b/>
          <w:color w:val="000000"/>
          <w:sz w:val="20"/>
        </w:rPr>
        <w:t>5.f</w:t>
      </w:r>
      <w:r>
        <w:rPr>
          <w:rFonts w:ascii="Times New Roman;sans-serif" w:hAnsi="Times New Roman;sans-serif"/>
          <w:b w:val="false"/>
          <w:color w:val="000000"/>
          <w:sz w:val="20"/>
        </w:rPr>
        <w:t>Borrower hereby represents and warrants to Bank, and Bank is relying thereon, as follows:</w:t>
      </w:r>
    </w:p>
    <w:p>
      <w:pPr>
        <w:pStyle w:val="TextBody"/>
        <w:bidi w:val="0"/>
        <w:spacing w:lineRule="auto" w:line="240" w:before="0" w:after="240"/>
        <w:ind w:left="0" w:right="0" w:firstLine="1251"/>
        <w:jc w:val="both"/>
        <w:rPr/>
      </w:pPr>
      <w:r>
        <w:rPr>
          <w:rFonts w:ascii="Times New Roman;sans-serif" w:hAnsi="Times New Roman;sans-serif"/>
          <w:b/>
          <w:color w:val="000000"/>
          <w:sz w:val="20"/>
        </w:rPr>
        <w:t>(i)</w:t>
      </w:r>
      <w:r>
        <w:rPr>
          <w:rFonts w:ascii="Times New Roman;sans-serif" w:hAnsi="Times New Roman;sans-serif"/>
          <w:b w:val="false"/>
          <w:color w:val="000000"/>
          <w:sz w:val="20"/>
        </w:rPr>
        <w:t>Except as expressly stated in this Agreement, neither Bank nor any agent, employee or representative of Bank has made any statement or representation to Borrower regarding any fact relied upon by Borrower in entering into this Agreement.</w:t>
      </w:r>
    </w:p>
    <w:p>
      <w:pPr>
        <w:pStyle w:val="TextBody"/>
        <w:bidi w:val="0"/>
        <w:spacing w:lineRule="auto" w:line="240" w:before="0" w:after="240"/>
        <w:ind w:left="0" w:right="0" w:firstLine="1196"/>
        <w:jc w:val="both"/>
        <w:rPr/>
      </w:pPr>
      <w:r>
        <w:rPr>
          <w:rFonts w:ascii="Times New Roman;sans-serif" w:hAnsi="Times New Roman;sans-serif"/>
          <w:b/>
          <w:color w:val="000000"/>
          <w:sz w:val="20"/>
        </w:rPr>
        <w:t>(ii)</w:t>
      </w:r>
      <w:r>
        <w:rPr>
          <w:rFonts w:ascii="Times New Roman;sans-serif" w:hAnsi="Times New Roman;sans-serif"/>
          <w:b w:val="false"/>
          <w:color w:val="000000"/>
          <w:sz w:val="20"/>
        </w:rPr>
        <w:t>Borrower has made such investigation of the facts pertaining to this Agreement and all of the matters appertaining thereto, as it deems necessary.</w:t>
      </w:r>
    </w:p>
    <w:p>
      <w:pPr>
        <w:pStyle w:val="TextBody"/>
        <w:bidi w:val="0"/>
        <w:spacing w:lineRule="auto" w:line="240" w:before="0" w:after="240"/>
        <w:ind w:left="0" w:right="0" w:firstLine="1141"/>
        <w:jc w:val="both"/>
        <w:rPr/>
      </w:pPr>
      <w:r>
        <w:rPr>
          <w:rFonts w:ascii="Times New Roman;sans-serif" w:hAnsi="Times New Roman;sans-serif"/>
          <w:b/>
          <w:color w:val="000000"/>
          <w:sz w:val="20"/>
        </w:rPr>
        <w:t>(iii)</w:t>
      </w:r>
      <w:r>
        <w:rPr>
          <w:rFonts w:ascii="Times New Roman;sans-serif" w:hAnsi="Times New Roman;sans-serif"/>
          <w:b w:val="false"/>
          <w:color w:val="000000"/>
          <w:sz w:val="20"/>
        </w:rPr>
        <w:t xml:space="preserve">The terms of this Agreement are contractual and not a mere recital. </w:t>
      </w:r>
    </w:p>
    <w:p>
      <w:pPr>
        <w:pStyle w:val="TextBody"/>
        <w:bidi w:val="0"/>
        <w:spacing w:lineRule="auto" w:line="240" w:before="0" w:after="240"/>
        <w:ind w:left="0" w:right="0" w:firstLine="1151"/>
        <w:jc w:val="both"/>
        <w:rPr/>
      </w:pPr>
      <w:r>
        <w:rPr>
          <w:rFonts w:ascii="Times New Roman;sans-serif" w:hAnsi="Times New Roman;sans-serif"/>
          <w:b/>
          <w:color w:val="000000"/>
          <w:sz w:val="20"/>
        </w:rPr>
        <w:t>(iv)</w:t>
      </w:r>
      <w:r>
        <w:rPr>
          <w:rFonts w:ascii="Times New Roman;sans-serif" w:hAnsi="Times New Roman;sans-serif"/>
          <w:b w:val="false"/>
          <w:color w:val="000000"/>
          <w:sz w:val="20"/>
        </w:rPr>
        <w:t xml:space="preserve">This Agreement has been carefully read by Borrower, the contents hereof are known and understood by Borrower, and this Agreement is signed freely, and without duress, by Borrower. </w:t>
      </w:r>
    </w:p>
    <w:p>
      <w:pPr>
        <w:pStyle w:val="TextBody"/>
        <w:bidi w:val="0"/>
        <w:spacing w:lineRule="auto" w:line="240" w:before="0" w:after="240"/>
        <w:ind w:left="0" w:right="0" w:firstLine="1207"/>
        <w:jc w:val="both"/>
        <w:rPr/>
      </w:pPr>
      <w:r>
        <w:rPr>
          <w:rFonts w:ascii="Times New Roman;sans-serif" w:hAnsi="Times New Roman;sans-serif"/>
          <w:b/>
          <w:color w:val="000000"/>
          <w:sz w:val="20"/>
        </w:rPr>
        <w:t>(v)</w:t>
      </w:r>
      <w:r>
        <w:rPr>
          <w:rFonts w:ascii="Times New Roman;sans-serif" w:hAnsi="Times New Roman;sans-serif"/>
          <w:b w:val="false"/>
          <w:color w:val="000000"/>
          <w:sz w:val="20"/>
        </w:rPr>
        <w:t>Borrower is the sole and lawful owner of all right, title and interest in and to every claim and every other matter which it releases herein, and Borrower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6.</w:t>
      </w:r>
      <w:r>
        <w:rPr>
          <w:rFonts w:ascii="Times New Roman;sans-serif" w:hAnsi="Times New Roman;sans-serif"/>
          <w:b/>
          <w:color w:val="000000"/>
          <w:sz w:val="20"/>
        </w:rPr>
        <w:t>Ratification of Perfection Certificate</w:t>
      </w:r>
      <w:r>
        <w:rPr>
          <w:rFonts w:ascii="Times New Roman;sans-serif" w:hAnsi="Times New Roman;sans-serif"/>
          <w:b w:val="false"/>
          <w:color w:val="000000"/>
          <w:sz w:val="20"/>
        </w:rPr>
        <w:t>.  Borrower hereby ratifies, confirms and reaffirms, all and singular, the terms and disclosures contained in a certain Perfection Certificate dated on or prior to the Effective Date and acknowledges, confirms and agrees that the disclosures and information Borrower provided to Bank in such Perfection Certificate have not changed, as of the date hereof.</w:t>
      </w:r>
    </w:p>
    <w:p>
      <w:pPr>
        <w:pStyle w:val="TextBody"/>
        <w:bidi w:val="0"/>
        <w:spacing w:lineRule="auto" w:line="240" w:before="0" w:after="240"/>
        <w:jc w:val="both"/>
        <w:rPr/>
      </w:pPr>
      <w:r>
        <w:rPr>
          <w:rFonts w:ascii="Times New Roman;sans-serif" w:hAnsi="Times New Roman;sans-serif"/>
          <w:b/>
          <w:color w:val="000000"/>
          <w:sz w:val="20"/>
        </w:rPr>
        <w:t>7.</w:t>
      </w:r>
      <w:r>
        <w:rPr>
          <w:rFonts w:ascii="Times New Roman;sans-serif" w:hAnsi="Times New Roman;sans-serif"/>
          <w:b/>
          <w:color w:val="000000"/>
          <w:sz w:val="20"/>
        </w:rPr>
        <w:t>Prior Agreement</w:t>
      </w:r>
      <w:r>
        <w:rPr>
          <w:rFonts w:ascii="Times New Roman;sans-serif" w:hAnsi="Times New Roman;sans-serif"/>
          <w:b w:val="false"/>
          <w:color w:val="000000"/>
          <w:sz w:val="20"/>
        </w:rPr>
        <w:t xml:space="preserve">. The Loan Documents are hereby ratified and reaffirmed and shall remain in full force and effect. Borrower hereby ratifies, confirms, and reaffirms all terms and conditions of all security or other collateral granted to the Bank, and confirms that the indebtedness secured thereby includes, without limitation, the Obligations.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 </w:t>
      </w:r>
    </w:p>
    <w:p>
      <w:pPr>
        <w:pStyle w:val="TextBody"/>
        <w:bidi w:val="0"/>
        <w:spacing w:lineRule="auto" w:line="240" w:before="0" w:after="240"/>
        <w:jc w:val="both"/>
        <w:rPr/>
      </w:pPr>
      <w:r>
        <w:rPr>
          <w:rFonts w:ascii="Times New Roman;sans-serif" w:hAnsi="Times New Roman;sans-serif"/>
          <w:b/>
          <w:color w:val="000000"/>
          <w:sz w:val="20"/>
        </w:rPr>
        <w:t>8.</w:t>
      </w:r>
      <w:r>
        <w:rPr>
          <w:rFonts w:ascii="Times New Roman;sans-serif" w:hAnsi="Times New Roman;sans-serif"/>
          <w:b/>
          <w:color w:val="000000"/>
          <w:sz w:val="20"/>
        </w:rPr>
        <w:t>Integration</w:t>
      </w:r>
      <w:r>
        <w:rPr>
          <w:rFonts w:ascii="Times New Roman;sans-serif" w:hAnsi="Times New Roman;sans-serif"/>
          <w:b w:val="false"/>
          <w:color w:val="000000"/>
          <w:sz w:val="20"/>
        </w:rPr>
        <w:t>. Except as expressly modified pursuant to this Agreement, the terms of the Loan Documents remain unchanged and in full force and effect.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pStyle w:val="TextBody"/>
        <w:bidi w:val="0"/>
        <w:spacing w:lineRule="auto" w:line="240" w:before="0" w:after="240"/>
        <w:jc w:val="both"/>
        <w:rPr/>
      </w:pPr>
      <w:r>
        <w:rPr>
          <w:rFonts w:ascii="Times New Roman;sans-serif" w:hAnsi="Times New Roman;sans-serif"/>
          <w:b/>
          <w:color w:val="000000"/>
          <w:sz w:val="20"/>
        </w:rPr>
        <w:t>9.</w:t>
      </w:r>
      <w:r>
        <w:rPr>
          <w:rFonts w:ascii="Times New Roman;sans-serif" w:hAnsi="Times New Roman;sans-serif"/>
          <w:b/>
          <w:color w:val="000000"/>
          <w:sz w:val="20"/>
        </w:rPr>
        <w:t>Fees and Expenses</w:t>
      </w:r>
      <w:r>
        <w:rPr>
          <w:rFonts w:ascii="Times New Roman;sans-serif" w:hAnsi="Times New Roman;sans-serif"/>
          <w:b w:val="false"/>
          <w:color w:val="000000"/>
          <w:sz w:val="20"/>
        </w:rPr>
        <w:t>. Borrower shall pay to Bank on the date first listed above all Bank Expenses due and owing as of the date hereof. The fees and expenses listed in the previous sentence may be debited from any of Borrower’s accounts at Bank.</w:t>
      </w:r>
    </w:p>
    <w:p>
      <w:pPr>
        <w:pStyle w:val="TextBody"/>
        <w:bidi w:val="0"/>
        <w:spacing w:lineRule="auto" w:line="240" w:before="0" w:after="240"/>
        <w:jc w:val="both"/>
        <w:rPr/>
      </w:pPr>
      <w:r>
        <w:rPr>
          <w:rFonts w:ascii="Times New Roman;sans-serif" w:hAnsi="Times New Roman;sans-serif"/>
          <w:b/>
          <w:color w:val="000000"/>
          <w:sz w:val="20"/>
        </w:rPr>
        <w:t>10.</w:t>
      </w:r>
      <w:r>
        <w:rPr>
          <w:rFonts w:ascii="Times New Roman;sans-serif" w:hAnsi="Times New Roman;sans-serif"/>
          <w:b/>
          <w:color w:val="000000"/>
          <w:sz w:val="20"/>
        </w:rPr>
        <w:t>Conditions to Effectiveness</w:t>
      </w:r>
      <w:r>
        <w:rPr>
          <w:rFonts w:ascii="Times New Roman;sans-serif" w:hAnsi="Times New Roman;sans-serif"/>
          <w:b w:val="false"/>
          <w:color w:val="000000"/>
          <w:sz w:val="20"/>
        </w:rPr>
        <w:t xml:space="preserve">. The parties agree that the obligations of Bank herein shall be effective upon the satisfaction of each of the following conditions precedent, each in form and substance satisfactory to Bank in its sole discretion, on or prior to the date first listed above: </w:t>
      </w:r>
    </w:p>
    <w:p>
      <w:pPr>
        <w:pStyle w:val="TextBody"/>
        <w:bidi w:val="0"/>
        <w:spacing w:lineRule="auto" w:line="240" w:before="0" w:after="240"/>
        <w:ind w:left="0" w:right="0" w:firstLine="720"/>
        <w:jc w:val="both"/>
        <w:rPr/>
      </w:pPr>
      <w:r>
        <w:rPr>
          <w:rFonts w:ascii="Times New Roman;sans-serif" w:hAnsi="Times New Roman;sans-serif"/>
          <w:b/>
          <w:color w:val="000000"/>
          <w:sz w:val="20"/>
        </w:rPr>
        <w:t>1.a</w:t>
      </w:r>
      <w:r>
        <w:rPr>
          <w:rFonts w:ascii="Times New Roman;sans-serif" w:hAnsi="Times New Roman;sans-serif"/>
          <w:b w:val="false"/>
          <w:color w:val="000000"/>
          <w:sz w:val="20"/>
        </w:rPr>
        <w:t>this Agreement duly executed on behalf of Borrower;</w:t>
      </w:r>
    </w:p>
    <w:p>
      <w:pPr>
        <w:pStyle w:val="TextBody"/>
        <w:bidi w:val="0"/>
        <w:spacing w:lineRule="auto" w:line="240" w:before="0" w:after="240"/>
        <w:ind w:left="0" w:right="0" w:firstLine="720"/>
        <w:jc w:val="both"/>
        <w:rPr/>
      </w:pPr>
      <w:r>
        <w:rPr>
          <w:rFonts w:ascii="Times New Roman;sans-serif" w:hAnsi="Times New Roman;sans-serif"/>
          <w:b/>
          <w:color w:val="000000"/>
          <w:sz w:val="20"/>
        </w:rPr>
        <w:t>1.b</w:t>
      </w:r>
      <w:r>
        <w:rPr>
          <w:rFonts w:ascii="Times New Roman;sans-serif" w:hAnsi="Times New Roman;sans-serif"/>
          <w:b w:val="false"/>
          <w:color w:val="000000"/>
          <w:sz w:val="20"/>
        </w:rPr>
        <w:t>Borrower’s payment of Bank’s legal fees and expenses incurred in connection with this Agreement; and</w:t>
      </w:r>
    </w:p>
    <w:p>
      <w:pPr>
        <w:pStyle w:val="TextBody"/>
        <w:bidi w:val="0"/>
        <w:spacing w:lineRule="auto" w:line="240" w:before="0" w:after="240"/>
        <w:ind w:left="0" w:right="0" w:firstLine="720"/>
        <w:jc w:val="both"/>
        <w:rPr/>
      </w:pPr>
      <w:r>
        <w:rPr>
          <w:rFonts w:ascii="Times New Roman;sans-serif" w:hAnsi="Times New Roman;sans-serif"/>
          <w:b/>
          <w:color w:val="000000"/>
          <w:sz w:val="20"/>
        </w:rPr>
        <w:t>1.c</w:t>
      </w:r>
      <w:r>
        <w:rPr>
          <w:rFonts w:ascii="Times New Roman;sans-serif" w:hAnsi="Times New Roman;sans-serif"/>
          <w:b w:val="false"/>
          <w:color w:val="000000"/>
          <w:sz w:val="20"/>
        </w:rPr>
        <w:t>such other documents as Bank may reasonably request to effectuate the terms of this Agreement.</w:t>
      </w:r>
    </w:p>
    <w:p>
      <w:pPr>
        <w:pStyle w:val="TextBody"/>
        <w:bidi w:val="0"/>
        <w:spacing w:lineRule="auto" w:line="240" w:before="0" w:after="240"/>
        <w:jc w:val="both"/>
        <w:rPr/>
      </w:pPr>
      <w:r>
        <w:rPr>
          <w:rFonts w:ascii="Times New Roman;sans-serif" w:hAnsi="Times New Roman;sans-serif"/>
          <w:b/>
          <w:color w:val="000000"/>
          <w:sz w:val="20"/>
        </w:rPr>
        <w:t>11.</w:t>
      </w:r>
      <w:r>
        <w:rPr>
          <w:rFonts w:ascii="Times New Roman;sans-serif" w:hAnsi="Times New Roman;sans-serif"/>
          <w:b/>
          <w:color w:val="000000"/>
          <w:sz w:val="20"/>
        </w:rP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0"/>
        </w:rPr>
        <w:t>11.a</w:t>
      </w:r>
      <w:r>
        <w:rPr>
          <w:rFonts w:ascii="Times New Roman;sans-serif" w:hAnsi="Times New Roman;sans-serif"/>
          <w:b w:val="false"/>
          <w:color w:val="000000"/>
          <w:sz w:val="20"/>
        </w:rPr>
        <w:t>This Agreement shall constitute a Loan Document under the Loan Agreement; the failure to comply 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w:t>
      </w:r>
    </w:p>
    <w:p>
      <w:pPr>
        <w:pStyle w:val="TextBody"/>
        <w:bidi w:val="0"/>
        <w:spacing w:lineRule="auto" w:line="240" w:before="0" w:after="240"/>
        <w:ind w:left="0" w:right="0" w:firstLine="720"/>
        <w:jc w:val="both"/>
        <w:rPr/>
      </w:pPr>
      <w:r>
        <w:rPr>
          <w:rFonts w:ascii="Times New Roman;sans-serif" w:hAnsi="Times New Roman;sans-serif"/>
          <w:b/>
          <w:color w:val="000000"/>
          <w:sz w:val="20"/>
        </w:rPr>
        <w:t>11.b</w:t>
      </w:r>
      <w:r>
        <w:rPr>
          <w:rFonts w:ascii="Times New Roman;sans-serif" w:hAnsi="Times New Roman;sans-serif"/>
          <w:b w:val="false"/>
          <w:color w:val="000000"/>
          <w:sz w:val="20"/>
        </w:rPr>
        <w:t>Each provision of this Agreement is severable from every other provision in determining the enforceability of any provision.</w:t>
      </w:r>
    </w:p>
    <w:p>
      <w:pPr>
        <w:pStyle w:val="TextBody"/>
        <w:bidi w:val="0"/>
        <w:spacing w:lineRule="auto" w:line="240" w:before="0" w:after="240"/>
        <w:ind w:left="0" w:right="0" w:firstLine="720"/>
        <w:jc w:val="both"/>
        <w:rPr/>
      </w:pPr>
      <w:r>
        <w:rPr>
          <w:rFonts w:ascii="Times New Roman;sans-serif" w:hAnsi="Times New Roman;sans-serif"/>
          <w:b/>
          <w:color w:val="000000"/>
          <w:sz w:val="20"/>
        </w:rPr>
        <w:t>11.c</w:t>
      </w:r>
      <w:r>
        <w:rPr>
          <w:rFonts w:ascii="Times New Roman;sans-serif" w:hAnsi="Times New Roman;sans-serif"/>
          <w:b w:val="false"/>
          <w:color w:val="000000"/>
          <w:sz w:val="20"/>
        </w:rPr>
        <w:t>This Agreement may be executed in any number of counterparts and all of such counterparts taken together shall be deemed to constitute one and the same instrument.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11.d</w:t>
      </w:r>
      <w:r>
        <w:rPr>
          <w:rFonts w:ascii="Times New Roman;sans-serif" w:hAnsi="Times New Roman;sans-serif"/>
          <w:b w:val="false"/>
          <w:color w:val="000000"/>
          <w:sz w:val="20"/>
        </w:rPr>
        <w:t>The Loan Documents are hereby amended wherever necessary to reflect the changes described above.</w:t>
      </w:r>
    </w:p>
    <w:p>
      <w:pPr>
        <w:pStyle w:val="TextBody"/>
        <w:bidi w:val="0"/>
        <w:spacing w:lineRule="auto" w:line="240" w:before="0" w:after="240"/>
        <w:ind w:left="0" w:right="0" w:firstLine="720"/>
        <w:jc w:val="both"/>
        <w:rPr/>
      </w:pPr>
      <w:r>
        <w:rPr>
          <w:rFonts w:ascii="Times New Roman;sans-serif" w:hAnsi="Times New Roman;sans-serif"/>
          <w:b/>
          <w:color w:val="000000"/>
          <w:sz w:val="20"/>
        </w:rPr>
        <w:t>11.e</w:t>
      </w:r>
      <w:r>
        <w:rPr>
          <w:rFonts w:ascii="Times New Roman;sans-serif" w:hAnsi="Times New Roman;sans-serif"/>
          <w:b w:val="false"/>
          <w:color w:val="000000"/>
          <w:sz w:val="20"/>
        </w:rPr>
        <w:t>Section 11.9 of the Loan Agreement applies to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0"/>
        </w:rPr>
        <w:t>11.f</w:t>
      </w:r>
      <w:r>
        <w:rPr>
          <w:rFonts w:ascii="Times New Roman;sans-serif" w:hAnsi="Times New Roman;sans-serif"/>
          <w:b w:val="false"/>
          <w:color w:val="000000"/>
          <w:sz w:val="20"/>
        </w:rPr>
        <w:t>This Agreement and the rights and obligations of the parties hereto shall be governed by and construed in accordance with the laws of the State of California.</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6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ACTIVE\1606274426.3</w:t>
                      </w:r>
                    </w:p>
                  </w:txbxContent>
                </v:textbox>
                <w10:wrap type="none"/>
              </v:rect>
            </w:pict>
          </mc:Fallback>
        </mc:AlternateContent>
      </w:r>
    </w:p>
    <w:p>
      <w:pPr>
        <w:pStyle w:val="TextBody"/>
        <w:bidi w:val="0"/>
        <w:spacing w:lineRule="auto" w:line="240" w:before="0" w:after="0"/>
        <w:ind w:left="0" w:right="0" w:firstLine="720"/>
        <w:jc w:val="left"/>
        <w:rPr/>
      </w:pPr>
      <w:r>
        <w:rPr>
          <w:rFonts w:ascii="Times New Roman;sans-serif" w:hAnsi="Times New Roman;sans-serif"/>
          <w:b/>
          <w:color w:val="000000"/>
          <w:sz w:val="20"/>
        </w:rPr>
        <w:t>In Witness Whereof,</w:t>
      </w:r>
      <w:r>
        <w:rPr>
          <w:color w:val="000000"/>
        </w:rPr>
        <w:t xml:space="preserve"> </w:t>
      </w:r>
      <w:r>
        <w:rPr>
          <w:rFonts w:ascii="Times New Roman;sans-serif" w:hAnsi="Times New Roman;sans-serif"/>
          <w:b w:val="false"/>
          <w:color w:val="000000"/>
          <w:sz w:val="20"/>
        </w:rPr>
        <w:t>the parties hereto have caused this Agreement to be duly executed and delivered as of the date first written above.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109" w:type="dxa"/>
        <w:jc w:val="left"/>
        <w:tblInd w:w="0" w:type="dxa"/>
        <w:tblLayout w:type="fixed"/>
        <w:tblCellMar>
          <w:top w:w="28" w:type="dxa"/>
          <w:left w:w="28" w:type="dxa"/>
          <w:bottom w:w="28" w:type="dxa"/>
          <w:right w:w="28" w:type="dxa"/>
        </w:tblCellMar>
      </w:tblPr>
      <w:tblGrid>
        <w:gridCol w:w="1466"/>
        <w:gridCol w:w="1287"/>
        <w:gridCol w:w="1297"/>
        <w:gridCol w:w="896"/>
        <w:gridCol w:w="896"/>
        <w:gridCol w:w="1267"/>
      </w:tblGrid>
      <w:tr>
        <w:trPr/>
        <w:tc>
          <w:tcPr>
            <w:tcW w:w="146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BORROWER</w:t>
            </w:r>
          </w:p>
        </w:tc>
      </w:tr>
      <w:tr>
        <w:trPr/>
        <w:tc>
          <w:tcPr>
            <w:tcW w:w="40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FIRST-CITIZENS BANK &amp; TRUST COMPANY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u w:val="single"/>
              </w:rPr>
              <w:t>/s/ Mark Davis            </w:t>
            </w:r>
            <w:r>
              <w:rPr>
                <w:color w:val="000000"/>
              </w:rPr>
              <w:t>    </w:t>
            </w:r>
          </w:p>
          <w:p>
            <w:pPr>
              <w:pStyle w:val="TableContents"/>
              <w:bidi w:val="0"/>
              <w:spacing w:lineRule="auto" w:line="240" w:before="0" w:after="0"/>
              <w:jc w:val="left"/>
              <w:rPr/>
            </w:pPr>
            <w:r>
              <w:rPr>
                <w:rFonts w:ascii="Times New Roman;sans-serif" w:hAnsi="Times New Roman;sans-serif"/>
                <w:b w:val="false"/>
                <w:color w:val="000000"/>
                <w:sz w:val="20"/>
              </w:rPr>
              <w:t>Name:  </w:t>
            </w:r>
            <w:r>
              <w:rPr>
                <w:color w:val="000000"/>
                <w:u w:val="single"/>
              </w:rPr>
              <w:t>    </w:t>
            </w:r>
            <w:r>
              <w:rPr>
                <w:rFonts w:ascii="Times New Roman;sans-serif" w:hAnsi="Times New Roman;sans-serif"/>
                <w:b w:val="false"/>
                <w:color w:val="000000"/>
                <w:sz w:val="20"/>
                <w:u w:val="single"/>
              </w:rPr>
              <w:t>Mark Davis        </w:t>
            </w:r>
          </w:p>
          <w:p>
            <w:pPr>
              <w:pStyle w:val="TableContents"/>
              <w:bidi w:val="0"/>
              <w:spacing w:lineRule="auto" w:line="240" w:before="0" w:after="0"/>
              <w:jc w:val="left"/>
              <w:rPr/>
            </w:pPr>
            <w:r>
              <w:rPr>
                <w:rFonts w:ascii="Times New Roman;sans-serif" w:hAnsi="Times New Roman;sans-serif"/>
                <w:b w:val="false"/>
                <w:color w:val="000000"/>
                <w:sz w:val="20"/>
              </w:rPr>
              <w:t>Title:  </w:t>
            </w:r>
            <w:r>
              <w:rPr>
                <w:color w:val="000000"/>
                <w:u w:val="single"/>
              </w:rPr>
              <w:t>    </w:t>
            </w:r>
            <w:r>
              <w:rPr>
                <w:rFonts w:ascii="Times New Roman;sans-serif" w:hAnsi="Times New Roman;sans-serif"/>
                <w:b w:val="false"/>
                <w:color w:val="000000"/>
                <w:sz w:val="20"/>
                <w:u w:val="single"/>
              </w:rPr>
              <w:t>Senior Vice President        </w:t>
            </w:r>
            <w:r>
              <w:rPr>
                <w:color w:val="000000"/>
              </w:rPr>
              <w:t>    </w:t>
            </w:r>
          </w:p>
        </w:tc>
        <w:tc>
          <w:tcPr>
            <w:tcW w:w="305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u w:val="single"/>
              </w:rPr>
              <w:t>/s/ Anshul Maheshwari    </w:t>
            </w:r>
            <w:r>
              <w:rPr>
                <w:color w:val="000000"/>
              </w:rPr>
              <w:t>    </w:t>
            </w:r>
          </w:p>
          <w:p>
            <w:pPr>
              <w:pStyle w:val="TableContents"/>
              <w:bidi w:val="0"/>
              <w:spacing w:lineRule="auto" w:line="240" w:before="0" w:after="0"/>
              <w:jc w:val="left"/>
              <w:rPr/>
            </w:pPr>
            <w:r>
              <w:rPr>
                <w:rFonts w:ascii="Times New Roman;sans-serif" w:hAnsi="Times New Roman;sans-serif"/>
                <w:b w:val="false"/>
                <w:color w:val="000000"/>
                <w:sz w:val="20"/>
              </w:rPr>
              <w:t>Name:  </w:t>
            </w:r>
            <w:r>
              <w:rPr>
                <w:color w:val="000000"/>
                <w:u w:val="single"/>
              </w:rPr>
              <w:t>    </w:t>
            </w:r>
            <w:r>
              <w:rPr>
                <w:rFonts w:ascii="Times New Roman;sans-serif" w:hAnsi="Times New Roman;sans-serif"/>
                <w:b w:val="false"/>
                <w:color w:val="000000"/>
                <w:sz w:val="20"/>
                <w:u w:val="single"/>
              </w:rPr>
              <w:t>Anshul Maheshwari        </w:t>
            </w:r>
          </w:p>
          <w:p>
            <w:pPr>
              <w:pStyle w:val="TableContents"/>
              <w:bidi w:val="0"/>
              <w:spacing w:lineRule="auto" w:line="240" w:before="0" w:after="0"/>
              <w:jc w:val="left"/>
              <w:rPr/>
            </w:pPr>
            <w:r>
              <w:rPr>
                <w:rFonts w:ascii="Times New Roman;sans-serif" w:hAnsi="Times New Roman;sans-serif"/>
                <w:b w:val="false"/>
                <w:color w:val="000000"/>
                <w:sz w:val="20"/>
              </w:rPr>
              <w:t>Title:  </w:t>
            </w:r>
            <w:r>
              <w:rPr>
                <w:color w:val="000000"/>
                <w:u w:val="single"/>
              </w:rPr>
              <w:t>    </w:t>
            </w:r>
            <w:r>
              <w:rPr>
                <w:rFonts w:ascii="Times New Roman;sans-serif" w:hAnsi="Times New Roman;sans-serif"/>
                <w:b w:val="false"/>
                <w:color w:val="000000"/>
                <w:sz w:val="20"/>
                <w:u w:val="single"/>
              </w:rPr>
              <w:t>CFO            </w:t>
            </w:r>
            <w:r>
              <w:rPr>
                <w:color w:val="000000"/>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Second Amendment to Loan and Security Agreement</w:t>
      </w:r>
      <w:r>
        <w:rPr>
          <w:rFonts w:ascii="Times New Roman;sans-serif" w:hAnsi="Times New Roman;sans-serif"/>
          <w:b w:val="false"/>
          <w:color w:val="000000"/>
          <w:sz w:val="18"/>
        </w:rPr>
        <w: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10.27</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INFORMATION IDENTIFIED BY “[***]” HAS BEEN EXCLUDED FROM THE EXHIBIT BECAUSE IT IS BOTH NOT MATERIAL AND IS THE TYPE OF INFORMATION THAT THE REGISTRANT TREATS AS PRIVATE OR CONFIDENTIAL.</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MANUFACTURE AND SUPPLY AGREEMENT</w:t>
      </w:r>
    </w:p>
    <w:p>
      <w:pPr>
        <w:pStyle w:val="TextBody"/>
        <w:bidi w:val="0"/>
        <w:spacing w:before="0" w:after="0"/>
        <w:jc w:val="center"/>
        <w:rPr/>
      </w:pPr>
      <w:r>
        <w:rPr/>
      </w:r>
    </w:p>
    <w:p>
      <w:pPr>
        <w:pStyle w:val="TextBody"/>
        <w:bidi w:val="0"/>
        <w:spacing w:lineRule="auto" w:line="240" w:before="0" w:after="200"/>
        <w:ind w:left="0" w:right="0" w:firstLine="720"/>
        <w:jc w:val="both"/>
        <w:rPr/>
      </w:pPr>
      <w:r>
        <w:rPr>
          <w:rFonts w:ascii="Times New Roman;sans-serif" w:hAnsi="Times New Roman;sans-serif"/>
          <w:b/>
          <w:color w:val="000000"/>
          <w:sz w:val="24"/>
        </w:rPr>
        <w:t>THIS MANUFACTURE AND SUPPLY AGREEMENT</w:t>
      </w:r>
      <w:r>
        <w:rPr>
          <w:color w:val="000000"/>
        </w:rPr>
        <w:t xml:space="preserve"> </w:t>
      </w:r>
      <w:r>
        <w:rPr>
          <w:rFonts w:ascii="Times New Roman;sans-serif" w:hAnsi="Times New Roman;sans-serif"/>
          <w:b w:val="false"/>
          <w:color w:val="000000"/>
          <w:sz w:val="24"/>
        </w:rPr>
        <w:t>(“</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entered into as of February 23, 2024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between </w:t>
      </w:r>
      <w:r>
        <w:rPr>
          <w:rFonts w:ascii="Times New Roman;sans-serif" w:hAnsi="Times New Roman;sans-serif"/>
          <w:b/>
          <w:color w:val="000000"/>
          <w:sz w:val="24"/>
        </w:rPr>
        <w:t>SI-BONE, INC.</w:t>
      </w:r>
      <w:r>
        <w:rPr>
          <w:rFonts w:ascii="Times New Roman;sans-serif" w:hAnsi="Times New Roman;sans-serif"/>
          <w:b w:val="false"/>
          <w:color w:val="000000"/>
          <w:sz w:val="24"/>
        </w:rPr>
        <w:t>, a Delaware corporation having an address of 471 El Camino Real, Suite 101, Santa Clara, CA 95050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 xml:space="preserve">RMS COMPANY, </w:t>
      </w:r>
      <w:r>
        <w:rPr>
          <w:rFonts w:ascii="Times New Roman;sans-serif" w:hAnsi="Times New Roman;sans-serif"/>
          <w:b w:val="false"/>
          <w:color w:val="000000"/>
          <w:sz w:val="24"/>
        </w:rPr>
        <w:t>a Minnesota corporation having an address of 8600 Evergreen Boulevard, Coon Rapids, MN 55433 (“</w:t>
      </w:r>
      <w:r>
        <w:rPr>
          <w:rFonts w:ascii="Times New Roman;sans-serif" w:hAnsi="Times New Roman;sans-serif"/>
          <w:b/>
          <w:i/>
          <w:color w:val="000000"/>
          <w:sz w:val="24"/>
        </w:rPr>
        <w:t>Supplier</w:t>
      </w:r>
      <w:r>
        <w:rPr>
          <w:color w:val="000000"/>
        </w:rPr>
        <w:t>”</w:t>
      </w:r>
      <w:r>
        <w:rPr>
          <w:rFonts w:ascii="Times New Roman;sans-serif" w:hAnsi="Times New Roman;sans-serif"/>
          <w:b w:val="false"/>
          <w:color w:val="000000"/>
          <w:sz w:val="24"/>
        </w:rPr>
        <w:t>).</w:t>
      </w:r>
    </w:p>
    <w:p>
      <w:pPr>
        <w:pStyle w:val="TextBody"/>
        <w:bidi w:val="0"/>
        <w:spacing w:lineRule="auto" w:line="240" w:before="0" w:after="20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00"/>
        <w:ind w:left="0" w:right="0" w:firstLine="360"/>
        <w:jc w:val="both"/>
        <w:rPr/>
      </w:pPr>
      <w:r>
        <w:rPr>
          <w:rFonts w:ascii="Times New Roman;sans-serif" w:hAnsi="Times New Roman;sans-serif"/>
          <w:b/>
          <w:color w:val="000000"/>
          <w:sz w:val="24"/>
        </w:rPr>
        <w:t>WHEREAS,</w:t>
      </w:r>
      <w:r>
        <w:rPr>
          <w:color w:val="000000"/>
        </w:rPr>
        <w:t xml:space="preserve"> </w:t>
      </w:r>
      <w:r>
        <w:rPr>
          <w:rFonts w:ascii="Times New Roman;sans-serif" w:hAnsi="Times New Roman;sans-serif"/>
          <w:b w:val="false"/>
          <w:color w:val="000000"/>
          <w:sz w:val="24"/>
        </w:rPr>
        <w:t>Company and Supplier desire for Supplier to manufacture and supply certain products to Company, and for Company to purchase certain products from Supplier, on the terms and conditions set forth below, and</w:t>
      </w:r>
    </w:p>
    <w:p>
      <w:pPr>
        <w:pStyle w:val="TextBody"/>
        <w:bidi w:val="0"/>
        <w:spacing w:lineRule="auto" w:line="240" w:before="0" w:after="200"/>
        <w:ind w:left="0" w:right="0" w:firstLine="36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previously entered into the Amended and Restated Manufacturing, Quality and Supply Agreement, as amended and/or addended from time to time, effective June 11, 2021 (the “</w:t>
      </w:r>
      <w:r>
        <w:rPr>
          <w:rFonts w:ascii="Times New Roman;sans-serif" w:hAnsi="Times New Roman;sans-serif"/>
          <w:b/>
          <w:i/>
          <w:color w:val="000000"/>
          <w:sz w:val="24"/>
        </w:rPr>
        <w:t>June 2021 Agreement</w:t>
      </w:r>
      <w:r>
        <w:rPr>
          <w:color w:val="000000"/>
        </w:rPr>
        <w:t>”</w:t>
      </w:r>
      <w:r>
        <w:rPr>
          <w:rFonts w:ascii="Times New Roman;sans-serif" w:hAnsi="Times New Roman;sans-serif"/>
          <w:b w:val="false"/>
          <w:color w:val="000000"/>
          <w:sz w:val="24"/>
        </w:rPr>
        <w:t xml:space="preserve">), and </w:t>
      </w:r>
    </w:p>
    <w:p>
      <w:pPr>
        <w:pStyle w:val="TextBody"/>
        <w:bidi w:val="0"/>
        <w:spacing w:lineRule="auto" w:line="240" w:before="0" w:after="200"/>
        <w:ind w:left="0" w:right="0" w:firstLine="36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Parties desire to enter into a new Manufacture and Supply Agreement which will supersede the June 2021 Agreement in its entirety as of the Effective Date.</w:t>
      </w:r>
    </w:p>
    <w:p>
      <w:pPr>
        <w:pStyle w:val="TextBody"/>
        <w:bidi w:val="0"/>
        <w:spacing w:lineRule="auto" w:line="240" w:before="0" w:after="200"/>
        <w:ind w:left="0" w:right="0" w:firstLine="360"/>
        <w:jc w:val="both"/>
        <w:rPr/>
      </w:pPr>
      <w:r>
        <w:rPr>
          <w:rFonts w:ascii="Times New Roman;sans-serif" w:hAnsi="Times New Roman;sans-serif"/>
          <w:b/>
          <w:color w:val="000000"/>
          <w:sz w:val="24"/>
        </w:rPr>
        <w:t>NOW THEREFORE,</w:t>
      </w:r>
      <w:r>
        <w:rPr>
          <w:color w:val="000000"/>
        </w:rPr>
        <w:t xml:space="preserve"> </w:t>
      </w:r>
      <w:r>
        <w:rPr>
          <w:rFonts w:ascii="Times New Roman;sans-serif" w:hAnsi="Times New Roman;sans-serif"/>
          <w:b w:val="false"/>
          <w:color w:val="000000"/>
          <w:sz w:val="24"/>
        </w:rPr>
        <w:t>the parties, intending to be legally bound, agree as follows.</w:t>
      </w:r>
    </w:p>
    <w:p>
      <w:pPr>
        <w:pStyle w:val="TextBody"/>
        <w:bidi w:val="0"/>
        <w:spacing w:lineRule="auto" w:line="240" w:before="0" w:after="200"/>
        <w:jc w:val="center"/>
        <w:rPr>
          <w:rFonts w:ascii="Times New Roman;sans-serif" w:hAnsi="Times New Roman;sans-serif"/>
          <w:b/>
          <w:color w:val="000000"/>
          <w:sz w:val="24"/>
        </w:rPr>
      </w:pPr>
      <w:r>
        <w:rPr>
          <w:rFonts w:ascii="Times New Roman;sans-serif" w:hAnsi="Times New Roman;sans-serif"/>
          <w:b/>
          <w:color w:val="000000"/>
          <w:sz w:val="24"/>
        </w:rPr>
        <w:t>AGREEMENT</w:t>
      </w:r>
    </w:p>
    <w:p>
      <w:pPr>
        <w:pStyle w:val="TextBody"/>
        <w:bidi w:val="0"/>
        <w:spacing w:lineRule="auto" w:line="240" w:before="0" w:after="240"/>
        <w:ind w:left="0" w:right="0" w:hanging="360"/>
        <w:jc w:val="both"/>
        <w:rPr/>
      </w:pPr>
      <w:r>
        <w:rPr>
          <w:rFonts w:ascii="Cambria;sans-serif" w:hAnsi="Cambria;sans-serif"/>
          <w:b/>
          <w:color w:val="000000"/>
          <w:sz w:val="24"/>
        </w:rPr>
        <w:t>1.</w:t>
      </w:r>
      <w:r>
        <w:rPr>
          <w:rFonts w:ascii="Times New Roman;sans-serif" w:hAnsi="Times New Roman;sans-serif"/>
          <w:b/>
          <w:color w:val="000000"/>
          <w:sz w:val="24"/>
          <w:u w:val="single"/>
        </w:rPr>
        <w:t>PURCHASE AND SALE</w:t>
      </w:r>
    </w:p>
    <w:p>
      <w:pPr>
        <w:pStyle w:val="TextBody"/>
        <w:bidi w:val="0"/>
        <w:spacing w:lineRule="auto" w:line="240" w:before="0" w:after="240"/>
        <w:ind w:left="0" w:right="0" w:hanging="540"/>
        <w:jc w:val="both"/>
        <w:rPr/>
      </w:pPr>
      <w:r>
        <w:rPr>
          <w:rFonts w:ascii="Cambria;sans-serif" w:hAnsi="Cambria;sans-serif"/>
          <w:b/>
          <w:color w:val="000000"/>
          <w:sz w:val="24"/>
        </w:rPr>
        <w:t>1.1</w:t>
      </w:r>
      <w:r>
        <w:rPr>
          <w:rFonts w:ascii="Times New Roman;sans-serif" w:hAnsi="Times New Roman;sans-serif"/>
          <w:b/>
          <w:color w:val="000000"/>
          <w:sz w:val="24"/>
          <w:u w:val="single"/>
        </w:rPr>
        <w:t>Purchase and Sale</w:t>
      </w:r>
      <w:r>
        <w:rPr>
          <w:rFonts w:ascii="Times New Roman;sans-serif" w:hAnsi="Times New Roman;sans-serif"/>
          <w:b w:val="false"/>
          <w:color w:val="000000"/>
          <w:sz w:val="24"/>
        </w:rPr>
        <w:t xml:space="preserve">. Subject to the terms of this Agreement, during the Term, Company shall purchase from Supplier, and Supplier shall supply to Company, the products listed on </w:t>
      </w:r>
      <w:r>
        <w:rPr>
          <w:rFonts w:ascii="Times New Roman;sans-serif" w:hAnsi="Times New Roman;sans-serif"/>
          <w:b/>
          <w:color w:val="000000"/>
          <w:sz w:val="24"/>
        </w:rPr>
        <w:t xml:space="preserve">Exhibits A through D </w:t>
      </w:r>
      <w:r>
        <w:rPr>
          <w:rFonts w:ascii="Times New Roman;sans-serif" w:hAnsi="Times New Roman;sans-serif"/>
          <w:b w:val="false"/>
          <w:color w:val="000000"/>
          <w:sz w:val="24"/>
        </w:rPr>
        <w:t>(the “</w:t>
      </w:r>
      <w:r>
        <w:rPr>
          <w:rFonts w:ascii="Times New Roman;sans-serif" w:hAnsi="Times New Roman;sans-serif"/>
          <w:b/>
          <w:i/>
          <w:color w:val="000000"/>
          <w:sz w:val="24"/>
        </w:rPr>
        <w:t>Products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Exhibits A through D</w:t>
      </w:r>
      <w:r>
        <w:rPr>
          <w:color w:val="000000"/>
        </w:rPr>
        <w:t xml:space="preserve"> </w:t>
      </w:r>
      <w:r>
        <w:rPr>
          <w:rFonts w:ascii="Times New Roman;sans-serif" w:hAnsi="Times New Roman;sans-serif"/>
          <w:b w:val="false"/>
          <w:color w:val="000000"/>
          <w:sz w:val="24"/>
        </w:rPr>
        <w:t xml:space="preserve">shall include (a) a detailed description of the Product(s), (b) the purchase price of the Product(s), and (c) any other relevant information pertaining to the Products. From time to time, the parties may mutually agree to add additional products to </w:t>
      </w:r>
      <w:r>
        <w:rPr>
          <w:rFonts w:ascii="Times New Roman;sans-serif" w:hAnsi="Times New Roman;sans-serif"/>
          <w:b/>
          <w:color w:val="000000"/>
          <w:sz w:val="24"/>
        </w:rPr>
        <w:t>Exhibits A through D</w:t>
      </w:r>
      <w:r>
        <w:rPr>
          <w:color w:val="000000"/>
        </w:rPr>
        <w:t xml:space="preserve"> </w:t>
      </w:r>
      <w:r>
        <w:rPr>
          <w:rFonts w:ascii="Times New Roman;sans-serif" w:hAnsi="Times New Roman;sans-serif"/>
          <w:b w:val="false"/>
          <w:color w:val="000000"/>
          <w:sz w:val="24"/>
        </w:rPr>
        <w:t xml:space="preserve">pursuant to a writing signed by both parties, at which time such products will become Products for purposes of this Agreement. </w:t>
      </w:r>
    </w:p>
    <w:p>
      <w:pPr>
        <w:pStyle w:val="TextBody"/>
        <w:bidi w:val="0"/>
        <w:spacing w:lineRule="auto" w:line="240" w:before="0" w:after="240"/>
        <w:ind w:left="0" w:right="0" w:hanging="540"/>
        <w:jc w:val="both"/>
        <w:rPr/>
      </w:pPr>
      <w:r>
        <w:rPr>
          <w:rFonts w:ascii="Cambria;sans-serif" w:hAnsi="Cambria;sans-serif"/>
          <w:b/>
          <w:color w:val="000000"/>
          <w:sz w:val="24"/>
        </w:rPr>
        <w:t>1.2</w:t>
      </w:r>
      <w:r>
        <w:rPr>
          <w:rFonts w:ascii="Times New Roman;sans-serif" w:hAnsi="Times New Roman;sans-serif"/>
          <w:b/>
          <w:color w:val="000000"/>
          <w:sz w:val="24"/>
          <w:u w:val="single"/>
        </w:rPr>
        <w:t>Specifications</w:t>
      </w:r>
      <w:r>
        <w:rPr>
          <w:rFonts w:ascii="Times New Roman;sans-serif" w:hAnsi="Times New Roman;sans-serif"/>
          <w:b w:val="false"/>
          <w:color w:val="000000"/>
          <w:sz w:val="24"/>
        </w:rPr>
        <w:t>. Company shall define the specifications for each Product (the “</w:t>
      </w:r>
      <w:r>
        <w:rPr>
          <w:rFonts w:ascii="Times New Roman;sans-serif" w:hAnsi="Times New Roman;sans-serif"/>
          <w:b/>
          <w:i/>
          <w:color w:val="000000"/>
          <w:sz w:val="24"/>
        </w:rPr>
        <w:t>Specifications</w:t>
      </w:r>
      <w:r>
        <w:rPr>
          <w:color w:val="000000"/>
        </w:rPr>
        <w:t>”</w:t>
      </w:r>
      <w:r>
        <w:rPr>
          <w:rFonts w:ascii="Times New Roman;sans-serif" w:hAnsi="Times New Roman;sans-serif"/>
          <w:b w:val="false"/>
          <w:color w:val="000000"/>
          <w:sz w:val="24"/>
        </w:rPr>
        <w:t>), The Specifications may be paper documents, electronic documents or other appropriate media. The parties may change the Specifications from time to time by mutual written agreement. Supplier shall deliver the Product in full conformance to the Specifications.</w:t>
      </w:r>
    </w:p>
    <w:p>
      <w:pPr>
        <w:pStyle w:val="TextBody"/>
        <w:bidi w:val="0"/>
        <w:spacing w:lineRule="auto" w:line="240" w:before="0" w:after="240"/>
        <w:ind w:left="0" w:right="0" w:hanging="540"/>
        <w:jc w:val="both"/>
        <w:rPr/>
      </w:pPr>
      <w:r>
        <w:rPr>
          <w:rFonts w:ascii="Cambria;sans-serif" w:hAnsi="Cambria;sans-serif"/>
          <w:b/>
          <w:color w:val="000000"/>
          <w:sz w:val="24"/>
        </w:rPr>
        <w:t>1.3</w:t>
      </w:r>
      <w:r>
        <w:rPr>
          <w:rFonts w:ascii="Times New Roman;sans-serif" w:hAnsi="Times New Roman;sans-serif"/>
          <w:b/>
          <w:color w:val="000000"/>
          <w:sz w:val="24"/>
          <w:u w:val="single"/>
        </w:rPr>
        <w:t>Requirements Contract; Alternative Source</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Unless otherwise specified in writing by the Parties, Company shall purchase from Supplier, and Supplier shall manufacture and sell to Company 100% of Company’s requirements for the Products.</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30555"/>
                <wp:effectExtent l="0" t="0" r="0" b="0"/>
                <wp:wrapNone/>
                <wp:docPr id="117" name="Frame117"/>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For the avoidance of doubt, accessories used in connection with the Product may be purchased by Company from Supplier or a third-party vendor, or manufactured directly by, or otherwise obtained through, Company. </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rFonts w:ascii="Times New Roman;sans-serif" w:hAnsi="Times New Roman;sans-serif"/>
          <w:b w:val="false"/>
          <w:color w:val="000000"/>
          <w:sz w:val="24"/>
        </w:rPr>
        <w:t>Company retains the right to qualify alternative sources of supply of Products (“</w:t>
      </w:r>
      <w:r>
        <w:rPr>
          <w:rFonts w:ascii="Times New Roman;sans-serif" w:hAnsi="Times New Roman;sans-serif"/>
          <w:b/>
          <w:i/>
          <w:color w:val="000000"/>
          <w:sz w:val="24"/>
        </w:rPr>
        <w:t>Alternative Sources</w:t>
      </w:r>
      <w:r>
        <w:rPr>
          <w:color w:val="000000"/>
        </w:rPr>
        <w:t>”</w:t>
      </w:r>
      <w:r>
        <w:rPr>
          <w:rFonts w:ascii="Times New Roman;sans-serif" w:hAnsi="Times New Roman;sans-serif"/>
          <w:b w:val="false"/>
          <w:color w:val="000000"/>
          <w:sz w:val="24"/>
        </w:rPr>
        <w:t xml:space="preserve">), which Alternative Sources of supply shall only be used by Company to supply Products in the event of a Supply Failure. For clarity, Company itself or an affiliate of Company may be an Alternative Source. </w:t>
      </w:r>
    </w:p>
    <w:p>
      <w:pPr>
        <w:pStyle w:val="TextBody"/>
        <w:bidi w:val="0"/>
        <w:spacing w:lineRule="auto" w:line="240" w:before="0" w:after="240"/>
        <w:ind w:left="0" w:right="0" w:hanging="432"/>
        <w:jc w:val="both"/>
        <w:rPr/>
      </w:pPr>
      <w:r>
        <w:rPr>
          <w:rFonts w:ascii="Cambria;sans-serif" w:hAnsi="Cambria;sans-serif"/>
          <w:b/>
          <w:color w:val="000000"/>
          <w:sz w:val="24"/>
        </w:rPr>
        <w:t>1.4</w:t>
      </w:r>
      <w:r>
        <w:rPr>
          <w:rFonts w:ascii="Times New Roman;sans-serif" w:hAnsi="Times New Roman;sans-serif"/>
          <w:b/>
          <w:color w:val="000000"/>
          <w:sz w:val="24"/>
          <w:u w:val="single"/>
        </w:rPr>
        <w:t>Forecasts</w:t>
      </w:r>
      <w:r>
        <w:rPr>
          <w:rFonts w:ascii="Times New Roman;sans-serif" w:hAnsi="Times New Roman;sans-serif"/>
          <w:b w:val="false"/>
          <w:color w:val="000000"/>
          <w:sz w:val="24"/>
        </w:rPr>
        <w:t>. Within ten days after the Effective Date, Company shall deliver to Supplier a 12- month rolling forecast of its anticipated demand for the Product (the “</w:t>
      </w:r>
      <w:r>
        <w:rPr>
          <w:rFonts w:ascii="Times New Roman;sans-serif" w:hAnsi="Times New Roman;sans-serif"/>
          <w:b/>
          <w:i/>
          <w:color w:val="000000"/>
          <w:sz w:val="24"/>
        </w:rPr>
        <w:t>Forecast</w:t>
      </w:r>
      <w:r>
        <w:rPr>
          <w:color w:val="000000"/>
        </w:rPr>
        <w:t>”</w:t>
      </w:r>
      <w:r>
        <w:rPr>
          <w:rFonts w:ascii="Times New Roman;sans-serif" w:hAnsi="Times New Roman;sans-serif"/>
          <w:b w:val="false"/>
          <w:color w:val="000000"/>
          <w:sz w:val="24"/>
        </w:rPr>
        <w:t xml:space="preserve">). No later than ten days following the end of each calendar quarter during the Term, Company shall update the Forecast in writing and include estimated quantities, delivery schedules, and any other relevant information reasonably requested by Supplier. Forecasts shall be nonbinding and used and relied upon by Supplier only for Supplier’s internal capacity planning purposes. Supplier acknowledges that these Forecasts are specifically aligned with the terms outlined in Sections 3 and 6 of the Vendor Managed Inventory Addendum in </w:t>
      </w:r>
      <w:r>
        <w:rPr>
          <w:rFonts w:ascii="Times New Roman;sans-serif" w:hAnsi="Times New Roman;sans-serif"/>
          <w:b/>
          <w:color w:val="000000"/>
          <w:sz w:val="24"/>
        </w:rPr>
        <w:t>Exhibit H</w:t>
      </w:r>
      <w:r>
        <w:rPr>
          <w:rFonts w:ascii="Times New Roman;sans-serif" w:hAnsi="Times New Roman;sans-serif"/>
          <w:b w:val="false"/>
          <w:color w:val="000000"/>
          <w:sz w:val="24"/>
        </w:rPr>
        <w:t>. Supplier agrees not to use or rely upon these Forecasts for any other purpose, and any actions taken by Supplier outside of this agreement shall be at Supplier's own risk.</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Supplier shall make commercially reasonable efforts to meet the forecasted demand. If Supplier determines that it will not be able to meet the forecasted demand specified in the forecasts provided, Supplier shall promptly notify Company in writing. Such notification shall include the reasons for the anticipated shortfall, the revised estimated quantities that can be supplied, and any proposed alternative solutions, if applicable. Supplier shall make reasonable efforts to mitigate any anticipated shortfall and minimize the impact on Company’s operations. This may include expedited production, allocation of available inventory, or other appropriate measures to meet the revised estimated quantities to the extent commercially feasible.</w:t>
      </w:r>
    </w:p>
    <w:p>
      <w:pPr>
        <w:pStyle w:val="TextBody"/>
        <w:bidi w:val="0"/>
        <w:spacing w:lineRule="auto" w:line="240" w:before="0" w:after="240"/>
        <w:ind w:left="0" w:right="0" w:hanging="360"/>
        <w:jc w:val="both"/>
        <w:rPr/>
      </w:pPr>
      <w:r>
        <w:rPr>
          <w:rFonts w:ascii="Cambria;sans-serif" w:hAnsi="Cambria;sans-serif"/>
          <w:b/>
          <w:color w:val="000000"/>
          <w:sz w:val="24"/>
        </w:rPr>
        <w:t>2.</w:t>
      </w:r>
      <w:r>
        <w:rPr>
          <w:rFonts w:ascii="Times New Roman;sans-serif" w:hAnsi="Times New Roman;sans-serif"/>
          <w:b/>
          <w:color w:val="000000"/>
          <w:sz w:val="24"/>
          <w:u w:val="single"/>
        </w:rPr>
        <w:t>ORDERING PROCEDURE</w:t>
      </w:r>
    </w:p>
    <w:p>
      <w:pPr>
        <w:pStyle w:val="TextBody"/>
        <w:bidi w:val="0"/>
        <w:spacing w:lineRule="auto" w:line="240" w:before="0" w:after="240"/>
        <w:ind w:left="0" w:right="0" w:hanging="432"/>
        <w:jc w:val="both"/>
        <w:rPr/>
      </w:pPr>
      <w:r>
        <w:rPr>
          <w:rFonts w:ascii="Cambria;sans-serif" w:hAnsi="Cambria;sans-serif"/>
          <w:b/>
          <w:color w:val="000000"/>
          <w:sz w:val="24"/>
        </w:rPr>
        <w:t>2.1</w:t>
      </w:r>
      <w:r>
        <w:rPr>
          <w:rFonts w:ascii="Times New Roman;sans-serif" w:hAnsi="Times New Roman;sans-serif"/>
          <w:b/>
          <w:color w:val="000000"/>
          <w:sz w:val="24"/>
          <w:u w:val="single"/>
        </w:rPr>
        <w:t>Purchase Orders</w:t>
      </w:r>
      <w:r>
        <w:rPr>
          <w:rFonts w:ascii="Times New Roman;sans-serif" w:hAnsi="Times New Roman;sans-serif"/>
          <w:b w:val="false"/>
          <w:color w:val="000000"/>
          <w:sz w:val="24"/>
        </w:rPr>
        <w:t>. All purchases shall be pursuant to purchase orders submitted by Company to Supplier (an “</w:t>
      </w:r>
      <w:r>
        <w:rPr>
          <w:rFonts w:ascii="Times New Roman;sans-serif" w:hAnsi="Times New Roman;sans-serif"/>
          <w:b/>
          <w:i/>
          <w:color w:val="000000"/>
          <w:sz w:val="24"/>
        </w:rPr>
        <w:t>Order</w:t>
      </w:r>
      <w:r>
        <w:rPr>
          <w:color w:val="000000"/>
        </w:rPr>
        <w:t>”</w:t>
      </w:r>
      <w:r>
        <w:rPr>
          <w:rFonts w:ascii="Times New Roman;sans-serif" w:hAnsi="Times New Roman;sans-serif"/>
          <w:b w:val="false"/>
          <w:color w:val="000000"/>
          <w:sz w:val="24"/>
        </w:rPr>
        <w:t>). An Order shall specify the Products ordered (including part numbers and revision levels if applicable), quantities of each Product ordered, price, requested delivery date and requested Product recipient. The delivery date is subject to the requirements of Section 2.2 (Lead Time). Supplier shall provide written notice to Company no later than five days after receipt of the Order confirming receipt of the Order and its delivery date (“</w:t>
      </w:r>
      <w:r>
        <w:rPr>
          <w:rFonts w:ascii="Times New Roman;sans-serif" w:hAnsi="Times New Roman;sans-serif"/>
          <w:b/>
          <w:i/>
          <w:color w:val="000000"/>
          <w:sz w:val="24"/>
        </w:rPr>
        <w:t>Confirmed Delivery Date</w:t>
      </w:r>
      <w:r>
        <w:rPr>
          <w:color w:val="000000"/>
        </w:rPr>
        <w:t>”</w:t>
      </w:r>
      <w:r>
        <w:rPr>
          <w:rFonts w:ascii="Times New Roman;sans-serif" w:hAnsi="Times New Roman;sans-serif"/>
          <w:b w:val="false"/>
          <w:color w:val="000000"/>
          <w:sz w:val="24"/>
        </w:rPr>
        <w:t>). Orders may be changed only by the mutual written agreement of the parties.</w:t>
      </w:r>
    </w:p>
    <w:p>
      <w:pPr>
        <w:pStyle w:val="TextBody"/>
        <w:bidi w:val="0"/>
        <w:spacing w:lineRule="auto" w:line="240" w:before="0" w:after="240"/>
        <w:ind w:left="0" w:right="0" w:hanging="432"/>
        <w:jc w:val="both"/>
        <w:rPr/>
      </w:pPr>
      <w:r>
        <w:rPr>
          <w:rFonts w:ascii="Cambria;sans-serif" w:hAnsi="Cambria;sans-serif"/>
          <w:b/>
          <w:color w:val="000000"/>
          <w:sz w:val="24"/>
        </w:rPr>
        <w:t>2.2</w:t>
      </w:r>
      <w:r>
        <w:rPr>
          <w:rFonts w:ascii="Times New Roman;sans-serif" w:hAnsi="Times New Roman;sans-serif"/>
          <w:b/>
          <w:color w:val="000000"/>
          <w:sz w:val="24"/>
          <w:u w:val="single"/>
        </w:rPr>
        <w:t>Lead Time</w:t>
      </w:r>
      <w:r>
        <w:rPr>
          <w:rFonts w:ascii="Times New Roman;sans-serif" w:hAnsi="Times New Roman;sans-serif"/>
          <w:b w:val="false"/>
          <w:color w:val="000000"/>
          <w:sz w:val="24"/>
        </w:rPr>
        <w:t xml:space="preserve">. Supplier shall provide Company with a mutually agreed-upon standard lead time for the supply of the Products. The lead time shall represent the estimated time required for Supplier to fulfill the Orders placed by Company based on current manufacturing schedules. The lead time shall include manufacturing, packaging, quality control processes, and any necessary transportation or logistics considerations. Any changes to the lead time shall be communicated in writing by Supplier to Company in advance. The parties understand that the standard lead time is impacted by changes in the Supplier’s backlog of orders, production capacity, availability of raw materials, or other relevant circumstances. Supplier shall make commercially reasonable efforts to adhere to the agreed-upon lead time, however, the Confirmed Delivery Date provided by the Supplier upon receipt of the Order shall prevail. The parties may periodically review and assess Supplier's performance in meeting the communicated lead time and Confirmed Delivery Dates. Any recurring or significant deviations from the communicated lead time and agreed-upon Confirmed Delivery Dates shall be promptly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30555"/>
                <wp:effectExtent l="0" t="0" r="0" b="0"/>
                <wp:wrapNone/>
                <wp:docPr id="118" name="Frame118"/>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communicated between the parties, and appropriate corrective measures shall be discussed and implemented, if necessary.</w:t>
      </w:r>
    </w:p>
    <w:p>
      <w:pPr>
        <w:pStyle w:val="TextBody"/>
        <w:bidi w:val="0"/>
        <w:spacing w:lineRule="auto" w:line="240" w:before="0" w:after="240"/>
        <w:ind w:left="0" w:right="0" w:hanging="432"/>
        <w:jc w:val="both"/>
        <w:rPr/>
      </w:pPr>
      <w:r>
        <w:rPr>
          <w:rFonts w:ascii="Cambria;sans-serif" w:hAnsi="Cambria;sans-serif"/>
          <w:b/>
          <w:color w:val="000000"/>
          <w:sz w:val="24"/>
        </w:rPr>
        <w:t>2.3</w:t>
      </w:r>
      <w:r>
        <w:rPr>
          <w:rFonts w:ascii="Times New Roman;sans-serif" w:hAnsi="Times New Roman;sans-serif"/>
          <w:b/>
          <w:color w:val="000000"/>
          <w:sz w:val="24"/>
          <w:u w:val="single"/>
        </w:rPr>
        <w:t>Order of Precedence</w:t>
      </w:r>
      <w:r>
        <w:rPr>
          <w:rFonts w:ascii="Times New Roman;sans-serif" w:hAnsi="Times New Roman;sans-serif"/>
          <w:b w:val="false"/>
          <w:color w:val="000000"/>
          <w:sz w:val="24"/>
        </w:rPr>
        <w:t xml:space="preserve">. The parties hereby agree to terminate the June 2021 Agreement as of the Effective Date. The parties intend for the express terms and conditions contained in this Agreement (including any Schedules and Exhibits hereto) and in any Order that are consistent with this Agreement to exclusively govern and control the parties' respective rights and obligations regarding the manufacture, purchase, and sale of the Products, and the parties' agreement is expressly limited to such terms and conditions. Notwithstanding the foregoing, if any terms and conditions contained in an Order conflict with any terms and conditions contained in this Agreement, the applicable term or condition of this Agreement will prevail and such contrary or different terms will have no force or effect. </w:t>
      </w:r>
    </w:p>
    <w:p>
      <w:pPr>
        <w:pStyle w:val="TextBody"/>
        <w:bidi w:val="0"/>
        <w:spacing w:lineRule="auto" w:line="240" w:before="0" w:after="240"/>
        <w:ind w:left="0" w:right="0" w:hanging="360"/>
        <w:jc w:val="both"/>
        <w:rPr/>
      </w:pPr>
      <w:r>
        <w:rPr>
          <w:rFonts w:ascii="Cambria;sans-serif" w:hAnsi="Cambria;sans-serif"/>
          <w:b/>
          <w:color w:val="000000"/>
          <w:sz w:val="24"/>
        </w:rPr>
        <w:t>3.</w:t>
      </w:r>
      <w:r>
        <w:rPr>
          <w:rFonts w:ascii="Times New Roman;sans-serif" w:hAnsi="Times New Roman;sans-serif"/>
          <w:b/>
          <w:color w:val="000000"/>
          <w:sz w:val="24"/>
          <w:u w:val="single"/>
        </w:rPr>
        <w:t>SHIPMENT, DELIVERY, ACCEPTANCE, INSPECTION</w:t>
      </w:r>
    </w:p>
    <w:p>
      <w:pPr>
        <w:pStyle w:val="TextBody"/>
        <w:bidi w:val="0"/>
        <w:spacing w:lineRule="auto" w:line="240" w:before="0" w:after="240"/>
        <w:ind w:left="0" w:right="0" w:hanging="432"/>
        <w:jc w:val="both"/>
        <w:rPr/>
      </w:pPr>
      <w:r>
        <w:rPr>
          <w:rFonts w:ascii="Cambria;sans-serif" w:hAnsi="Cambria;sans-serif"/>
          <w:b/>
          <w:color w:val="000000"/>
          <w:sz w:val="24"/>
        </w:rPr>
        <w:t>3.1</w:t>
      </w:r>
      <w:r>
        <w:rPr>
          <w:rFonts w:ascii="Times New Roman;sans-serif" w:hAnsi="Times New Roman;sans-serif"/>
          <w:b/>
          <w:color w:val="000000"/>
          <w:sz w:val="24"/>
          <w:u w:val="single"/>
        </w:rPr>
        <w:t>Delivery</w:t>
      </w:r>
      <w:r>
        <w:rPr>
          <w:rFonts w:ascii="Times New Roman;sans-serif" w:hAnsi="Times New Roman;sans-serif"/>
          <w:b w:val="false"/>
          <w:color w:val="000000"/>
          <w:sz w:val="24"/>
        </w:rPr>
        <w:t xml:space="preserve">. Unless otherwise specified in an Order, all shipments of Products pursuant to this Agreement shall be shipped by Supplier, EXW (incoterms 2020) Supplier’s facility to Company’s Santa Clara, CA facility at 471 El Camino Real, Santa Clara, CA 95050. Delivery shall be deemed to have occurred, and risk of loss transferred from Supplier to Company, when Products are delivered to the freight forwarder. </w:t>
      </w:r>
    </w:p>
    <w:p>
      <w:pPr>
        <w:pStyle w:val="TextBody"/>
        <w:bidi w:val="0"/>
        <w:spacing w:lineRule="auto" w:line="240" w:before="0" w:after="240"/>
        <w:ind w:left="0" w:right="0" w:hanging="432"/>
        <w:jc w:val="both"/>
        <w:rPr/>
      </w:pPr>
      <w:r>
        <w:rPr>
          <w:rFonts w:ascii="Cambria;sans-serif" w:hAnsi="Cambria;sans-serif"/>
          <w:b/>
          <w:color w:val="000000"/>
          <w:sz w:val="24"/>
        </w:rPr>
        <w:t>3.2</w:t>
      </w:r>
      <w:r>
        <w:rPr>
          <w:rFonts w:ascii="Times New Roman;sans-serif" w:hAnsi="Times New Roman;sans-serif"/>
          <w:b/>
          <w:color w:val="000000"/>
          <w:sz w:val="24"/>
          <w:u w:val="single"/>
        </w:rPr>
        <w:t>Packing</w:t>
      </w:r>
      <w:r>
        <w:rPr>
          <w:rFonts w:ascii="Times New Roman;sans-serif" w:hAnsi="Times New Roman;sans-serif"/>
          <w:b w:val="false"/>
          <w:color w:val="000000"/>
          <w:sz w:val="24"/>
        </w:rPr>
        <w:t xml:space="preserve">. Products shall be packed at Supplier’s sole cost and expense in accordance with Company’s reasonable written instructions and reasonable commercial practices. Products shall be shipped at Company’s sole cost and expense in accordance with Company’s reasonable written instructions and reasonable commercial practices. Each shipment of Product shall be clearly marked as per Company’s instructions. </w:t>
      </w:r>
    </w:p>
    <w:p>
      <w:pPr>
        <w:pStyle w:val="TextBody"/>
        <w:bidi w:val="0"/>
        <w:spacing w:lineRule="auto" w:line="240" w:before="0" w:after="240"/>
        <w:ind w:left="0" w:right="0" w:hanging="432"/>
        <w:jc w:val="both"/>
        <w:rPr/>
      </w:pPr>
      <w:r>
        <w:rPr>
          <w:rFonts w:ascii="Cambria;sans-serif" w:hAnsi="Cambria;sans-serif"/>
          <w:b/>
          <w:color w:val="000000"/>
          <w:sz w:val="24"/>
        </w:rPr>
        <w:t>3.3</w:t>
      </w:r>
      <w:r>
        <w:rPr>
          <w:rFonts w:ascii="Times New Roman;sans-serif" w:hAnsi="Times New Roman;sans-serif"/>
          <w:b/>
          <w:color w:val="000000"/>
          <w:sz w:val="24"/>
          <w:u w:val="single"/>
        </w:rPr>
        <w:t>On Time Delivery</w:t>
      </w:r>
      <w:r>
        <w:rPr>
          <w:rFonts w:ascii="Times New Roman;sans-serif" w:hAnsi="Times New Roman;sans-serif"/>
          <w:b w:val="false"/>
          <w:color w:val="000000"/>
          <w:sz w:val="24"/>
        </w:rPr>
        <w:t>. Supplier shall adhere to the delivery schedule specified in an Order issued by Company. On-time delivery shall be defined as the delivery of the Products within the specified delivery dates, taking into account the Confirmed Delivery Date and communicated lead time per Section 2.2. If Supplier does not comply with any of its delivery obligations under this Section 3, Company may, in Company’s sole discretion, (a) approve a revised delivery date, (b) require commercially reasonable expedited or premium shipment at Supplier’s expense, or (c) cancel the applicable Order and obtain similar goods from other sources and all such Products will be deemed to have been purchased under this Agreement for purposes of satisfying Company’s quantity requirements hereunder. In the event that the Company decides to cancel an order placed with the Supplier, both parties agree to collaborate in good faith to determine and address any obligations or liabilities that may have arisen prior to the cancellation. This includes but is not limited to raw materials that cannot be repurposed elsewhere, work in process, and finished goods. Unless otherwise expressly agreed to by the Parties in writing, Suppler may not make partial shipments of Products. The parties shall monitor Supplier's on-time delivery performance on a periodic basis. Company may request delivery performance reports from Supplier, detailing the actual delivery dates versus the scheduled delivery dates, along with any reasons for delays. If Supplier fails to achieve a satisfactory level of on-time delivery performance of at least 95%, Company may, at its sole discretion, pursue remedies available under this Agreement, including but not limited to adjustments to future Orders or termination of this Agreement in accordance with the provisions outlined herein.</w:t>
      </w:r>
    </w:p>
    <w:p>
      <w:pPr>
        <w:pStyle w:val="TextBody"/>
        <w:bidi w:val="0"/>
        <w:spacing w:lineRule="auto" w:line="240" w:before="0" w:after="240"/>
        <w:ind w:left="0" w:right="0" w:hanging="432"/>
        <w:jc w:val="both"/>
        <w:rPr/>
      </w:pPr>
      <w:r>
        <w:rPr>
          <w:rFonts w:ascii="Cambria;sans-serif" w:hAnsi="Cambria;sans-serif"/>
          <w:b/>
          <w:color w:val="000000"/>
          <w:sz w:val="24"/>
        </w:rPr>
        <w:t>3.4</w:t>
      </w:r>
      <w:r>
        <w:rPr>
          <w:rFonts w:ascii="Times New Roman;sans-serif" w:hAnsi="Times New Roman;sans-serif"/>
          <w:b/>
          <w:color w:val="000000"/>
          <w:sz w:val="24"/>
          <w:u w:val="single"/>
        </w:rPr>
        <w:t>Inspection</w:t>
      </w:r>
      <w:r>
        <w:rPr>
          <w:rFonts w:ascii="Times New Roman;sans-serif" w:hAnsi="Times New Roman;sans-serif"/>
          <w:b w:val="false"/>
          <w:color w:val="000000"/>
          <w:sz w:val="24"/>
        </w:rPr>
        <w:t xml:space="preserve">. All Products are subject to Company’s inspection prior to acceptance. Company shall have 60 days following the delivery of Products to Company to reject any Products received by Company from Supplier that: (a) do not conform to the product number or other product identifier listed in the applicable Order; (b) on visual inspection using mutually agreed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30555"/>
                <wp:effectExtent l="0" t="0" r="0" b="0"/>
                <wp:wrapNone/>
                <wp:docPr id="119" name="Frame119"/>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 xml:space="preserve">upon Specifications, Company reasonably determines the Products do not meet the Product Specifications; or (c) exceed (or be lesser than) the quantity of Products ordered by Company pursuant to this Agreement or any Order by more than plus or minus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of the order quantity for a non-instrument Product or plus or minus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of the order quantity for an instrument Product (a “</w:t>
      </w:r>
      <w:r>
        <w:rPr>
          <w:rFonts w:ascii="Times New Roman;sans-serif" w:hAnsi="Times New Roman;sans-serif"/>
          <w:b/>
          <w:i/>
          <w:color w:val="000000"/>
          <w:sz w:val="24"/>
        </w:rPr>
        <w:t>Nonconformity</w:t>
      </w:r>
      <w:r>
        <w:rPr>
          <w:rFonts w:ascii="Times New Roman;sans-serif" w:hAnsi="Times New Roman;sans-serif"/>
          <w:b w:val="false"/>
          <w:color w:val="000000"/>
          <w:sz w:val="24"/>
        </w:rPr>
        <w:t>,” or “</w:t>
      </w:r>
      <w:r>
        <w:rPr>
          <w:rFonts w:ascii="Times New Roman;sans-serif" w:hAnsi="Times New Roman;sans-serif"/>
          <w:b/>
          <w:i/>
          <w:color w:val="000000"/>
          <w:sz w:val="24"/>
        </w:rPr>
        <w:t>Nonconforming Product</w:t>
      </w:r>
      <w:r>
        <w:rPr>
          <w:color w:val="000000"/>
        </w:rPr>
        <w:t>”</w:t>
      </w:r>
      <w:r>
        <w:rPr>
          <w:rFonts w:ascii="Times New Roman;sans-serif" w:hAnsi="Times New Roman;sans-serif"/>
          <w:b w:val="false"/>
          <w:color w:val="000000"/>
          <w:sz w:val="24"/>
        </w:rPr>
        <w:t xml:space="preserve">). Where the context requires, Nonconforming Product is deemed to be Product for purposes of this Agreement. Upon detection of a Nonconformity, Company shall give written notice (which may be given by e-mail) to Supplier specifying the nature and type of alleged Nonconformity and upon notice of a Nonconformance, Supplier may request Nonconforming Product samples from Company for evaluation and verification of the Nonconformance. Upon confirmation and agreement between the parties that the Products are Nonconforming, the Company may withhold payment for properly rejected Nonconforming Products. In addition to any other remedies available to Company at law, in equity or hereunder, in the event Supplier delivers Nonconforming Products to Company, Company may select, and Supplier shall provide, one of the following remedies: (a) replacement of the Nonconforming Products with conforming Products, (b) the refund of the purchase price of, and shipping costs for, the Nonconforming Products, (c) the removal of any Nonconforming Products from Company’s or its customers’ facility and replacement with conforming Products, or (d) the cost of reconditioning or reworking any Nonconforming Products to conforming Products. </w:t>
      </w:r>
    </w:p>
    <w:p>
      <w:pPr>
        <w:pStyle w:val="TextBody"/>
        <w:bidi w:val="0"/>
        <w:spacing w:lineRule="auto" w:line="240" w:before="0" w:after="240"/>
        <w:ind w:left="0" w:right="0" w:hanging="432"/>
        <w:jc w:val="both"/>
        <w:rPr/>
      </w:pPr>
      <w:r>
        <w:rPr>
          <w:rFonts w:ascii="Cambria;sans-serif" w:hAnsi="Cambria;sans-serif"/>
          <w:b/>
          <w:color w:val="000000"/>
          <w:sz w:val="24"/>
        </w:rPr>
        <w:t>3.5</w:t>
      </w:r>
      <w:r>
        <w:rPr>
          <w:rFonts w:ascii="Times New Roman;sans-serif" w:hAnsi="Times New Roman;sans-serif"/>
          <w:b/>
          <w:color w:val="000000"/>
          <w:sz w:val="24"/>
          <w:u w:val="single"/>
        </w:rPr>
        <w:t>Defects</w:t>
      </w:r>
      <w:r>
        <w:rPr>
          <w:rFonts w:ascii="Times New Roman;sans-serif" w:hAnsi="Times New Roman;sans-serif"/>
          <w:b w:val="false"/>
          <w:color w:val="000000"/>
          <w:sz w:val="24"/>
        </w:rPr>
        <w:t>. With respect to latent Nonconformities and Nonconformities not discovered by Company pursuant to Section 3.4 through the use of reasonable inspection methods and procedures, Company shall give notice within 15 days to Supplier following detection of any Nonconformity specifying the nature and type of alleged Nonconformity. Upon notice of a Nonconformance, Supplier may request Nonconforming Product samples from Company for evaluation and verification of the Nonconformance. Upon confirmation and agreement between the parties that the Products are Nonconforming, Company may withhold payment for any such Nonconforming Products or deduct the amount previously paid for such Products from any amounts then due to Supplier as an offset. Supplier shall have 30 days from such notice to cure such Nonconformities. In the event that Company properly rejects Nonconforming Products and payment has already been made by Company for such Nonconforming Products, Supplier shall reimburse Company such payment amount if Supplier is unable to cure such defect within the 30-day period.</w:t>
      </w:r>
    </w:p>
    <w:p>
      <w:pPr>
        <w:pStyle w:val="TextBody"/>
        <w:bidi w:val="0"/>
        <w:spacing w:lineRule="auto" w:line="240" w:before="0" w:after="240"/>
        <w:ind w:left="0" w:right="0" w:hanging="432"/>
        <w:jc w:val="both"/>
        <w:rPr/>
      </w:pPr>
      <w:r>
        <w:rPr>
          <w:rFonts w:ascii="Cambria;sans-serif" w:hAnsi="Cambria;sans-serif"/>
          <w:b/>
          <w:color w:val="000000"/>
          <w:sz w:val="24"/>
        </w:rPr>
        <w:t>3.6</w:t>
      </w:r>
      <w:r>
        <w:rPr>
          <w:rFonts w:ascii="Times New Roman;sans-serif" w:hAnsi="Times New Roman;sans-serif"/>
          <w:b/>
          <w:color w:val="000000"/>
          <w:sz w:val="24"/>
          <w:u w:val="single"/>
        </w:rPr>
        <w:t>Notification of Nonconformity</w:t>
      </w:r>
      <w:r>
        <w:rPr>
          <w:rFonts w:ascii="Times New Roman;sans-serif" w:hAnsi="Times New Roman;sans-serif"/>
          <w:b w:val="false"/>
          <w:color w:val="000000"/>
          <w:sz w:val="24"/>
        </w:rPr>
        <w:t>. Supplier agrees to promptly notify Company in writing after Supplier obtains knowledge of its delivery to Company of any Nonconforming Product. In addition to the foregoing, Supplier shall notify Company within (a) two business days of learning of any situation which may require a recall of Products and (b) five business days of obtaining knowledge of any failure of any batch of Products to meet the standards set forth in Section 3.4.</w:t>
      </w:r>
    </w:p>
    <w:p>
      <w:pPr>
        <w:pStyle w:val="TextBody"/>
        <w:bidi w:val="0"/>
        <w:spacing w:lineRule="auto" w:line="240" w:before="0" w:after="240"/>
        <w:ind w:left="0" w:right="0" w:hanging="360"/>
        <w:jc w:val="both"/>
        <w:rPr/>
      </w:pPr>
      <w:r>
        <w:rPr>
          <w:rFonts w:ascii="Cambria;sans-serif" w:hAnsi="Cambria;sans-serif"/>
          <w:b/>
          <w:color w:val="000000"/>
          <w:sz w:val="24"/>
        </w:rPr>
        <w:t>4.</w:t>
      </w:r>
      <w:r>
        <w:rPr>
          <w:rFonts w:ascii="Times New Roman;sans-serif" w:hAnsi="Times New Roman;sans-serif"/>
          <w:b/>
          <w:color w:val="000000"/>
          <w:sz w:val="24"/>
          <w:u w:val="single"/>
        </w:rPr>
        <w:t>PRICING; PAYMENT TERMS</w:t>
      </w:r>
      <w:r>
        <w:rPr>
          <w:rFonts w:ascii="Times New Roman;sans-serif" w:hAnsi="Times New Roman;sans-serif"/>
          <w:b w:val="false"/>
          <w:color w:val="000000"/>
          <w:sz w:val="24"/>
        </w:rPr>
        <w:t>.</w:t>
      </w:r>
    </w:p>
    <w:p>
      <w:pPr>
        <w:pStyle w:val="TextBody"/>
        <w:bidi w:val="0"/>
        <w:spacing w:lineRule="auto" w:line="240" w:before="0" w:after="240"/>
        <w:ind w:left="0" w:right="0" w:hanging="432"/>
        <w:jc w:val="both"/>
        <w:rPr/>
      </w:pPr>
      <w:r>
        <w:rPr>
          <w:rFonts w:ascii="Cambria;sans-serif" w:hAnsi="Cambria;sans-serif"/>
          <w:b/>
          <w:color w:val="000000"/>
          <w:sz w:val="24"/>
        </w:rPr>
        <w:t>4.1</w:t>
      </w:r>
      <w:r>
        <w:rPr>
          <w:rFonts w:ascii="Times New Roman;sans-serif" w:hAnsi="Times New Roman;sans-serif"/>
          <w:b/>
          <w:color w:val="000000"/>
          <w:sz w:val="24"/>
          <w:u w:val="single"/>
        </w:rPr>
        <w:t>Pricing</w:t>
      </w:r>
      <w:r>
        <w:rPr>
          <w:rFonts w:ascii="Times New Roman;sans-serif" w:hAnsi="Times New Roman;sans-serif"/>
          <w:b w:val="false"/>
          <w:color w:val="000000"/>
          <w:sz w:val="24"/>
        </w:rPr>
        <w:t xml:space="preserve">. During the Term, Supplier’s sales price to Company for each Product unit shall be as described in Exhibits A-D. </w:t>
      </w:r>
    </w:p>
    <w:p>
      <w:pPr>
        <w:pStyle w:val="TextBody"/>
        <w:bidi w:val="0"/>
        <w:spacing w:lineRule="auto" w:line="240" w:before="0" w:after="240"/>
        <w:ind w:left="0" w:right="0" w:hanging="432"/>
        <w:jc w:val="both"/>
        <w:rPr/>
      </w:pPr>
      <w:r>
        <w:rPr>
          <w:rFonts w:ascii="Cambria;sans-serif" w:hAnsi="Cambria;sans-serif"/>
          <w:b/>
          <w:color w:val="000000"/>
          <w:sz w:val="24"/>
        </w:rPr>
        <w:t>4.2</w:t>
      </w:r>
      <w:r>
        <w:rPr>
          <w:rFonts w:ascii="Times New Roman;sans-serif" w:hAnsi="Times New Roman;sans-serif"/>
          <w:b/>
          <w:color w:val="000000"/>
          <w:sz w:val="24"/>
          <w:u w:val="single"/>
        </w:rPr>
        <w:t>Invoices</w:t>
      </w:r>
      <w:r>
        <w:rPr>
          <w:rFonts w:ascii="Times New Roman;sans-serif" w:hAnsi="Times New Roman;sans-serif"/>
          <w:b w:val="false"/>
          <w:color w:val="000000"/>
          <w:sz w:val="24"/>
        </w:rPr>
        <w:t xml:space="preserve">. Supplier shall issue an invoice to Company for all Products ordered under this Agreement after they have been shipped from the Supplier’s premises. Each invoice must set forth in reasonable detail the amounts payable by Company under this Agreement and contain the following information, as applicable: a reference to this Agreement; Order number, amendment number, and line-item number; Supplier’s name; Supplier’s identification number; carrier name; ship-to address; quantity of Product shipped; number of cartons or containers in shipment; bill of lading number; country of origin; and any other information necessary for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30555"/>
                <wp:effectExtent l="0" t="0" r="0" b="0"/>
                <wp:wrapNone/>
                <wp:docPr id="120" name="Frame120"/>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4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4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identification and control of the Product. Company reserves the right to return and withhold payment due to any invoices or related documents that are inaccurate or incorrectly submitted to Company. The parties shall seek to resolve any invoice disputes expeditiously and in good faith. Any payment by Company of an invoice is not an acceptance of any nonconforming element or terms on such invoice or the related Product.</w:t>
      </w:r>
    </w:p>
    <w:p>
      <w:pPr>
        <w:pStyle w:val="TextBody"/>
        <w:bidi w:val="0"/>
        <w:spacing w:lineRule="auto" w:line="240" w:before="0" w:after="240"/>
        <w:ind w:left="0" w:right="0" w:hanging="432"/>
        <w:jc w:val="both"/>
        <w:rPr/>
      </w:pPr>
      <w:r>
        <w:rPr>
          <w:rFonts w:ascii="Cambria;sans-serif" w:hAnsi="Cambria;sans-serif"/>
          <w:b/>
          <w:color w:val="000000"/>
          <w:sz w:val="24"/>
        </w:rPr>
        <w:t>4.3</w:t>
      </w:r>
      <w:r>
        <w:rPr>
          <w:rFonts w:ascii="Times New Roman;sans-serif" w:hAnsi="Times New Roman;sans-serif"/>
          <w:b/>
          <w:color w:val="000000"/>
          <w:sz w:val="24"/>
          <w:u w:val="single"/>
        </w:rPr>
        <w:t xml:space="preserve">Payment. </w:t>
      </w:r>
      <w:r>
        <w:rPr>
          <w:rFonts w:ascii="Times New Roman;sans-serif" w:hAnsi="Times New Roman;sans-serif"/>
          <w:b w:val="false"/>
          <w:color w:val="000000"/>
          <w:sz w:val="24"/>
        </w:rPr>
        <w:t>Unless otherwise specified in writing, Company shall make payment to Supplier within 45 days from the date of receipt of a valid invoice. Payment shall be made in U.S. Dollars, unless otherwise mutually agreed upon by the parties. Company shall make all payments by check, wire transfer, or automated clearing house in accordance with the following instructions:</w:t>
      </w:r>
    </w:p>
    <w:p>
      <w:pPr>
        <w:pStyle w:val="TextBody"/>
        <w:bidi w:val="0"/>
        <w:spacing w:lineRule="auto" w:line="240" w:before="0" w:after="0"/>
        <w:jc w:val="both"/>
        <w:rPr/>
      </w:pPr>
      <w:r>
        <w:rPr>
          <w:rFonts w:ascii="Times New Roman;sans-serif" w:hAnsi="Times New Roman;sans-serif"/>
          <w:b w:val="false"/>
          <w:color w:val="000000"/>
          <w:sz w:val="24"/>
        </w:rPr>
        <w:t xml:space="preserve">ABA Routing Number: </w:t>
      </w:r>
      <w:r>
        <w:rPr>
          <w:rFonts w:ascii="Times New Roman;sans-serif" w:hAnsi="Times New Roman;sans-serif"/>
          <w:b/>
          <w:color w:val="000000"/>
          <w:sz w:val="20"/>
        </w:rPr>
        <w:t>[***</w:t>
      </w:r>
    </w:p>
    <w:p>
      <w:pPr>
        <w:pStyle w:val="TextBody"/>
        <w:bidi w:val="0"/>
        <w:spacing w:lineRule="auto" w:line="240" w:before="0" w:after="0"/>
        <w:jc w:val="both"/>
        <w:rPr/>
      </w:pPr>
      <w:r>
        <w:rPr>
          <w:rFonts w:ascii="Times New Roman;sans-serif" w:hAnsi="Times New Roman;sans-serif"/>
          <w:b w:val="false"/>
          <w:color w:val="000000"/>
          <w:sz w:val="24"/>
        </w:rPr>
        <w:t xml:space="preserve">Account Name: </w:t>
      </w:r>
      <w:r>
        <w:rPr>
          <w:rFonts w:ascii="Times New Roman;sans-serif" w:hAnsi="Times New Roman;sans-serif"/>
          <w:b/>
          <w:color w:val="000000"/>
          <w:sz w:val="20"/>
        </w:rPr>
        <w:t>[***</w:t>
      </w:r>
    </w:p>
    <w:p>
      <w:pPr>
        <w:pStyle w:val="TextBody"/>
        <w:bidi w:val="0"/>
        <w:spacing w:lineRule="auto" w:line="240" w:before="0" w:after="0"/>
        <w:jc w:val="both"/>
        <w:rPr/>
      </w:pPr>
      <w:r>
        <w:rPr>
          <w:rFonts w:ascii="Times New Roman;sans-serif" w:hAnsi="Times New Roman;sans-serif"/>
          <w:b w:val="false"/>
          <w:color w:val="000000"/>
          <w:sz w:val="24"/>
        </w:rPr>
        <w:t xml:space="preserve">Account Number: </w:t>
      </w:r>
      <w:r>
        <w:rPr>
          <w:rFonts w:ascii="Times New Roman;sans-serif" w:hAnsi="Times New Roman;sans-serif"/>
          <w:b/>
          <w:color w:val="000000"/>
          <w:sz w:val="20"/>
        </w:rPr>
        <w: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Bank Name and Address: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Wells Fargo Bank</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420 Montgomery Street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San Francisco, CA 94105</w:t>
      </w:r>
    </w:p>
    <w:p>
      <w:pPr>
        <w:pStyle w:val="TextBody"/>
        <w:bidi w:val="0"/>
        <w:spacing w:lineRule="auto" w:line="240" w:before="0" w:after="240"/>
        <w:jc w:val="both"/>
        <w:rPr/>
      </w:pPr>
      <w:r>
        <w:rPr>
          <w:rFonts w:ascii="Times New Roman;sans-serif" w:hAnsi="Times New Roman;sans-serif"/>
          <w:b w:val="false"/>
          <w:color w:val="000000"/>
          <w:sz w:val="24"/>
        </w:rPr>
        <w:t xml:space="preserve">E-Mail address for Remittance: </w:t>
      </w:r>
      <w:r>
        <w:rPr>
          <w:rFonts w:ascii="Times New Roman;sans-serif" w:hAnsi="Times New Roman;sans-serif"/>
          <w:b/>
          <w:color w:val="000000"/>
          <w:sz w:val="20"/>
        </w:rPr>
        <w:t>[***</w:t>
      </w:r>
    </w:p>
    <w:p>
      <w:pPr>
        <w:pStyle w:val="TextBody"/>
        <w:bidi w:val="0"/>
        <w:spacing w:lineRule="auto" w:line="240" w:before="0" w:after="240"/>
        <w:ind w:left="0" w:right="0" w:hanging="360"/>
        <w:jc w:val="both"/>
        <w:rPr/>
      </w:pPr>
      <w:r>
        <w:rPr>
          <w:rFonts w:ascii="Cambria;sans-serif" w:hAnsi="Cambria;sans-serif"/>
          <w:b/>
          <w:color w:val="000000"/>
          <w:sz w:val="24"/>
        </w:rPr>
        <w:t>5.</w:t>
      </w:r>
      <w:r>
        <w:rPr>
          <w:rFonts w:ascii="Times New Roman;sans-serif" w:hAnsi="Times New Roman;sans-serif"/>
          <w:b/>
          <w:color w:val="000000"/>
          <w:sz w:val="24"/>
          <w:u w:val="single"/>
        </w:rPr>
        <w:t>TERM; TERMINATION</w:t>
      </w:r>
    </w:p>
    <w:p>
      <w:pPr>
        <w:pStyle w:val="TextBody"/>
        <w:bidi w:val="0"/>
        <w:spacing w:lineRule="auto" w:line="240" w:before="0" w:after="240"/>
        <w:ind w:left="0" w:right="0" w:hanging="432"/>
        <w:jc w:val="both"/>
        <w:rPr/>
      </w:pPr>
      <w:r>
        <w:rPr>
          <w:rFonts w:ascii="Cambria;sans-serif" w:hAnsi="Cambria;sans-serif"/>
          <w:b/>
          <w:color w:val="000000"/>
          <w:sz w:val="24"/>
        </w:rPr>
        <w:t>5.1</w:t>
      </w:r>
      <w:r>
        <w:rPr>
          <w:rFonts w:ascii="Times New Roman;sans-serif" w:hAnsi="Times New Roman;sans-serif"/>
          <w:b/>
          <w:color w:val="000000"/>
          <w:sz w:val="24"/>
          <w:u w:val="single"/>
        </w:rPr>
        <w:t>Term; Renewal</w:t>
      </w:r>
      <w:r>
        <w:rPr>
          <w:rFonts w:ascii="Times New Roman;sans-serif" w:hAnsi="Times New Roman;sans-serif"/>
          <w:b w:val="false"/>
          <w:color w:val="000000"/>
          <w:sz w:val="24"/>
        </w:rPr>
        <w:t>. Unless earlier terminated in accordance with this Section 5, the term of this Agreement shall commence on the Effective Date and continue for an initial term of three (3) years (the “</w:t>
      </w:r>
      <w:r>
        <w:rPr>
          <w:rFonts w:ascii="Times New Roman;sans-serif" w:hAnsi="Times New Roman;sans-serif"/>
          <w:b/>
          <w:i/>
          <w:color w:val="000000"/>
          <w:sz w:val="24"/>
        </w:rPr>
        <w:t>Initial Term</w:t>
      </w:r>
      <w:r>
        <w:rPr>
          <w:color w:val="000000"/>
        </w:rPr>
        <w:t>”</w:t>
      </w:r>
      <w:r>
        <w:rPr>
          <w:rFonts w:ascii="Times New Roman;sans-serif" w:hAnsi="Times New Roman;sans-serif"/>
          <w:b w:val="false"/>
          <w:color w:val="000000"/>
          <w:sz w:val="24"/>
        </w:rPr>
        <w:t>). This Agreement shall automatically renew for successive one-year periods (each, a “</w:t>
      </w:r>
      <w:r>
        <w:rPr>
          <w:rFonts w:ascii="Times New Roman;sans-serif" w:hAnsi="Times New Roman;sans-serif"/>
          <w:b/>
          <w:i/>
          <w:color w:val="000000"/>
          <w:sz w:val="24"/>
        </w:rPr>
        <w:t>Renewal Term</w:t>
      </w:r>
      <w:r>
        <w:rPr>
          <w:color w:val="000000"/>
        </w:rPr>
        <w:t xml:space="preserve">” </w:t>
      </w:r>
      <w:r>
        <w:rPr>
          <w:rFonts w:ascii="Times New Roman;sans-serif" w:hAnsi="Times New Roman;sans-serif"/>
          <w:b w:val="false"/>
          <w:color w:val="000000"/>
          <w:sz w:val="24"/>
        </w:rPr>
        <w:t>and collectively, together with Initial Term, the “</w:t>
      </w:r>
      <w:r>
        <w:rPr>
          <w:rFonts w:ascii="Times New Roman;sans-serif" w:hAnsi="Times New Roman;sans-serif"/>
          <w:b/>
          <w:i/>
          <w:color w:val="000000"/>
          <w:sz w:val="24"/>
        </w:rPr>
        <w:t>Term</w:t>
      </w:r>
      <w:r>
        <w:rPr>
          <w:color w:val="000000"/>
        </w:rPr>
        <w:t>”</w:t>
      </w:r>
      <w:r>
        <w:rPr>
          <w:rFonts w:ascii="Times New Roman;sans-serif" w:hAnsi="Times New Roman;sans-serif"/>
          <w:b w:val="false"/>
          <w:color w:val="000000"/>
          <w:sz w:val="24"/>
        </w:rPr>
        <w:t xml:space="preserve">) unless terminated by either party with no less than ninety (90) days’ prior written notice prior to the beginning of such Renewal Term. </w:t>
      </w:r>
    </w:p>
    <w:p>
      <w:pPr>
        <w:pStyle w:val="TextBody"/>
        <w:bidi w:val="0"/>
        <w:spacing w:lineRule="auto" w:line="240" w:before="0" w:after="240"/>
        <w:ind w:left="0" w:right="0" w:hanging="432"/>
        <w:jc w:val="both"/>
        <w:rPr/>
      </w:pPr>
      <w:r>
        <w:rPr>
          <w:rFonts w:ascii="Cambria;sans-serif" w:hAnsi="Cambria;sans-serif"/>
          <w:b/>
          <w:color w:val="000000"/>
          <w:sz w:val="24"/>
        </w:rPr>
        <w:t>5.2</w:t>
      </w:r>
      <w:r>
        <w:rPr>
          <w:rFonts w:ascii="Times New Roman;sans-serif" w:hAnsi="Times New Roman;sans-serif"/>
          <w:b/>
          <w:color w:val="000000"/>
          <w:sz w:val="24"/>
          <w:u w:val="single"/>
        </w:rPr>
        <w:t>Material Breach</w:t>
      </w:r>
      <w:r>
        <w:rPr>
          <w:rFonts w:ascii="Times New Roman;sans-serif" w:hAnsi="Times New Roman;sans-serif"/>
          <w:b w:val="false"/>
          <w:color w:val="000000"/>
          <w:sz w:val="24"/>
        </w:rPr>
        <w:t>. Either party may terminate this Agreement upon written notice in the event the other party commits a material breach, or threatens to commit a material breach, of this Agreement and either (i) if the breach can be cured, the breaching party has not cured such breach within 30 days of written notice thereof from the non-breaching party, or (ii) if the breach cannot be cured, the non-breaching party can terminate immediately without providing an opportunity to cure.</w:t>
      </w:r>
    </w:p>
    <w:p>
      <w:pPr>
        <w:pStyle w:val="TextBody"/>
        <w:bidi w:val="0"/>
        <w:spacing w:lineRule="auto" w:line="240" w:before="0" w:after="240"/>
        <w:ind w:left="0" w:right="0" w:hanging="432"/>
        <w:jc w:val="both"/>
        <w:rPr/>
      </w:pPr>
      <w:r>
        <w:rPr>
          <w:rFonts w:ascii="Cambria;sans-serif" w:hAnsi="Cambria;sans-serif"/>
          <w:b/>
          <w:color w:val="000000"/>
          <w:sz w:val="24"/>
        </w:rPr>
        <w:t>5.3</w:t>
      </w:r>
      <w:r>
        <w:rPr>
          <w:rFonts w:ascii="Times New Roman;sans-serif" w:hAnsi="Times New Roman;sans-serif"/>
          <w:b/>
          <w:color w:val="000000"/>
          <w:sz w:val="24"/>
          <w:u w:val="single"/>
        </w:rPr>
        <w:t>Termination by Company</w:t>
      </w:r>
      <w:r>
        <w:rPr>
          <w:rFonts w:ascii="Times New Roman;sans-serif" w:hAnsi="Times New Roman;sans-serif"/>
          <w:b w:val="false"/>
          <w:color w:val="000000"/>
          <w:sz w:val="24"/>
        </w:rPr>
        <w:t xml:space="preserve">. Company may terminate this Agreement upon written notice to Supplier: </w:t>
      </w:r>
    </w:p>
    <w:p>
      <w:pPr>
        <w:pStyle w:val="TextBody"/>
        <w:bidi w:val="0"/>
        <w:spacing w:lineRule="auto" w:line="240" w:before="0" w:after="240"/>
        <w:ind w:left="0" w:right="0" w:hanging="540"/>
        <w:jc w:val="both"/>
        <w:rPr/>
      </w:pPr>
      <w:r>
        <w:rPr>
          <w:rFonts w:ascii="Times New Roman;sans-serif" w:hAnsi="Times New Roman;sans-serif"/>
          <w:b/>
          <w:color w:val="000000"/>
          <w:sz w:val="24"/>
        </w:rPr>
        <w:t>a.</w:t>
      </w:r>
      <w:r>
        <w:rPr>
          <w:rFonts w:ascii="Times New Roman;sans-serif" w:hAnsi="Times New Roman;sans-serif"/>
          <w:b w:val="false"/>
          <w:color w:val="000000"/>
          <w:sz w:val="24"/>
        </w:rPr>
        <w:t>if Supplier fails to deliver a shipment of conforming Products in the quantities and by the delivery date specified in an Order submitted in accordance with this Agreement and such failure results in a delay or Product backorder of an aggregate total (together with any other delays in the same 12-month period) of more than thirty (30) days (a “</w:t>
      </w:r>
      <w:r>
        <w:rPr>
          <w:rFonts w:ascii="Times New Roman;sans-serif" w:hAnsi="Times New Roman;sans-serif"/>
          <w:b/>
          <w:i/>
          <w:color w:val="000000"/>
          <w:sz w:val="24"/>
        </w:rPr>
        <w:t>Supply Failure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540"/>
        <w:jc w:val="both"/>
        <w:rPr/>
      </w:pPr>
      <w:r>
        <w:rPr>
          <w:rFonts w:ascii="Times New Roman;sans-serif" w:hAnsi="Times New Roman;sans-serif"/>
          <w:b/>
          <w:color w:val="000000"/>
          <w:sz w:val="24"/>
        </w:rPr>
        <w:t>b.</w:t>
      </w:r>
      <w:r>
        <w:rPr>
          <w:rFonts w:ascii="Times New Roman;sans-serif" w:hAnsi="Times New Roman;sans-serif"/>
          <w:b w:val="false"/>
          <w:color w:val="000000"/>
          <w:sz w:val="24"/>
        </w:rPr>
        <w:t>if Supplier changes the site of manufacture of any Products to a site that has not been previously approved by Company in writing;</w:t>
      </w:r>
    </w:p>
    <w:p>
      <w:pPr>
        <w:pStyle w:val="TextBody"/>
        <w:bidi w:val="0"/>
        <w:spacing w:lineRule="auto" w:line="240" w:before="0" w:after="240"/>
        <w:ind w:left="0" w:right="0" w:hanging="5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in the event of a Change in Control of Supplier or Supplier sells all or substantially all of its assets relating to the manufacturing of the Products; or </w:t>
      </w:r>
    </w:p>
    <w:p>
      <w:pPr>
        <w:pStyle w:val="TextBody"/>
        <w:bidi w:val="0"/>
        <w:spacing w:lineRule="auto" w:line="240" w:before="0" w:after="240"/>
        <w:ind w:left="0" w:right="0" w:hanging="540"/>
        <w:jc w:val="both"/>
        <w:rPr/>
      </w:pPr>
      <w:r>
        <w:rPr>
          <w:rFonts w:ascii="Times New Roman;sans-serif" w:hAnsi="Times New Roman;sans-serif"/>
          <w:b/>
          <w:color w:val="000000"/>
          <w:sz w:val="24"/>
        </w:rPr>
        <w:t>d.</w:t>
      </w:r>
      <w:r>
        <w:rPr>
          <w:rFonts w:ascii="Times New Roman;sans-serif" w:hAnsi="Times New Roman;sans-serif"/>
          <w:b w:val="false"/>
          <w:color w:val="000000"/>
          <w:sz w:val="24"/>
        </w:rPr>
        <w:t>if Supplier breaches Section 11 hereof (Non-Compete Covenant).</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30555"/>
                <wp:effectExtent l="0" t="0" r="0" b="0"/>
                <wp:wrapNone/>
                <wp:docPr id="121" name="Frame121"/>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5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5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432"/>
        <w:jc w:val="both"/>
        <w:rPr/>
      </w:pPr>
      <w:r>
        <w:rPr>
          <w:rFonts w:ascii="Cambria;sans-serif" w:hAnsi="Cambria;sans-serif"/>
          <w:b/>
          <w:color w:val="000000"/>
          <w:sz w:val="24"/>
        </w:rPr>
        <w:t>5.4</w:t>
      </w:r>
      <w:r>
        <w:rPr>
          <w:rFonts w:ascii="Times New Roman;sans-serif" w:hAnsi="Times New Roman;sans-serif"/>
          <w:b/>
          <w:color w:val="000000"/>
          <w:sz w:val="24"/>
          <w:u w:val="single"/>
        </w:rPr>
        <w:t>Change of Control and Last Time Buy Allowance</w:t>
      </w:r>
      <w:r>
        <w:rPr>
          <w:rFonts w:ascii="Times New Roman;sans-serif" w:hAnsi="Times New Roman;sans-serif"/>
          <w:b w:val="false"/>
          <w:color w:val="000000"/>
          <w:sz w:val="24"/>
        </w:rPr>
        <w:t>. In the event of a Change of Control of Supplier, Supplier shall promptly notify Company in writing of such change. “</w:t>
      </w:r>
      <w:r>
        <w:rPr>
          <w:rFonts w:ascii="Times New Roman;sans-serif" w:hAnsi="Times New Roman;sans-serif"/>
          <w:b/>
          <w:i/>
          <w:color w:val="000000"/>
          <w:sz w:val="24"/>
        </w:rPr>
        <w:t>Change of Control</w:t>
      </w:r>
      <w:r>
        <w:rPr>
          <w:color w:val="000000"/>
        </w:rPr>
        <w:t xml:space="preserve">” </w:t>
      </w:r>
      <w:r>
        <w:rPr>
          <w:rFonts w:ascii="Times New Roman;sans-serif" w:hAnsi="Times New Roman;sans-serif"/>
          <w:b w:val="false"/>
          <w:color w:val="000000"/>
          <w:sz w:val="24"/>
        </w:rPr>
        <w:t>shall mean any direct or indirect transfer or acquisition of ownership, control, or voting rights that results in a change in the majority ownership or control of the affected party. Upon the occurrence of a Change of Control of Supplier, Company shall have the option, at its sole discretion, to issue a “Last Time Buy” notice within 30 days of receiving the Change of Control notification. The Last Time Buy notice shall specify the quantity of Products Company intends to purchase as a final order, up to a maximum of 18 months of the forecasted demand, as specified in the mutually agreed-upon forecasts provided under Section 1.5. The pricing for the Last Time Buy order shall be based on the pricing terms in effect at the time of the Change of Control, unless otherwise agreed upon by the parties. Payment for the Last Time Buy order shall be made in accordance with the payment terms specified in Section 4 of this Agreement. The Supplier shall use its best efforts to fulfill the Last Time Buy order within a reasonable period specified in the Last Time Buy notice. The parties shall agree upon the delivery terms, including shipment, packaging, and any additional terms necessary for the fulfillment of the Last Time Buy order. In the event of a Change of Control of the Company, there will be no changes to the purchase obligations described in Section 1.3(a).</w:t>
      </w:r>
    </w:p>
    <w:p>
      <w:pPr>
        <w:pStyle w:val="TextBody"/>
        <w:bidi w:val="0"/>
        <w:spacing w:lineRule="auto" w:line="240" w:before="0" w:after="240"/>
        <w:ind w:left="0" w:right="0" w:hanging="432"/>
        <w:jc w:val="both"/>
        <w:rPr/>
      </w:pPr>
      <w:r>
        <w:rPr>
          <w:rFonts w:ascii="Cambria;sans-serif" w:hAnsi="Cambria;sans-serif"/>
          <w:b/>
          <w:color w:val="000000"/>
          <w:sz w:val="24"/>
        </w:rPr>
        <w:t>5.5</w:t>
      </w:r>
      <w:r>
        <w:rPr>
          <w:rFonts w:ascii="Times New Roman;sans-serif" w:hAnsi="Times New Roman;sans-serif"/>
          <w:b/>
          <w:color w:val="000000"/>
          <w:sz w:val="24"/>
          <w:u w:val="single"/>
        </w:rPr>
        <w:t>Insolvency</w:t>
      </w:r>
      <w:r>
        <w:rPr>
          <w:rFonts w:ascii="Times New Roman;sans-serif" w:hAnsi="Times New Roman;sans-serif"/>
          <w:b w:val="false"/>
          <w:color w:val="000000"/>
          <w:sz w:val="24"/>
        </w:rPr>
        <w:t>. Either party may terminate this Agreement immediately if the other party files, or has filed against it, a petition for voluntary or involuntary bankruptcy or pursuant to any other insolvency law, or the other party makes or seeks to make a general assignment for the benefit of its creditors or applies for or consents to the appointment of a trustee, receiver or custodian for it or a substantial part of its property, and, in the case of an involuntary bankruptcy, such situation is not cured within 60 days from its occurrence, such termination to take effect upon delivery of notice of termination to the other party.</w:t>
      </w:r>
    </w:p>
    <w:p>
      <w:pPr>
        <w:pStyle w:val="TextBody"/>
        <w:bidi w:val="0"/>
        <w:spacing w:lineRule="auto" w:line="240" w:before="0" w:after="240"/>
        <w:ind w:left="0" w:right="0" w:hanging="432"/>
        <w:jc w:val="both"/>
        <w:rPr/>
      </w:pPr>
      <w:r>
        <w:rPr>
          <w:rFonts w:ascii="Cambria;sans-serif" w:hAnsi="Cambria;sans-serif"/>
          <w:b/>
          <w:color w:val="000000"/>
          <w:sz w:val="24"/>
        </w:rPr>
        <w:t>5.6</w:t>
      </w:r>
      <w:r>
        <w:rPr>
          <w:rFonts w:ascii="Times New Roman;sans-serif" w:hAnsi="Times New Roman;sans-serif"/>
          <w:b/>
          <w:color w:val="000000"/>
          <w:sz w:val="24"/>
          <w:u w:val="single"/>
        </w:rPr>
        <w:t>Effect of Termination</w:t>
      </w:r>
      <w:r>
        <w:rPr>
          <w:rFonts w:ascii="Times New Roman;sans-serif" w:hAnsi="Times New Roman;sans-serif"/>
          <w:b w:val="false"/>
          <w:color w:val="000000"/>
          <w:sz w:val="24"/>
        </w:rPr>
        <w:t xml:space="preserve">. Immediately upon the effectiveness of a notice of termination delivered by Company to Supplier, Supplier shall, unless otherwise directed by Company, terminate all performance under this Agreement and transfer title and deliver to Company all finished Products under open Orders. Upon termination of this Agreement, the license under Section 9.3 shall terminate. </w:t>
      </w:r>
    </w:p>
    <w:p>
      <w:pPr>
        <w:pStyle w:val="TextBody"/>
        <w:bidi w:val="0"/>
        <w:spacing w:lineRule="auto" w:line="240" w:before="0" w:after="240"/>
        <w:ind w:left="0" w:right="0" w:hanging="432"/>
        <w:jc w:val="both"/>
        <w:rPr/>
      </w:pPr>
      <w:r>
        <w:rPr>
          <w:rFonts w:ascii="Cambria;sans-serif" w:hAnsi="Cambria;sans-serif"/>
          <w:b/>
          <w:color w:val="000000"/>
          <w:sz w:val="24"/>
        </w:rPr>
        <w:t>5.7</w:t>
      </w:r>
      <w:r>
        <w:rPr>
          <w:rFonts w:ascii="Times New Roman;sans-serif" w:hAnsi="Times New Roman;sans-serif"/>
          <w:b/>
          <w:color w:val="000000"/>
          <w:sz w:val="24"/>
          <w:u w:val="single"/>
        </w:rPr>
        <w:t>Resourcing Cooperation</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Upon the expiration or termination of this Agreement, or in the event of a Supply Failure, to the extent requested by Company in writing, Supplier shall: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deliver all Company purchased tooling, molds or print files relating to the Products and any other Company property to Company or its designees as soon as possible, but in no event more than 30 days, following termination or expiration of this Agreement so as to avoid any interruption in the continuous supply of Products; and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manufacture, deliver, and sell Products to Company for a period of up to eighteen (18) months, quantities of Products not to exceed the average number of units purchased per month during the preceding twelve (12) month period, to ensure that the transition will proceed smoothly and without interruption or delay to Company or Company’s production of products incorporating the Products, with pricing equivalent to the pricing in effect immediately before expiration or termination.</w:t>
      </w:r>
    </w:p>
    <w:p>
      <w:pPr>
        <w:pStyle w:val="TextBody"/>
        <w:bidi w:val="0"/>
        <w:spacing w:lineRule="auto" w:line="240" w:before="0" w:after="240"/>
        <w:ind w:left="0" w:right="0" w:hanging="360"/>
        <w:jc w:val="both"/>
        <w:rPr/>
      </w:pPr>
      <w:r>
        <w:rPr>
          <w:rFonts w:ascii="Cambria;sans-serif" w:hAnsi="Cambria;sans-serif"/>
          <w:b/>
          <w:color w:val="000000"/>
          <w:sz w:val="24"/>
        </w:rPr>
        <w:t>6.</w:t>
      </w:r>
      <w:r>
        <w:rPr>
          <w:rFonts w:ascii="Times New Roman;sans-serif" w:hAnsi="Times New Roman;sans-serif"/>
          <w:b/>
          <w:color w:val="000000"/>
          <w:sz w:val="24"/>
          <w:u w:val="single"/>
        </w:rPr>
        <w:t>CERTAIN OBLIGATIONS OF SUPPLIER</w:t>
      </w:r>
    </w:p>
    <w:p>
      <w:pPr>
        <w:pStyle w:val="TextBody"/>
        <w:bidi w:val="0"/>
        <w:spacing w:lineRule="auto" w:line="240" w:before="0" w:after="240"/>
        <w:ind w:left="0" w:right="0" w:hanging="432"/>
        <w:jc w:val="both"/>
        <w:rPr/>
      </w:pPr>
      <w:r>
        <w:rPr>
          <w:rFonts w:ascii="Cambria;sans-serif" w:hAnsi="Cambria;sans-serif"/>
          <w:b/>
          <w:color w:val="000000"/>
          <w:sz w:val="24"/>
        </w:rPr>
        <w:t>6.1</w:t>
      </w:r>
      <w:r>
        <w:rPr>
          <w:rFonts w:ascii="Times New Roman;sans-serif" w:hAnsi="Times New Roman;sans-serif"/>
          <w:b/>
          <w:color w:val="000000"/>
          <w:sz w:val="24"/>
          <w:u w:val="single"/>
        </w:rPr>
        <w:t>Capacity.</w:t>
      </w:r>
      <w:r>
        <w:rPr>
          <w:color w:val="000000"/>
        </w:rPr>
        <w:t xml:space="preserve"> </w:t>
      </w:r>
      <w:r>
        <w:rPr>
          <w:rFonts w:ascii="Times New Roman;sans-serif" w:hAnsi="Times New Roman;sans-serif"/>
          <w:b w:val="false"/>
          <w:color w:val="000000"/>
          <w:sz w:val="24"/>
        </w:rPr>
        <w:t xml:space="preserve">Supplier shall maintain capacity adequate to fulfill the Product requirements of Company as specified in the most recent 12-month rolling Forecast. In the event of any significant changes in Supplier's production capacity or resources that may impact its ability to fulfill its obligations under this Agreement, Supplier shall promptly notify Company in writing.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30555"/>
                <wp:effectExtent l="0" t="0" r="0" b="0"/>
                <wp:wrapNone/>
                <wp:docPr id="122" name="Frame122"/>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6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6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notification shall include details of the capacity constraints, the expected duration of the constraints, and any proposed alternative solutions, if applicable. Supplier shall obtain and maintain all equipment and resources required to fulfill its obligations under this Agreement at Supplier’s sole cost, unless such equipment or resources were purchased by Supplier exclusively to supply Company.</w:t>
      </w:r>
    </w:p>
    <w:p>
      <w:pPr>
        <w:pStyle w:val="TextBody"/>
        <w:bidi w:val="0"/>
        <w:spacing w:lineRule="auto" w:line="240" w:before="0" w:after="240"/>
        <w:ind w:left="0" w:right="0" w:hanging="432"/>
        <w:jc w:val="both"/>
        <w:rPr/>
      </w:pPr>
      <w:r>
        <w:rPr>
          <w:rFonts w:ascii="Cambria;sans-serif" w:hAnsi="Cambria;sans-serif"/>
          <w:b/>
          <w:color w:val="000000"/>
          <w:sz w:val="24"/>
        </w:rPr>
        <w:t>6.2</w:t>
      </w:r>
      <w:r>
        <w:rPr>
          <w:rFonts w:ascii="Times New Roman;sans-serif" w:hAnsi="Times New Roman;sans-serif"/>
          <w:b/>
          <w:color w:val="000000"/>
          <w:sz w:val="24"/>
          <w:u w:val="single"/>
        </w:rPr>
        <w:t>Quality.</w:t>
      </w:r>
      <w:r>
        <w:rPr>
          <w:color w:val="000000"/>
        </w:rPr>
        <w:t xml:space="preserve"> </w:t>
      </w:r>
      <w:r>
        <w:rPr>
          <w:rFonts w:ascii="Times New Roman;sans-serif" w:hAnsi="Times New Roman;sans-serif"/>
          <w:b w:val="false"/>
          <w:color w:val="000000"/>
          <w:sz w:val="24"/>
        </w:rPr>
        <w:t xml:space="preserve">Supplier agrees to the quality provisions, as set forth in </w:t>
      </w:r>
      <w:r>
        <w:rPr>
          <w:rFonts w:ascii="Times New Roman;sans-serif" w:hAnsi="Times New Roman;sans-serif"/>
          <w:b/>
          <w:color w:val="000000"/>
          <w:sz w:val="24"/>
        </w:rPr>
        <w:t>Exhibit G</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hanging="432"/>
        <w:jc w:val="both"/>
        <w:rPr/>
      </w:pPr>
      <w:r>
        <w:rPr>
          <w:rFonts w:ascii="Cambria;sans-serif" w:hAnsi="Cambria;sans-serif"/>
          <w:b/>
          <w:color w:val="000000"/>
          <w:sz w:val="24"/>
        </w:rPr>
        <w:t>6.3</w:t>
      </w:r>
      <w:r>
        <w:rPr>
          <w:rFonts w:ascii="Times New Roman;sans-serif" w:hAnsi="Times New Roman;sans-serif"/>
          <w:b/>
          <w:color w:val="000000"/>
          <w:sz w:val="24"/>
          <w:u w:val="single"/>
        </w:rPr>
        <w:t>Vendors and Subcontractors</w:t>
      </w:r>
      <w:r>
        <w:rPr>
          <w:rFonts w:ascii="Times New Roman;sans-serif" w:hAnsi="Times New Roman;sans-serif"/>
          <w:b w:val="false"/>
          <w:color w:val="000000"/>
          <w:sz w:val="24"/>
        </w:rPr>
        <w:t xml:space="preserve">. Supplier shall not (i) change the vendors from whom Supplier sources components of the Products as of the Effective Date or (ii) subcontract its obligations to manufacture Products to subcontractors, in each case without the prior written consent of Company; provided, that Company hereby acknowledges its consent to Supplier’s purchase of Product components from vendors identified in </w:t>
      </w:r>
      <w:r>
        <w:rPr>
          <w:rFonts w:ascii="Times New Roman;sans-serif" w:hAnsi="Times New Roman;sans-serif"/>
          <w:b/>
          <w:color w:val="000000"/>
          <w:sz w:val="24"/>
        </w:rPr>
        <w:t>Exhibit E</w:t>
      </w:r>
      <w:r>
        <w:rPr>
          <w:color w:val="000000"/>
        </w:rPr>
        <w:t xml:space="preserve"> </w:t>
      </w:r>
      <w:r>
        <w:rPr>
          <w:rFonts w:ascii="Times New Roman;sans-serif" w:hAnsi="Times New Roman;sans-serif"/>
          <w:b w:val="false"/>
          <w:color w:val="000000"/>
          <w:sz w:val="24"/>
        </w:rPr>
        <w:t>(“</w:t>
      </w:r>
      <w:r>
        <w:rPr>
          <w:rFonts w:ascii="Times New Roman;sans-serif" w:hAnsi="Times New Roman;sans-serif"/>
          <w:b/>
          <w:i/>
          <w:color w:val="000000"/>
          <w:sz w:val="24"/>
        </w:rPr>
        <w:t>Approved Vendors</w:t>
      </w:r>
      <w:r>
        <w:rPr>
          <w:color w:val="000000"/>
        </w:rPr>
        <w:t>”</w:t>
      </w:r>
      <w:r>
        <w:rPr>
          <w:rFonts w:ascii="Times New Roman;sans-serif" w:hAnsi="Times New Roman;sans-serif"/>
          <w:b w:val="false"/>
          <w:color w:val="000000"/>
          <w:sz w:val="24"/>
        </w:rPr>
        <w:t xml:space="preserve">) and use of subcontractors identified in </w:t>
      </w:r>
      <w:r>
        <w:rPr>
          <w:rFonts w:ascii="Times New Roman;sans-serif" w:hAnsi="Times New Roman;sans-serif"/>
          <w:b/>
          <w:color w:val="000000"/>
          <w:sz w:val="24"/>
          <w:u w:val="single"/>
        </w:rPr>
        <w:t>Exhibit F</w:t>
      </w:r>
      <w:r>
        <w:rPr>
          <w:color w:val="000000"/>
        </w:rPr>
        <w:t xml:space="preserve"> </w:t>
      </w:r>
      <w:r>
        <w:rPr>
          <w:rFonts w:ascii="Times New Roman;sans-serif" w:hAnsi="Times New Roman;sans-serif"/>
          <w:b w:val="false"/>
          <w:color w:val="000000"/>
          <w:sz w:val="24"/>
        </w:rPr>
        <w:t>(“</w:t>
      </w:r>
      <w:r>
        <w:rPr>
          <w:rFonts w:ascii="Times New Roman;sans-serif" w:hAnsi="Times New Roman;sans-serif"/>
          <w:b/>
          <w:i/>
          <w:color w:val="000000"/>
          <w:sz w:val="24"/>
        </w:rPr>
        <w:t>Approved Subcontractors</w:t>
      </w:r>
      <w:r>
        <w:rPr>
          <w:color w:val="000000"/>
        </w:rPr>
        <w:t>”</w:t>
      </w:r>
      <w:r>
        <w:rPr>
          <w:rFonts w:ascii="Times New Roman;sans-serif" w:hAnsi="Times New Roman;sans-serif"/>
          <w:b w:val="false"/>
          <w:color w:val="000000"/>
          <w:sz w:val="24"/>
        </w:rPr>
        <w:t>). Company may order through Supplier, components sourced from Supplier’s approved vendors (which vendors may include affiliates of Company) and Supplier agrees to provide those components to Company at Supplier’s cost plus a reasonable mark-up for processing and handling. Subject to the requirements of Section 1.3,</w:t>
      </w:r>
      <w:r>
        <w:rPr>
          <w:color w:val="000000"/>
        </w:rPr>
        <w:t xml:space="preserve"> </w:t>
      </w:r>
      <w:r>
        <w:rPr>
          <w:rFonts w:ascii="Times New Roman;sans-serif" w:hAnsi="Times New Roman;sans-serif"/>
          <w:b w:val="false"/>
          <w:color w:val="000000"/>
          <w:sz w:val="24"/>
        </w:rPr>
        <w:t>Company may request or otherwise require Supplier to approve and utilize Alternative Sources including the Approved Vendors and Approved Subcontractors provided that any commercially reasonable costs associated with the addition and qualification of Company-specified Approved Vendors and Approved Subcontractors, i.e. validation costs, test samples, etc. will be at the Company’s expense.</w:t>
      </w:r>
    </w:p>
    <w:p>
      <w:pPr>
        <w:pStyle w:val="TextBody"/>
        <w:bidi w:val="0"/>
        <w:spacing w:lineRule="auto" w:line="240" w:before="0" w:after="0"/>
        <w:jc w:val="left"/>
        <w:rPr/>
      </w:pPr>
      <w:r>
        <w:rPr>
          <w:rFonts w:ascii="Cambria;sans-serif" w:hAnsi="Cambria;sans-serif"/>
          <w:b/>
          <w:color w:val="000000"/>
          <w:sz w:val="24"/>
        </w:rPr>
        <w:t>7.</w:t>
      </w:r>
      <w:r>
        <w:rPr>
          <w:color w:val="000000"/>
        </w:rPr>
        <w:t xml:space="preserve"> </w:t>
      </w:r>
      <w:r>
        <w:rPr>
          <w:rFonts w:ascii="Times New Roman;sans-serif" w:hAnsi="Times New Roman;sans-serif"/>
          <w:b/>
          <w:color w:val="000000"/>
          <w:sz w:val="24"/>
          <w:u w:val="single"/>
        </w:rPr>
        <w:t xml:space="preserve">COMPLIANCE WITH LAWS.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7.1 </w:t>
      </w:r>
      <w:r>
        <w:rPr>
          <w:rFonts w:ascii="Times New Roman;sans-serif" w:hAnsi="Times New Roman;sans-serif"/>
          <w:b/>
          <w:color w:val="000000"/>
          <w:sz w:val="24"/>
          <w:u w:val="single"/>
        </w:rPr>
        <w:t>Compliance</w:t>
      </w:r>
      <w:r>
        <w:rPr>
          <w:rFonts w:ascii="Times New Roman;sans-serif" w:hAnsi="Times New Roman;sans-serif"/>
          <w:b w:val="false"/>
          <w:color w:val="000000"/>
          <w:sz w:val="24"/>
        </w:rPr>
        <w:t>. The parties shall comply with all applicable federal, state and local statutes, laws, regulations, rules, code, governmental order, ordinances and policies (collectively, “</w:t>
      </w:r>
      <w:r>
        <w:rPr>
          <w:rFonts w:ascii="Times New Roman;sans-serif" w:hAnsi="Times New Roman;sans-serif"/>
          <w:b/>
          <w:i/>
          <w:color w:val="000000"/>
          <w:sz w:val="24"/>
        </w:rPr>
        <w:t>Law</w:t>
      </w:r>
      <w:r>
        <w:rPr>
          <w:color w:val="000000"/>
        </w:rPr>
        <w:t>”</w:t>
      </w:r>
      <w:r>
        <w:rPr>
          <w:rFonts w:ascii="Times New Roman;sans-serif" w:hAnsi="Times New Roman;sans-serif"/>
          <w:b w:val="false"/>
          <w:color w:val="000000"/>
          <w:sz w:val="24"/>
        </w:rPr>
        <w:t xml:space="preserve">) that pertain to the activities for which Supplier and Company are responsible under this Agreement, including those enforced by the FDA. With respect to the Products, Company shall be the “finished device manufacturer” (as such term is used by the FDA). </w:t>
      </w:r>
    </w:p>
    <w:p>
      <w:pPr>
        <w:pStyle w:val="TextBody"/>
        <w:bidi w:val="0"/>
        <w:spacing w:lineRule="auto" w:line="240" w:before="0" w:after="240"/>
        <w:ind w:left="0" w:right="0" w:hanging="72"/>
        <w:jc w:val="both"/>
        <w:rPr/>
      </w:pPr>
      <w:r>
        <w:rPr>
          <w:rFonts w:ascii="Times New Roman;sans-serif" w:hAnsi="Times New Roman;sans-serif"/>
          <w:b/>
          <w:color w:val="000000"/>
          <w:sz w:val="24"/>
        </w:rPr>
        <w:t xml:space="preserve">7.2 </w:t>
      </w:r>
      <w:r>
        <w:rPr>
          <w:rFonts w:ascii="Times New Roman;sans-serif" w:hAnsi="Times New Roman;sans-serif"/>
          <w:b/>
          <w:color w:val="000000"/>
          <w:sz w:val="24"/>
          <w:u w:val="single"/>
        </w:rPr>
        <w:t>Permits, Licenses, and Authorizations</w:t>
      </w:r>
      <w:r>
        <w:rPr>
          <w:rFonts w:ascii="Times New Roman;sans-serif" w:hAnsi="Times New Roman;sans-serif"/>
          <w:b w:val="false"/>
          <w:color w:val="000000"/>
          <w:sz w:val="24"/>
        </w:rPr>
        <w:t>. Supplier shall obtain and maintain all permits, licenses, approvals, authorizations, registrations, certificates and similar rights necessary for the exercise of its rights and performance under this Agreement.</w:t>
      </w:r>
    </w:p>
    <w:p>
      <w:pPr>
        <w:pStyle w:val="TextBody"/>
        <w:bidi w:val="0"/>
        <w:spacing w:lineRule="auto" w:line="240" w:before="0" w:after="240"/>
        <w:jc w:val="both"/>
        <w:rPr/>
      </w:pPr>
      <w:r>
        <w:rPr>
          <w:rFonts w:ascii="Times New Roman;sans-serif" w:hAnsi="Times New Roman;sans-serif"/>
          <w:b/>
          <w:color w:val="000000"/>
          <w:sz w:val="24"/>
        </w:rPr>
        <w:t xml:space="preserve">8. </w:t>
      </w:r>
      <w:r>
        <w:rPr>
          <w:rFonts w:ascii="Times New Roman;sans-serif" w:hAnsi="Times New Roman;sans-serif"/>
          <w:b/>
          <w:color w:val="000000"/>
          <w:sz w:val="24"/>
          <w:u w:val="single"/>
        </w:rPr>
        <w:t>REPRESENTATIONS AND WARRANTIES; PRODUCT WARRANTY</w:t>
      </w:r>
    </w:p>
    <w:p>
      <w:pPr>
        <w:pStyle w:val="TextBody"/>
        <w:bidi w:val="0"/>
        <w:spacing w:lineRule="auto" w:line="240" w:before="0" w:after="240"/>
        <w:ind w:left="0" w:right="0" w:hanging="432"/>
        <w:jc w:val="both"/>
        <w:rPr/>
      </w:pPr>
      <w:r>
        <w:rPr>
          <w:rFonts w:ascii="Cambria;sans-serif" w:hAnsi="Cambria;sans-serif"/>
          <w:b/>
          <w:color w:val="000000"/>
          <w:sz w:val="24"/>
        </w:rPr>
        <w:t>8.1</w:t>
      </w:r>
      <w:r>
        <w:rPr>
          <w:rFonts w:ascii="Times New Roman;sans-serif" w:hAnsi="Times New Roman;sans-serif"/>
          <w:b/>
          <w:color w:val="000000"/>
          <w:sz w:val="24"/>
          <w:u w:val="single"/>
        </w:rPr>
        <w:t>Supplier’s Representations and Warranties.</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it is duly organized, validly existing, and in good standing under the laws of its organization;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it is duly qualified to do business and is in good standing in every jurisdiction in which such qualification is required for purposes of this Agreement; </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rFonts w:ascii="Times New Roman;sans-serif" w:hAnsi="Times New Roman;sans-serif"/>
          <w:b w:val="false"/>
          <w:color w:val="000000"/>
          <w:sz w:val="24"/>
        </w:rPr>
        <w:t>it has the full right, corporate power and authority to enter into this Agreement and to perform its obligations hereunder;</w:t>
      </w:r>
    </w:p>
    <w:p>
      <w:pPr>
        <w:pStyle w:val="TextBody"/>
        <w:bidi w:val="0"/>
        <w:spacing w:lineRule="auto" w:line="240" w:before="0" w:after="240"/>
        <w:ind w:left="0" w:right="0" w:hanging="504"/>
        <w:jc w:val="both"/>
        <w:rPr/>
      </w:pPr>
      <w:r>
        <w:rPr>
          <w:rFonts w:ascii="Times New Roman;sans-serif" w:hAnsi="Times New Roman;sans-serif"/>
          <w:b/>
          <w:color w:val="000000"/>
          <w:sz w:val="24"/>
        </w:rPr>
        <w:t>d.</w:t>
      </w:r>
      <w:r>
        <w:rPr>
          <w:rFonts w:ascii="Times New Roman;sans-serif" w:hAnsi="Times New Roman;sans-serif"/>
          <w:b w:val="false"/>
          <w:color w:val="000000"/>
          <w:sz w:val="24"/>
        </w:rPr>
        <w:t>the execution of this Agreement by its representative whose signature is set forth at the end of this Agreement, and the delivery of this Agreement by Supplier, have been duly authorized by all necessary action on the part of Supplier;</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30555"/>
                <wp:effectExtent l="0" t="0" r="0" b="0"/>
                <wp:wrapNone/>
                <wp:docPr id="123" name="Frame123"/>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7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7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504"/>
        <w:jc w:val="both"/>
        <w:rPr/>
      </w:pPr>
      <w:r>
        <w:rPr>
          <w:rFonts w:ascii="Times New Roman;sans-serif" w:hAnsi="Times New Roman;sans-serif"/>
          <w:b/>
          <w:color w:val="000000"/>
          <w:sz w:val="24"/>
        </w:rPr>
        <w:t>e.</w:t>
      </w:r>
      <w:r>
        <w:rPr>
          <w:rFonts w:ascii="Times New Roman;sans-serif" w:hAnsi="Times New Roman;sans-serif"/>
          <w:b w:val="false"/>
          <w:color w:val="000000"/>
          <w:sz w:val="24"/>
        </w:rPr>
        <w:t>the execution, delivery, and performance of this Agreement by Supplier will not violate, conflict with, require consent under or result in any breach or default under (i) any of Supplier’s organizational documents, (ii) any applicable Law or (iii) with or without notice or lapse of time or both, the provisions of any material Supplier third-party agreement;</w:t>
      </w:r>
    </w:p>
    <w:p>
      <w:pPr>
        <w:pStyle w:val="TextBody"/>
        <w:bidi w:val="0"/>
        <w:spacing w:lineRule="auto" w:line="240" w:before="0" w:after="240"/>
        <w:ind w:left="0" w:right="0" w:hanging="504"/>
        <w:jc w:val="both"/>
        <w:rPr/>
      </w:pPr>
      <w:r>
        <w:rPr>
          <w:rFonts w:ascii="Times New Roman;sans-serif" w:hAnsi="Times New Roman;sans-serif"/>
          <w:b/>
          <w:color w:val="000000"/>
          <w:sz w:val="24"/>
        </w:rPr>
        <w:t>f.</w:t>
      </w:r>
      <w:r>
        <w:rPr>
          <w:rFonts w:ascii="Times New Roman;sans-serif" w:hAnsi="Times New Roman;sans-serif"/>
          <w:b w:val="false"/>
          <w:color w:val="000000"/>
          <w:sz w:val="24"/>
        </w:rPr>
        <w:t>this Agreement has been executed and delivered by Supplier and (assuming due authorization, execution, and delivery by Company) constitutes the legal, valid, and binding obligation of Supplier, enforceable against Supplier in accordance with its terms, except as may be limited by any applicable bankruptcy, insolvency, reorganization, moratorium, or similar laws and equitable principles related to or affecting creditors' rights generally or the effect of general principles of equity;</w:t>
      </w:r>
    </w:p>
    <w:p>
      <w:pPr>
        <w:pStyle w:val="TextBody"/>
        <w:bidi w:val="0"/>
        <w:spacing w:lineRule="auto" w:line="240" w:before="0" w:after="240"/>
        <w:ind w:left="0" w:right="0" w:hanging="504"/>
        <w:jc w:val="both"/>
        <w:rPr/>
      </w:pPr>
      <w:r>
        <w:rPr>
          <w:rFonts w:ascii="Times New Roman;sans-serif" w:hAnsi="Times New Roman;sans-serif"/>
          <w:b/>
          <w:color w:val="000000"/>
          <w:sz w:val="24"/>
        </w:rPr>
        <w:t>g.</w:t>
      </w:r>
      <w:r>
        <w:rPr>
          <w:rFonts w:ascii="Times New Roman;sans-serif" w:hAnsi="Times New Roman;sans-serif"/>
          <w:b w:val="false"/>
          <w:color w:val="000000"/>
          <w:sz w:val="24"/>
        </w:rPr>
        <w:t>it is in compliance with all material applicable Laws and third-party agreements relating to this Agreement, the Products, and the operation of its business (including all loan covenants and other financing obligations to which it is subject);</w:t>
      </w:r>
    </w:p>
    <w:p>
      <w:pPr>
        <w:pStyle w:val="TextBody"/>
        <w:bidi w:val="0"/>
        <w:spacing w:lineRule="auto" w:line="240" w:before="0" w:after="240"/>
        <w:ind w:left="0" w:right="0" w:hanging="504"/>
        <w:jc w:val="both"/>
        <w:rPr/>
      </w:pPr>
      <w:r>
        <w:rPr>
          <w:rFonts w:ascii="Times New Roman;sans-serif" w:hAnsi="Times New Roman;sans-serif"/>
          <w:b/>
          <w:color w:val="000000"/>
          <w:sz w:val="24"/>
        </w:rPr>
        <w:t>h.</w:t>
      </w:r>
      <w:r>
        <w:rPr>
          <w:rFonts w:ascii="Times New Roman;sans-serif" w:hAnsi="Times New Roman;sans-serif"/>
          <w:b w:val="false"/>
          <w:color w:val="000000"/>
          <w:sz w:val="24"/>
        </w:rPr>
        <w:t>it has obtained all licenses, authorizations, approvals, consents, or permits required by applicable Laws to conduct its business generally and to exercise its rights and perform its obligations under this Agreement;</w:t>
      </w:r>
    </w:p>
    <w:p>
      <w:pPr>
        <w:pStyle w:val="TextBody"/>
        <w:bidi w:val="0"/>
        <w:spacing w:lineRule="auto" w:line="240" w:before="0" w:after="240"/>
        <w:ind w:left="0" w:right="0" w:hanging="504"/>
        <w:jc w:val="both"/>
        <w:rPr/>
      </w:pPr>
      <w:r>
        <w:rPr>
          <w:rFonts w:ascii="Times New Roman;sans-serif" w:hAnsi="Times New Roman;sans-serif"/>
          <w:b/>
          <w:color w:val="000000"/>
          <w:sz w:val="24"/>
        </w:rPr>
        <w:t>i.</w:t>
      </w:r>
      <w:r>
        <w:rPr>
          <w:rFonts w:ascii="Times New Roman;sans-serif" w:hAnsi="Times New Roman;sans-serif"/>
          <w:b w:val="false"/>
          <w:color w:val="000000"/>
          <w:sz w:val="24"/>
        </w:rPr>
        <w:t>it is not insolvent and is paying all of its debts as they become due; and</w:t>
      </w:r>
    </w:p>
    <w:p>
      <w:pPr>
        <w:pStyle w:val="TextBody"/>
        <w:bidi w:val="0"/>
        <w:spacing w:lineRule="auto" w:line="240" w:before="0" w:after="240"/>
        <w:ind w:left="0" w:right="0" w:hanging="504"/>
        <w:jc w:val="both"/>
        <w:rPr/>
      </w:pPr>
      <w:r>
        <w:rPr>
          <w:rFonts w:ascii="Times New Roman;sans-serif" w:hAnsi="Times New Roman;sans-serif"/>
          <w:b/>
          <w:color w:val="000000"/>
          <w:sz w:val="24"/>
        </w:rPr>
        <w:t>j.</w:t>
      </w:r>
      <w:r>
        <w:rPr>
          <w:rFonts w:ascii="Times New Roman;sans-serif" w:hAnsi="Times New Roman;sans-serif"/>
          <w:b w:val="false"/>
          <w:color w:val="000000"/>
          <w:sz w:val="24"/>
        </w:rPr>
        <w:t>all financial information that it has provided to Company is true and accurate and fairly represents Company’s financial condition, and has been prepared in accordance with GAAP, uniformly and consistently applied.</w:t>
      </w:r>
    </w:p>
    <w:p>
      <w:pPr>
        <w:pStyle w:val="TextBody"/>
        <w:bidi w:val="0"/>
        <w:spacing w:lineRule="auto" w:line="240" w:before="0" w:after="240"/>
        <w:ind w:left="0" w:right="0" w:hanging="432"/>
        <w:jc w:val="both"/>
        <w:rPr/>
      </w:pPr>
      <w:r>
        <w:rPr>
          <w:rFonts w:ascii="Cambria;sans-serif" w:hAnsi="Cambria;sans-serif"/>
          <w:b/>
          <w:color w:val="000000"/>
          <w:sz w:val="24"/>
        </w:rPr>
        <w:t>8.2</w:t>
      </w:r>
      <w:r>
        <w:rPr>
          <w:rFonts w:ascii="Times New Roman;sans-serif" w:hAnsi="Times New Roman;sans-serif"/>
          <w:b/>
          <w:color w:val="000000"/>
          <w:sz w:val="24"/>
          <w:u w:val="single"/>
        </w:rPr>
        <w:t>Company’s Representations and Warranties.</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it is duly organized, validly existing, and in good standing under the laws of its organization;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it is duly qualified to do business and is in good standing in every jurisdiction in which such qualification is required for purposes of this Agreement; </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rFonts w:ascii="Times New Roman;sans-serif" w:hAnsi="Times New Roman;sans-serif"/>
          <w:b w:val="false"/>
          <w:color w:val="000000"/>
          <w:sz w:val="24"/>
        </w:rPr>
        <w:t>it has the full right, corporate power and authority to enter into this Agreement and to perform its obligations hereunder;</w:t>
      </w:r>
    </w:p>
    <w:p>
      <w:pPr>
        <w:pStyle w:val="TextBody"/>
        <w:bidi w:val="0"/>
        <w:spacing w:lineRule="auto" w:line="240" w:before="0" w:after="240"/>
        <w:ind w:left="0" w:right="0" w:hanging="504"/>
        <w:jc w:val="both"/>
        <w:rPr/>
      </w:pPr>
      <w:r>
        <w:rPr>
          <w:rFonts w:ascii="Times New Roman;sans-serif" w:hAnsi="Times New Roman;sans-serif"/>
          <w:b/>
          <w:color w:val="000000"/>
          <w:sz w:val="24"/>
        </w:rPr>
        <w:t>d.</w:t>
      </w:r>
      <w:r>
        <w:rPr>
          <w:rFonts w:ascii="Times New Roman;sans-serif" w:hAnsi="Times New Roman;sans-serif"/>
          <w:b w:val="false"/>
          <w:color w:val="000000"/>
          <w:sz w:val="24"/>
        </w:rPr>
        <w:t>the execution of this Agreement by its representative whose signature is set forth at the end of this Agreement, and the delivery of this Agreement by Company, have been duly authorized by all necessary action on the part of Company;</w:t>
      </w:r>
    </w:p>
    <w:p>
      <w:pPr>
        <w:pStyle w:val="TextBody"/>
        <w:bidi w:val="0"/>
        <w:spacing w:lineRule="auto" w:line="240" w:before="0" w:after="240"/>
        <w:ind w:left="0" w:right="0" w:hanging="504"/>
        <w:jc w:val="both"/>
        <w:rPr/>
      </w:pPr>
      <w:r>
        <w:rPr>
          <w:rFonts w:ascii="Times New Roman;sans-serif" w:hAnsi="Times New Roman;sans-serif"/>
          <w:b/>
          <w:color w:val="000000"/>
          <w:sz w:val="24"/>
        </w:rPr>
        <w:t>e.</w:t>
      </w:r>
      <w:r>
        <w:rPr>
          <w:rFonts w:ascii="Times New Roman;sans-serif" w:hAnsi="Times New Roman;sans-serif"/>
          <w:b w:val="false"/>
          <w:color w:val="000000"/>
          <w:sz w:val="24"/>
        </w:rPr>
        <w:t>the execution, delivery, and performance of this Agreement by Company will not violate, conflict with, require consent under or result in any breach or default under (i) any of Company’s organizational documents, (ii) any applicable Law or (iii) with or without notice or lapse of time or both, the provisions of any material Company third-party agreement;</w:t>
      </w:r>
    </w:p>
    <w:p>
      <w:pPr>
        <w:pStyle w:val="TextBody"/>
        <w:bidi w:val="0"/>
        <w:spacing w:lineRule="auto" w:line="240" w:before="0" w:after="240"/>
        <w:ind w:left="0" w:right="0" w:hanging="504"/>
        <w:jc w:val="both"/>
        <w:rPr/>
      </w:pPr>
      <w:r>
        <w:rPr>
          <w:rFonts w:ascii="Times New Roman;sans-serif" w:hAnsi="Times New Roman;sans-serif"/>
          <w:b/>
          <w:color w:val="000000"/>
          <w:sz w:val="24"/>
        </w:rPr>
        <w:t>f.</w:t>
      </w:r>
      <w:r>
        <w:rPr>
          <w:rFonts w:ascii="Times New Roman;sans-serif" w:hAnsi="Times New Roman;sans-serif"/>
          <w:b w:val="false"/>
          <w:color w:val="000000"/>
          <w:sz w:val="24"/>
        </w:rPr>
        <w:t>this Agreement has been executed and delivered by Company and (assuming due authorization, execution, and delivery by Supplier) constitutes the legal, valid, and binding obligation of Company, enforceable against Company in accordance with its terms, except as may be limited by any applicable bankruptcy, insolvency, reorganization, moratorium, or similar laws and equitable principles related to or affecting creditors' rights generally or the effect of general principles of equity;</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30555"/>
                <wp:effectExtent l="0" t="0" r="0" b="0"/>
                <wp:wrapNone/>
                <wp:docPr id="124" name="Frame124"/>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8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8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504"/>
        <w:jc w:val="both"/>
        <w:rPr/>
      </w:pPr>
      <w:r>
        <w:rPr>
          <w:rFonts w:ascii="Times New Roman;sans-serif" w:hAnsi="Times New Roman;sans-serif"/>
          <w:b/>
          <w:color w:val="000000"/>
          <w:sz w:val="24"/>
        </w:rPr>
        <w:t>g.</w:t>
      </w:r>
      <w:r>
        <w:rPr>
          <w:rFonts w:ascii="Times New Roman;sans-serif" w:hAnsi="Times New Roman;sans-serif"/>
          <w:b w:val="false"/>
          <w:color w:val="000000"/>
          <w:sz w:val="24"/>
        </w:rPr>
        <w:t>it is in compliance with all material applicable Laws and third-party agreements relating to this Agreement, the Products, and the operation of its business (including all loan covenants and other financing obligations to which it is subject);</w:t>
      </w:r>
    </w:p>
    <w:p>
      <w:pPr>
        <w:pStyle w:val="TextBody"/>
        <w:bidi w:val="0"/>
        <w:spacing w:lineRule="auto" w:line="240" w:before="0" w:after="240"/>
        <w:ind w:left="0" w:right="0" w:hanging="504"/>
        <w:jc w:val="both"/>
        <w:rPr/>
      </w:pPr>
      <w:r>
        <w:rPr>
          <w:rFonts w:ascii="Times New Roman;sans-serif" w:hAnsi="Times New Roman;sans-serif"/>
          <w:b/>
          <w:color w:val="000000"/>
          <w:sz w:val="24"/>
        </w:rPr>
        <w:t>h.</w:t>
      </w:r>
      <w:r>
        <w:rPr>
          <w:rFonts w:ascii="Times New Roman;sans-serif" w:hAnsi="Times New Roman;sans-serif"/>
          <w:b w:val="false"/>
          <w:color w:val="000000"/>
          <w:sz w:val="24"/>
        </w:rPr>
        <w:t>it has obtained all licenses, authorizations, approvals, consents, or permits required by applicable Laws to conduct its business generally and to exercise its rights and perform its obligations under this Agreement;</w:t>
      </w:r>
    </w:p>
    <w:p>
      <w:pPr>
        <w:pStyle w:val="TextBody"/>
        <w:bidi w:val="0"/>
        <w:spacing w:lineRule="auto" w:line="240" w:before="0" w:after="240"/>
        <w:ind w:left="0" w:right="0" w:hanging="504"/>
        <w:jc w:val="both"/>
        <w:rPr/>
      </w:pPr>
      <w:r>
        <w:rPr>
          <w:rFonts w:ascii="Times New Roman;sans-serif" w:hAnsi="Times New Roman;sans-serif"/>
          <w:b/>
          <w:color w:val="000000"/>
          <w:sz w:val="24"/>
        </w:rPr>
        <w:t>i.</w:t>
      </w:r>
      <w:r>
        <w:rPr>
          <w:rFonts w:ascii="Times New Roman;sans-serif" w:hAnsi="Times New Roman;sans-serif"/>
          <w:b w:val="false"/>
          <w:color w:val="000000"/>
          <w:sz w:val="24"/>
        </w:rPr>
        <w:t>it is not insolvent and is paying all of its debts as they become due; and</w:t>
      </w:r>
    </w:p>
    <w:p>
      <w:pPr>
        <w:pStyle w:val="TextBody"/>
        <w:bidi w:val="0"/>
        <w:spacing w:lineRule="auto" w:line="240" w:before="0" w:after="240"/>
        <w:ind w:left="0" w:right="0" w:hanging="504"/>
        <w:jc w:val="both"/>
        <w:rPr/>
      </w:pPr>
      <w:r>
        <w:rPr>
          <w:rFonts w:ascii="Times New Roman;sans-serif" w:hAnsi="Times New Roman;sans-serif"/>
          <w:b/>
          <w:color w:val="000000"/>
          <w:sz w:val="24"/>
        </w:rPr>
        <w:t>j.</w:t>
      </w:r>
      <w:r>
        <w:rPr>
          <w:rFonts w:ascii="Times New Roman;sans-serif" w:hAnsi="Times New Roman;sans-serif"/>
          <w:b w:val="false"/>
          <w:color w:val="000000"/>
          <w:sz w:val="24"/>
        </w:rPr>
        <w:t>all financial information that it has provided to Supplier is true and accurate and fairly represents Company’s financial condition, and has been prepared in accordance with GAAP, uniformly and consistently applied.</w:t>
      </w:r>
    </w:p>
    <w:p>
      <w:pPr>
        <w:pStyle w:val="TextBody"/>
        <w:bidi w:val="0"/>
        <w:spacing w:lineRule="auto" w:line="240" w:before="0" w:after="240"/>
        <w:ind w:left="0" w:right="0" w:hanging="432"/>
        <w:jc w:val="both"/>
        <w:rPr/>
      </w:pPr>
      <w:r>
        <w:rPr>
          <w:rFonts w:ascii="Cambria;sans-serif" w:hAnsi="Cambria;sans-serif"/>
          <w:b/>
          <w:color w:val="000000"/>
          <w:sz w:val="24"/>
        </w:rPr>
        <w:t>8.3</w:t>
      </w:r>
      <w:r>
        <w:rPr>
          <w:rFonts w:ascii="Times New Roman;sans-serif" w:hAnsi="Times New Roman;sans-serif"/>
          <w:b/>
          <w:color w:val="000000"/>
          <w:sz w:val="24"/>
          <w:u w:val="single"/>
        </w:rPr>
        <w:t>Product Warranty</w:t>
      </w:r>
      <w:r>
        <w:rPr>
          <w:rFonts w:ascii="Times New Roman;sans-serif" w:hAnsi="Times New Roman;sans-serif"/>
          <w:b w:val="false"/>
          <w:color w:val="000000"/>
          <w:sz w:val="24"/>
        </w:rPr>
        <w:t>. The Supplier warrants and represents to Company that for a period of one year from the date of delivery, the Products will:</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conform in all material respects to the Specifications/specifications, standards, drawings, samples, descriptions, quality requirements, performance requirements statements of work, specified or approved by Company for the Products;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conform with Company’s quality standards as set forth in </w:t>
      </w:r>
      <w:r>
        <w:rPr>
          <w:rFonts w:ascii="Times New Roman;sans-serif" w:hAnsi="Times New Roman;sans-serif"/>
          <w:b/>
          <w:color w:val="000000"/>
          <w:sz w:val="24"/>
        </w:rPr>
        <w:t>Exhibit G</w:t>
      </w:r>
      <w:r>
        <w:rPr>
          <w:rFonts w:ascii="Times New Roman;sans-serif" w:hAnsi="Times New Roman;sans-serif"/>
          <w:b w:val="false"/>
          <w:color w:val="000000"/>
          <w:sz w:val="24"/>
        </w:rPr>
        <w:t>;</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rFonts w:ascii="Times New Roman;sans-serif" w:hAnsi="Times New Roman;sans-serif"/>
          <w:b w:val="false"/>
          <w:color w:val="000000"/>
          <w:sz w:val="24"/>
        </w:rPr>
        <w:t>be merchantable and free from defects, latent or otherwise, in materials, and workmanship; and</w:t>
      </w:r>
    </w:p>
    <w:p>
      <w:pPr>
        <w:pStyle w:val="TextBody"/>
        <w:bidi w:val="0"/>
        <w:spacing w:lineRule="auto" w:line="240" w:before="0" w:after="240"/>
        <w:ind w:left="0" w:right="0" w:hanging="504"/>
        <w:jc w:val="both"/>
        <w:rPr/>
      </w:pPr>
      <w:r>
        <w:rPr>
          <w:rFonts w:ascii="Times New Roman;sans-serif" w:hAnsi="Times New Roman;sans-serif"/>
          <w:b/>
          <w:color w:val="000000"/>
          <w:sz w:val="24"/>
        </w:rPr>
        <w:t>d.</w:t>
      </w:r>
      <w:r>
        <w:rPr>
          <w:rFonts w:ascii="Times New Roman;sans-serif" w:hAnsi="Times New Roman;sans-serif"/>
          <w:b w:val="false"/>
          <w:color w:val="000000"/>
          <w:sz w:val="24"/>
        </w:rPr>
        <w:t xml:space="preserve">not infringe upon, violate or misappropriate the Intellectual Property rights of any third party, limited to the manufacturing process, and excluding infringement that is a direct result of the Specifications, design or its intended use as provided by Company; and </w:t>
      </w:r>
    </w:p>
    <w:p>
      <w:pPr>
        <w:pStyle w:val="TextBody"/>
        <w:bidi w:val="0"/>
        <w:spacing w:lineRule="auto" w:line="240" w:before="0" w:after="240"/>
        <w:ind w:left="0" w:right="0" w:hanging="504"/>
        <w:jc w:val="both"/>
        <w:rPr/>
      </w:pPr>
      <w:r>
        <w:rPr>
          <w:rFonts w:ascii="Times New Roman;sans-serif" w:hAnsi="Times New Roman;sans-serif"/>
          <w:b/>
          <w:color w:val="000000"/>
          <w:sz w:val="24"/>
        </w:rPr>
        <w:t>e.</w:t>
      </w:r>
      <w:r>
        <w:rPr>
          <w:rFonts w:ascii="Times New Roman;sans-serif" w:hAnsi="Times New Roman;sans-serif"/>
          <w:b w:val="false"/>
          <w:color w:val="000000"/>
          <w:sz w:val="24"/>
        </w:rPr>
        <w:t>be new and conveyed to Company with good title, free and clear of all liens, security interests, claims, conditions or restrictions of any kind.</w:t>
      </w:r>
    </w:p>
    <w:p>
      <w:pPr>
        <w:pStyle w:val="TextBody"/>
        <w:bidi w:val="0"/>
        <w:spacing w:lineRule="auto" w:line="240" w:before="0" w:after="240"/>
        <w:ind w:left="0" w:right="0" w:hanging="432"/>
        <w:jc w:val="both"/>
        <w:rPr/>
      </w:pPr>
      <w:r>
        <w:rPr>
          <w:rFonts w:ascii="Cambria;sans-serif" w:hAnsi="Cambria;sans-serif"/>
          <w:b/>
          <w:color w:val="000000"/>
          <w:sz w:val="24"/>
        </w:rPr>
        <w:t>8.4</w:t>
      </w:r>
      <w:r>
        <w:rPr>
          <w:rFonts w:ascii="Times New Roman;sans-serif" w:hAnsi="Times New Roman;sans-serif"/>
          <w:b/>
          <w:color w:val="000000"/>
          <w:sz w:val="24"/>
          <w:u w:val="single"/>
        </w:rPr>
        <w:t>Additional Terms</w:t>
      </w:r>
      <w:r>
        <w:rPr>
          <w:rFonts w:ascii="Times New Roman;sans-serif" w:hAnsi="Times New Roman;sans-serif"/>
          <w:b w:val="false"/>
          <w:color w:val="000000"/>
          <w:sz w:val="24"/>
        </w:rPr>
        <w:t xml:space="preserve">. The Product Warranty survives Supplier’s delivery of the Products, Company’s receipt, inspection, acceptance, use of the Products and payment for the Products, and the termination or expiration of this Agreement subject to the terms of this Section 8.3. </w:t>
      </w:r>
    </w:p>
    <w:p>
      <w:pPr>
        <w:pStyle w:val="TextBody"/>
        <w:bidi w:val="0"/>
        <w:spacing w:lineRule="auto" w:line="240" w:before="0" w:after="240"/>
        <w:jc w:val="both"/>
        <w:rPr/>
      </w:pPr>
      <w:r>
        <w:rPr>
          <w:rFonts w:ascii="Times New Roman;sans-serif" w:hAnsi="Times New Roman;sans-serif"/>
          <w:b/>
          <w:color w:val="000000"/>
          <w:sz w:val="24"/>
        </w:rPr>
        <w:t xml:space="preserve">9. </w:t>
      </w:r>
      <w:r>
        <w:rPr>
          <w:rFonts w:ascii="Times New Roman;sans-serif" w:hAnsi="Times New Roman;sans-serif"/>
          <w:b/>
          <w:color w:val="000000"/>
          <w:sz w:val="24"/>
          <w:u w:val="single"/>
        </w:rPr>
        <w:t>INTELLECTUAL PROPERTY</w:t>
      </w:r>
      <w:r>
        <w:rPr>
          <w:rFonts w:ascii="Times New Roman;sans-serif" w:hAnsi="Times New Roman;sans-serif"/>
          <w:b w:val="false"/>
          <w:color w:val="000000"/>
          <w:sz w:val="24"/>
        </w:rPr>
        <w:t>.</w:t>
      </w:r>
    </w:p>
    <w:p>
      <w:pPr>
        <w:pStyle w:val="TextBody"/>
        <w:bidi w:val="0"/>
        <w:spacing w:lineRule="auto" w:line="240" w:before="0" w:after="240"/>
        <w:ind w:left="0" w:right="0" w:hanging="432"/>
        <w:jc w:val="both"/>
        <w:rPr/>
      </w:pPr>
      <w:r>
        <w:rPr>
          <w:rFonts w:ascii="Cambria;sans-serif" w:hAnsi="Cambria;sans-serif"/>
          <w:b/>
          <w:color w:val="000000"/>
          <w:sz w:val="24"/>
        </w:rPr>
        <w:t>9.1</w:t>
      </w:r>
      <w:r>
        <w:rPr>
          <w:rFonts w:ascii="Times New Roman;sans-serif" w:hAnsi="Times New Roman;sans-serif"/>
          <w:b/>
          <w:color w:val="000000"/>
          <w:sz w:val="24"/>
          <w:u w:val="single"/>
        </w:rPr>
        <w:t>Definitions</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color w:val="000000"/>
        </w:rPr>
        <w:t>“</w:t>
      </w:r>
      <w:r>
        <w:rPr>
          <w:rFonts w:ascii="Times New Roman;sans-serif" w:hAnsi="Times New Roman;sans-serif"/>
          <w:b/>
          <w:i/>
          <w:color w:val="000000"/>
          <w:sz w:val="24"/>
        </w:rPr>
        <w:t>Intellectual Property Rights</w:t>
      </w:r>
      <w:r>
        <w:rPr>
          <w:color w:val="000000"/>
        </w:rPr>
        <w:t xml:space="preserve">” </w:t>
      </w:r>
      <w:r>
        <w:rPr>
          <w:rFonts w:ascii="Times New Roman;sans-serif" w:hAnsi="Times New Roman;sans-serif"/>
          <w:b w:val="false"/>
          <w:color w:val="000000"/>
          <w:sz w:val="24"/>
        </w:rPr>
        <w:t>means all industrial and other intellectual property rights in any inventions, improvements, developments, or innovations (including all rights to patents, copyrights, trademarks, and trade secrets and know-how inherent therein and appurtenant thereto) and other creative works (whether or not patentable or copyrightable, conceived or made or reduced to practice), know-how, technical information, pending patent applications, registrations, divisions and continuations thereof, registered and unregistered copyrights, and all associated goodwill, designs, drawings, specifications, vendor lists, manufacturing methods and processes, and all other information pertinent to this Agreement, which is proprietary to a party.</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color w:val="000000"/>
        </w:rPr>
        <w:t>“</w:t>
      </w:r>
      <w:r>
        <w:rPr>
          <w:rFonts w:ascii="Times New Roman;sans-serif" w:hAnsi="Times New Roman;sans-serif"/>
          <w:b/>
          <w:i/>
          <w:color w:val="000000"/>
          <w:sz w:val="24"/>
        </w:rPr>
        <w:t>Foreground Intellectual Property Rights</w:t>
      </w:r>
      <w:r>
        <w:rPr>
          <w:color w:val="000000"/>
        </w:rPr>
        <w:t xml:space="preserve">” </w:t>
      </w:r>
      <w:r>
        <w:rPr>
          <w:rFonts w:ascii="Times New Roman;sans-serif" w:hAnsi="Times New Roman;sans-serif"/>
          <w:b w:val="false"/>
          <w:color w:val="000000"/>
          <w:sz w:val="24"/>
        </w:rPr>
        <w:t xml:space="preserve">means any and all of the Intellectual Property Rights developed with respect to, or for incorporation into, the Products, that are either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30555"/>
                <wp:effectExtent l="0" t="0" r="0" b="0"/>
                <wp:wrapNone/>
                <wp:docPr id="125" name="Frame125"/>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9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9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developed by Company alone, by Company and Supplier jointly in the performance of this Agreement or by Supplier alone as requested by Company in connection with this Agreement.</w:t>
      </w:r>
    </w:p>
    <w:p>
      <w:pPr>
        <w:pStyle w:val="TextBody"/>
        <w:bidi w:val="0"/>
        <w:spacing w:lineRule="auto" w:line="240" w:before="0" w:after="240"/>
        <w:ind w:left="0" w:right="0" w:hanging="432"/>
        <w:jc w:val="both"/>
        <w:rPr/>
      </w:pPr>
      <w:r>
        <w:rPr>
          <w:rFonts w:ascii="Cambria;sans-serif" w:hAnsi="Cambria;sans-serif"/>
          <w:b/>
          <w:color w:val="000000"/>
          <w:sz w:val="24"/>
        </w:rPr>
        <w:t>9.2</w:t>
      </w:r>
      <w:r>
        <w:rPr>
          <w:rFonts w:ascii="Times New Roman;sans-serif" w:hAnsi="Times New Roman;sans-serif"/>
          <w:b/>
          <w:color w:val="000000"/>
          <w:sz w:val="24"/>
          <w:u w:val="single"/>
        </w:rPr>
        <w:t>Ownership</w:t>
      </w:r>
      <w:r>
        <w:rPr>
          <w:rFonts w:ascii="Times New Roman;sans-serif" w:hAnsi="Times New Roman;sans-serif"/>
          <w:b w:val="false"/>
          <w:color w:val="000000"/>
          <w:sz w:val="24"/>
        </w:rPr>
        <w:t xml:space="preserve">. Each Party retains exclusive ownership of its existing Intellectual Property Rights as of the Effective Date. All Foreground Intellectual Property Rights shall be owned by Company. </w:t>
      </w:r>
    </w:p>
    <w:p>
      <w:pPr>
        <w:pStyle w:val="TextBody"/>
        <w:bidi w:val="0"/>
        <w:spacing w:lineRule="auto" w:line="240" w:before="0" w:after="240"/>
        <w:ind w:left="0" w:right="0" w:hanging="432"/>
        <w:jc w:val="both"/>
        <w:rPr/>
      </w:pPr>
      <w:r>
        <w:rPr>
          <w:rFonts w:ascii="Cambria;sans-serif" w:hAnsi="Cambria;sans-serif"/>
          <w:b/>
          <w:color w:val="000000"/>
          <w:sz w:val="24"/>
        </w:rPr>
        <w:t>9.3</w:t>
      </w:r>
      <w:r>
        <w:rPr>
          <w:rFonts w:ascii="Times New Roman;sans-serif" w:hAnsi="Times New Roman;sans-serif"/>
          <w:b/>
          <w:color w:val="000000"/>
          <w:sz w:val="24"/>
          <w:u w:val="single"/>
        </w:rPr>
        <w:t>Limited License</w:t>
      </w:r>
      <w:r>
        <w:rPr>
          <w:rFonts w:ascii="Times New Roman;sans-serif" w:hAnsi="Times New Roman;sans-serif"/>
          <w:b w:val="false"/>
          <w:color w:val="000000"/>
          <w:sz w:val="24"/>
        </w:rPr>
        <w:t xml:space="preserve">. Company hereby grants Supplier a non-exclusive, nontransferable, worldwide license, without the right to sublicense, to use Company’s Intellectual Property Rights solely in connection with the manufacture and sale of the Products to Company or parties designated by Company. This license shall not include the right to modify, make derivative works of or improvements to the Products and shall terminate upon the termination or expiration of this Agreement. </w:t>
      </w:r>
    </w:p>
    <w:p>
      <w:pPr>
        <w:pStyle w:val="TextBody"/>
        <w:bidi w:val="0"/>
        <w:spacing w:lineRule="auto" w:line="240" w:before="0" w:after="240"/>
        <w:ind w:left="0" w:right="0" w:hanging="432"/>
        <w:jc w:val="both"/>
        <w:rPr/>
      </w:pPr>
      <w:r>
        <w:rPr>
          <w:rFonts w:ascii="Cambria;sans-serif" w:hAnsi="Cambria;sans-serif"/>
          <w:b/>
          <w:color w:val="000000"/>
          <w:sz w:val="24"/>
        </w:rPr>
        <w:t>9.4</w:t>
      </w:r>
      <w:r>
        <w:rPr>
          <w:rFonts w:ascii="Times New Roman;sans-serif" w:hAnsi="Times New Roman;sans-serif"/>
          <w:b/>
          <w:color w:val="000000"/>
          <w:sz w:val="24"/>
          <w:u w:val="single"/>
        </w:rPr>
        <w:t>Assistance</w:t>
      </w:r>
      <w:r>
        <w:rPr>
          <w:rFonts w:ascii="Times New Roman;sans-serif" w:hAnsi="Times New Roman;sans-serif"/>
          <w:b w:val="false"/>
          <w:color w:val="000000"/>
          <w:sz w:val="24"/>
        </w:rPr>
        <w:t xml:space="preserve">. Supplier shall execute all papers, including patent applications, invention assignments and copyright assignments, and otherwise shall assist Company as reasonably required to perfect in Company the rights, title and other interests held by Company under this Agreement. Company shall pay for reasonable costs related to such assistance. If Company is unable for any reason, after reasonable effort, to secure Supplier’s signature on any document needed in connection with the actions specified above, Supplier hereby irrevocably designates and appoints Company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Supplier. </w:t>
      </w:r>
    </w:p>
    <w:p>
      <w:pPr>
        <w:pStyle w:val="TextBody"/>
        <w:bidi w:val="0"/>
        <w:spacing w:lineRule="auto" w:line="240" w:before="0" w:after="240"/>
        <w:ind w:left="0" w:right="0" w:hanging="432"/>
        <w:jc w:val="both"/>
        <w:rPr/>
      </w:pPr>
      <w:r>
        <w:rPr>
          <w:rFonts w:ascii="Cambria;sans-serif" w:hAnsi="Cambria;sans-serif"/>
          <w:b/>
          <w:color w:val="000000"/>
          <w:sz w:val="24"/>
        </w:rPr>
        <w:t>9.5</w:t>
      </w:r>
      <w:r>
        <w:rPr>
          <w:rFonts w:ascii="Times New Roman;sans-serif" w:hAnsi="Times New Roman;sans-serif"/>
          <w:b/>
          <w:color w:val="000000"/>
          <w:sz w:val="24"/>
          <w:u w:val="single"/>
        </w:rPr>
        <w:t>Trade Names</w:t>
      </w:r>
      <w:r>
        <w:rPr>
          <w:rFonts w:ascii="Times New Roman;sans-serif" w:hAnsi="Times New Roman;sans-serif"/>
          <w:b w:val="false"/>
          <w:color w:val="000000"/>
          <w:sz w:val="24"/>
        </w:rPr>
        <w:t xml:space="preserve">. Each of Company and Supplier hereby acknowledges and agrees that it does not have, and shall not acquire, any interest in the other party’s trademarks except as expressly provided herein. Any violation of this Section shall constitute a material breach of this Agreement. </w:t>
      </w:r>
    </w:p>
    <w:p>
      <w:pPr>
        <w:pStyle w:val="TextBody"/>
        <w:bidi w:val="0"/>
        <w:spacing w:lineRule="auto" w:line="240" w:before="0" w:after="240"/>
        <w:jc w:val="both"/>
        <w:rPr/>
      </w:pPr>
      <w:r>
        <w:rPr>
          <w:rFonts w:ascii="Times New Roman;sans-serif" w:hAnsi="Times New Roman;sans-serif"/>
          <w:b/>
          <w:color w:val="000000"/>
          <w:sz w:val="24"/>
        </w:rPr>
        <w:t xml:space="preserve">10. </w:t>
      </w:r>
      <w:r>
        <w:rPr>
          <w:rFonts w:ascii="Times New Roman;sans-serif" w:hAnsi="Times New Roman;sans-serif"/>
          <w:b/>
          <w:color w:val="000000"/>
          <w:sz w:val="24"/>
          <w:u w:val="single"/>
        </w:rPr>
        <w:t>INSURANCE</w:t>
      </w:r>
    </w:p>
    <w:p>
      <w:pPr>
        <w:pStyle w:val="TextBody"/>
        <w:bidi w:val="0"/>
        <w:spacing w:lineRule="auto" w:line="240" w:before="0" w:after="240"/>
        <w:jc w:val="both"/>
        <w:rPr/>
      </w:pPr>
      <w:r>
        <w:rPr>
          <w:rFonts w:ascii="Times New Roman;sans-serif" w:hAnsi="Times New Roman;sans-serif"/>
          <w:b w:val="false"/>
          <w:color w:val="000000"/>
          <w:sz w:val="24"/>
        </w:rPr>
        <w:t xml:space="preserve">Supplier shall maintain commercial general and product liability insurance adequate to cover a liability (including an alleged manufacturing defect, failure to warn, or breach of implied or express warranty) arising in connection with any Product manufactured by Supplier and supplied to Company under this Agreement in coverage amounts consistent with normal business practices of prudent companies similarly situated and the insurance coverage shall in no event be less than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Dollars per loss occurrence and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Dollars in the aggregate. Supplier shall provide Company with written evidence of such insurance upon request. If coverage is on a “claims made” basis, then Supplier shall maintain continuous coverage for five years after the termination or expiration of this Agreement, or Supplier shall purchase “tail coverage” providing such insurance for no less than five years after the policy terminates, or lapses. Supplier shall provide Company with written notice at least 30 days prior to the cancellation, nonrenewal or material change in such insurance which materially adversely affects the scope or amount of such insurance coverage. </w:t>
      </w:r>
    </w:p>
    <w:p>
      <w:pPr>
        <w:pStyle w:val="TextBody"/>
        <w:bidi w:val="0"/>
        <w:spacing w:lineRule="auto" w:line="240" w:before="0" w:after="240"/>
        <w:jc w:val="both"/>
        <w:rPr/>
      </w:pPr>
      <w:r>
        <w:rPr>
          <w:rFonts w:ascii="Times New Roman;sans-serif" w:hAnsi="Times New Roman;sans-serif"/>
          <w:b/>
          <w:color w:val="000000"/>
          <w:sz w:val="24"/>
        </w:rPr>
        <w:t xml:space="preserve">11. </w:t>
      </w:r>
      <w:r>
        <w:rPr>
          <w:rFonts w:ascii="Times New Roman;sans-serif" w:hAnsi="Times New Roman;sans-serif"/>
          <w:b/>
          <w:color w:val="000000"/>
          <w:sz w:val="24"/>
          <w:u w:val="single"/>
        </w:rPr>
        <w:t>NON-SOLICITATION</w:t>
      </w:r>
      <w:r>
        <w:rPr>
          <w:rFonts w:ascii="Times New Roman;sans-serif" w:hAnsi="Times New Roman;sans-serif"/>
          <w:b w:val="false"/>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The parties agree that each have an important interest in maintaining a stable work force and in protecting its Confidential and Proprietary Information (as described below). Therefore, parties agree that, during the Term of this Agreement and for a period of twelve months thereafter (the “</w:t>
      </w:r>
      <w:r>
        <w:rPr>
          <w:rFonts w:ascii="Times New Roman;sans-serif" w:hAnsi="Times New Roman;sans-serif"/>
          <w:b/>
          <w:i/>
          <w:color w:val="000000"/>
          <w:sz w:val="24"/>
        </w:rPr>
        <w:t>Restricted Period</w:t>
      </w:r>
      <w:r>
        <w:rPr>
          <w:color w:val="000000"/>
        </w:rPr>
        <w:t>”</w:t>
      </w:r>
      <w:r>
        <w:rPr>
          <w:rFonts w:ascii="Times New Roman;sans-serif" w:hAnsi="Times New Roman;sans-serif"/>
          <w:b w:val="false"/>
          <w:color w:val="000000"/>
          <w:sz w:val="24"/>
        </w:rPr>
        <w:t xml:space="preserve">), not to directly or indirectly, solicit, induce, recruit or encourage any of the other party’s employees or consultants to terminate their relationship with the other party, or attempt to solicit,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30555"/>
                <wp:effectExtent l="0" t="0" r="0" b="0"/>
                <wp:wrapNone/>
                <wp:docPr id="126" name="Frame126"/>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10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10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induce, recruit, encourage or take away employees or consultants of the other party, either for the benefit of other party or for the benefit of any other person or entity. This restriction shall not apply to employees responding to commercially reasonable employment advertisements in common national or regional recruiting media. </w:t>
      </w:r>
    </w:p>
    <w:p>
      <w:pPr>
        <w:pStyle w:val="TextBody"/>
        <w:bidi w:val="0"/>
        <w:spacing w:lineRule="auto" w:line="240" w:before="0" w:after="240"/>
        <w:jc w:val="both"/>
        <w:rPr/>
      </w:pPr>
      <w:r>
        <w:rPr>
          <w:rFonts w:ascii="Times New Roman;sans-serif" w:hAnsi="Times New Roman;sans-serif"/>
          <w:b/>
          <w:color w:val="000000"/>
          <w:sz w:val="24"/>
        </w:rPr>
        <w:t xml:space="preserve">12. </w:t>
      </w:r>
      <w:r>
        <w:rPr>
          <w:rFonts w:ascii="Times New Roman;sans-serif" w:hAnsi="Times New Roman;sans-serif"/>
          <w:b/>
          <w:color w:val="000000"/>
          <w:sz w:val="24"/>
          <w:u w:val="single"/>
        </w:rPr>
        <w:t>CONFIDENTIALITY; PUBLICITY</w:t>
      </w:r>
      <w:r>
        <w:rPr>
          <w:rFonts w:ascii="Times New Roman;sans-serif" w:hAnsi="Times New Roman;sans-serif"/>
          <w:b w:val="false"/>
          <w:color w:val="000000"/>
          <w:sz w:val="24"/>
        </w:rPr>
        <w:t>.</w:t>
      </w:r>
    </w:p>
    <w:p>
      <w:pPr>
        <w:pStyle w:val="TextBody"/>
        <w:bidi w:val="0"/>
        <w:spacing w:lineRule="auto" w:line="240" w:before="0" w:after="240"/>
        <w:ind w:left="0" w:right="0" w:hanging="432"/>
        <w:jc w:val="both"/>
        <w:rPr/>
      </w:pPr>
      <w:r>
        <w:rPr>
          <w:rFonts w:ascii="Cambria;sans-serif" w:hAnsi="Cambria;sans-serif"/>
          <w:b/>
          <w:color w:val="000000"/>
          <w:sz w:val="24"/>
        </w:rPr>
        <w:t>12.1</w:t>
      </w:r>
      <w:r>
        <w:rPr>
          <w:rFonts w:ascii="Times New Roman;sans-serif" w:hAnsi="Times New Roman;sans-serif"/>
          <w:b/>
          <w:color w:val="000000"/>
          <w:sz w:val="24"/>
          <w:u w:val="single"/>
        </w:rPr>
        <w:t>Confidential and Proprietary Information</w:t>
      </w:r>
      <w:r>
        <w:rPr>
          <w:rFonts w:ascii="Times New Roman;sans-serif" w:hAnsi="Times New Roman;sans-serif"/>
          <w:b w:val="false"/>
          <w:color w:val="000000"/>
          <w:sz w:val="24"/>
        </w:rPr>
        <w:t>. The Company and Supplier will have access to each other’s Confidential and Proprietary Information. “</w:t>
      </w:r>
      <w:r>
        <w:rPr>
          <w:rFonts w:ascii="Times New Roman;sans-serif" w:hAnsi="Times New Roman;sans-serif"/>
          <w:b/>
          <w:i/>
          <w:color w:val="000000"/>
          <w:sz w:val="24"/>
        </w:rPr>
        <w:t>Confidential and Proprietary Information</w:t>
      </w:r>
      <w:r>
        <w:rPr>
          <w:color w:val="000000"/>
        </w:rPr>
        <w:t xml:space="preserve">” </w:t>
      </w:r>
      <w:r>
        <w:rPr>
          <w:rFonts w:ascii="Times New Roman;sans-serif" w:hAnsi="Times New Roman;sans-serif"/>
          <w:b w:val="false"/>
          <w:color w:val="000000"/>
          <w:sz w:val="24"/>
        </w:rPr>
        <w:t>means any trade secret, other information viewed by the party disclosing it (the “</w:t>
      </w:r>
      <w:r>
        <w:rPr>
          <w:rFonts w:ascii="Times New Roman;sans-serif" w:hAnsi="Times New Roman;sans-serif"/>
          <w:b/>
          <w:i/>
          <w:color w:val="000000"/>
          <w:sz w:val="24"/>
        </w:rPr>
        <w:t>Disclosing Party</w:t>
      </w:r>
      <w:r>
        <w:rPr>
          <w:color w:val="000000"/>
        </w:rPr>
        <w:t>”</w:t>
      </w:r>
      <w:r>
        <w:rPr>
          <w:rFonts w:ascii="Times New Roman;sans-serif" w:hAnsi="Times New Roman;sans-serif"/>
          <w:b w:val="false"/>
          <w:color w:val="000000"/>
          <w:sz w:val="24"/>
        </w:rPr>
        <w:t>) as confidential and/or proprietary, and any and all information or proprietary materials (in every form and media) not generally known in the relevant trade or industry made available by either party to the party receiving such information (in such case, the “</w:t>
      </w:r>
      <w:r>
        <w:rPr>
          <w:rFonts w:ascii="Times New Roman;sans-serif" w:hAnsi="Times New Roman;sans-serif"/>
          <w:b/>
          <w:i/>
          <w:color w:val="000000"/>
          <w:sz w:val="24"/>
        </w:rPr>
        <w:t>Receiving Party</w:t>
      </w:r>
      <w:r>
        <w:rPr>
          <w:color w:val="000000"/>
        </w:rPr>
        <w:t>”</w:t>
      </w:r>
      <w:r>
        <w:rPr>
          <w:rFonts w:ascii="Times New Roman;sans-serif" w:hAnsi="Times New Roman;sans-serif"/>
          <w:b w:val="false"/>
          <w:color w:val="000000"/>
          <w:sz w:val="24"/>
        </w:rPr>
        <w:t xml:space="preserve">) in connection with the efforts contemplated hereunder and which the Disclosing Party has marked as confidential (or with other similar designation) at the time of disclosure; and/or disclosed by Disclosing Party in any other manner and identified as confidential at the time of disclosure and/or may reasonably be understood as confidential, including, but not limited to (i) all non-public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shall maintain the Disclosing Party’s Confidential and Proprietary Information using the same standard of care it uses to maintain its own Confidential and Proprietary Information in confidence, but in any case, no less than reasonable care; not use or permit to be used the Disclosing Party’s Confidential and Proprietary Information for any purpose other than the performance of its rights and obligations under this Agreement; and not disclose such information to any third parties except to those who need to know the information to assist the Receiving Party to exercise its rights or perform its obligations under this Agreement. Such obligation of confidentiality and non-use shall not apply to information which (a) is known to the Receiving Party prior to the disclosure as demonstrated by documentary evidence, (b) is publicly known as of the date of the disclosure, (c) becomes publicly known after the date of disclosure through no fault of the Receiving Party, (d) is received by the Receiving Party from a third party who has, to the Receiving Party’s knowledge, no obligation of confidentiality to the Disclosing Party, or (v) is developed independently by the Receiving Party without reference to the Disclosing Party’s Confidential and Proprietary Information as demonstrated by documentary evidence. Such obligation of confidentiality and non-use shall survive any expiration or termination of this Agreement for a period of ten (10) years; provided that Disclosing Party’s information that meets the legal definition of a trade secret, will indefinitely survive the termination of this agreement pursuant only to the terms in this Section 12.1. The Receiving Party shall be responsible for any breach of this section caused by any of its affiliates, employees, officers, directors, agents, or third parties to whom the Receiving Party disclosed the Disclosing Party’s Confidential and Proprietary Information. The restrictions on disclosure contained in this Section 12.1 shall not apply to any information which is required to be disclosed by a valid court order or governmental law or regulation, provided that the Receiving Party gives the Disclosing Party prompt notice of any such requirement and cooperates with the Disclosing Party, at the Disclosing Party’s expense, in attempting to limit such disclosure and obtain confidential treatment thereof. </w:t>
      </w:r>
    </w:p>
    <w:p>
      <w:pPr>
        <w:pStyle w:val="TextBody"/>
        <w:bidi w:val="0"/>
        <w:spacing w:lineRule="auto" w:line="240" w:before="0" w:after="240"/>
        <w:ind w:left="0" w:right="0" w:hanging="432"/>
        <w:jc w:val="both"/>
        <w:rPr/>
      </w:pPr>
      <w:r>
        <w:rPr>
          <w:rFonts w:ascii="Cambria;sans-serif" w:hAnsi="Cambria;sans-serif"/>
          <w:b/>
          <w:color w:val="000000"/>
          <w:sz w:val="24"/>
        </w:rPr>
        <w:t>12.2</w:t>
      </w:r>
      <w:r>
        <w:rPr>
          <w:rFonts w:ascii="Times New Roman;sans-serif" w:hAnsi="Times New Roman;sans-serif"/>
          <w:b/>
          <w:color w:val="000000"/>
          <w:sz w:val="24"/>
          <w:u w:val="single"/>
        </w:rPr>
        <w:t>Misuse of Confidential and Proprietary Information</w:t>
      </w:r>
      <w:r>
        <w:rPr>
          <w:rFonts w:ascii="Times New Roman;sans-serif" w:hAnsi="Times New Roman;sans-serif"/>
          <w:b w:val="false"/>
          <w:color w:val="000000"/>
          <w:sz w:val="24"/>
        </w:rPr>
        <w:t xml:space="preserve">. Each Receiving Party understands and agrees that this provision prohibits it from rendering services to another party to the extent that such Receiving Party would use, disclose, or rely upon the Disclosing Party’s Confidential and Proprietary Information in any way other than for the Disclosing Party’s benefit and in the furtherance of the objectives of this Agreement. Such unauthorized use of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30555"/>
                <wp:effectExtent l="0" t="0" r="0" b="0"/>
                <wp:wrapNone/>
                <wp:docPr id="127" name="Frame127"/>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11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11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Confidential and Proprietary Information shall include, but not be limited to use or disclosure of Confidential and Proprietary Information to: (i) discourage any of the Disclosing Party’s clients, customers or distributors, or prospective clients, customers or distributors from purchasing such Disclosing Party’s products or services; or (ii) solicit, influence, or attempt to solicit or influence any client, customer, distributor or other person, either directly or indirectly, to direct any purchase of products to any person, firm, corporation, institution or other entity in competition with the business of the Disclosing Party as such business is conducted or proposed throughout the Term of this Agreement.</w:t>
      </w:r>
    </w:p>
    <w:p>
      <w:pPr>
        <w:pStyle w:val="TextBody"/>
        <w:bidi w:val="0"/>
        <w:spacing w:lineRule="auto" w:line="240" w:before="0" w:after="240"/>
        <w:ind w:left="0" w:right="0" w:hanging="432"/>
        <w:jc w:val="both"/>
        <w:rPr/>
      </w:pPr>
      <w:r>
        <w:rPr>
          <w:rFonts w:ascii="Cambria;sans-serif" w:hAnsi="Cambria;sans-serif"/>
          <w:b/>
          <w:color w:val="000000"/>
          <w:sz w:val="24"/>
        </w:rPr>
        <w:t>12.3</w:t>
      </w:r>
      <w:r>
        <w:rPr>
          <w:rFonts w:ascii="Times New Roman;sans-serif" w:hAnsi="Times New Roman;sans-serif"/>
          <w:b/>
          <w:color w:val="000000"/>
          <w:sz w:val="24"/>
          <w:u w:val="single"/>
        </w:rPr>
        <w:t>Publicity</w:t>
      </w:r>
      <w:r>
        <w:rPr>
          <w:rFonts w:ascii="Times New Roman;sans-serif" w:hAnsi="Times New Roman;sans-serif"/>
          <w:b w:val="false"/>
          <w:color w:val="000000"/>
          <w:sz w:val="24"/>
        </w:rPr>
        <w:t>. Except as otherwise provided in this Agreement or required by Law, neither party shall use the other’s name or refer to it directly or indirectly in an advertisement, news release or release to any professional or trade publication without written approval from such party, which approval may not be unreasonably withheld or delayed. Neither party shall use the name of the other for advertising or promotional claims without the prior written consent of the other party.</w:t>
      </w:r>
    </w:p>
    <w:p>
      <w:pPr>
        <w:pStyle w:val="TextBody"/>
        <w:bidi w:val="0"/>
        <w:spacing w:lineRule="auto" w:line="240" w:before="0" w:after="240"/>
        <w:ind w:left="0" w:right="0" w:hanging="432"/>
        <w:jc w:val="both"/>
        <w:rPr/>
      </w:pPr>
      <w:r>
        <w:rPr>
          <w:rFonts w:ascii="Cambria;sans-serif" w:hAnsi="Cambria;sans-serif"/>
          <w:b/>
          <w:color w:val="000000"/>
          <w:sz w:val="24"/>
        </w:rPr>
        <w:t>12.4</w:t>
      </w:r>
      <w:r>
        <w:rPr>
          <w:rFonts w:ascii="Times New Roman;sans-serif" w:hAnsi="Times New Roman;sans-serif"/>
          <w:b/>
          <w:color w:val="000000"/>
          <w:sz w:val="24"/>
          <w:u w:val="single"/>
        </w:rPr>
        <w:t>Damages Inadequate</w:t>
      </w:r>
      <w:r>
        <w:rPr>
          <w:rFonts w:ascii="Times New Roman;sans-serif" w:hAnsi="Times New Roman;sans-serif"/>
          <w:b w:val="false"/>
          <w:color w:val="000000"/>
          <w:sz w:val="24"/>
        </w:rPr>
        <w:t>. The parties acknowledge that monetary damages may be an inadequate remedy for any breach by a party of its obligations under this Section 12 and that the non-breaching party shall be entitled to seek injunctive relief and specific performance to enforce the breaching party’s obligations, in addition to any other remedies the non-breaching party may be entitled to at law.</w:t>
      </w:r>
    </w:p>
    <w:p>
      <w:pPr>
        <w:pStyle w:val="TextBody"/>
        <w:bidi w:val="0"/>
        <w:spacing w:lineRule="auto" w:line="240" w:before="0" w:after="240"/>
        <w:jc w:val="both"/>
        <w:rPr/>
      </w:pPr>
      <w:r>
        <w:rPr>
          <w:rFonts w:ascii="Times New Roman;sans-serif" w:hAnsi="Times New Roman;sans-serif"/>
          <w:b/>
          <w:color w:val="000000"/>
          <w:sz w:val="24"/>
        </w:rPr>
        <w:t xml:space="preserve">13. </w:t>
      </w:r>
      <w:r>
        <w:rPr>
          <w:rFonts w:ascii="Times New Roman;sans-serif" w:hAnsi="Times New Roman;sans-serif"/>
          <w:b/>
          <w:color w:val="000000"/>
          <w:sz w:val="24"/>
          <w:u w:val="single"/>
        </w:rPr>
        <w:t>REMEDIES; INDEMNIFICATION</w:t>
      </w:r>
      <w:r>
        <w:rPr>
          <w:rFonts w:ascii="Times New Roman;sans-serif" w:hAnsi="Times New Roman;sans-serif"/>
          <w:b w:val="false"/>
          <w:color w:val="000000"/>
          <w:sz w:val="24"/>
        </w:rPr>
        <w:t>.</w:t>
      </w:r>
    </w:p>
    <w:p>
      <w:pPr>
        <w:pStyle w:val="TextBody"/>
        <w:bidi w:val="0"/>
        <w:spacing w:lineRule="auto" w:line="240" w:before="0" w:after="240"/>
        <w:ind w:left="0" w:right="0" w:hanging="432"/>
        <w:jc w:val="both"/>
        <w:rPr/>
      </w:pPr>
      <w:r>
        <w:rPr>
          <w:rFonts w:ascii="Cambria;sans-serif" w:hAnsi="Cambria;sans-serif"/>
          <w:b/>
          <w:color w:val="000000"/>
          <w:sz w:val="24"/>
        </w:rPr>
        <w:t>13.1</w:t>
      </w:r>
      <w:r>
        <w:rPr>
          <w:rFonts w:ascii="Times New Roman;sans-serif" w:hAnsi="Times New Roman;sans-serif"/>
          <w:b/>
          <w:color w:val="000000"/>
          <w:sz w:val="24"/>
          <w:u w:val="single"/>
        </w:rPr>
        <w:t>Indemnification by Supplier</w:t>
      </w:r>
      <w:r>
        <w:rPr>
          <w:rFonts w:ascii="Times New Roman;sans-serif" w:hAnsi="Times New Roman;sans-serif"/>
          <w:b w:val="false"/>
          <w:color w:val="000000"/>
          <w:sz w:val="24"/>
        </w:rPr>
        <w:t>. Supplier agrees to indemnify, defend and hold Company, its affiliates, officers, directors, agents and employees (“</w:t>
      </w:r>
      <w:r>
        <w:rPr>
          <w:rFonts w:ascii="Times New Roman;sans-serif" w:hAnsi="Times New Roman;sans-serif"/>
          <w:b/>
          <w:i/>
          <w:color w:val="000000"/>
          <w:sz w:val="24"/>
        </w:rPr>
        <w:t>Company Indemnitees</w:t>
      </w:r>
      <w:r>
        <w:rPr>
          <w:color w:val="000000"/>
        </w:rPr>
        <w:t>”</w:t>
      </w:r>
      <w:r>
        <w:rPr>
          <w:rFonts w:ascii="Times New Roman;sans-serif" w:hAnsi="Times New Roman;sans-serif"/>
          <w:b w:val="false"/>
          <w:color w:val="000000"/>
          <w:sz w:val="24"/>
        </w:rPr>
        <w:t>) harmless from and against all actions, liabilities, damages, claims and demands whatsoever, including, but not limited to, attorney fees and other expenses (“</w:t>
      </w:r>
      <w:r>
        <w:rPr>
          <w:rFonts w:ascii="Times New Roman;sans-serif" w:hAnsi="Times New Roman;sans-serif"/>
          <w:b/>
          <w:i/>
          <w:color w:val="000000"/>
          <w:sz w:val="24"/>
        </w:rPr>
        <w:t>Claims</w:t>
      </w:r>
      <w:r>
        <w:rPr>
          <w:color w:val="000000"/>
        </w:rPr>
        <w:t>”</w:t>
      </w:r>
      <w:r>
        <w:rPr>
          <w:rFonts w:ascii="Times New Roman;sans-serif" w:hAnsi="Times New Roman;sans-serif"/>
          <w:b w:val="false"/>
          <w:color w:val="000000"/>
          <w:sz w:val="24"/>
        </w:rPr>
        <w:t>) that are brought or communicated by third parties against the Company Indemnitees and to the extent caused by Supplier’s or Supplier Indemnitee’s: (a) breach of this Agreement; (b) violation of Law; (c) breach of representations and warranties; (d) any claim of Intellectual Property Rights infringement arising from Supplier’s manufacturing processes or Supplier’s services provided hereunder, provided such infringement is not a direct result of the Specifications provided by Company; or (e) negligence, recklessness or willful misconduct. The duty to indemnify will not apply to the extent that any Claim arises from the negligence, recklessness, or willful misconduct of a Company Indemnitee or Company’s breach of this Agreement.</w:t>
      </w:r>
    </w:p>
    <w:p>
      <w:pPr>
        <w:pStyle w:val="TextBody"/>
        <w:bidi w:val="0"/>
        <w:spacing w:lineRule="auto" w:line="240" w:before="0" w:after="240"/>
        <w:ind w:left="0" w:right="0" w:hanging="432"/>
        <w:jc w:val="both"/>
        <w:rPr/>
      </w:pPr>
      <w:r>
        <w:rPr>
          <w:rFonts w:ascii="Cambria;sans-serif" w:hAnsi="Cambria;sans-serif"/>
          <w:b/>
          <w:color w:val="000000"/>
          <w:sz w:val="24"/>
        </w:rPr>
        <w:t>13.2</w:t>
      </w:r>
      <w:r>
        <w:rPr>
          <w:rFonts w:ascii="Times New Roman;sans-serif" w:hAnsi="Times New Roman;sans-serif"/>
          <w:b/>
          <w:color w:val="000000"/>
          <w:sz w:val="24"/>
          <w:u w:val="single"/>
        </w:rPr>
        <w:t>Indemnification by Company</w:t>
      </w:r>
      <w:r>
        <w:rPr>
          <w:rFonts w:ascii="Times New Roman;sans-serif" w:hAnsi="Times New Roman;sans-serif"/>
          <w:b w:val="false"/>
          <w:color w:val="000000"/>
          <w:sz w:val="24"/>
        </w:rPr>
        <w:t>. Company agrees to indemnify, defend and hold Supplier, its affiliates, officers, directors, agents and employees (“</w:t>
      </w:r>
      <w:r>
        <w:rPr>
          <w:rFonts w:ascii="Times New Roman;sans-serif" w:hAnsi="Times New Roman;sans-serif"/>
          <w:b/>
          <w:i/>
          <w:color w:val="000000"/>
          <w:sz w:val="24"/>
        </w:rPr>
        <w:t>Supplier Indemnitees</w:t>
      </w:r>
      <w:r>
        <w:rPr>
          <w:color w:val="000000"/>
        </w:rPr>
        <w:t>”</w:t>
      </w:r>
      <w:r>
        <w:rPr>
          <w:rFonts w:ascii="Times New Roman;sans-serif" w:hAnsi="Times New Roman;sans-serif"/>
          <w:b w:val="false"/>
          <w:color w:val="000000"/>
          <w:sz w:val="24"/>
        </w:rPr>
        <w:t>) harmless from and against all Claims that are brought or communicated by third parties against Supplier Indemnitees to the extent caused by to: (a) Company’s breach of this Agreement; (b) Company’s violation of Law; (c) defects or alleged defects in the design of the Products, provided such design defects are a result of Specifications or instructions provided by Company and not Supplier’s manufacturing process; (d) the use, misuse or inability to use Products arising from the Company’s design or Specifications; (e) infringement of the Intellectual Property Rights of third parties, provided such infringement is a direct result of the Specifications or instructions provided by Company; or (f) Company’s negligence, recklessness or willful misconduct. The duty to indemnify will not apply to the extent that any Claim arises from the negligence, recklessness, or willful misconduct of a Supplier Indemnitee or Supplier’s breach of this Agreement.</w:t>
      </w:r>
    </w:p>
    <w:p>
      <w:pPr>
        <w:pStyle w:val="TextBody"/>
        <w:bidi w:val="0"/>
        <w:spacing w:lineRule="auto" w:line="240" w:before="0" w:after="240"/>
        <w:ind w:left="0" w:right="0" w:hanging="432"/>
        <w:jc w:val="both"/>
        <w:rPr/>
      </w:pPr>
      <w:r>
        <w:rPr>
          <w:rFonts w:ascii="Cambria;sans-serif" w:hAnsi="Cambria;sans-serif"/>
          <w:b/>
          <w:color w:val="000000"/>
          <w:sz w:val="24"/>
        </w:rPr>
        <w:t>13.3</w:t>
      </w:r>
      <w:r>
        <w:rPr>
          <w:rFonts w:ascii="Times New Roman;sans-serif" w:hAnsi="Times New Roman;sans-serif"/>
          <w:b/>
          <w:color w:val="000000"/>
          <w:sz w:val="24"/>
          <w:u w:val="single"/>
        </w:rPr>
        <w:t>Indemnification Procedure</w:t>
      </w:r>
      <w:r>
        <w:rPr>
          <w:rFonts w:ascii="Times New Roman;sans-serif" w:hAnsi="Times New Roman;sans-serif"/>
          <w:b w:val="false"/>
          <w:color w:val="000000"/>
          <w:sz w:val="24"/>
        </w:rPr>
        <w:t>. The party claiming indemnity (the “</w:t>
      </w:r>
      <w:r>
        <w:rPr>
          <w:rFonts w:ascii="Times New Roman;sans-serif" w:hAnsi="Times New Roman;sans-serif"/>
          <w:b/>
          <w:i/>
          <w:color w:val="000000"/>
          <w:sz w:val="24"/>
        </w:rPr>
        <w:t>Indemnified Party</w:t>
      </w:r>
      <w:r>
        <w:rPr>
          <w:color w:val="000000"/>
        </w:rPr>
        <w:t>”</w:t>
      </w:r>
      <w:r>
        <w:rPr>
          <w:rFonts w:ascii="Times New Roman;sans-serif" w:hAnsi="Times New Roman;sans-serif"/>
          <w:b w:val="false"/>
          <w:color w:val="000000"/>
          <w:sz w:val="24"/>
        </w:rPr>
        <w:t>) shall provide the party from whom indemnity is being sought (the “</w:t>
      </w:r>
      <w:r>
        <w:rPr>
          <w:rFonts w:ascii="Times New Roman;sans-serif" w:hAnsi="Times New Roman;sans-serif"/>
          <w:b/>
          <w:i/>
          <w:color w:val="000000"/>
          <w:sz w:val="24"/>
        </w:rPr>
        <w:t>Indemnifying Party</w:t>
      </w:r>
      <w:r>
        <w:rPr>
          <w:color w:val="000000"/>
        </w:rPr>
        <w:t>”</w:t>
      </w:r>
      <w:r>
        <w:rPr>
          <w:rFonts w:ascii="Times New Roman;sans-serif" w:hAnsi="Times New Roman;sans-serif"/>
          <w:b w:val="false"/>
          <w:color w:val="000000"/>
          <w:sz w:val="24"/>
        </w:rPr>
        <w:t xml:space="preserve">) with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30555"/>
                <wp:effectExtent l="0" t="0" r="0" b="0"/>
                <wp:wrapNone/>
                <wp:docPr id="128" name="Frame128"/>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12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12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reasonable assistance, at the Indemnifying Party’s expense, in connection with the defense of the claim for which indemnity is being sought. The Indemnifying Party shall have the right to assume sole control over the defense of such claim and conduct the defense of the claim with counsel of its choice. The Indemnifying Party shall not settle any claim without the prior written consent of the Indemnified Party, not to be unreasonably withheld, unless the settlement involves only the payment of money.</w:t>
      </w:r>
    </w:p>
    <w:p>
      <w:pPr>
        <w:pStyle w:val="TextBody"/>
        <w:bidi w:val="0"/>
        <w:spacing w:lineRule="auto" w:line="240" w:before="0" w:after="240"/>
        <w:ind w:left="0" w:right="0" w:hanging="432"/>
        <w:jc w:val="both"/>
        <w:rPr/>
      </w:pPr>
      <w:r>
        <w:rPr>
          <w:rFonts w:ascii="Cambria;sans-serif" w:hAnsi="Cambria;sans-serif"/>
          <w:b/>
          <w:color w:val="000000"/>
          <w:sz w:val="24"/>
        </w:rPr>
        <w:t>13.4</w:t>
      </w:r>
      <w:r>
        <w:rPr>
          <w:rFonts w:ascii="Times New Roman;sans-serif" w:hAnsi="Times New Roman;sans-serif"/>
          <w:b/>
          <w:color w:val="000000"/>
          <w:sz w:val="24"/>
          <w:u w:val="single"/>
        </w:rPr>
        <w:t>Limitations of Damages</w:t>
      </w:r>
      <w:r>
        <w:rPr>
          <w:rFonts w:ascii="Times New Roman;sans-serif" w:hAnsi="Times New Roman;sans-serif"/>
          <w:b w:val="false"/>
          <w:color w:val="000000"/>
          <w:sz w:val="24"/>
        </w:rPr>
        <w:t xml:space="preserve">. Notwithstanding anything to the contrary contained in this Agreement, neither party shall be liable to the other party or its affiliates (except with respect to either party’s breach of its obligations of Section 12, or indemnification obligations of Section 13.1 or 13.2 with respect to third party claims) for any indirect, special, incidental (including, without limitation, lost profits) or punitive damages of the other party or its affiliates from any breach or default of a party’s obligations hereunder or the breach of any representation or warranty made hereunder. Except with respect to either party’s breach of its obligations of Section 12, or indemnification obligations of Section 13.1 or 13.2 with respect to third party claims, the collective liability of either party to the other under this Agreement shall be limited on an aggregate basis (not per claim or occurrence) to the lesser of the preceding 12 months revenue of Supplier from Company or </w:t>
      </w:r>
      <w:r>
        <w:rPr>
          <w:rFonts w:ascii="Times New Roman;sans-serif" w:hAnsi="Times New Roman;sans-serif"/>
          <w:b/>
          <w:color w:val="000000"/>
          <w:sz w:val="20"/>
        </w:rPr>
        <w:t>[***</w:t>
      </w:r>
      <w:r>
        <w:rPr>
          <w:rFonts w:ascii="Times New Roman;sans-serif" w:hAnsi="Times New Roman;sans-serif"/>
          <w:b w:val="false"/>
          <w:color w:val="000000"/>
          <w:sz w:val="24"/>
        </w:rPr>
        <w:t xml:space="preserve">, except that with respect to damages or liabilities arising out of personal injury or death due to gross negligence or willful misconduct, such collective liability shall be limited to </w:t>
      </w:r>
      <w:r>
        <w:rPr>
          <w:rFonts w:ascii="Times New Roman;sans-serif" w:hAnsi="Times New Roman;sans-serif"/>
          <w:b/>
          <w:color w:val="000000"/>
          <w:sz w:val="20"/>
        </w:rPr>
        <w:t>[***</w:t>
      </w:r>
      <w:r>
        <w:rPr>
          <w:rFonts w:ascii="Times New Roman;sans-serif" w:hAnsi="Times New Roman;sans-serif"/>
          <w:b w:val="false"/>
          <w:color w:val="000000"/>
          <w:sz w:val="24"/>
        </w:rPr>
        <w:t xml:space="preserve">. Upon payment(s) by the Supplier and/or Supplier Indemnitees to the Company and/or Company Indemnitees, or payment(s) by Company and/or the Company Indemnitees to Supplier and/or the Supplier Indemnitees, the party having made such payments shall be relieved and discharged from any further liability to the other party and/or its Indemnitees under this Agreement, or otherwise for contribution or to defend, indemnify, and/or hold harmless the other party and/or its Indemnitees. </w:t>
      </w:r>
    </w:p>
    <w:p>
      <w:pPr>
        <w:pStyle w:val="TextBody"/>
        <w:bidi w:val="0"/>
        <w:spacing w:lineRule="auto" w:line="240" w:before="0" w:after="240"/>
        <w:jc w:val="both"/>
        <w:rPr/>
      </w:pPr>
      <w:r>
        <w:rPr>
          <w:rFonts w:ascii="Times New Roman;sans-serif" w:hAnsi="Times New Roman;sans-serif"/>
          <w:b/>
          <w:color w:val="000000"/>
          <w:sz w:val="24"/>
        </w:rPr>
        <w:t xml:space="preserve">14. </w:t>
      </w:r>
      <w:r>
        <w:rPr>
          <w:rFonts w:ascii="Times New Roman;sans-serif" w:hAnsi="Times New Roman;sans-serif"/>
          <w:b/>
          <w:color w:val="000000"/>
          <w:sz w:val="24"/>
          <w:u w:val="single"/>
        </w:rPr>
        <w:t>MISCELLANEOUS</w:t>
      </w:r>
    </w:p>
    <w:p>
      <w:pPr>
        <w:pStyle w:val="TextBody"/>
        <w:bidi w:val="0"/>
        <w:spacing w:lineRule="auto" w:line="240" w:before="0" w:after="240"/>
        <w:ind w:left="0" w:right="0" w:hanging="432"/>
        <w:jc w:val="both"/>
        <w:rPr/>
      </w:pPr>
      <w:r>
        <w:rPr>
          <w:rFonts w:ascii="Cambria;sans-serif" w:hAnsi="Cambria;sans-serif"/>
          <w:b/>
          <w:color w:val="000000"/>
          <w:sz w:val="24"/>
        </w:rPr>
        <w:t>14.1</w:t>
      </w:r>
      <w:r>
        <w:rPr>
          <w:rFonts w:ascii="Times New Roman;sans-serif" w:hAnsi="Times New Roman;sans-serif"/>
          <w:b/>
          <w:color w:val="000000"/>
          <w:sz w:val="24"/>
          <w:u w:val="single"/>
        </w:rPr>
        <w:t>Assignment; Binding Effect</w:t>
      </w:r>
      <w:r>
        <w:rPr>
          <w:rFonts w:ascii="Times New Roman;sans-serif" w:hAnsi="Times New Roman;sans-serif"/>
          <w:b w:val="false"/>
          <w:color w:val="000000"/>
          <w:sz w:val="24"/>
        </w:rPr>
        <w:t xml:space="preserve">. This Agreement shall not be assignable or otherwise transferable by Supplier without the prior written consent of Company and shall be binding upon and inure to the benefit of the parties and their respective successors and permitted assigns. This Agreement shall not be assignable or otherwise transferable by Company without the prior written consent of Supplier, provided that Company may assign this Agreement to any affiliate of Company without Supplier’s consent or in connection with a merger, acquisition or sale of the stock of, or all or substantially all of the assets of, Company. Notwithstanding anything in this Agreement, the parties acknowledge and agree that Company may perform its obligations under this Agreement through an affiliate of Company. </w:t>
      </w:r>
    </w:p>
    <w:p>
      <w:pPr>
        <w:pStyle w:val="TextBody"/>
        <w:bidi w:val="0"/>
        <w:spacing w:lineRule="auto" w:line="240" w:before="0" w:after="240"/>
        <w:ind w:left="0" w:right="0" w:hanging="432"/>
        <w:jc w:val="both"/>
        <w:rPr/>
      </w:pPr>
      <w:r>
        <w:rPr>
          <w:rFonts w:ascii="Cambria;sans-serif" w:hAnsi="Cambria;sans-serif"/>
          <w:b/>
          <w:color w:val="000000"/>
          <w:sz w:val="24"/>
        </w:rPr>
        <w:t>14.2</w:t>
      </w:r>
      <w:r>
        <w:rPr>
          <w:rFonts w:ascii="Times New Roman;sans-serif" w:hAnsi="Times New Roman;sans-serif"/>
          <w:b/>
          <w:color w:val="000000"/>
          <w:sz w:val="24"/>
          <w:u w:val="single"/>
        </w:rPr>
        <w:t>Notices</w:t>
      </w:r>
      <w:r>
        <w:rPr>
          <w:rFonts w:ascii="Times New Roman;sans-serif" w:hAnsi="Times New Roman;sans-serif"/>
          <w:b w:val="false"/>
          <w:color w:val="000000"/>
          <w:sz w:val="24"/>
        </w:rPr>
        <w:t>. All notices, requests, claims, demands and other communications hereunder shall be in writing and shall be deemed to have been duly given (a) when received if delivered personally, including by recognized overnight delivery service, (b) when transmitted by facsimile or electronic mail (email), with confirmation of successful transmission, provided that such delivery is followed by physical delivery, (c) upon receipt, if sent by registered or certified mail (postage prepaid, return receipt requested) and (d) the next business day after it is sent, if sent for next-day delivery to a domestic address by overnight mail or courier, to the parties at the following addresses: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Company, to:    SI-BONE, Inc.</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471 El Camino Real, Suite 101</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Santa Clara, CA 95050</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ATTN: CFO</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legal@si-bone.com</w:t>
      </w:r>
    </w:p>
    <w:p>
      <w:pPr>
        <w:pStyle w:val="TextBody"/>
        <w:bidi w:val="0"/>
        <w:jc w:val="both"/>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30555"/>
                <wp:effectExtent l="0" t="0" r="0" b="0"/>
                <wp:wrapNone/>
                <wp:docPr id="129" name="Frame129"/>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13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13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to Supplier, to:    rms COMPANY</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8600 Evergreen Boulevard</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Coon Rapids, MN 95050</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ATTN: Director of Sales &amp; Marketing</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With a copy to:</w:t>
      </w:r>
    </w:p>
    <w:p>
      <w:pPr>
        <w:pStyle w:val="TextBody"/>
        <w:bidi w:val="0"/>
        <w:spacing w:lineRule="auto" w:line="240" w:before="0" w:after="0"/>
        <w:jc w:val="both"/>
        <w:rPr/>
      </w:pPr>
      <w:r>
        <w:rPr>
          <w:color w:val="000000"/>
        </w:rPr>
        <w:t>    </w:t>
      </w:r>
      <w:r>
        <w:rPr>
          <w:rFonts w:ascii="Times New Roman;sans-serif" w:hAnsi="Times New Roman;sans-serif"/>
          <w:b/>
          <w:color w:val="000000"/>
          <w:sz w:val="20"/>
        </w:rPr>
        <w:t>[***]</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311 Lowell Ave</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Elk River, MN 55330</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ATTN: Contract Manager        </w:t>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however, that if any party shall have designated a different address by notice to the others, then to the last address so designated.</w:t>
      </w:r>
    </w:p>
    <w:p>
      <w:pPr>
        <w:pStyle w:val="TextBody"/>
        <w:bidi w:val="0"/>
        <w:spacing w:lineRule="auto" w:line="240" w:before="0" w:after="240"/>
        <w:ind w:left="0" w:right="0" w:hanging="432"/>
        <w:jc w:val="both"/>
        <w:rPr/>
      </w:pPr>
      <w:r>
        <w:rPr>
          <w:rFonts w:ascii="Cambria;sans-serif" w:hAnsi="Cambria;sans-serif"/>
          <w:b/>
          <w:color w:val="000000"/>
          <w:sz w:val="24"/>
        </w:rPr>
        <w:t>14.3</w:t>
      </w:r>
      <w:r>
        <w:rPr>
          <w:rFonts w:ascii="Times New Roman;sans-serif" w:hAnsi="Times New Roman;sans-serif"/>
          <w:b/>
          <w:color w:val="000000"/>
          <w:sz w:val="24"/>
          <w:u w:val="single"/>
        </w:rPr>
        <w:t>Survival</w:t>
      </w:r>
      <w:r>
        <w:rPr>
          <w:rFonts w:ascii="Times New Roman;sans-serif" w:hAnsi="Times New Roman;sans-serif"/>
          <w:b w:val="false"/>
          <w:color w:val="000000"/>
          <w:sz w:val="24"/>
        </w:rPr>
        <w:t xml:space="preserve">. All of the representations, warranties, and indemnifications made in this Agreement, and all terms and provisions hereof intended to be observed and performed by the parties after the termination hereof, including Sections 3.4, 3.5, 3.6, 4.3, 5.7, 8.3, 9, 11, 12, 13, and 14 and Sections 1.7 and 1.8 of Exhibit G. </w:t>
      </w:r>
    </w:p>
    <w:p>
      <w:pPr>
        <w:pStyle w:val="TextBody"/>
        <w:bidi w:val="0"/>
        <w:spacing w:lineRule="auto" w:line="240" w:before="0" w:after="240"/>
        <w:ind w:left="0" w:right="0" w:hanging="432"/>
        <w:jc w:val="both"/>
        <w:rPr/>
      </w:pPr>
      <w:r>
        <w:rPr>
          <w:rFonts w:ascii="Cambria;sans-serif" w:hAnsi="Cambria;sans-serif"/>
          <w:b/>
          <w:color w:val="000000"/>
          <w:sz w:val="24"/>
        </w:rPr>
        <w:t>14.4</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any term, provision, covenant or restriction of this Agreement is held by a court of competent jurisdiction or other authority to be invalid, void, unenforceable or against its regulatory policy such determination shall not affect the enforceability of any others or of the remainder of this Agreement; and in connection with such term, provision, covenant or restriction of this Agreement which is held invalid, void, unenforceable or against regulatory policy, the parties shall negotiate in good faith with a view to the substitution therefor of a suitable and equitable solution in order to carry out, so far as may be valid and enforceable, the intent and purpose of such invalid term, provision, covenant or restriction and, absent any agreement by the parties, such court of competent jurisdiction or other authority shall substitute therefore such term, provision, covenant or restriction as is legal, valid and enforceable but otherwise similar to the invalid term, provision, covenant or restriction.</w:t>
      </w:r>
    </w:p>
    <w:p>
      <w:pPr>
        <w:pStyle w:val="TextBody"/>
        <w:bidi w:val="0"/>
        <w:spacing w:lineRule="auto" w:line="240" w:before="0" w:after="240"/>
        <w:ind w:left="0" w:right="0" w:hanging="432"/>
        <w:jc w:val="both"/>
        <w:rPr/>
      </w:pPr>
      <w:r>
        <w:rPr>
          <w:rFonts w:ascii="Cambria;sans-serif" w:hAnsi="Cambria;sans-serif"/>
          <w:b/>
          <w:color w:val="000000"/>
          <w:sz w:val="24"/>
        </w:rPr>
        <w:t>14.5</w:t>
      </w:r>
      <w:r>
        <w:rPr>
          <w:rFonts w:ascii="Times New Roman;sans-serif" w:hAnsi="Times New Roman;sans-serif"/>
          <w:b/>
          <w:color w:val="000000"/>
          <w:sz w:val="24"/>
          <w:u w:val="single"/>
        </w:rPr>
        <w:t>Entire Agreement</w:t>
      </w:r>
      <w:r>
        <w:rPr>
          <w:rFonts w:ascii="Times New Roman;sans-serif" w:hAnsi="Times New Roman;sans-serif"/>
          <w:b w:val="false"/>
          <w:color w:val="000000"/>
          <w:sz w:val="24"/>
        </w:rPr>
        <w:t>. This Agreement may not be amended, supplemented or otherwise modified except by an instrument in writing signed by Company and Supplier. This Agreement contains the entire agreement of the parties hereto with respect to its subject matter, superseding all negotiations, prior discussions and preliminary agreements made prior to the date hereof.</w:t>
      </w:r>
    </w:p>
    <w:p>
      <w:pPr>
        <w:pStyle w:val="TextBody"/>
        <w:bidi w:val="0"/>
        <w:spacing w:lineRule="auto" w:line="240" w:before="0" w:after="240"/>
        <w:ind w:left="0" w:right="0" w:hanging="432"/>
        <w:jc w:val="both"/>
        <w:rPr/>
      </w:pPr>
      <w:r>
        <w:rPr>
          <w:rFonts w:ascii="Cambria;sans-serif" w:hAnsi="Cambria;sans-serif"/>
          <w:b/>
          <w:color w:val="000000"/>
          <w:sz w:val="24"/>
        </w:rPr>
        <w:t>14.6</w:t>
      </w:r>
      <w:r>
        <w:rPr>
          <w:rFonts w:ascii="Times New Roman;sans-serif" w:hAnsi="Times New Roman;sans-serif"/>
          <w:b/>
          <w:color w:val="000000"/>
          <w:sz w:val="24"/>
          <w:u w:val="single"/>
        </w:rPr>
        <w:t>No Third-Party Beneficiaries</w:t>
      </w:r>
      <w:r>
        <w:rPr>
          <w:rFonts w:ascii="Times New Roman;sans-serif" w:hAnsi="Times New Roman;sans-serif"/>
          <w:b w:val="false"/>
          <w:color w:val="000000"/>
          <w:sz w:val="24"/>
        </w:rPr>
        <w:t>. This Agreement is solely for the benefit of the parties hereto and their respective affiliates and no provision of this Agreement shall be deemed to confer upon any third parties (other than permitted assigns) any remedy, claim, liability, reimbursement, claim of action or other right in excess of those existing without reference to this Agreement.</w:t>
      </w:r>
    </w:p>
    <w:p>
      <w:pPr>
        <w:pStyle w:val="TextBody"/>
        <w:bidi w:val="0"/>
        <w:spacing w:lineRule="auto" w:line="240" w:before="0" w:after="240"/>
        <w:ind w:left="0" w:right="0" w:hanging="432"/>
        <w:jc w:val="both"/>
        <w:rPr/>
      </w:pPr>
      <w:r>
        <w:rPr>
          <w:rFonts w:ascii="Cambria;sans-serif" w:hAnsi="Cambria;sans-serif"/>
          <w:b/>
          <w:color w:val="000000"/>
          <w:sz w:val="24"/>
        </w:rPr>
        <w:t>14.7</w:t>
      </w:r>
      <w:r>
        <w:rPr>
          <w:rFonts w:ascii="Times New Roman;sans-serif" w:hAnsi="Times New Roman;sans-serif"/>
          <w:b/>
          <w:color w:val="000000"/>
          <w:sz w:val="24"/>
          <w:u w:val="single"/>
        </w:rPr>
        <w:t>Waiver</w:t>
      </w:r>
      <w:r>
        <w:rPr>
          <w:rFonts w:ascii="Times New Roman;sans-serif" w:hAnsi="Times New Roman;sans-serif"/>
          <w:b w:val="false"/>
          <w:color w:val="000000"/>
          <w:sz w:val="24"/>
        </w:rPr>
        <w:t>. The failure of any party to enforce any condition or part of this Agreement at any time shall not be construed as a waiver of that condition or part, nor shall it forfeit any rights to future enforcement thereof.</w:t>
      </w:r>
    </w:p>
    <w:p>
      <w:pPr>
        <w:pStyle w:val="TextBody"/>
        <w:bidi w:val="0"/>
        <w:spacing w:lineRule="auto" w:line="240" w:before="0" w:after="240"/>
        <w:ind w:left="0" w:right="0" w:hanging="432"/>
        <w:jc w:val="both"/>
        <w:rPr/>
      </w:pPr>
      <w:r>
        <w:rPr>
          <w:rFonts w:ascii="Cambria;sans-serif" w:hAnsi="Cambria;sans-serif"/>
          <w:b/>
          <w:color w:val="000000"/>
          <w:sz w:val="24"/>
        </w:rPr>
        <w:t>14.8</w:t>
      </w:r>
      <w:r>
        <w:rPr>
          <w:rFonts w:ascii="Times New Roman;sans-serif" w:hAnsi="Times New Roman;sans-serif"/>
          <w:b/>
          <w:color w:val="000000"/>
          <w:sz w:val="24"/>
          <w:u w:val="single"/>
        </w:rPr>
        <w:t>Governing Law; Jurisdiction</w:t>
      </w:r>
      <w:r>
        <w:rPr>
          <w:rFonts w:ascii="Times New Roman;sans-serif" w:hAnsi="Times New Roman;sans-serif"/>
          <w:b w:val="false"/>
          <w:color w:val="000000"/>
          <w:sz w:val="24"/>
        </w:rPr>
        <w:t xml:space="preserve">. This Agreement (including any claim or controversy arising out of or relating to this Agreement) shall be governed by the law of the State of New York without regard to conflict of law principles that would result in the application of any Law other than the Laws of the State of New York. </w:t>
      </w:r>
    </w:p>
    <w:p>
      <w:pPr>
        <w:pStyle w:val="TextBody"/>
        <w:bidi w:val="0"/>
        <w:spacing w:lineRule="auto" w:line="240" w:before="0" w:after="240"/>
        <w:ind w:left="0" w:right="0" w:hanging="432"/>
        <w:jc w:val="both"/>
        <w:rPr/>
      </w:pPr>
      <w:r>
        <w:rPr>
          <w:rFonts w:ascii="Cambria;sans-serif" w:hAnsi="Cambria;sans-serif"/>
          <w:b/>
          <w:color w:val="000000"/>
          <w:sz w:val="24"/>
        </w:rPr>
        <w:t>14.9</w:t>
      </w:r>
      <w:r>
        <w:rPr>
          <w:rFonts w:ascii="Times New Roman;sans-serif" w:hAnsi="Times New Roman;sans-serif"/>
          <w:b/>
          <w:color w:val="000000"/>
          <w:sz w:val="24"/>
          <w:u w:val="single"/>
        </w:rPr>
        <w:t>Injunctive Relief</w:t>
      </w:r>
      <w:r>
        <w:rPr>
          <w:rFonts w:ascii="Times New Roman;sans-serif" w:hAnsi="Times New Roman;sans-serif"/>
          <w:b w:val="false"/>
          <w:color w:val="000000"/>
          <w:sz w:val="24"/>
        </w:rPr>
        <w:t xml:space="preserve">. The parties acknowledge that damages may be an inadequate remedy for any material breach of Sections 6.3 (Vendors &amp; Subcontractors), 9 (Intellectual Property), 11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30555"/>
                <wp:effectExtent l="0" t="0" r="0" b="0"/>
                <wp:wrapNone/>
                <wp:docPr id="130" name="Frame130"/>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14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14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(Non-competition), or 12 (Confidentiality; Publicity). Accordingly, notwithstanding anything to the contrary in this Agreement, either party will have the right to obtain injunctive relief in any court of competent jurisdiction to enforce Sections 6.3 (Vendors &amp; Subcontractors), 9 (Intellectual Property), 11 (Non-competition), or 12 (Confidentiality; Publicity) in the event of a party’s failure to perform its obligations thereunder, as well as the right to pursue any and all other rights and remedies available at law or in equity for such a breach. The breaching party hereby expressly waives the defense that a remedy in damages will be adequate and any requirement in an action for specific performance or injunction for the posting of a bond by the party seeking injunctive relief. </w:t>
      </w:r>
    </w:p>
    <w:p>
      <w:pPr>
        <w:pStyle w:val="TextBody"/>
        <w:bidi w:val="0"/>
        <w:spacing w:lineRule="auto" w:line="240" w:before="0" w:after="240"/>
        <w:ind w:left="0" w:right="0" w:hanging="432"/>
        <w:jc w:val="both"/>
        <w:rPr/>
      </w:pPr>
      <w:r>
        <w:rPr>
          <w:rFonts w:ascii="Cambria;sans-serif" w:hAnsi="Cambria;sans-serif"/>
          <w:b/>
          <w:color w:val="000000"/>
          <w:sz w:val="24"/>
        </w:rPr>
        <w:t>14.10</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xml:space="preserve">. This Agreement may be executed manually or by facsimile by the parties, in any number of counterparts, each of which shall be considered one and the same agreement and shall become effective when a counterpart hereof shall have been signed by each of the parties and delivered to each of the other parties. </w:t>
      </w:r>
    </w:p>
    <w:p>
      <w:pPr>
        <w:pStyle w:val="TextBody"/>
        <w:bidi w:val="0"/>
        <w:spacing w:lineRule="auto" w:line="240" w:before="0" w:after="240"/>
        <w:ind w:left="0" w:right="0" w:hanging="432"/>
        <w:jc w:val="both"/>
        <w:rPr/>
      </w:pPr>
      <w:r>
        <w:rPr>
          <w:rFonts w:ascii="Cambria;sans-serif" w:hAnsi="Cambria;sans-serif"/>
          <w:b/>
          <w:color w:val="000000"/>
          <w:sz w:val="24"/>
        </w:rPr>
        <w:t>14.11</w:t>
      </w:r>
      <w:r>
        <w:rPr>
          <w:rFonts w:ascii="Times New Roman;sans-serif" w:hAnsi="Times New Roman;sans-serif"/>
          <w:b/>
          <w:color w:val="000000"/>
          <w:sz w:val="24"/>
          <w:u w:val="single"/>
        </w:rPr>
        <w:t>Construction</w:t>
      </w:r>
      <w:r>
        <w:rPr>
          <w:rFonts w:ascii="Times New Roman;sans-serif" w:hAnsi="Times New Roman;sans-serif"/>
          <w:b w:val="false"/>
          <w:color w:val="000000"/>
          <w:sz w:val="24"/>
        </w:rPr>
        <w:t>. The language in all parts of this Agreement shall be construed, in all cases, according to its fair meaning. The parties acknowledge that each party and its counsel have reviewed and revised this Agreement and that any rule of construction to the effect that any ambiguities are to be resolved against the drafting party shall not be employed in the interpretation of this Agreement.</w:t>
      </w:r>
    </w:p>
    <w:p>
      <w:pPr>
        <w:pStyle w:val="TextBody"/>
        <w:bidi w:val="0"/>
        <w:spacing w:lineRule="auto" w:line="240" w:before="0" w:after="240"/>
        <w:ind w:left="0" w:right="0" w:hanging="432"/>
        <w:jc w:val="both"/>
        <w:rPr/>
      </w:pPr>
      <w:r>
        <w:rPr>
          <w:rFonts w:ascii="Cambria;sans-serif" w:hAnsi="Cambria;sans-serif"/>
          <w:b/>
          <w:color w:val="000000"/>
          <w:sz w:val="24"/>
        </w:rPr>
        <w:t>14.12</w:t>
      </w:r>
      <w:r>
        <w:rPr>
          <w:rFonts w:ascii="Times New Roman;sans-serif" w:hAnsi="Times New Roman;sans-serif"/>
          <w:b/>
          <w:color w:val="000000"/>
          <w:sz w:val="24"/>
          <w:u w:val="single"/>
        </w:rPr>
        <w:t>Further Assurances</w:t>
      </w:r>
      <w:r>
        <w:rPr>
          <w:rFonts w:ascii="Times New Roman;sans-serif" w:hAnsi="Times New Roman;sans-serif"/>
          <w:b w:val="false"/>
          <w:color w:val="000000"/>
          <w:sz w:val="24"/>
        </w:rPr>
        <w:t>. Company and Supplier covenant and agree that subsequent to the execution and delivery of this Agreement and without any additional consideration, each of Company and Supplier shall execute and deliver any further legal instruments and perform such acts which are or may become necessary to effectuate the purposes of this Agreement.</w:t>
      </w:r>
    </w:p>
    <w:p>
      <w:pPr>
        <w:pStyle w:val="TextBody"/>
        <w:bidi w:val="0"/>
        <w:spacing w:lineRule="auto" w:line="240" w:before="0" w:after="240"/>
        <w:ind w:left="0" w:right="0" w:hanging="432"/>
        <w:jc w:val="both"/>
        <w:rPr/>
      </w:pPr>
      <w:r>
        <w:rPr>
          <w:rFonts w:ascii="Cambria;sans-serif" w:hAnsi="Cambria;sans-serif"/>
          <w:b/>
          <w:color w:val="000000"/>
          <w:sz w:val="24"/>
        </w:rPr>
        <w:t>14.13</w:t>
      </w:r>
      <w:r>
        <w:rPr>
          <w:rFonts w:ascii="Times New Roman;sans-serif" w:hAnsi="Times New Roman;sans-serif"/>
          <w:b/>
          <w:color w:val="000000"/>
          <w:sz w:val="24"/>
          <w:u w:val="single"/>
        </w:rPr>
        <w:t>Relationship</w:t>
      </w:r>
      <w:r>
        <w:rPr>
          <w:rFonts w:ascii="Times New Roman;sans-serif" w:hAnsi="Times New Roman;sans-serif"/>
          <w:b w:val="false"/>
          <w:color w:val="000000"/>
          <w:sz w:val="24"/>
        </w:rPr>
        <w:t>. Supplier is an independent contractor engaged by Company for the provision of the Products. Nothing in this Agreement shall constitute either party as an employee, agent or general representative of the other, nor shall either Company or Supplier have the right or authority to assume, create or incur any liability or any obligation of any kind, express or implied, against, or in the name of or on behalf of, the other.</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LEFT BLANK]</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30555"/>
                <wp:effectExtent l="0" t="0" r="0" b="0"/>
                <wp:wrapNone/>
                <wp:docPr id="131" name="Frame131"/>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15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15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caused this Manufacturing and Supply Agreement to be executed by their respective duly authorized officers as of the date set forth below their names.</w:t>
      </w:r>
    </w:p>
    <w:p>
      <w:pPr>
        <w:pStyle w:val="TextBody"/>
        <w:bidi w:val="0"/>
        <w:spacing w:before="0" w:after="0"/>
        <w:jc w:val="both"/>
        <w:rPr/>
      </w:pPr>
      <w:r>
        <w:rPr/>
      </w:r>
    </w:p>
    <w:tbl>
      <w:tblPr>
        <w:tblW w:w="8894" w:type="dxa"/>
        <w:jc w:val="left"/>
        <w:tblInd w:w="0" w:type="dxa"/>
        <w:tblLayout w:type="fixed"/>
        <w:tblCellMar>
          <w:top w:w="28" w:type="dxa"/>
          <w:left w:w="28" w:type="dxa"/>
          <w:bottom w:w="28" w:type="dxa"/>
          <w:right w:w="28" w:type="dxa"/>
        </w:tblCellMar>
      </w:tblPr>
      <w:tblGrid>
        <w:gridCol w:w="1433"/>
        <w:gridCol w:w="1261"/>
        <w:gridCol w:w="1265"/>
        <w:gridCol w:w="1443"/>
        <w:gridCol w:w="1443"/>
        <w:gridCol w:w="2049"/>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SI-BONE, Inc.</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rms COMPANY</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Jeff Bertolini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Jeff Bertolini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SVP, Operations &amp; Technology</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Jon Jepko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t>Jon Jepko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Director of Sales and Marketing                </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rPr>
              <w:t xml:space="preserve">Dated: </w:t>
            </w:r>
            <w:r>
              <w:rPr>
                <w:rFonts w:ascii="Times New Roman;sans-serif" w:hAnsi="Times New Roman;sans-serif"/>
                <w:b w:val="false"/>
                <w:color w:val="000000"/>
                <w:sz w:val="24"/>
                <w:u w:val="single"/>
              </w:rPr>
              <w:t>2/23/2024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rPr>
              <w:t xml:space="preserve">Dated: </w:t>
            </w:r>
            <w:r>
              <w:rPr>
                <w:color w:val="000000"/>
                <w:u w:val="single"/>
              </w:rPr>
              <w:t>    </w:t>
            </w:r>
            <w:r>
              <w:rPr>
                <w:rFonts w:ascii="Times New Roman;sans-serif" w:hAnsi="Times New Roman;sans-serif"/>
                <w:b w:val="false"/>
                <w:color w:val="000000"/>
                <w:sz w:val="24"/>
                <w:u w:val="single"/>
              </w:rPr>
              <w:t>2/23/2024            </w:t>
            </w:r>
          </w:p>
        </w:tc>
      </w:tr>
    </w:tbl>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30555"/>
                <wp:effectExtent l="0" t="0" r="0" b="0"/>
                <wp:wrapNone/>
                <wp:docPr id="132" name="Frame132"/>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16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16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PRICING ADDENDUM</w:t>
        <w:br/>
        <w:t>EXHIBIT A</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Products will be ordered in volume increments equal to either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quantities. </w:t>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30555"/>
                <wp:effectExtent l="0" t="0" r="0" b="0"/>
                <wp:wrapNone/>
                <wp:docPr id="133" name="Frame133"/>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17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17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PRICING ADDENDUM </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30555"/>
                <wp:effectExtent l="0" t="0" r="0" b="0"/>
                <wp:wrapNone/>
                <wp:docPr id="134" name="Frame134"/>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18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18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PRICING ADDENDUM </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C</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630555"/>
                <wp:effectExtent l="0" t="0" r="0" b="0"/>
                <wp:wrapNone/>
                <wp:docPr id="135" name="Frame135"/>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19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19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PRICING ADDENDUM </w: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630555"/>
                <wp:effectExtent l="0" t="0" r="0" b="0"/>
                <wp:wrapNone/>
                <wp:docPr id="136" name="Frame136"/>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20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20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APPROVED VENDORS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630555"/>
                <wp:effectExtent l="0" t="0" r="0" b="0"/>
                <wp:wrapNone/>
                <wp:docPr id="137" name="Frame137"/>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21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21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F</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APPROVED SUBCONTRACTORS</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630555"/>
                <wp:effectExtent l="0" t="0" r="0" b="0"/>
                <wp:wrapNone/>
                <wp:docPr id="138" name="Frame138"/>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22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22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G</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QUALITY AGREEMENT ADDENDUM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4"/>
        </w:rPr>
        <w:t>This Quality Agreement Addendum (“</w:t>
      </w:r>
      <w:r>
        <w:rPr>
          <w:rFonts w:ascii="Times New Roman;sans-serif" w:hAnsi="Times New Roman;sans-serif"/>
          <w:b/>
          <w:i/>
          <w:color w:val="000000"/>
          <w:sz w:val="24"/>
        </w:rPr>
        <w:t>Quality Addendum</w:t>
      </w:r>
      <w:r>
        <w:rPr>
          <w:color w:val="000000"/>
        </w:rPr>
        <w:t>”</w:t>
      </w:r>
      <w:r>
        <w:rPr>
          <w:rFonts w:ascii="Times New Roman;sans-serif" w:hAnsi="Times New Roman;sans-serif"/>
          <w:b w:val="false"/>
          <w:color w:val="000000"/>
          <w:sz w:val="24"/>
        </w:rPr>
        <w:t>) supplements the Manufacture and Supply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the parties. Unless otherwise specified, capitalized terms in this Quality Addendum have the same meaning as defined in the Agreement, and those definitions are incorporated by reference.</w:t>
      </w:r>
    </w:p>
    <w:p>
      <w:pPr>
        <w:pStyle w:val="TextBody"/>
        <w:bidi w:val="0"/>
        <w:spacing w:before="0" w:after="0"/>
        <w:jc w:val="center"/>
        <w:rPr/>
      </w:pPr>
      <w:r>
        <w:rPr/>
      </w:r>
    </w:p>
    <w:p>
      <w:pPr>
        <w:pStyle w:val="TextBody"/>
        <w:bidi w:val="0"/>
        <w:spacing w:lineRule="auto" w:line="240" w:before="0" w:after="240"/>
        <w:ind w:left="0" w:right="0" w:hanging="360"/>
        <w:jc w:val="both"/>
        <w:rPr/>
      </w:pPr>
      <w:r>
        <w:rPr>
          <w:rFonts w:ascii="Cambria;sans-serif" w:hAnsi="Cambria;sans-serif"/>
          <w:b/>
          <w:color w:val="000000"/>
          <w:sz w:val="24"/>
        </w:rPr>
        <w:t>1.</w:t>
      </w:r>
      <w:r>
        <w:rPr>
          <w:rFonts w:ascii="Times New Roman;sans-serif" w:hAnsi="Times New Roman;sans-serif"/>
          <w:b/>
          <w:color w:val="000000"/>
          <w:sz w:val="24"/>
          <w:u w:val="single"/>
        </w:rPr>
        <w:t>QUALITY CONTROL MATTERS</w:t>
      </w:r>
      <w:r>
        <w:rPr>
          <w:rFonts w:ascii="Times New Roman;sans-serif" w:hAnsi="Times New Roman;sans-serif"/>
          <w:b w:val="false"/>
          <w:color w:val="000000"/>
          <w:sz w:val="24"/>
        </w:rPr>
        <w:t>.</w:t>
      </w:r>
    </w:p>
    <w:p>
      <w:pPr>
        <w:pStyle w:val="TextBody"/>
        <w:bidi w:val="0"/>
        <w:spacing w:lineRule="auto" w:line="240" w:before="0" w:after="240"/>
        <w:ind w:left="0" w:right="0" w:hanging="540"/>
        <w:jc w:val="both"/>
        <w:rPr/>
      </w:pPr>
      <w:r>
        <w:rPr>
          <w:rFonts w:ascii="Cambria;sans-serif" w:hAnsi="Cambria;sans-serif"/>
          <w:b/>
          <w:color w:val="000000"/>
          <w:sz w:val="24"/>
        </w:rPr>
        <w:t>1.1</w:t>
      </w:r>
      <w:r>
        <w:rPr>
          <w:rFonts w:ascii="Times New Roman;sans-serif" w:hAnsi="Times New Roman;sans-serif"/>
          <w:b/>
          <w:color w:val="000000"/>
          <w:sz w:val="24"/>
          <w:u w:val="single"/>
        </w:rPr>
        <w:t>Implementation of Quality Control and Risk Management Program</w:t>
      </w:r>
      <w:r>
        <w:rPr>
          <w:rFonts w:ascii="Times New Roman;sans-serif" w:hAnsi="Times New Roman;sans-serif"/>
          <w:b w:val="false"/>
          <w:color w:val="000000"/>
          <w:sz w:val="24"/>
        </w:rPr>
        <w:t>. At all times during the Term, Supplier shall submit to and comply with Company’s vendor qualification requirements, as Company may establish from time to time (“</w:t>
      </w:r>
      <w:r>
        <w:rPr>
          <w:rFonts w:ascii="Times New Roman;sans-serif" w:hAnsi="Times New Roman;sans-serif"/>
          <w:b/>
          <w:i/>
          <w:color w:val="000000"/>
          <w:sz w:val="24"/>
        </w:rPr>
        <w:t>Qualification Requirements</w:t>
      </w:r>
      <w:r>
        <w:rPr>
          <w:color w:val="000000"/>
        </w:rPr>
        <w:t>”</w:t>
      </w:r>
      <w:r>
        <w:rPr>
          <w:rFonts w:ascii="Times New Roman;sans-serif" w:hAnsi="Times New Roman;sans-serif"/>
          <w:b w:val="false"/>
          <w:color w:val="000000"/>
          <w:sz w:val="24"/>
        </w:rPr>
        <w:t>). In addition, Supplier shall maintain and comply with a quality control program that conforms with all applicable laws and is consistent with current good manufacturing practices applicable to Products (“</w:t>
      </w:r>
      <w:r>
        <w:rPr>
          <w:rFonts w:ascii="Times New Roman;sans-serif" w:hAnsi="Times New Roman;sans-serif"/>
          <w:b/>
          <w:i/>
          <w:color w:val="000000"/>
          <w:sz w:val="24"/>
        </w:rPr>
        <w:t>GMPs</w:t>
      </w:r>
      <w:r>
        <w:rPr>
          <w:color w:val="000000"/>
        </w:rPr>
        <w:t>”</w:t>
      </w:r>
      <w:r>
        <w:rPr>
          <w:rFonts w:ascii="Times New Roman;sans-serif" w:hAnsi="Times New Roman;sans-serif"/>
          <w:b w:val="false"/>
          <w:color w:val="000000"/>
          <w:sz w:val="24"/>
        </w:rPr>
        <w:t>) and as required by any governmental or quasi-governmental agency having regulatory authority over the Products, including, without limitation, 21 CFR Part 820, the current released versions of ISO 13485 and 14971 and the Medical Device Directive 93/42/EEC or Medical Device Regulation (MDR EU 2017/745) (collectively, the “</w:t>
      </w:r>
      <w:r>
        <w:rPr>
          <w:rFonts w:ascii="Times New Roman;sans-serif" w:hAnsi="Times New Roman;sans-serif"/>
          <w:b/>
          <w:i/>
          <w:color w:val="000000"/>
          <w:sz w:val="24"/>
        </w:rPr>
        <w:t>Quality Management System</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QMS</w:t>
      </w:r>
      <w:r>
        <w:rPr>
          <w:color w:val="000000"/>
        </w:rPr>
        <w:t>”</w:t>
      </w:r>
      <w:r>
        <w:rPr>
          <w:rFonts w:ascii="Times New Roman;sans-serif" w:hAnsi="Times New Roman;sans-serif"/>
          <w:b w:val="false"/>
          <w:color w:val="000000"/>
          <w:sz w:val="24"/>
        </w:rPr>
        <w:t xml:space="preserve">). In addition, Supplier shall maintain a risk management system which is integrated into its QMS. Supplier shall notify Company of revisions to its manufacturing procedures to the extent necessary to remain in compliance with the Qualification Requirements, GMPs or QMS, as applicable, in accordance with this Section; provided, however, that Supplier may not make any changes to its manufacturing procedures that are inconsistent with the Specifications without the prior written consent of Company. Supplier shall also have a quality agreement with each Approved Vendor and Approved Subcontractor. Upon Company’s request, Supplier will provide a copy of such quality agreement(s). </w:t>
      </w:r>
    </w:p>
    <w:p>
      <w:pPr>
        <w:pStyle w:val="TextBody"/>
        <w:bidi w:val="0"/>
        <w:spacing w:lineRule="auto" w:line="240" w:before="0" w:after="240"/>
        <w:ind w:left="0" w:right="0" w:hanging="540"/>
        <w:jc w:val="both"/>
        <w:rPr/>
      </w:pPr>
      <w:r>
        <w:rPr>
          <w:rFonts w:ascii="Cambria;sans-serif" w:hAnsi="Cambria;sans-serif"/>
          <w:b/>
          <w:color w:val="000000"/>
          <w:sz w:val="24"/>
        </w:rPr>
        <w:t>1.2</w:t>
      </w:r>
      <w:r>
        <w:rPr>
          <w:rFonts w:ascii="Times New Roman;sans-serif" w:hAnsi="Times New Roman;sans-serif"/>
          <w:b/>
          <w:color w:val="000000"/>
          <w:sz w:val="24"/>
          <w:u w:val="single"/>
        </w:rPr>
        <w:t>Process Validation/Software Validation</w:t>
      </w:r>
      <w:r>
        <w:rPr>
          <w:rFonts w:ascii="Times New Roman;sans-serif" w:hAnsi="Times New Roman;sans-serif"/>
          <w:b w:val="false"/>
          <w:color w:val="000000"/>
          <w:sz w:val="24"/>
        </w:rPr>
        <w:t>. Supplier agrees that all special processes and software-controlled equipment, as defined below, applicable to the Product shall be validated by Supplier in accordance with 21 CFR Part 820 Sec. 820. 75 and ISO 13485:2016.</w:t>
      </w:r>
    </w:p>
    <w:p>
      <w:pPr>
        <w:pStyle w:val="TextBody"/>
        <w:bidi w:val="0"/>
        <w:spacing w:lineRule="auto" w:line="240" w:before="0" w:after="0"/>
        <w:ind w:left="0" w:right="0" w:hanging="540"/>
        <w:jc w:val="both"/>
        <w:rPr/>
      </w:pPr>
      <w:r>
        <w:rPr>
          <w:rFonts w:ascii="Times New Roman;sans-serif" w:hAnsi="Times New Roman;sans-serif"/>
          <w:b/>
          <w:color w:val="000000"/>
          <w:sz w:val="24"/>
        </w:rPr>
        <w:t>a.</w:t>
      </w:r>
      <w:r>
        <w:rPr>
          <w:rFonts w:ascii="Times New Roman;sans-serif" w:hAnsi="Times New Roman;sans-serif"/>
          <w:b w:val="false"/>
          <w:color w:val="000000"/>
          <w:sz w:val="24"/>
        </w:rPr>
        <w:t>Examples of special processes include but are not limited to: Formulation, QC tests, chemical tests, etc.</w:t>
      </w:r>
    </w:p>
    <w:p>
      <w:pPr>
        <w:pStyle w:val="TextBody"/>
        <w:bidi w:val="0"/>
        <w:spacing w:lineRule="auto" w:line="240" w:before="0" w:after="240"/>
        <w:ind w:left="0" w:right="0" w:hanging="540"/>
        <w:jc w:val="both"/>
        <w:rPr/>
      </w:pPr>
      <w:r>
        <w:rPr>
          <w:rFonts w:ascii="Times New Roman;sans-serif" w:hAnsi="Times New Roman;sans-serif"/>
          <w:b/>
          <w:color w:val="000000"/>
          <w:sz w:val="24"/>
        </w:rPr>
        <w:t>b.</w:t>
      </w:r>
      <w:r>
        <w:rPr>
          <w:rFonts w:ascii="Times New Roman;sans-serif" w:hAnsi="Times New Roman;sans-serif"/>
          <w:b w:val="false"/>
          <w:color w:val="000000"/>
          <w:sz w:val="24"/>
        </w:rPr>
        <w:t>Examples of software-controlled equipment include but are not limited to: automated inspection, measuring equipment, automated assembly equipment, labeling, etc.</w:t>
      </w:r>
    </w:p>
    <w:p>
      <w:pPr>
        <w:pStyle w:val="TextBody"/>
        <w:bidi w:val="0"/>
        <w:spacing w:lineRule="auto" w:line="240" w:before="0" w:after="240"/>
        <w:ind w:left="0" w:right="0" w:hanging="540"/>
        <w:jc w:val="both"/>
        <w:rPr/>
      </w:pPr>
      <w:r>
        <w:rPr>
          <w:rFonts w:ascii="Cambria;sans-serif" w:hAnsi="Cambria;sans-serif"/>
          <w:b/>
          <w:color w:val="000000"/>
          <w:sz w:val="24"/>
        </w:rPr>
        <w:t>1.3</w:t>
      </w:r>
      <w:r>
        <w:rPr>
          <w:rFonts w:ascii="Times New Roman;sans-serif" w:hAnsi="Times New Roman;sans-serif"/>
          <w:b/>
          <w:color w:val="000000"/>
          <w:sz w:val="24"/>
          <w:u w:val="single"/>
        </w:rPr>
        <w:t>Qualification of Alternative Sources</w:t>
      </w:r>
      <w:r>
        <w:rPr>
          <w:rFonts w:ascii="Times New Roman;sans-serif" w:hAnsi="Times New Roman;sans-serif"/>
          <w:b w:val="false"/>
          <w:color w:val="000000"/>
          <w:sz w:val="24"/>
        </w:rPr>
        <w:t>. When requested to do so by Company, or otherwise required to do so by this Agreement, Supplier shall utilize its purchasing control/vendor qualification processes and procedures in effect at the time, to qualify ISO 13485:2016 FDA registered third party suppliers and/or third-party manufacturers to manufacture and provide components, parts or sub-assemblies for the Product, or to manufacture and supply the Product to Company Supplier may also be requested to qualify Company as an Alternative Source.</w:t>
      </w:r>
    </w:p>
    <w:p>
      <w:pPr>
        <w:pStyle w:val="TextBody"/>
        <w:bidi w:val="0"/>
        <w:spacing w:lineRule="auto" w:line="240" w:before="0" w:after="240"/>
        <w:ind w:left="0" w:right="0" w:hanging="540"/>
        <w:jc w:val="both"/>
        <w:rPr/>
      </w:pPr>
      <w:r>
        <w:rPr>
          <w:rFonts w:ascii="Cambria;sans-serif" w:hAnsi="Cambria;sans-serif"/>
          <w:b/>
          <w:color w:val="000000"/>
          <w:sz w:val="24"/>
        </w:rPr>
        <w:t>1.4</w:t>
      </w:r>
      <w:r>
        <w:rPr>
          <w:rFonts w:ascii="Times New Roman;sans-serif" w:hAnsi="Times New Roman;sans-serif"/>
          <w:b/>
          <w:color w:val="000000"/>
          <w:sz w:val="24"/>
          <w:u w:val="single"/>
        </w:rPr>
        <w:t>Audits</w:t>
      </w:r>
      <w:r>
        <w:rPr>
          <w:rFonts w:ascii="Times New Roman;sans-serif" w:hAnsi="Times New Roman;sans-serif"/>
          <w:b w:val="false"/>
          <w:color w:val="000000"/>
          <w:sz w:val="24"/>
        </w:rPr>
        <w:t xml:space="preserve">. Company shall have the right, but not the obligation, at its expense, to audit, or have audited, Supplier’s facilities, and plants that are used to manufacture and store the Products. Supplier shall support unannounced audits by SI-BONE's notified body with reasonable access to relevant facilities and documentation. The Supplier agrees to cooperate fully during such audits and provide necessary information, records, and access to personnel as required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30555"/>
                <wp:effectExtent l="0" t="0" r="0" b="0"/>
                <wp:wrapNone/>
                <wp:docPr id="139" name="Frame139"/>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23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23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SI-BONE's notified body to ensure compliance with applicable regulatory standards. Such audits will be conducted during Supplier’s normal business hours by Company and/or its Supplier approved independent third-party designee or other representatives. Supplier shall issue a plan to determine the correction, cause, and corrective action for any negative finding of any audit report issued by Company within 30 days of such audit report’s issue date. Supplier shall assist Company, or its authorized representative, in securing permission to perform audits of any third-party supplier’s facilities, systems, documentation, and other requirements related to this Agreement at mutually agreed dates and times. Supplier, Company, any outside auditor, and such third-party supplier shall agree on reasonable methods to protect intellectual property, such as non-disclosure agreement or the like.</w:t>
      </w:r>
    </w:p>
    <w:p>
      <w:pPr>
        <w:pStyle w:val="TextBody"/>
        <w:bidi w:val="0"/>
        <w:spacing w:lineRule="auto" w:line="240" w:before="0" w:after="240"/>
        <w:ind w:left="0" w:right="0" w:hanging="540"/>
        <w:jc w:val="both"/>
        <w:rPr/>
      </w:pPr>
      <w:r>
        <w:rPr>
          <w:rFonts w:ascii="Cambria;sans-serif" w:hAnsi="Cambria;sans-serif"/>
          <w:b/>
          <w:color w:val="000000"/>
          <w:sz w:val="24"/>
        </w:rPr>
        <w:t>1.5</w:t>
      </w:r>
      <w:r>
        <w:rPr>
          <w:rFonts w:ascii="Times New Roman;sans-serif" w:hAnsi="Times New Roman;sans-serif"/>
          <w:b/>
          <w:color w:val="000000"/>
          <w:sz w:val="24"/>
          <w:u w:val="single"/>
        </w:rPr>
        <w:t>Inspections</w:t>
      </w:r>
      <w:r>
        <w:rPr>
          <w:rFonts w:ascii="Times New Roman;sans-serif" w:hAnsi="Times New Roman;sans-serif"/>
          <w:b w:val="false"/>
          <w:color w:val="000000"/>
          <w:sz w:val="24"/>
        </w:rPr>
        <w:t xml:space="preserve">. Supplier shall promptly notify Company of any inspections, audits, formal visits, etc. of any regulator, notified body, or certification body acting in a formal capacity. In the US this includes, but is not limited to Food and Drug Administration, Environmental Protection Agency, and Occupational Safety and Health Administration. It also includes corresponding state agencies. Upon Company’s request, Supplier shall disclose the results of any inspections or audits and the associated cause and corrective action. Supplier shall promptly notify Company of any inspection or audit findings that impact the safety, conformity, or availability of Product. </w:t>
      </w:r>
    </w:p>
    <w:p>
      <w:pPr>
        <w:pStyle w:val="TextBody"/>
        <w:bidi w:val="0"/>
        <w:spacing w:lineRule="auto" w:line="240" w:before="0" w:after="240"/>
        <w:ind w:left="0" w:right="0" w:hanging="540"/>
        <w:jc w:val="both"/>
        <w:rPr/>
      </w:pPr>
      <w:r>
        <w:rPr>
          <w:rFonts w:ascii="Cambria;sans-serif" w:hAnsi="Cambria;sans-serif"/>
          <w:b/>
          <w:color w:val="000000"/>
          <w:sz w:val="24"/>
        </w:rPr>
        <w:t>1.6</w:t>
      </w:r>
      <w:r>
        <w:rPr>
          <w:rFonts w:ascii="Times New Roman;sans-serif" w:hAnsi="Times New Roman;sans-serif"/>
          <w:b/>
          <w:color w:val="000000"/>
          <w:sz w:val="24"/>
          <w:u w:val="single"/>
        </w:rPr>
        <w:t>Process Improvements</w:t>
      </w:r>
      <w:r>
        <w:rPr>
          <w:rFonts w:ascii="Times New Roman;sans-serif" w:hAnsi="Times New Roman;sans-serif"/>
          <w:b w:val="false"/>
          <w:color w:val="000000"/>
          <w:sz w:val="24"/>
        </w:rPr>
        <w:t>. As required by 21 CFR Part 820 Sec. 820.50, Supplier shall not make significant changes to the Specifications, manufacturing process, tooling design, processing conditions, materials or manufacturing location of the Products without Company’s prior written consent. Notwithstanding the foregoing, Company will consider in good faith reasonable written requests by Supplier to change the materials or manufacturing process of the Products, provided Company shall make final determination on such change(s) in its sole discretion.</w:t>
      </w:r>
    </w:p>
    <w:p>
      <w:pPr>
        <w:pStyle w:val="TextBody"/>
        <w:bidi w:val="0"/>
        <w:spacing w:lineRule="auto" w:line="240" w:before="0" w:after="240"/>
        <w:ind w:left="0" w:right="0" w:hanging="540"/>
        <w:jc w:val="both"/>
        <w:rPr/>
      </w:pPr>
      <w:r>
        <w:rPr>
          <w:rFonts w:ascii="Cambria;sans-serif" w:hAnsi="Cambria;sans-serif"/>
          <w:b/>
          <w:color w:val="000000"/>
          <w:sz w:val="24"/>
        </w:rPr>
        <w:t>1.7</w:t>
      </w:r>
      <w:r>
        <w:rPr>
          <w:rFonts w:ascii="Times New Roman;sans-serif" w:hAnsi="Times New Roman;sans-serif"/>
          <w:b/>
          <w:color w:val="000000"/>
          <w:sz w:val="24"/>
          <w:u w:val="single"/>
        </w:rPr>
        <w:t>Complaint Handling and Adverse Event Reporting</w:t>
      </w:r>
      <w:r>
        <w:rPr>
          <w:rFonts w:ascii="Times New Roman;sans-serif" w:hAnsi="Times New Roman;sans-serif"/>
          <w:b w:val="false"/>
          <w:color w:val="000000"/>
          <w:sz w:val="24"/>
        </w:rPr>
        <w:t>. Each party shall cooperate fully with the other party in dealing with customer complaints concerning the Product(s) and shall take such action to promptly resolve such complaints as may be reasonably requested by the other party. Company is responsible for complying with all FDA and applicable foreign regulatory requirements pertaining to the receipt, review, evaluation, and where applicable, investigation of all complaints received pertaining to the Products, and for the reporting of adverse device events, including FDA’s Medical Device Reporting requirements, codified at 21 C.F.R Part 803. Supplier shall reasonably cooperate with Company to enable Company to fulfill such requirements. Supplier shall promptly, but in no event more than three business days after receipt of such information, provide complaint information regarding the Products.</w:t>
      </w:r>
    </w:p>
    <w:p>
      <w:pPr>
        <w:pStyle w:val="TextBody"/>
        <w:bidi w:val="0"/>
        <w:spacing w:lineRule="auto" w:line="240" w:before="0" w:after="240"/>
        <w:ind w:left="0" w:right="0" w:hanging="540"/>
        <w:jc w:val="both"/>
        <w:rPr/>
      </w:pPr>
      <w:r>
        <w:rPr>
          <w:rFonts w:ascii="Cambria;sans-serif" w:hAnsi="Cambria;sans-serif"/>
          <w:b/>
          <w:color w:val="000000"/>
          <w:sz w:val="24"/>
        </w:rPr>
        <w:t>1.8</w:t>
      </w:r>
      <w:r>
        <w:rPr>
          <w:rFonts w:ascii="Times New Roman;sans-serif" w:hAnsi="Times New Roman;sans-serif"/>
          <w:b/>
          <w:color w:val="000000"/>
          <w:sz w:val="24"/>
          <w:u w:val="single"/>
        </w:rPr>
        <w:t>Record Retention; Traceability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Supplier shall maintain all records and procedures on the Product including proper identification and traceability of Product during all stages of receipt, production and distribution. Product records shall include traceability and reference to: raw material Lot, Supplier components, purchase order, gauging, and reference to use of any major equipment and processes utilized. Supplier warrants that Product records shall be maintained by Supplier in accordance with the following: </w:t>
      </w:r>
    </w:p>
    <w:p>
      <w:pPr>
        <w:pStyle w:val="TextBody"/>
        <w:bidi w:val="0"/>
        <w:spacing w:lineRule="auto" w:line="240" w:before="0" w:after="240"/>
        <w:ind w:left="0" w:right="0" w:hanging="540"/>
        <w:jc w:val="both"/>
        <w:rPr/>
      </w:pPr>
      <w:r>
        <w:rPr>
          <w:rFonts w:ascii="Times New Roman;sans-serif" w:hAnsi="Times New Roman;sans-serif"/>
          <w:b/>
          <w:color w:val="000000"/>
          <w:sz w:val="24"/>
        </w:rPr>
        <w:t>a.    </w:t>
      </w:r>
      <w:r>
        <w:rPr>
          <w:rFonts w:ascii="Times New Roman;sans-serif" w:hAnsi="Times New Roman;sans-serif"/>
          <w:b w:val="false"/>
          <w:color w:val="000000"/>
          <w:sz w:val="24"/>
        </w:rPr>
        <w:t>Records shall be protected from deterioration, damage or loss, and shall be available to Company for review upon request.</w:t>
      </w:r>
    </w:p>
    <w:p>
      <w:pPr>
        <w:pStyle w:val="TextBody"/>
        <w:bidi w:val="0"/>
        <w:spacing w:lineRule="auto" w:line="240" w:before="0" w:after="240"/>
        <w:ind w:left="0" w:right="0" w:hanging="540"/>
        <w:jc w:val="both"/>
        <w:rPr/>
      </w:pPr>
      <w:r>
        <w:rPr>
          <w:rFonts w:ascii="Times New Roman;sans-serif" w:hAnsi="Times New Roman;sans-serif"/>
          <w:b/>
          <w:color w:val="000000"/>
          <w:sz w:val="24"/>
        </w:rPr>
        <w:t>b.    </w:t>
      </w:r>
      <w:r>
        <w:rPr>
          <w:rFonts w:ascii="Times New Roman;sans-serif" w:hAnsi="Times New Roman;sans-serif"/>
          <w:b w:val="false"/>
          <w:color w:val="000000"/>
          <w:sz w:val="24"/>
        </w:rPr>
        <w:t xml:space="preserve">Supplier shall notify Company in writing if Supplier determines that it may discontinue maintenance of these records, or such records are scheduled for destruction pursuant to its own record retention policies, and facilitate alternative methods and/or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630555"/>
                <wp:effectExtent l="0" t="0" r="0" b="0"/>
                <wp:wrapNone/>
                <wp:docPr id="140" name="Frame140"/>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24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24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responsibilities for the continued maintenance of such records including but not limited to transfer of the records to Company upon Company’s request.</w:t>
      </w:r>
    </w:p>
    <w:p>
      <w:pPr>
        <w:pStyle w:val="TextBody"/>
        <w:bidi w:val="0"/>
        <w:spacing w:lineRule="auto" w:line="240" w:before="0" w:after="0"/>
        <w:ind w:left="0" w:right="0" w:hanging="540"/>
        <w:jc w:val="both"/>
        <w:rPr/>
      </w:pPr>
      <w:r>
        <w:rPr>
          <w:rFonts w:ascii="Times New Roman;sans-serif" w:hAnsi="Times New Roman;sans-serif"/>
          <w:b/>
          <w:color w:val="000000"/>
          <w:sz w:val="24"/>
        </w:rPr>
        <w:t>c.    </w:t>
      </w:r>
      <w:r>
        <w:rPr>
          <w:rFonts w:ascii="Times New Roman;sans-serif" w:hAnsi="Times New Roman;sans-serif"/>
          <w:b w:val="false"/>
          <w:color w:val="000000"/>
          <w:sz w:val="24"/>
        </w:rPr>
        <w:t>Records may be paper or electronic form and shall include but are not limited to the following quality records which are required to be maintained for a period of fifteen (15) years after the last Product has been manufactured:</w:t>
      </w:r>
    </w:p>
    <w:p>
      <w:pPr>
        <w:pStyle w:val="TextBody"/>
        <w:bidi w:val="0"/>
        <w:spacing w:lineRule="auto" w:line="240" w:before="0" w:after="0"/>
        <w:ind w:left="0" w:right="0" w:hanging="540"/>
        <w:jc w:val="both"/>
        <w:rPr/>
      </w:pPr>
      <w:r>
        <w:rPr>
          <w:rFonts w:ascii="Times New Roman;sans-serif" w:hAnsi="Times New Roman;sans-serif"/>
          <w:b/>
          <w:color w:val="000000"/>
          <w:sz w:val="24"/>
        </w:rPr>
        <w:t>(i)</w:t>
      </w:r>
      <w:r>
        <w:rPr>
          <w:color w:val="000000"/>
        </w:rPr>
        <w:t>    </w:t>
      </w:r>
      <w:r>
        <w:rPr>
          <w:rFonts w:ascii="Times New Roman;sans-serif" w:hAnsi="Times New Roman;sans-serif"/>
          <w:b w:val="false"/>
          <w:color w:val="000000"/>
          <w:sz w:val="24"/>
        </w:rPr>
        <w:t>Product Quality Planning documents (purchase order Agreements, Specifications, Material Certificates or analysis reports, Pre-Production Approval packages, Validation Records, Tooling, Calibration Records and MSDS), DMR / DHR (Device Master / History);</w:t>
      </w:r>
    </w:p>
    <w:p>
      <w:pPr>
        <w:pStyle w:val="TextBody"/>
        <w:bidi w:val="0"/>
        <w:spacing w:lineRule="auto" w:line="240" w:before="0" w:after="240"/>
        <w:ind w:left="0" w:right="0" w:hanging="540"/>
        <w:jc w:val="both"/>
        <w:rPr/>
      </w:pPr>
      <w:r>
        <w:rPr>
          <w:rFonts w:ascii="Times New Roman;sans-serif" w:hAnsi="Times New Roman;sans-serif"/>
          <w:b/>
          <w:color w:val="000000"/>
          <w:sz w:val="24"/>
        </w:rPr>
        <w:t>(ii)    </w:t>
      </w:r>
      <w:r>
        <w:rPr>
          <w:rFonts w:ascii="Times New Roman;sans-serif" w:hAnsi="Times New Roman;sans-serif"/>
          <w:b w:val="false"/>
          <w:color w:val="000000"/>
          <w:sz w:val="24"/>
        </w:rPr>
        <w:t>Manufacturing Records to include SPC charts, Inspection Records (Problem Solving / Corrective Action Responses).</w:t>
      </w:r>
    </w:p>
    <w:p>
      <w:pPr>
        <w:pStyle w:val="TextBody"/>
        <w:bidi w:val="0"/>
        <w:spacing w:lineRule="auto" w:line="240" w:before="0" w:after="240"/>
        <w:ind w:left="0" w:right="0" w:hanging="360"/>
        <w:jc w:val="both"/>
        <w:rPr/>
      </w:pPr>
      <w:r>
        <w:rPr>
          <w:rFonts w:ascii="Cambria;sans-serif" w:hAnsi="Cambria;sans-serif"/>
          <w:b/>
          <w:color w:val="000000"/>
          <w:sz w:val="24"/>
        </w:rPr>
        <w:t>2.</w:t>
      </w:r>
      <w:r>
        <w:rPr>
          <w:rFonts w:ascii="Times New Roman;sans-serif" w:hAnsi="Times New Roman;sans-serif"/>
          <w:b/>
          <w:color w:val="000000"/>
          <w:sz w:val="24"/>
          <w:u w:val="single"/>
        </w:rPr>
        <w:t>PRODUCT IMPROVEMENTS</w:t>
      </w:r>
      <w:r>
        <w:rPr>
          <w:rFonts w:ascii="Times New Roman;sans-serif" w:hAnsi="Times New Roman;sans-serif"/>
          <w:b w:val="false"/>
          <w:color w:val="000000"/>
          <w:sz w:val="24"/>
        </w:rPr>
        <w:t>.</w:t>
      </w:r>
    </w:p>
    <w:p>
      <w:pPr>
        <w:pStyle w:val="TextBody"/>
        <w:bidi w:val="0"/>
        <w:spacing w:lineRule="auto" w:line="240" w:before="0" w:after="240"/>
        <w:ind w:left="0" w:right="0" w:hanging="540"/>
        <w:jc w:val="both"/>
        <w:rPr/>
      </w:pPr>
      <w:r>
        <w:rPr>
          <w:rFonts w:ascii="Cambria;sans-serif" w:hAnsi="Cambria;sans-serif"/>
          <w:b/>
          <w:color w:val="000000"/>
          <w:sz w:val="24"/>
        </w:rPr>
        <w:t>2.1</w:t>
      </w:r>
      <w:r>
        <w:rPr>
          <w:rFonts w:ascii="Times New Roman;sans-serif" w:hAnsi="Times New Roman;sans-serif"/>
          <w:b/>
          <w:color w:val="000000"/>
          <w:sz w:val="24"/>
          <w:u w:val="single"/>
        </w:rPr>
        <w:t>General</w:t>
      </w:r>
      <w:r>
        <w:rPr>
          <w:rFonts w:ascii="Times New Roman;sans-serif" w:hAnsi="Times New Roman;sans-serif"/>
          <w:b w:val="false"/>
          <w:color w:val="000000"/>
          <w:sz w:val="24"/>
        </w:rPr>
        <w:t>. In the event that Company notifies Supplier that it desires to have Supplier incorporate changes or improvements to a Product to (a) address a Product defect, integrity, safety or quality concern or compliance matter (each a “</w:t>
      </w:r>
      <w:r>
        <w:rPr>
          <w:rFonts w:ascii="Times New Roman;sans-serif" w:hAnsi="Times New Roman;sans-serif"/>
          <w:b/>
          <w:i/>
          <w:color w:val="000000"/>
          <w:sz w:val="24"/>
        </w:rPr>
        <w:t>Required Improvement</w:t>
      </w:r>
      <w:r>
        <w:rPr>
          <w:color w:val="000000"/>
        </w:rPr>
        <w:t>”</w:t>
      </w:r>
      <w:r>
        <w:rPr>
          <w:rFonts w:ascii="Times New Roman;sans-serif" w:hAnsi="Times New Roman;sans-serif"/>
          <w:b w:val="false"/>
          <w:color w:val="000000"/>
          <w:sz w:val="24"/>
        </w:rPr>
        <w:t>) or (b) incorporate a feature enhancement or other improvement that is a not a Required Improvement (each an “</w:t>
      </w:r>
      <w:r>
        <w:rPr>
          <w:rFonts w:ascii="Times New Roman;sans-serif" w:hAnsi="Times New Roman;sans-serif"/>
          <w:b/>
          <w:i/>
          <w:color w:val="000000"/>
          <w:sz w:val="24"/>
        </w:rPr>
        <w:t>Optional Improvement</w:t>
      </w:r>
      <w:r>
        <w:rPr>
          <w:rFonts w:ascii="Times New Roman;sans-serif" w:hAnsi="Times New Roman;sans-serif"/>
          <w:b w:val="false"/>
          <w:color w:val="000000"/>
          <w:sz w:val="24"/>
        </w:rPr>
        <w:t>,” and together with the Required Improvements, an “</w:t>
      </w:r>
      <w:r>
        <w:rPr>
          <w:rFonts w:ascii="Times New Roman;sans-serif" w:hAnsi="Times New Roman;sans-serif"/>
          <w:b/>
          <w:i/>
          <w:color w:val="000000"/>
          <w:sz w:val="24"/>
        </w:rPr>
        <w:t>Improvement</w:t>
      </w:r>
      <w:r>
        <w:rPr>
          <w:color w:val="000000"/>
        </w:rPr>
        <w:t>”</w:t>
      </w:r>
      <w:r>
        <w:rPr>
          <w:rFonts w:ascii="Times New Roman;sans-serif" w:hAnsi="Times New Roman;sans-serif"/>
          <w:b w:val="false"/>
          <w:color w:val="000000"/>
          <w:sz w:val="24"/>
        </w:rPr>
        <w:t xml:space="preserve">), the parties shall promptly discuss in good faith the feasibility of implementing such Improvement. In addition, the parties shall evaluate the cost of implementing the Required Improvement, which the Company will be responsible for, as well as its impact on the cost of the Product. In the event that the cost of the Product increases or decreases the parties agree to negotiate in good faith a new Product price. </w:t>
      </w:r>
    </w:p>
    <w:p>
      <w:pPr>
        <w:pStyle w:val="TextBody"/>
        <w:bidi w:val="0"/>
        <w:spacing w:lineRule="auto" w:line="240" w:before="0" w:after="240"/>
        <w:ind w:left="0" w:right="0" w:hanging="540"/>
        <w:jc w:val="both"/>
        <w:rPr/>
      </w:pPr>
      <w:r>
        <w:rPr>
          <w:rFonts w:ascii="Cambria;sans-serif" w:hAnsi="Cambria;sans-serif"/>
          <w:b/>
          <w:color w:val="000000"/>
          <w:sz w:val="24"/>
        </w:rPr>
        <w:t>2.2</w:t>
      </w:r>
      <w:r>
        <w:rPr>
          <w:rFonts w:ascii="Times New Roman;sans-serif" w:hAnsi="Times New Roman;sans-serif"/>
          <w:b/>
          <w:color w:val="000000"/>
          <w:sz w:val="24"/>
          <w:u w:val="single"/>
        </w:rPr>
        <w:t>Implementation of Required Improvements</w:t>
      </w:r>
      <w:r>
        <w:rPr>
          <w:rFonts w:ascii="Times New Roman;sans-serif" w:hAnsi="Times New Roman;sans-serif"/>
          <w:b w:val="false"/>
          <w:color w:val="000000"/>
          <w:sz w:val="24"/>
        </w:rPr>
        <w:t>. Upon agreement by the parties that (a) the Required Improvement is feasible, and (b) any changes to the price are agreed, the Company may request that the Supplier implement the Required Improvement and upon receipt of such a request from Company, Supplier shall use best efforts to implement the Required Improvement as soon as possible. All such improvements shall be evaluated and implemented in accordance with Company’s applicable Design Control processes and procedures that are in effect at the time that the improvements are made. Supplier shall update the Design History File, Device Master Record, provide first article inspection (“</w:t>
      </w:r>
      <w:r>
        <w:rPr>
          <w:rFonts w:ascii="Times New Roman;sans-serif" w:hAnsi="Times New Roman;sans-serif"/>
          <w:b/>
          <w:i/>
          <w:color w:val="000000"/>
          <w:sz w:val="24"/>
        </w:rPr>
        <w:t>FAI</w:t>
      </w:r>
      <w:r>
        <w:rPr>
          <w:color w:val="000000"/>
        </w:rPr>
        <w:t>”</w:t>
      </w:r>
      <w:r>
        <w:rPr>
          <w:rFonts w:ascii="Times New Roman;sans-serif" w:hAnsi="Times New Roman;sans-serif"/>
          <w:b w:val="false"/>
          <w:color w:val="000000"/>
          <w:sz w:val="24"/>
        </w:rPr>
        <w:t>) samples and first article inspection report, as applicable, and provide copies of such documentation to Company upon implementation of the Required Improvement and if required, the parties will incorporate the new Pricing in Exhibit’s A through D as an amendment to this Agreement. To the extent that Supplier provides input on Required Improvements and changes to the Specifications, it is understood by the parties that such activity does not intend to make Supplier a “Specifications Developer” or a “finished device manufacturer” as such terms are used by FDA.</w:t>
      </w:r>
    </w:p>
    <w:p>
      <w:pPr>
        <w:pStyle w:val="TextBody"/>
        <w:bidi w:val="0"/>
        <w:spacing w:lineRule="auto" w:line="240" w:before="0" w:after="240"/>
        <w:ind w:left="0" w:right="0" w:hanging="540"/>
        <w:jc w:val="both"/>
        <w:rPr/>
      </w:pPr>
      <w:r>
        <w:rPr>
          <w:rFonts w:ascii="Cambria;sans-serif" w:hAnsi="Cambria;sans-serif"/>
          <w:b/>
          <w:color w:val="000000"/>
          <w:sz w:val="24"/>
        </w:rPr>
        <w:t>2.3</w:t>
      </w:r>
      <w:r>
        <w:rPr>
          <w:rFonts w:ascii="Times New Roman;sans-serif" w:hAnsi="Times New Roman;sans-serif"/>
          <w:b/>
          <w:color w:val="000000"/>
          <w:sz w:val="24"/>
          <w:u w:val="single"/>
        </w:rPr>
        <w:t>Implementation of Optional Improvements</w:t>
      </w:r>
      <w:r>
        <w:rPr>
          <w:rFonts w:ascii="Times New Roman;sans-serif" w:hAnsi="Times New Roman;sans-serif"/>
          <w:b w:val="false"/>
          <w:color w:val="000000"/>
          <w:sz w:val="24"/>
        </w:rPr>
        <w:t xml:space="preserve">. In evaluating and implementing Optional Improvements, Supplier shall use commercially reasonable efforts to minimize the cost of implementing the Optional Improvements. Supplier shall provide Company with a detailed analysis (together with supporting documentation) of the estimated costs (if any) and effect on the supply price for the applicable Product (if any) of implementing such Optional Improvement. Supplier shall implement such Optional Improvement only with Company’s prior written consent. If Supplier notifies Company that implementation of an Optional Improvement will require any modification to the pricing set forth on Exhibit’s A through D, as revised from time to time, and Company agrees, the parties will negotiate in good faith an appropriate modification to the pricing in an amendment to this Agreement. If Supplier does not notify Company that it will implement an Optional Improvement within 30 days after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30555"/>
                <wp:effectExtent l="0" t="0" r="0" b="0"/>
                <wp:wrapNone/>
                <wp:docPr id="141" name="Frame141"/>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25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25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val="false"/>
          <w:color w:val="000000"/>
          <w:sz w:val="24"/>
        </w:rPr>
        <w:t>receiving notice of an Optional Improvement from Company or the parties cannot agree on updated pricing, Company may obtain the Product with the Optional Improvement incorporated therein from an Alternative Source or manufacture it in-house, in either case without any liability to Supplier hereunder. All such improvements shall be evaluated and implemented in accordance with Company’s applicable Design Control processes and procedures that are in effect at the time that the improvements are made. Supplier shall update the Design History File, Device Master Record, provide first article inspection (“</w:t>
      </w:r>
      <w:r>
        <w:rPr>
          <w:rFonts w:ascii="Times New Roman;sans-serif" w:hAnsi="Times New Roman;sans-serif"/>
          <w:b/>
          <w:i/>
          <w:color w:val="000000"/>
          <w:sz w:val="24"/>
        </w:rPr>
        <w:t>FAI</w:t>
      </w:r>
      <w:r>
        <w:rPr>
          <w:color w:val="000000"/>
        </w:rPr>
        <w:t>”</w:t>
      </w:r>
      <w:r>
        <w:rPr>
          <w:rFonts w:ascii="Times New Roman;sans-serif" w:hAnsi="Times New Roman;sans-serif"/>
          <w:b w:val="false"/>
          <w:color w:val="000000"/>
          <w:sz w:val="24"/>
        </w:rPr>
        <w:t>) samples and first article inspection report, as applicable, and provide copies of such documentation to Company upon implementation of the Optional Improvement. To the extent that Supplier provides input on Optional Improvements and changes to the Specifications, it is understood by the parties that such activity does not intend to make Supplier a “Specifications Developer” or a “finished device manufacturer” as such terms are used by FDA.</w:t>
      </w:r>
    </w:p>
    <w:p>
      <w:pPr>
        <w:pStyle w:val="TextBody"/>
        <w:bidi w:val="0"/>
        <w:spacing w:lineRule="auto" w:line="240" w:before="0" w:after="240"/>
        <w:ind w:left="0" w:right="0" w:hanging="540"/>
        <w:jc w:val="both"/>
        <w:rPr/>
      </w:pPr>
      <w:r>
        <w:rPr>
          <w:rFonts w:ascii="Cambria;sans-serif" w:hAnsi="Cambria;sans-serif"/>
          <w:b/>
          <w:color w:val="000000"/>
          <w:sz w:val="24"/>
        </w:rPr>
        <w:t>2.4</w:t>
      </w:r>
      <w:r>
        <w:rPr>
          <w:rFonts w:ascii="Times New Roman;sans-serif" w:hAnsi="Times New Roman;sans-serif"/>
          <w:b/>
          <w:color w:val="000000"/>
          <w:sz w:val="24"/>
          <w:u w:val="single"/>
        </w:rPr>
        <w:t>Regulatory Determination</w:t>
      </w:r>
      <w:r>
        <w:rPr>
          <w:rFonts w:ascii="Times New Roman;sans-serif" w:hAnsi="Times New Roman;sans-serif"/>
          <w:b w:val="false"/>
          <w:color w:val="000000"/>
          <w:sz w:val="24"/>
        </w:rPr>
        <w:t>. Company shall be responsible for making the final decision as to whether a proposed design or manufacturing change may be implemented for the Product(s). Supplier is not permitted to make any modification that affects the Product(s) without notifying Company. Company shall be responsible for making the final determination as to whether such changes require regulatory approval or clearance prior to implementation and shall be responsible for filing and obtaining any required approvals and/or clearances, as necessary.</w:t>
      </w:r>
    </w:p>
    <w:p>
      <w:pPr>
        <w:pStyle w:val="TextBody"/>
        <w:bidi w:val="0"/>
        <w:spacing w:lineRule="auto" w:line="240" w:before="0" w:after="240"/>
        <w:ind w:left="0" w:right="0" w:hanging="540"/>
        <w:jc w:val="both"/>
        <w:rPr/>
      </w:pPr>
      <w:r>
        <w:rPr>
          <w:rFonts w:ascii="Cambria;sans-serif" w:hAnsi="Cambria;sans-serif"/>
          <w:b/>
          <w:color w:val="000000"/>
          <w:sz w:val="24"/>
        </w:rPr>
        <w:t>2.5</w:t>
      </w:r>
      <w:r>
        <w:rPr>
          <w:rFonts w:ascii="Times New Roman;sans-serif" w:hAnsi="Times New Roman;sans-serif"/>
          <w:b/>
          <w:color w:val="000000"/>
          <w:sz w:val="24"/>
          <w:u w:val="single"/>
        </w:rPr>
        <w:t>Registration and Listing</w:t>
      </w:r>
      <w:r>
        <w:rPr>
          <w:rFonts w:ascii="Times New Roman;sans-serif" w:hAnsi="Times New Roman;sans-serif"/>
          <w:b w:val="false"/>
          <w:color w:val="000000"/>
          <w:sz w:val="24"/>
        </w:rPr>
        <w:t>. Supplier shall comply with applicable establishment registration requirements applicable to the Products and the manufacture of the Products.</w:t>
      </w:r>
    </w:p>
    <w:p>
      <w:pPr>
        <w:pStyle w:val="TextBody"/>
        <w:bidi w:val="0"/>
        <w:spacing w:lineRule="auto" w:line="240" w:before="0" w:after="240"/>
        <w:ind w:left="0" w:right="0" w:hanging="360"/>
        <w:jc w:val="both"/>
        <w:rPr/>
      </w:pPr>
      <w:r>
        <w:rPr>
          <w:rFonts w:ascii="Cambria;sans-serif" w:hAnsi="Cambria;sans-serif"/>
          <w:b/>
          <w:color w:val="000000"/>
          <w:sz w:val="24"/>
        </w:rPr>
        <w:t>3.</w:t>
      </w:r>
      <w:r>
        <w:rPr>
          <w:rFonts w:ascii="Times New Roman;sans-serif" w:hAnsi="Times New Roman;sans-serif"/>
          <w:b/>
          <w:color w:val="000000"/>
          <w:sz w:val="24"/>
          <w:u w:val="single"/>
        </w:rPr>
        <w:t>PACKAGING AND LABELING</w:t>
      </w:r>
      <w:r>
        <w:rPr>
          <w:rFonts w:ascii="Times New Roman;sans-serif" w:hAnsi="Times New Roman;sans-serif"/>
          <w:b w:val="false"/>
          <w:color w:val="000000"/>
          <w:sz w:val="24"/>
        </w:rPr>
        <w:t>. Supplier shall be responsible for labeling and packaging Product for shipment to Company or to its designee(s), in accordance with applicable laws, Company requirements and instructions and the additional specifications included in the Specifications, which labeling may include “Manufactured for Company.” Company may request changes to the packaging and labeling requirements and Specifications upon reasonable prior written notice to Supplier. To the extent that Supplier provides input on the Product labeling or Specifications, it is understood by the parties that such activity is not intended to make Supplier a “Specifications developer” or a “finished device manufacturer” as such terms are used by FDA. Supplier is responsible for release of product labeling, provided, however, that in the case of initial release of any new label or labeling change, Supplier shall obtain Company’s consent to such release. Company is responsible for compliance with applicable FDA product labeling requirements.</w:t>
      </w:r>
    </w:p>
    <w:p>
      <w:pPr>
        <w:pStyle w:val="TextBody"/>
        <w:bidi w:val="0"/>
        <w:spacing w:before="0" w:after="283"/>
        <w:jc w:val="left"/>
        <w:rPr/>
      </w:pPr>
      <w:r>
        <w:rPr/>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630555"/>
                <wp:effectExtent l="0" t="0" r="0" b="0"/>
                <wp:wrapNone/>
                <wp:docPr id="142" name="Frame142"/>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26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26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H</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Vendor Managed Inventory Addendum</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4"/>
        </w:rPr>
        <w:t>This Vendor Managed Inventory Addendum (“</w:t>
      </w:r>
      <w:r>
        <w:rPr>
          <w:rFonts w:ascii="Times New Roman;sans-serif" w:hAnsi="Times New Roman;sans-serif"/>
          <w:b/>
          <w:i/>
          <w:color w:val="000000"/>
          <w:sz w:val="24"/>
        </w:rPr>
        <w:t>VMI Addendum</w:t>
      </w:r>
      <w:r>
        <w:rPr>
          <w:color w:val="000000"/>
        </w:rPr>
        <w:t>”</w:t>
      </w:r>
      <w:r>
        <w:rPr>
          <w:rFonts w:ascii="Times New Roman;sans-serif" w:hAnsi="Times New Roman;sans-serif"/>
          <w:b w:val="false"/>
          <w:color w:val="000000"/>
          <w:sz w:val="24"/>
        </w:rPr>
        <w:t>) supplements the Manufacture and Supply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the parties. Unless otherwise specified, capitalized terms in this VMI Addendum have the same meaning as defined in the Agreement, and those definitions are incorporated by reference.</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Supplier sells Products to Company under the Agreement; and </w:t>
      </w:r>
    </w:p>
    <w:p>
      <w:pPr>
        <w:pStyle w:val="TextBody"/>
        <w:bidi w:val="0"/>
        <w:spacing w:lineRule="auto" w:line="240" w:before="0" w:after="24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Supplier and Company wish to have Supplier take over the management, maintenance, and replenishment of Company’s stock of certain Products.</w:t>
      </w:r>
    </w:p>
    <w:p>
      <w:pPr>
        <w:pStyle w:val="TextBody"/>
        <w:bidi w:val="0"/>
        <w:spacing w:lineRule="auto" w:line="240" w:before="0" w:after="24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covenants, terms and conditions set forth herein, and for other good and valuable consideration, the parties agree as follows.</w:t>
      </w:r>
    </w:p>
    <w:p>
      <w:pPr>
        <w:pStyle w:val="TextBody"/>
        <w:bidi w:val="0"/>
        <w:spacing w:lineRule="auto" w:line="240" w:before="0" w:after="240"/>
        <w:ind w:left="0" w:right="0" w:hanging="360"/>
        <w:jc w:val="both"/>
        <w:rPr/>
      </w:pPr>
      <w:r>
        <w:rPr>
          <w:rFonts w:ascii="Cambria;sans-serif" w:hAnsi="Cambria;sans-serif"/>
          <w:b/>
          <w:color w:val="000000"/>
          <w:sz w:val="24"/>
        </w:rPr>
        <w:t>1.</w:t>
      </w:r>
      <w:r>
        <w:rPr>
          <w:rFonts w:ascii="Times New Roman;sans-serif" w:hAnsi="Times New Roman;sans-serif"/>
          <w:b/>
          <w:color w:val="000000"/>
          <w:sz w:val="24"/>
          <w:u w:val="single"/>
        </w:rPr>
        <w:t xml:space="preserve">DEFINITIONS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color w:val="000000"/>
        </w:rPr>
        <w:t>“</w:t>
      </w:r>
      <w:r>
        <w:rPr>
          <w:rFonts w:ascii="Times New Roman;sans-serif" w:hAnsi="Times New Roman;sans-serif"/>
          <w:b/>
          <w:i/>
          <w:color w:val="000000"/>
          <w:sz w:val="24"/>
        </w:rPr>
        <w:t>Managed Inventory</w:t>
      </w:r>
      <w:r>
        <w:rPr>
          <w:color w:val="000000"/>
        </w:rPr>
        <w:t xml:space="preserve">” </w:t>
      </w:r>
      <w:r>
        <w:rPr>
          <w:rFonts w:ascii="Times New Roman;sans-serif" w:hAnsi="Times New Roman;sans-serif"/>
          <w:b w:val="false"/>
          <w:color w:val="000000"/>
          <w:sz w:val="24"/>
        </w:rPr>
        <w:t xml:space="preserve">means those Products described on </w:t>
      </w:r>
      <w:r>
        <w:rPr>
          <w:rFonts w:ascii="Times New Roman;sans-serif" w:hAnsi="Times New Roman;sans-serif"/>
          <w:b/>
          <w:color w:val="000000"/>
          <w:sz w:val="24"/>
        </w:rPr>
        <w:t>Attachment A</w:t>
      </w:r>
      <w:r>
        <w:rPr>
          <w:color w:val="000000"/>
        </w:rPr>
        <w:t xml:space="preserve"> </w:t>
      </w:r>
      <w:r>
        <w:rPr>
          <w:rFonts w:ascii="Times New Roman;sans-serif" w:hAnsi="Times New Roman;sans-serif"/>
          <w:b w:val="false"/>
          <w:color w:val="000000"/>
          <w:sz w:val="24"/>
        </w:rPr>
        <w:t xml:space="preserve">hereto.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color w:val="000000"/>
        </w:rPr>
        <w:t>“</w:t>
      </w:r>
      <w:r>
        <w:rPr>
          <w:rFonts w:ascii="Times New Roman;sans-serif" w:hAnsi="Times New Roman;sans-serif"/>
          <w:b/>
          <w:i/>
          <w:color w:val="000000"/>
          <w:sz w:val="24"/>
        </w:rPr>
        <w:t>Maximum Inventory Level</w:t>
      </w:r>
      <w:r>
        <w:rPr>
          <w:color w:val="000000"/>
        </w:rPr>
        <w:t xml:space="preserve">” </w:t>
      </w:r>
      <w:r>
        <w:rPr>
          <w:rFonts w:ascii="Times New Roman;sans-serif" w:hAnsi="Times New Roman;sans-serif"/>
          <w:b w:val="false"/>
          <w:color w:val="000000"/>
          <w:sz w:val="24"/>
        </w:rPr>
        <w:t xml:space="preserve">means the maximum number of units of VMI Products to be in Company’s stock at any time, as set forth on </w:t>
      </w:r>
      <w:r>
        <w:rPr>
          <w:rFonts w:ascii="Times New Roman;sans-serif" w:hAnsi="Times New Roman;sans-serif"/>
          <w:b/>
          <w:color w:val="000000"/>
          <w:sz w:val="24"/>
        </w:rPr>
        <w:t>Attachment A</w:t>
      </w:r>
      <w:r>
        <w:rPr>
          <w:rFonts w:ascii="Times New Roman;sans-serif" w:hAnsi="Times New Roman;sans-serif"/>
          <w:b w:val="false"/>
          <w:color w:val="000000"/>
          <w:sz w:val="24"/>
        </w:rPr>
        <w:t>.</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color w:val="000000"/>
        </w:rPr>
        <w:t>“</w:t>
      </w:r>
      <w:r>
        <w:rPr>
          <w:rFonts w:ascii="Times New Roman;sans-serif" w:hAnsi="Times New Roman;sans-serif"/>
          <w:b/>
          <w:i/>
          <w:color w:val="000000"/>
          <w:sz w:val="24"/>
        </w:rPr>
        <w:t>OTD</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On-Time Delivery</w:t>
      </w:r>
      <w:r>
        <w:rPr>
          <w:color w:val="000000"/>
        </w:rPr>
        <w:t xml:space="preserve">” </w:t>
      </w:r>
      <w:r>
        <w:rPr>
          <w:rFonts w:ascii="Times New Roman;sans-serif" w:hAnsi="Times New Roman;sans-serif"/>
          <w:b w:val="false"/>
          <w:color w:val="000000"/>
          <w:sz w:val="24"/>
        </w:rPr>
        <w:t xml:space="preserve">means the timely delivery of Order quantities as per the agreed-upon delivery schedule, including the specified delivery dates and lead times outlined in the Orders. </w:t>
      </w:r>
    </w:p>
    <w:p>
      <w:pPr>
        <w:pStyle w:val="TextBody"/>
        <w:bidi w:val="0"/>
        <w:spacing w:lineRule="auto" w:line="240" w:before="0" w:after="240"/>
        <w:ind w:left="0" w:right="0" w:hanging="504"/>
        <w:jc w:val="both"/>
        <w:rPr/>
      </w:pPr>
      <w:r>
        <w:rPr>
          <w:rFonts w:ascii="Times New Roman;sans-serif" w:hAnsi="Times New Roman;sans-serif"/>
          <w:b/>
          <w:color w:val="000000"/>
          <w:sz w:val="24"/>
        </w:rPr>
        <w:t>d.</w:t>
      </w:r>
      <w:r>
        <w:rPr>
          <w:color w:val="000000"/>
        </w:rPr>
        <w:t>“</w:t>
      </w:r>
      <w:r>
        <w:rPr>
          <w:rFonts w:ascii="Times New Roman;sans-serif" w:hAnsi="Times New Roman;sans-serif"/>
          <w:b/>
          <w:i/>
          <w:color w:val="000000"/>
          <w:sz w:val="24"/>
        </w:rPr>
        <w:t>Re-order Level</w:t>
      </w:r>
      <w:r>
        <w:rPr>
          <w:color w:val="000000"/>
        </w:rPr>
        <w:t xml:space="preserve">” </w:t>
      </w:r>
      <w:r>
        <w:rPr>
          <w:rFonts w:ascii="Times New Roman;sans-serif" w:hAnsi="Times New Roman;sans-serif"/>
          <w:b w:val="false"/>
          <w:color w:val="000000"/>
          <w:sz w:val="24"/>
        </w:rPr>
        <w:t xml:space="preserve">means the stock level of units of Products at which Company’s inventory of Products is to be replenished by Supplier, as set forth in </w:t>
      </w:r>
      <w:r>
        <w:rPr>
          <w:rFonts w:ascii="Times New Roman;sans-serif" w:hAnsi="Times New Roman;sans-serif"/>
          <w:b/>
          <w:color w:val="000000"/>
          <w:sz w:val="24"/>
        </w:rPr>
        <w:t>Attachment A</w:t>
      </w:r>
      <w:r>
        <w:rPr>
          <w:rFonts w:ascii="Times New Roman;sans-serif" w:hAnsi="Times New Roman;sans-serif"/>
          <w:b w:val="false"/>
          <w:color w:val="000000"/>
          <w:sz w:val="24"/>
        </w:rPr>
        <w:t>.</w:t>
      </w:r>
    </w:p>
    <w:p>
      <w:pPr>
        <w:pStyle w:val="TextBody"/>
        <w:bidi w:val="0"/>
        <w:spacing w:lineRule="auto" w:line="240" w:before="0" w:after="240"/>
        <w:ind w:left="0" w:right="0" w:hanging="504"/>
        <w:jc w:val="both"/>
        <w:rPr/>
      </w:pPr>
      <w:r>
        <w:rPr>
          <w:rFonts w:ascii="Times New Roman;sans-serif" w:hAnsi="Times New Roman;sans-serif"/>
          <w:b/>
          <w:color w:val="000000"/>
          <w:sz w:val="24"/>
        </w:rPr>
        <w:t>e.</w:t>
      </w:r>
      <w:r>
        <w:rPr>
          <w:color w:val="000000"/>
        </w:rPr>
        <w:t>“</w:t>
      </w:r>
      <w:r>
        <w:rPr>
          <w:rFonts w:ascii="Times New Roman;sans-serif" w:hAnsi="Times New Roman;sans-serif"/>
          <w:b/>
          <w:i/>
          <w:color w:val="000000"/>
          <w:sz w:val="24"/>
        </w:rPr>
        <w:t>VMI Products</w:t>
      </w:r>
      <w:r>
        <w:rPr>
          <w:color w:val="000000"/>
        </w:rPr>
        <w:t xml:space="preserve">” </w:t>
      </w:r>
      <w:r>
        <w:rPr>
          <w:rFonts w:ascii="Times New Roman;sans-serif" w:hAnsi="Times New Roman;sans-serif"/>
          <w:b w:val="false"/>
          <w:color w:val="000000"/>
          <w:sz w:val="24"/>
        </w:rPr>
        <w:t xml:space="preserve">means Products described on </w:t>
      </w:r>
      <w:r>
        <w:rPr>
          <w:rFonts w:ascii="Times New Roman;sans-serif" w:hAnsi="Times New Roman;sans-serif"/>
          <w:b/>
          <w:color w:val="000000"/>
          <w:sz w:val="24"/>
        </w:rPr>
        <w:t>Attachment A.</w:t>
      </w:r>
    </w:p>
    <w:p>
      <w:pPr>
        <w:pStyle w:val="TextBody"/>
        <w:bidi w:val="0"/>
        <w:spacing w:lineRule="auto" w:line="240" w:before="0" w:after="240"/>
        <w:ind w:left="0" w:right="0" w:hanging="504"/>
        <w:jc w:val="both"/>
        <w:rPr/>
      </w:pPr>
      <w:r>
        <w:rPr>
          <w:rFonts w:ascii="Times New Roman;sans-serif" w:hAnsi="Times New Roman;sans-serif"/>
          <w:b/>
          <w:color w:val="000000"/>
          <w:sz w:val="24"/>
        </w:rPr>
        <w:t>f.</w:t>
      </w:r>
      <w:r>
        <w:rPr>
          <w:color w:val="000000"/>
        </w:rPr>
        <w:t xml:space="preserve"> “</w:t>
      </w:r>
      <w:r>
        <w:rPr>
          <w:rFonts w:ascii="Times New Roman;sans-serif" w:hAnsi="Times New Roman;sans-serif"/>
          <w:b/>
          <w:i/>
          <w:color w:val="000000"/>
          <w:sz w:val="24"/>
        </w:rPr>
        <w:t>Closed Lines</w:t>
      </w:r>
      <w:r>
        <w:rPr>
          <w:color w:val="000000"/>
        </w:rPr>
        <w:t xml:space="preserve">” </w:t>
      </w:r>
      <w:r>
        <w:rPr>
          <w:rFonts w:ascii="Times New Roman;sans-serif" w:hAnsi="Times New Roman;sans-serif"/>
          <w:b w:val="false"/>
          <w:color w:val="000000"/>
          <w:sz w:val="24"/>
        </w:rPr>
        <w:t>refers to specific line items within a purchase order that have been completed, fulfilled, or otherwise processed to the extent that an obligation has been successfully concluded and no further action or deliveries are expected or required.</w:t>
      </w:r>
    </w:p>
    <w:p>
      <w:pPr>
        <w:pStyle w:val="TextBody"/>
        <w:bidi w:val="0"/>
        <w:spacing w:lineRule="auto" w:line="240" w:before="0" w:after="240"/>
        <w:ind w:left="0" w:right="0" w:hanging="360"/>
        <w:jc w:val="both"/>
        <w:rPr/>
      </w:pPr>
      <w:r>
        <w:rPr>
          <w:rFonts w:ascii="Cambria;sans-serif" w:hAnsi="Cambria;sans-serif"/>
          <w:b/>
          <w:color w:val="000000"/>
          <w:sz w:val="24"/>
        </w:rPr>
        <w:t>2.</w:t>
      </w:r>
      <w:r>
        <w:rPr>
          <w:rFonts w:ascii="Times New Roman;sans-serif" w:hAnsi="Times New Roman;sans-serif"/>
          <w:b/>
          <w:color w:val="000000"/>
          <w:sz w:val="24"/>
          <w:u w:val="single"/>
        </w:rPr>
        <w:t>INVENTORY MANAGEMENT</w:t>
      </w:r>
    </w:p>
    <w:p>
      <w:pPr>
        <w:pStyle w:val="TextBody"/>
        <w:bidi w:val="0"/>
        <w:spacing w:lineRule="auto" w:line="240" w:before="0" w:after="240"/>
        <w:ind w:left="0" w:right="0" w:hanging="720"/>
        <w:jc w:val="both"/>
        <w:rPr/>
      </w:pPr>
      <w:r>
        <w:rPr>
          <w:rFonts w:ascii="Cambria;sans-serif" w:hAnsi="Cambria;sans-serif"/>
          <w:b/>
          <w:color w:val="000000"/>
          <w:sz w:val="24"/>
        </w:rPr>
        <w:t>2.1</w:t>
      </w:r>
      <w:r>
        <w:rPr>
          <w:rFonts w:ascii="Times New Roman;sans-serif" w:hAnsi="Times New Roman;sans-serif"/>
          <w:b w:val="false"/>
          <w:color w:val="000000"/>
          <w:sz w:val="24"/>
        </w:rPr>
        <w:t xml:space="preserve">Company shall purchase all its requirements for the VMI Products from Supplier and shall provide Supplier with sufficient information to allow Supplier to maintain the Managed Inventory. This information shall include, at a minimum,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Company’s existing stock of VMI Products; </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Company’s quarterly forecast for VMI Products, as set forth in the Agreement Section 1.5; and</w:t>
      </w:r>
    </w:p>
    <w:p>
      <w:pPr>
        <w:pStyle w:val="TextBody"/>
        <w:bidi w:val="0"/>
        <w:spacing w:lineRule="auto" w:line="240" w:before="0" w:after="240"/>
        <w:ind w:left="0" w:right="0" w:hanging="504"/>
        <w:jc w:val="both"/>
        <w:rPr/>
      </w:pPr>
      <w:r>
        <w:rPr>
          <w:rFonts w:ascii="Times New Roman;sans-serif" w:hAnsi="Times New Roman;sans-serif"/>
          <w:b/>
          <w:color w:val="000000"/>
          <w:sz w:val="24"/>
        </w:rPr>
        <w:t>c.</w:t>
      </w:r>
      <w:r>
        <w:rPr>
          <w:rFonts w:ascii="Times New Roman;sans-serif" w:hAnsi="Times New Roman;sans-serif"/>
          <w:b w:val="false"/>
          <w:color w:val="000000"/>
          <w:sz w:val="24"/>
        </w:rPr>
        <w:t>Plans that may impact the Company’s forecast for VMI Products.</w:t>
      </w:r>
    </w:p>
    <w:p>
      <w:pPr>
        <w:pStyle w:val="TextBody"/>
        <w:bidi w:val="0"/>
        <w:spacing w:lineRule="auto" w:line="240" w:before="0" w:after="240"/>
        <w:ind w:left="0" w:right="0" w:hanging="720"/>
        <w:jc w:val="both"/>
        <w:rPr/>
      </w:pPr>
      <w:r>
        <w:rPr>
          <w:rFonts w:ascii="Cambria;sans-serif" w:hAnsi="Cambria;sans-serif"/>
          <w:b/>
          <w:color w:val="000000"/>
          <w:sz w:val="24"/>
        </w:rPr>
        <w:t>2.2</w:t>
      </w:r>
      <w:r>
        <w:rPr>
          <w:rFonts w:ascii="Times New Roman;sans-serif" w:hAnsi="Times New Roman;sans-serif"/>
          <w:b w:val="false"/>
          <w:color w:val="000000"/>
          <w:sz w:val="24"/>
        </w:rPr>
        <w:t xml:space="preserve">Supplier shall use its best efforts to maintain Company’s stock of VMI Products so that it does not fall below the Re-Order Level and does not exceed the Maximum Inventory Level.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30555"/>
                <wp:effectExtent l="0" t="0" r="0" b="0"/>
                <wp:wrapNone/>
                <wp:docPr id="143" name="Frame143"/>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27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27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360"/>
        <w:jc w:val="both"/>
        <w:rPr/>
      </w:pPr>
      <w:r>
        <w:rPr>
          <w:rFonts w:ascii="Cambria;sans-serif" w:hAnsi="Cambria;sans-serif"/>
          <w:b/>
          <w:color w:val="000000"/>
          <w:sz w:val="24"/>
        </w:rPr>
        <w:t>3.</w:t>
      </w:r>
      <w:r>
        <w:rPr>
          <w:rFonts w:ascii="Times New Roman;sans-serif" w:hAnsi="Times New Roman;sans-serif"/>
          <w:b/>
          <w:color w:val="000000"/>
          <w:sz w:val="24"/>
          <w:u w:val="single"/>
        </w:rPr>
        <w:t>PURCHASE ORDERS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a weekly cadence, Company shall provide Supplier with updated inventory levels of the VMI Products in its possession. Based on the inventory levels provided by Company, Supplier shall determine the quantities of VMI Products needed to maintain Company’s inventory between the Maximum Inventory Level and the Re-order Level and shall communicate this determination to the Company in writing. Company shall provide to Supplier approval to release an agreed upon quantity from blanket purchase orders, specifying the quantities, in increments equal to the full of half build plate quantity for a particular Product, of VMI Products for purchase. Supplier shall promptly review and confirm the Orders within 3 business days.</w:t>
      </w:r>
    </w:p>
    <w:p>
      <w:pPr>
        <w:pStyle w:val="TextBody"/>
        <w:bidi w:val="0"/>
        <w:spacing w:lineRule="auto" w:line="240" w:before="0" w:after="240"/>
        <w:ind w:left="0" w:right="0" w:hanging="360"/>
        <w:jc w:val="both"/>
        <w:rPr/>
      </w:pPr>
      <w:r>
        <w:rPr>
          <w:rFonts w:ascii="Cambria;sans-serif" w:hAnsi="Cambria;sans-serif"/>
          <w:b/>
          <w:color w:val="000000"/>
          <w:sz w:val="24"/>
        </w:rPr>
        <w:t>4.</w:t>
      </w:r>
      <w:r>
        <w:rPr>
          <w:rFonts w:ascii="Times New Roman;sans-serif" w:hAnsi="Times New Roman;sans-serif"/>
          <w:b/>
          <w:color w:val="000000"/>
          <w:sz w:val="24"/>
          <w:u w:val="single"/>
        </w:rPr>
        <w:t>DELIVERY; INVOICING</w:t>
      </w:r>
    </w:p>
    <w:p>
      <w:pPr>
        <w:pStyle w:val="TextBody"/>
        <w:bidi w:val="0"/>
        <w:spacing w:lineRule="auto" w:line="240" w:before="0" w:after="240"/>
        <w:ind w:left="0" w:right="0" w:hanging="720"/>
        <w:jc w:val="both"/>
        <w:rPr/>
      </w:pPr>
      <w:r>
        <w:rPr>
          <w:rFonts w:ascii="Cambria;sans-serif" w:hAnsi="Cambria;sans-serif"/>
          <w:b/>
          <w:color w:val="000000"/>
          <w:sz w:val="24"/>
        </w:rPr>
        <w:t>4.1</w:t>
      </w:r>
      <w:r>
        <w:rPr>
          <w:rFonts w:ascii="Times New Roman;sans-serif" w:hAnsi="Times New Roman;sans-serif"/>
          <w:b/>
          <w:color w:val="000000"/>
          <w:sz w:val="24"/>
          <w:u w:val="single"/>
        </w:rPr>
        <w:t>Delivery</w:t>
      </w:r>
      <w:r>
        <w:rPr>
          <w:rFonts w:ascii="Times New Roman;sans-serif" w:hAnsi="Times New Roman;sans-serif"/>
          <w:b w:val="false"/>
          <w:color w:val="000000"/>
          <w:sz w:val="24"/>
        </w:rPr>
        <w:t xml:space="preserve">. Supplier will deliver VMI Product to Company subject to the terms of the Agreement, except as explicitly set forth herein: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Supplier shall ship VMI Products purchased under a blanket Order, within fifteen (15) business days from receipt of the approval to release the Products for shipment.</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Requested delivery dates may be changed only by mutual written agreement of the parties, which agreement shall not be unreasonably withheld or delayed. In the event that Supplier has reason to believe that it will be unable to meet the agreed upon delivery dates, Supplier will notify COMPANY promptly and state the reasons for the anticipated delay.</w:t>
      </w:r>
    </w:p>
    <w:p>
      <w:pPr>
        <w:pStyle w:val="TextBody"/>
        <w:bidi w:val="0"/>
        <w:spacing w:lineRule="auto" w:line="240" w:before="0" w:after="240"/>
        <w:ind w:left="0" w:right="0" w:hanging="720"/>
        <w:jc w:val="both"/>
        <w:rPr/>
      </w:pPr>
      <w:r>
        <w:rPr>
          <w:rFonts w:ascii="Cambria;sans-serif" w:hAnsi="Cambria;sans-serif"/>
          <w:b/>
          <w:color w:val="000000"/>
          <w:sz w:val="24"/>
        </w:rPr>
        <w:t>4.2</w:t>
      </w:r>
      <w:r>
        <w:rPr>
          <w:rFonts w:ascii="Times New Roman;sans-serif" w:hAnsi="Times New Roman;sans-serif"/>
          <w:b/>
          <w:color w:val="000000"/>
          <w:sz w:val="24"/>
          <w:u w:val="single"/>
        </w:rPr>
        <w:t>Invoices</w:t>
      </w:r>
      <w:r>
        <w:rPr>
          <w:rFonts w:ascii="Times New Roman;sans-serif" w:hAnsi="Times New Roman;sans-serif"/>
          <w:b w:val="false"/>
          <w:color w:val="000000"/>
          <w:sz w:val="24"/>
        </w:rPr>
        <w:t xml:space="preserve">. Supplier shall issue invoices to Company upon shipment of VMI Products. Invoice, pricing and payment terms shall be in accordance with those set forth in the Agreement. </w:t>
      </w:r>
    </w:p>
    <w:p>
      <w:pPr>
        <w:pStyle w:val="TextBody"/>
        <w:bidi w:val="0"/>
        <w:spacing w:lineRule="auto" w:line="240" w:before="0" w:after="240"/>
        <w:ind w:left="0" w:right="0" w:hanging="360"/>
        <w:jc w:val="both"/>
        <w:rPr/>
      </w:pPr>
      <w:r>
        <w:rPr>
          <w:rFonts w:ascii="Cambria;sans-serif" w:hAnsi="Cambria;sans-serif"/>
          <w:b/>
          <w:color w:val="000000"/>
          <w:sz w:val="24"/>
        </w:rPr>
        <w:t>5.</w:t>
      </w:r>
      <w:r>
        <w:rPr>
          <w:rFonts w:ascii="Times New Roman;sans-serif" w:hAnsi="Times New Roman;sans-serif"/>
          <w:b/>
          <w:color w:val="000000"/>
          <w:sz w:val="24"/>
          <w:u w:val="single"/>
        </w:rPr>
        <w:t>ON-TIME DELIVERY</w:t>
      </w:r>
    </w:p>
    <w:p>
      <w:pPr>
        <w:pStyle w:val="TextBody"/>
        <w:bidi w:val="0"/>
        <w:spacing w:lineRule="auto" w:line="240" w:before="0" w:after="240"/>
        <w:jc w:val="both"/>
        <w:rPr/>
      </w:pPr>
      <w:r>
        <w:rPr>
          <w:rFonts w:ascii="Times New Roman;sans-serif" w:hAnsi="Times New Roman;sans-serif"/>
          <w:b w:val="false"/>
          <w:color w:val="000000"/>
          <w:sz w:val="24"/>
        </w:rPr>
        <w:t xml:space="preserve">Supplier shall maintain a minimum On-Time Delivery (OTD) performance of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for the VMI Products. Any number of closed lines with a delivery tolerance greater than </w:t>
      </w:r>
      <w:r>
        <w:rPr>
          <w:rFonts w:ascii="Times New Roman;sans-serif" w:hAnsi="Times New Roman;sans-serif"/>
          <w:b/>
          <w:color w:val="000000"/>
          <w:sz w:val="20"/>
        </w:rPr>
        <w:t>[***]</w:t>
      </w:r>
      <w:r>
        <w:rPr>
          <w:rFonts w:ascii="Times New Roman;sans-serif" w:hAnsi="Times New Roman;sans-serif"/>
          <w:b w:val="false"/>
          <w:color w:val="000000"/>
          <w:sz w:val="24"/>
        </w:rPr>
        <w:t xml:space="preserve">, which is defined as a variation in the quantity of parts delivered by up to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4"/>
        </w:rPr>
        <w:t xml:space="preserve">less than the originally specified line quantity, will have a negative impact on the On-Time Delivery (OTD) performance. If Supplier's OTD performance falls below </w:t>
      </w:r>
      <w:r>
        <w:rPr>
          <w:rFonts w:ascii="Times New Roman;sans-serif" w:hAnsi="Times New Roman;sans-serif"/>
          <w:b/>
          <w:color w:val="000000"/>
          <w:sz w:val="20"/>
        </w:rPr>
        <w:t>[***]</w:t>
      </w:r>
      <w:r>
        <w:rPr>
          <w:rFonts w:ascii="Times New Roman;sans-serif" w:hAnsi="Times New Roman;sans-serif"/>
          <w:b w:val="false"/>
          <w:color w:val="000000"/>
          <w:sz w:val="24"/>
        </w:rPr>
        <w:t xml:space="preserve">, Company may issue a written notice to Supplier, highlighting the deficiency and requesting immediate remedial action. Supplier shall have a maximum of three months from the date of the notice to rectify the OTD performance and achieve the minimum required level of </w:t>
      </w:r>
      <w:r>
        <w:rPr>
          <w:rFonts w:ascii="Times New Roman;sans-serif" w:hAnsi="Times New Roman;sans-serif"/>
          <w:b/>
          <w:color w:val="000000"/>
          <w:sz w:val="20"/>
        </w:rPr>
        <w:t>[***]</w:t>
      </w:r>
      <w:r>
        <w:rPr>
          <w:rFonts w:ascii="Times New Roman;sans-serif" w:hAnsi="Times New Roman;sans-serif"/>
          <w:b w:val="false"/>
          <w:color w:val="000000"/>
          <w:sz w:val="24"/>
        </w:rPr>
        <w:t xml:space="preserve">. During this period, Supplier shall implement necessary measures to improve delivery performance and work closely with Company to address any underlying issues. If Supplier fails to remedy the OTD performance deficiency within the stipulated three-month period, Company reserves the right to terminate this VMI Addendum or the Agreement without further liability or obligation, subject to any other remedies available under applicable laws or provisions of the Agreement. </w:t>
      </w:r>
    </w:p>
    <w:p>
      <w:pPr>
        <w:pStyle w:val="TextBody"/>
        <w:bidi w:val="0"/>
        <w:spacing w:lineRule="auto" w:line="240" w:before="0" w:after="240"/>
        <w:ind w:left="0" w:right="0" w:hanging="360"/>
        <w:jc w:val="both"/>
        <w:rPr/>
      </w:pPr>
      <w:r>
        <w:rPr>
          <w:rFonts w:ascii="Cambria;sans-serif" w:hAnsi="Cambria;sans-serif"/>
          <w:b/>
          <w:color w:val="000000"/>
          <w:sz w:val="24"/>
        </w:rPr>
        <w:t>6.</w:t>
      </w:r>
      <w:r>
        <w:rPr>
          <w:rFonts w:ascii="Times New Roman;sans-serif" w:hAnsi="Times New Roman;sans-serif"/>
          <w:b/>
          <w:color w:val="000000"/>
          <w:sz w:val="24"/>
          <w:u w:val="single"/>
        </w:rPr>
        <w:t>SUPPLIER VMI STOCKING LEVELS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Supplier shall maintain stocking levels of the VMI Products based on the forecast provided by Company. Supplier shall ensure that the stocking levels are sufficient to meet the anticipated demand while avoiding excessive inventory buildup. Supplier shall hold a maximum of no more than three months’ forecasted demand in stock and no less than one months’ forecasted demand in stock at any given time. In the event that the stocking levels fall below the minimum requirement of one months’ forecasted demand, Supplier shall promptly replenish its inventory to ensure continuous availability of the VMI Products. If the stocking levels exceed the maximum threshold of three months’ forecasted </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630555"/>
                <wp:effectExtent l="0" t="0" r="0" b="0"/>
                <wp:wrapNone/>
                <wp:docPr id="144" name="Frame144"/>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28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28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demand, Supplier shall consult with Company to determine the appropriate course of action. Company shall not be responsible for the cost or liability associated with such excess inventory if in excess of more than 3 months forecasted demand according to the forecast provided no earlier than one quarter prior to the date of manufacture of the VMI. The Supplier shall review in quarterly intervals and adjust the stocking levels based on the changing demand patterns, market conditions, and any modifications to the forecast provided by Company. Such adjustments shall be made in a timely manner to ensure optimal inventory, management provided that if the maximum quantity level is reduced below a current inventory level, then Company is responsible for any existing inventory at the prior maximum level until the excess is consumed and the new maximum quantity level goes into effect. If the Company fails to release any VMI Products for a period of 12 consecutive months the Supplier, at its option, may request Company to release and pay for any such Products and remove such Product from Attachment A by amendment to this Exhibit H. The Supplier shall maintain proper record-keeping and reporting mechanisms to track and report the stocking levels, including quarterly reporting on inventory quantities, utilization rates, and any adjustments made to align with the forecasted demand.</w:t>
      </w:r>
    </w:p>
    <w:p>
      <w:pPr>
        <w:pStyle w:val="TextBody"/>
        <w:bidi w:val="0"/>
        <w:spacing w:lineRule="auto" w:line="240" w:before="0" w:after="240"/>
        <w:ind w:left="0" w:right="0" w:hanging="360"/>
        <w:jc w:val="left"/>
        <w:rPr/>
      </w:pPr>
      <w:r>
        <w:rPr>
          <w:rFonts w:ascii="Cambria;sans-serif" w:hAnsi="Cambria;sans-serif"/>
          <w:b/>
          <w:color w:val="000000"/>
          <w:sz w:val="24"/>
        </w:rPr>
        <w:t>7.</w:t>
      </w:r>
      <w:r>
        <w:rPr>
          <w:rFonts w:ascii="Times New Roman;sans-serif" w:hAnsi="Times New Roman;sans-serif"/>
          <w:b/>
          <w:color w:val="000000"/>
          <w:sz w:val="24"/>
          <w:u w:val="single"/>
        </w:rPr>
        <w:t>PRICING</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pricing for the VMI Products covered under this Vendor Managed Inventory (VMI) Agreement shall be as specified under the Agreement. The prices listed in the Agreement shall remain valid for the duration of the Agreement, unless otherwise specified or agreed upon in writing by both parties.</w:t>
      </w:r>
    </w:p>
    <w:p>
      <w:pPr>
        <w:pStyle w:val="TextBody"/>
        <w:bidi w:val="0"/>
        <w:spacing w:lineRule="auto" w:line="240" w:before="0" w:after="240"/>
        <w:ind w:left="0" w:right="0" w:hanging="360"/>
        <w:jc w:val="left"/>
        <w:rPr/>
      </w:pPr>
      <w:r>
        <w:rPr>
          <w:rFonts w:ascii="Cambria;sans-serif" w:hAnsi="Cambria;sans-serif"/>
          <w:b/>
          <w:color w:val="000000"/>
          <w:sz w:val="24"/>
        </w:rPr>
        <w:t>8.</w:t>
      </w:r>
      <w:r>
        <w:rPr>
          <w:rFonts w:ascii="Times New Roman;sans-serif" w:hAnsi="Times New Roman;sans-serif"/>
          <w:b/>
          <w:color w:val="000000"/>
          <w:sz w:val="24"/>
          <w:u w:val="single"/>
        </w:rPr>
        <w:t>REVISIONS TO VMI PRODUCTS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revisions changes, or updates to the VMI Products, Company and Supplier shall work together to manage the disposition of any affected Managed Inventory held by Supplier. Company shall promptly notify Supplier of any revisions, changes, or updates to parts or components that may impact the Managed Inventory held by Supplier. Such changes may include product design modifications, specification updates, or discontinuation of specific parts. Upon receiving such notification, Supplier shall assess the existing Managed Inventory and collaborate with the Company to determine the appropriate disposition for the affected VMI Products. Disposition options may include, but are not limited to, utilizing the existing inventory as “use as is” until depletion or scrapping the affected Managed Inventory. If the disposition of the affected parts results in the need to scrap any affected Managed Inventory, Company acknowledges that it shall be solely responsible for the costs associated with scrapping and disposing of such inventory, including payment of the Product price as defined in Exhibit’s A through D of the Agreement for the units being scrapped. The Supplier shall not be liable for any expenses incurred in the disposition of scrap inventory unless it exceeds the maximum threshold of three months’ forecasted demand according to the forecast provided by Company no earlier than one quarter prior to the date of manufacture of the affected Managed Inventory, as detailed in Section 1.5 and Section 6 of the Agreement and as provided for in Section 6 of this Exhibit H.</w:t>
      </w:r>
    </w:p>
    <w:p>
      <w:pPr>
        <w:pStyle w:val="TextBody"/>
        <w:bidi w:val="0"/>
        <w:spacing w:lineRule="auto" w:line="240" w:before="0" w:after="240"/>
        <w:ind w:left="0" w:right="0" w:hanging="360"/>
        <w:jc w:val="both"/>
        <w:rPr/>
      </w:pPr>
      <w:r>
        <w:rPr>
          <w:rFonts w:ascii="Cambria;sans-serif" w:hAnsi="Cambria;sans-serif"/>
          <w:b/>
          <w:color w:val="000000"/>
          <w:sz w:val="24"/>
        </w:rPr>
        <w:t>9.</w:t>
      </w:r>
      <w:r>
        <w:rPr>
          <w:rFonts w:ascii="Times New Roman;sans-serif" w:hAnsi="Times New Roman;sans-serif"/>
          <w:b/>
          <w:color w:val="000000"/>
          <w:sz w:val="24"/>
          <w:u w:val="single"/>
        </w:rPr>
        <w:t>INSPECTION</w:t>
      </w:r>
    </w:p>
    <w:p>
      <w:pPr>
        <w:pStyle w:val="TextBody"/>
        <w:bidi w:val="0"/>
        <w:spacing w:lineRule="auto" w:line="240" w:before="0" w:after="240"/>
        <w:ind w:left="0" w:right="0" w:hanging="720"/>
        <w:jc w:val="both"/>
        <w:rPr/>
      </w:pPr>
      <w:r>
        <w:rPr>
          <w:rFonts w:ascii="Cambria;sans-serif" w:hAnsi="Cambria;sans-serif"/>
          <w:b/>
          <w:color w:val="000000"/>
          <w:sz w:val="24"/>
        </w:rPr>
        <w:t>9.1</w:t>
      </w:r>
      <w:r>
        <w:rPr>
          <w:rFonts w:ascii="Times New Roman;sans-serif" w:hAnsi="Times New Roman;sans-serif"/>
          <w:b/>
          <w:color w:val="000000"/>
          <w:sz w:val="24"/>
          <w:u w:val="single"/>
        </w:rPr>
        <w:t>Inspection Rights</w:t>
      </w:r>
      <w:r>
        <w:rPr>
          <w:rFonts w:ascii="Times New Roman;sans-serif" w:hAnsi="Times New Roman;sans-serif"/>
          <w:b w:val="false"/>
          <w:color w:val="000000"/>
          <w:sz w:val="24"/>
        </w:rPr>
        <w:t>. Company shall have the right, no more often than one time during any one-month period, upon a minimum of 10 business days prior notice, during normal business hours, to inspect or have its representatives inspect the physical inventory of VMI products at Supplier’s facilities to confirm the accuracy of its information regarding the Managed Inventory. During any such inspection, Company shall have the right to:</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enter Supplier’s facilities where the Managed Inventory is being stored to conduct physical counts and inspection of the Managed Inventory; and</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30555"/>
                <wp:effectExtent l="0" t="0" r="0" b="0"/>
                <wp:wrapNone/>
                <wp:docPr id="145" name="Frame145"/>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29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29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enter into Supplier’s offices or facilities to inspect Supplier’s books and records, including relevant electronic information, relating solely to stock and supply of VMI Products.</w:t>
      </w:r>
    </w:p>
    <w:p>
      <w:pPr>
        <w:pStyle w:val="TextBody"/>
        <w:bidi w:val="0"/>
        <w:spacing w:lineRule="auto" w:line="240" w:before="0" w:after="240"/>
        <w:ind w:left="0" w:right="0" w:hanging="720"/>
        <w:jc w:val="both"/>
        <w:rPr/>
      </w:pPr>
      <w:r>
        <w:rPr>
          <w:rFonts w:ascii="Cambria;sans-serif" w:hAnsi="Cambria;sans-serif"/>
          <w:b/>
          <w:color w:val="000000"/>
          <w:sz w:val="24"/>
        </w:rPr>
        <w:t>9.2</w:t>
      </w:r>
      <w:r>
        <w:rPr>
          <w:rFonts w:ascii="Times New Roman;sans-serif" w:hAnsi="Times New Roman;sans-serif"/>
          <w:b/>
          <w:color w:val="000000"/>
          <w:sz w:val="24"/>
          <w:u w:val="single"/>
        </w:rPr>
        <w:t>Minimize Disruption</w:t>
      </w:r>
      <w:r>
        <w:rPr>
          <w:rFonts w:ascii="Times New Roman;sans-serif" w:hAnsi="Times New Roman;sans-serif"/>
          <w:b w:val="false"/>
          <w:color w:val="000000"/>
          <w:sz w:val="24"/>
        </w:rPr>
        <w:t>. During any such inspection, Company shall use its commercially reasonable efforts to minimize disruption of Supplier’s business.</w:t>
      </w:r>
    </w:p>
    <w:p>
      <w:pPr>
        <w:pStyle w:val="TextBody"/>
        <w:bidi w:val="0"/>
        <w:spacing w:lineRule="auto" w:line="240" w:before="0" w:after="240"/>
        <w:ind w:left="0" w:right="0" w:hanging="360"/>
        <w:jc w:val="both"/>
        <w:rPr/>
      </w:pPr>
      <w:r>
        <w:rPr>
          <w:rFonts w:ascii="Cambria;sans-serif" w:hAnsi="Cambria;sans-serif"/>
          <w:b/>
          <w:color w:val="000000"/>
          <w:sz w:val="24"/>
        </w:rPr>
        <w:t>10.</w:t>
      </w:r>
      <w:r>
        <w:rPr>
          <w:rFonts w:ascii="Times New Roman;sans-serif" w:hAnsi="Times New Roman;sans-serif"/>
          <w:b/>
          <w:color w:val="000000"/>
          <w:sz w:val="24"/>
          <w:u w:val="single"/>
        </w:rPr>
        <w:t>TERM; TERMINATION</w:t>
      </w:r>
    </w:p>
    <w:p>
      <w:pPr>
        <w:pStyle w:val="TextBody"/>
        <w:bidi w:val="0"/>
        <w:spacing w:lineRule="auto" w:line="240" w:before="0" w:after="240"/>
        <w:ind w:left="0" w:right="0" w:hanging="720"/>
        <w:jc w:val="both"/>
        <w:rPr/>
      </w:pPr>
      <w:r>
        <w:rPr>
          <w:rFonts w:ascii="Cambria;sans-serif" w:hAnsi="Cambria;sans-serif"/>
          <w:b/>
          <w:color w:val="000000"/>
          <w:sz w:val="24"/>
        </w:rPr>
        <w:t>10.1</w:t>
      </w:r>
      <w:r>
        <w:rPr>
          <w:rFonts w:ascii="Times New Roman;sans-serif" w:hAnsi="Times New Roman;sans-serif"/>
          <w:b/>
          <w:color w:val="000000"/>
          <w:sz w:val="24"/>
          <w:u w:val="single"/>
        </w:rPr>
        <w:t>Term</w:t>
      </w:r>
      <w:r>
        <w:rPr>
          <w:rFonts w:ascii="Times New Roman;sans-serif" w:hAnsi="Times New Roman;sans-serif"/>
          <w:b w:val="false"/>
          <w:color w:val="000000"/>
          <w:sz w:val="24"/>
        </w:rPr>
        <w:t xml:space="preserve">. The term of this VMI Addendum begins on the Effective Date of the Agreement and continues thereafter in perpetuity unless and until sooner terminated as provided in Section 10.2. </w:t>
      </w:r>
    </w:p>
    <w:p>
      <w:pPr>
        <w:pStyle w:val="TextBody"/>
        <w:bidi w:val="0"/>
        <w:spacing w:lineRule="auto" w:line="240" w:before="0" w:after="240"/>
        <w:ind w:left="0" w:right="0" w:hanging="720"/>
        <w:jc w:val="both"/>
        <w:rPr/>
      </w:pPr>
      <w:r>
        <w:rPr>
          <w:rFonts w:ascii="Cambria;sans-serif" w:hAnsi="Cambria;sans-serif"/>
          <w:b/>
          <w:color w:val="000000"/>
          <w:sz w:val="24"/>
        </w:rPr>
        <w:t>10.2</w:t>
      </w:r>
      <w:r>
        <w:rPr>
          <w:rFonts w:ascii="Times New Roman;sans-serif" w:hAnsi="Times New Roman;sans-serif"/>
          <w:b/>
          <w:color w:val="000000"/>
          <w:sz w:val="24"/>
          <w:u w:val="single"/>
        </w:rPr>
        <w:t>Termination</w:t>
      </w:r>
      <w:r>
        <w:rPr>
          <w:rFonts w:ascii="Times New Roman;sans-serif" w:hAnsi="Times New Roman;sans-serif"/>
          <w:b w:val="false"/>
          <w:color w:val="000000"/>
          <w:sz w:val="24"/>
        </w:rPr>
        <w:t xml:space="preserve">. </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This VMI Addendum shall terminate automatically upon the expiration or termination of the Agreement.</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This VMI Addendum may be terminated before its expiration date by the non-breaching party if the other party breaches any provision of this VMI Addendum and either the breach cannot be cured, or if the breach can be cured, it is not cured by the breaching Party within thirty (30) days after receipt of written notice of such breach. </w:t>
      </w:r>
    </w:p>
    <w:p>
      <w:pPr>
        <w:pStyle w:val="TextBody"/>
        <w:bidi w:val="0"/>
        <w:spacing w:lineRule="auto" w:line="240" w:before="0" w:after="240"/>
        <w:ind w:left="0" w:right="0" w:hanging="720"/>
        <w:jc w:val="both"/>
        <w:rPr/>
      </w:pPr>
      <w:r>
        <w:rPr>
          <w:rFonts w:ascii="Cambria;sans-serif" w:hAnsi="Cambria;sans-serif"/>
          <w:b/>
          <w:color w:val="000000"/>
          <w:sz w:val="24"/>
        </w:rPr>
        <w:t>10.3</w:t>
      </w:r>
      <w:r>
        <w:rPr>
          <w:rFonts w:ascii="Times New Roman;sans-serif" w:hAnsi="Times New Roman;sans-serif"/>
          <w:b/>
          <w:color w:val="000000"/>
          <w:sz w:val="24"/>
          <w:u w:val="single"/>
        </w:rPr>
        <w:t>Effect of Termination</w:t>
      </w:r>
      <w:r>
        <w:rPr>
          <w:rFonts w:ascii="Times New Roman;sans-serif" w:hAnsi="Times New Roman;sans-serif"/>
          <w:b w:val="false"/>
          <w:color w:val="000000"/>
          <w:sz w:val="24"/>
        </w:rPr>
        <w:t>.</w:t>
      </w:r>
    </w:p>
    <w:p>
      <w:pPr>
        <w:pStyle w:val="TextBody"/>
        <w:bidi w:val="0"/>
        <w:spacing w:lineRule="auto" w:line="240" w:before="0" w:after="240"/>
        <w:ind w:left="0" w:right="0" w:hanging="504"/>
        <w:jc w:val="both"/>
        <w:rPr/>
      </w:pPr>
      <w:r>
        <w:rPr>
          <w:rFonts w:ascii="Times New Roman;sans-serif" w:hAnsi="Times New Roman;sans-serif"/>
          <w:b/>
          <w:color w:val="000000"/>
          <w:sz w:val="24"/>
        </w:rPr>
        <w:t>a.</w:t>
      </w:r>
      <w:r>
        <w:rPr>
          <w:rFonts w:ascii="Times New Roman;sans-serif" w:hAnsi="Times New Roman;sans-serif"/>
          <w:b w:val="false"/>
          <w:color w:val="000000"/>
          <w:sz w:val="24"/>
        </w:rPr>
        <w:t>The expiration or termination of this VMI Addendum, for any reason, shall not release either party from any obligation or liability to the other party, including any payment and delivery obligation, that (i) has already accrued hereunder; (ii) comes into effect due to the expiration or termination of this VMI Addendum; or (iii) otherwise survives the expiration or termination of this VMI Addendum.</w:t>
      </w:r>
    </w:p>
    <w:p>
      <w:pPr>
        <w:pStyle w:val="TextBody"/>
        <w:bidi w:val="0"/>
        <w:spacing w:lineRule="auto" w:line="240" w:before="0" w:after="240"/>
        <w:ind w:left="0" w:right="0" w:hanging="504"/>
        <w:jc w:val="both"/>
        <w:rPr/>
      </w:pPr>
      <w:r>
        <w:rPr>
          <w:rFonts w:ascii="Times New Roman;sans-serif" w:hAnsi="Times New Roman;sans-serif"/>
          <w:b/>
          <w:color w:val="000000"/>
          <w:sz w:val="24"/>
        </w:rPr>
        <w:t>b.</w:t>
      </w:r>
      <w:r>
        <w:rPr>
          <w:rFonts w:ascii="Times New Roman;sans-serif" w:hAnsi="Times New Roman;sans-serif"/>
          <w:b w:val="false"/>
          <w:color w:val="000000"/>
          <w:sz w:val="24"/>
        </w:rPr>
        <w:t>Following the expiration or termination of this VMI Addendum, Supplier shall promptly invoice Company for any outstanding amounts due and owing under this VMI Addendum, and Company shall pay all such amounts in accordance with the Agreement. If a deposit or advance payment has been made by Company for any VMI Products that have not and will not be delivered to Company following expiration or termination, Supplier shall promptly reimburse such payment to Company.</w:t>
      </w:r>
    </w:p>
    <w:p>
      <w:pPr>
        <w:pStyle w:val="TextBody"/>
        <w:bidi w:val="0"/>
        <w:spacing w:lineRule="auto" w:line="240" w:before="0" w:after="240"/>
        <w:ind w:left="0" w:right="0" w:hanging="720"/>
        <w:jc w:val="both"/>
        <w:rPr/>
      </w:pPr>
      <w:r>
        <w:rPr>
          <w:rFonts w:ascii="Cambria;sans-serif" w:hAnsi="Cambria;sans-serif"/>
          <w:b/>
          <w:color w:val="000000"/>
          <w:sz w:val="24"/>
        </w:rPr>
        <w:t>10.4</w:t>
      </w:r>
      <w:r>
        <w:rPr>
          <w:rFonts w:ascii="Times New Roman;sans-serif" w:hAnsi="Times New Roman;sans-serif"/>
          <w:b/>
          <w:color w:val="000000"/>
          <w:sz w:val="24"/>
          <w:u w:val="single"/>
        </w:rPr>
        <w:t>Remaining VMI Stock</w:t>
      </w:r>
      <w:r>
        <w:rPr>
          <w:rFonts w:ascii="Times New Roman;sans-serif" w:hAnsi="Times New Roman;sans-serif"/>
          <w:b w:val="false"/>
          <w:color w:val="000000"/>
          <w:sz w:val="24"/>
        </w:rPr>
        <w:t>. Upon the expiration or termination of this VMI Addendum, Company shall have the option, at its sole discretion to issue a “VMI Inventory Purchase” notice. The VMI Inventory Purchase notice shall specify the quantity of VMI Products Company intends to purchase, up to a maximum of three months’ of supply. The parties shall agree upon the delivery terms, including shipment, packaging, and any additional terms necessary for the fulfillment of the VMI Inventory Purchase order.</w:t>
      </w:r>
    </w:p>
    <w:p>
      <w:pPr>
        <w:pStyle w:val="TextBody"/>
        <w:bidi w:val="0"/>
        <w:spacing w:lineRule="auto" w:line="240" w:before="0" w:after="240"/>
        <w:ind w:left="0" w:right="0" w:hanging="360"/>
        <w:jc w:val="both"/>
        <w:rPr/>
      </w:pPr>
      <w:r>
        <w:rPr>
          <w:rFonts w:ascii="Cambria;sans-serif" w:hAnsi="Cambria;sans-serif"/>
          <w:b/>
          <w:color w:val="000000"/>
          <w:sz w:val="24"/>
        </w:rPr>
        <w:t>11.</w:t>
      </w:r>
      <w:r>
        <w:rPr>
          <w:rFonts w:ascii="Times New Roman;sans-serif" w:hAnsi="Times New Roman;sans-serif"/>
          <w:b/>
          <w:color w:val="000000"/>
          <w:sz w:val="24"/>
          <w:u w:val="single"/>
        </w:rPr>
        <w:t>PRECEDENCE</w:t>
      </w:r>
      <w:r>
        <w:rPr>
          <w:rFonts w:ascii="Times New Roman;sans-serif" w:hAnsi="Times New Roman;sans-serif"/>
          <w:b w:val="false"/>
          <w:color w:val="000000"/>
          <w:sz w:val="24"/>
        </w:rPr>
        <w: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there is any inconsistency between the terms of this VMI Addendum and any terms in the Agreement, then, except where a provision of this VMI Addendum states otherwise, this VMI Addendum controls. However, if a subject is addressed in the Agreement and not in this VMI Addendum, then the terms in the Agreement control.</w:t>
      </w:r>
    </w:p>
    <w:p>
      <w:pPr>
        <w:pStyle w:val="TextBody"/>
        <w:bidi w:val="0"/>
        <w:spacing w:lineRule="auto" w:line="240" w:before="0" w:after="0"/>
        <w:jc w:val="both"/>
        <w:rPr/>
      </w:pPr>
      <w:r>
        <w:rPr>
          <w:rFonts w:ascii="Cambria;sans-serif" w:hAnsi="Cambria;sans-serif"/>
          <w:b/>
          <w:color w:val="000000"/>
          <w:sz w:val="24"/>
        </w:rPr>
        <w:t>CONFIDENTIAL AND PROPRIETARY</w:t>
      </w:r>
      <w:r>
        <w:rPr>
          <w:color w:val="000000"/>
        </w:rPr>
        <w:t>            </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630555"/>
                <wp:effectExtent l="0" t="0" r="0" b="0"/>
                <wp:wrapNone/>
                <wp:docPr id="146" name="Frame146"/>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30 </w:t>
                            </w:r>
                            <w:r>
                              <w:br w:type="page"/>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30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Attachment A </w:t>
        <w:br/>
        <w:t>to the VMI Addendum</w:t>
      </w:r>
    </w:p>
    <w:p>
      <w:pPr>
        <w:pStyle w:val="TextBody"/>
        <w:bidi w:val="0"/>
        <w:spacing w:lineRule="auto" w:line="240"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1.List of products included in Managed Inventory and prices including reference numbers like product numbers</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 xml:space="preserve">2.Maximum Inventory Level (to be held by Company): </w:t>
      </w:r>
      <w:r>
        <w:rPr>
          <w:rFonts w:ascii="Times New Roman;sans-serif" w:hAnsi="Times New Roman;sans-serif"/>
          <w:b/>
          <w:color w:val="000000"/>
          <w:sz w:val="20"/>
        </w:rPr>
        <w:t>[***]</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 xml:space="preserve">3.Re-order Level (minimum level to be held by Company): </w:t>
      </w:r>
      <w:r>
        <w:rPr>
          <w:rFonts w:ascii="Times New Roman;sans-serif" w:hAnsi="Times New Roman;sans-serif"/>
          <w:b/>
          <w:color w:val="000000"/>
          <w:sz w:val="20"/>
        </w:rPr>
        <w:t>[***]</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30555"/>
                <wp:effectExtent l="0" t="0" r="0" b="0"/>
                <wp:wrapNone/>
                <wp:docPr id="147" name="Frame147"/>
                <a:graphic xmlns:a="http://schemas.openxmlformats.org/drawingml/2006/main">
                  <a:graphicData uri="http://schemas.microsoft.com/office/word/2010/wordprocessingShape">
                    <wps:wsp>
                      <wps:cNvSpPr txBox="1"/>
                      <wps:spPr>
                        <a:xfrm>
                          <a:off x="0" y="0"/>
                          <a:ext cx="6480175" cy="630555"/>
                        </a:xfrm>
                        <a:prstGeom prst="rect"/>
                        <a:solidFill>
                          <a:srgbClr val="FFFFFF"/>
                        </a:solidFill>
                      </wps:spPr>
                      <wps:txb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31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 xml:space="preserve">Page 31 </w:t>
                      </w:r>
                    </w:p>
                    <w:p>
                      <w:pPr>
                        <w:pStyle w:val="TextBody"/>
                        <w:bidi w:val="0"/>
                        <w:spacing w:lineRule="auto" w:line="240" w:before="120" w:after="283"/>
                        <w:jc w:val="center"/>
                        <w:rPr>
                          <w:rFonts w:ascii="Cambria;sans-serif" w:hAnsi="Cambria;sans-serif"/>
                          <w:b w:val="false"/>
                          <w:color w:val="000000"/>
                          <w:sz w:val="20"/>
                        </w:rPr>
                      </w:pPr>
                      <w:r>
                        <w:rPr>
                          <w:rFonts w:ascii="Cambria;sans-serif" w:hAnsi="Cambria;sans-serif"/>
                          <w:b w:val="false"/>
                          <w:color w:val="000000"/>
                          <w:sz w:val="20"/>
                        </w:rPr>
                        <w:t>REV 08/2023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List of subsidiaries of the Registrant</w:t>
      </w:r>
    </w:p>
    <w:tbl>
      <w:tblPr>
        <w:tblW w:w="4767" w:type="dxa"/>
        <w:jc w:val="center"/>
        <w:tblInd w:w="0" w:type="dxa"/>
        <w:tblLayout w:type="fixed"/>
        <w:tblCellMar>
          <w:top w:w="28" w:type="dxa"/>
          <w:left w:w="28" w:type="dxa"/>
          <w:bottom w:w="28" w:type="dxa"/>
          <w:right w:w="28" w:type="dxa"/>
        </w:tblCellMar>
      </w:tblPr>
      <w:tblGrid>
        <w:gridCol w:w="1059"/>
        <w:gridCol w:w="931"/>
        <w:gridCol w:w="935"/>
        <w:gridCol w:w="109"/>
        <w:gridCol w:w="109"/>
        <w:gridCol w:w="109"/>
        <w:gridCol w:w="444"/>
        <w:gridCol w:w="444"/>
        <w:gridCol w:w="62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hereby consent to the incorporation by reference in the Registration Statements on Form S-3 (No. 333-271635) and Form S-8 (Nos. 333-227907, 333-230473, 333-237091, 333-254086, 333-263189 and 333-270230) of SI-BONE, Inc. of our report dated February 27, 2024 relating to the financial statements and the effectiveness of internal control over financial reporting, which appears in this Form 10-K.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PricewaterhouseCoopers LLP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San Jose, California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hanging="90"/>
        <w:jc w:val="both"/>
        <w:rPr/>
      </w:pPr>
      <w:r>
        <w:rPr/>
      </w:r>
    </w:p>
    <w:tbl>
      <w:tblPr>
        <w:tblW w:w="5267"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604"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109"/>
        <w:gridCol w:w="109"/>
        <w:gridCol w:w="109"/>
        <w:gridCol w:w="109"/>
        <w:gridCol w:w="109"/>
        <w:gridCol w:w="109"/>
        <w:gridCol w:w="399"/>
        <w:gridCol w:w="399"/>
        <w:gridCol w:w="399"/>
        <w:gridCol w:w="399"/>
        <w:gridCol w:w="399"/>
        <w:gridCol w:w="399"/>
        <w:gridCol w:w="399"/>
        <w:gridCol w:w="399"/>
        <w:gridCol w:w="57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Company’s Annual Report on Form 10-K for the period ended December 31, 2023, to which this Certification is attached as Exhibit 32.1 (the “Periodic Report”), fully complies with the requirements of Section 13(a) or Section 15(d) of the Exchange Act; and  </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655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399"/>
        <w:gridCol w:w="399"/>
        <w:gridCol w:w="399"/>
        <w:gridCol w:w="399"/>
        <w:gridCol w:w="399"/>
        <w:gridCol w:w="399"/>
        <w:gridCol w:w="399"/>
        <w:gridCol w:w="399"/>
        <w:gridCol w:w="5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to the Securities and Exchange Commission as an exhibit to the Annual Report and shall not be deemed filed by the Company for purposes of §18 of the Exchange Act, as amended, and is not to be incorporated by reference into any filing of the Company, whether made before or after the date hereof, regardless of any general incorporation language in such filing.</w:t>
      </w:r>
    </w:p>
    <w:p>
      <w:pPr>
        <w:pStyle w:val="TextBody"/>
        <w:bidi w:val="0"/>
        <w:spacing w:before="24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br/>
        <w:t>(Effective October 2, 2023)</w:t>
      </w:r>
    </w:p>
    <w:p>
      <w:pPr>
        <w:pStyle w:val="TextBody"/>
        <w:bidi w:val="0"/>
        <w:spacing w:lineRule="auto" w:line="240" w:before="0" w:after="220"/>
        <w:jc w:val="both"/>
        <w:rPr/>
      </w:pPr>
      <w:r>
        <w:rPr>
          <w:rFonts w:ascii="Times New Roman;sans-serif" w:hAnsi="Times New Roman;sans-serif"/>
          <w:b/>
          <w:color w:val="000000"/>
          <w:sz w:val="22"/>
        </w:rPr>
        <w:t>1.</w:t>
      </w:r>
      <w:r>
        <w:rPr>
          <w:rFonts w:ascii="Times New Roman;sans-serif" w:hAnsi="Times New Roman;sans-serif"/>
          <w:b/>
          <w:color w:val="000000"/>
          <w:sz w:val="22"/>
        </w:rPr>
        <w:t>Introduction</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SI-BONE,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determined that it is in the best interests of the Company and its stockholders to adopt this Incentive Compensation Recoupment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Exchange Act, Rule 10D-1 promulgated thereunder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2"/>
        </w:rPr>
        <w:t>Listing Standards</w:t>
      </w:r>
      <w:r>
        <w:rPr>
          <w:color w:val="000000"/>
        </w:rPr>
        <w:t>”</w:t>
      </w:r>
      <w:r>
        <w:rPr>
          <w:rFonts w:ascii="Times New Roman;sans-serif" w:hAnsi="Times New Roman;sans-serif"/>
          <w:b w:val="false"/>
          <w:color w:val="000000"/>
          <w:sz w:val="22"/>
        </w:rPr>
        <w:t>).</w:t>
      </w:r>
    </w:p>
    <w:p>
      <w:pPr>
        <w:pStyle w:val="TextBody"/>
        <w:bidi w:val="0"/>
        <w:spacing w:lineRule="auto" w:line="240" w:before="0" w:after="220"/>
        <w:jc w:val="both"/>
        <w:rPr/>
      </w:pPr>
      <w:r>
        <w:rPr>
          <w:rFonts w:ascii="Times New Roman;sans-serif" w:hAnsi="Times New Roman;sans-serif"/>
          <w:b/>
          <w:color w:val="000000"/>
          <w:sz w:val="22"/>
        </w:rPr>
        <w:t>2.</w:t>
      </w:r>
      <w:r>
        <w:rPr>
          <w:rFonts w:ascii="Times New Roman;sans-serif" w:hAnsi="Times New Roman;sans-serif"/>
          <w:b/>
          <w:color w:val="000000"/>
          <w:sz w:val="22"/>
        </w:rPr>
        <w:t>Effective Date</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October 2,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This Policy shall replace and supersede the Company’s Policy for Recoupment of Incentive Compensation that was adopted on September 9, 2021 (the “</w:t>
      </w:r>
      <w:r>
        <w:rPr>
          <w:rFonts w:ascii="Times New Roman;sans-serif" w:hAnsi="Times New Roman;sans-serif"/>
          <w:b/>
          <w:i/>
          <w:color w:val="000000"/>
          <w:sz w:val="22"/>
        </w:rPr>
        <w:t>Prior Clawback Policy</w:t>
      </w:r>
      <w:r>
        <w:rPr>
          <w:color w:val="000000"/>
        </w:rPr>
        <w:t>”</w:t>
      </w:r>
      <w:r>
        <w:rPr>
          <w:rFonts w:ascii="Times New Roman;sans-serif" w:hAnsi="Times New Roman;sans-serif"/>
          <w:b w:val="false"/>
          <w:color w:val="000000"/>
          <w:sz w:val="22"/>
        </w:rPr>
        <w:t>) with respect to all Incentive Compensation that is received by a Covered Officer on or after the Effective Date; for clarity, the Prior Clawback Policy shall continue to apply to any Incentive Compensation that is received by a Covered Officer prior to the Effective Date. Incentive Compensation is deemed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40" w:before="0" w:after="220"/>
        <w:jc w:val="both"/>
        <w:rPr/>
      </w:pPr>
      <w:r>
        <w:rPr>
          <w:rFonts w:ascii="Times New Roman;sans-serif" w:hAnsi="Times New Roman;sans-serif"/>
          <w:b/>
          <w:color w:val="000000"/>
          <w:sz w:val="22"/>
        </w:rPr>
        <w:t>3.</w:t>
      </w:r>
      <w:r>
        <w:rPr>
          <w:rFonts w:ascii="Times New Roman;sans-serif" w:hAnsi="Times New Roman;sans-serif"/>
          <w:b/>
          <w:color w:val="000000"/>
          <w:sz w:val="22"/>
        </w:rPr>
        <w:t>Definitions</w:t>
      </w:r>
    </w:p>
    <w:p>
      <w:pPr>
        <w:pStyle w:val="TextBody"/>
        <w:bidi w:val="0"/>
        <w:spacing w:lineRule="auto" w:line="240" w:before="0" w:after="220"/>
        <w:ind w:left="0" w:right="0" w:firstLine="81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Compensation Committee or, in the absence of such committee, the Board.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Compensation 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Covered Officer</w:t>
      </w:r>
      <w:r>
        <w:rPr>
          <w:color w:val="000000"/>
        </w:rPr>
        <w:t xml:space="preserve">” </w:t>
      </w:r>
      <w:r>
        <w:rPr>
          <w:rFonts w:ascii="Times New Roman;sans-serif" w:hAnsi="Times New Roman;sans-serif"/>
          <w:b w:val="false"/>
          <w:color w:val="000000"/>
          <w:sz w:val="22"/>
        </w:rPr>
        <w:t>means each current and former Executive Officer.</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41045"/>
                <wp:effectExtent l="0" t="0" r="0" b="0"/>
                <wp:wrapNone/>
                <wp:docPr id="153" name="Frame153"/>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a(1(1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Lookback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Recoverable Incentive Compensation</w:t>
      </w:r>
      <w:r>
        <w:rPr>
          <w:color w:val="000000"/>
        </w:rPr>
        <w:t xml:space="preserve">” </w:t>
      </w:r>
      <w:r>
        <w:rPr>
          <w:rFonts w:ascii="Times New Roman;sans-serif" w:hAnsi="Times New Roman;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2"/>
        </w:rPr>
        <w:t>i.e.</w:t>
      </w:r>
      <w:r>
        <w:rPr>
          <w:rFonts w:ascii="Times New Roman;sans-serif" w:hAnsi="Times New Roman;sans-serif"/>
          <w:b w:val="false"/>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lineRule="auto" w:line="240" w:before="0" w:after="220"/>
        <w:jc w:val="both"/>
        <w:rPr/>
      </w:pPr>
      <w:r>
        <w:rPr>
          <w:rFonts w:ascii="Times New Roman;sans-serif" w:hAnsi="Times New Roman;sans-serif"/>
          <w:b/>
          <w:color w:val="000000"/>
          <w:sz w:val="22"/>
        </w:rPr>
        <w:t>4.</w:t>
      </w:r>
      <w:r>
        <w:rPr>
          <w:rFonts w:ascii="Times New Roman;sans-serif" w:hAnsi="Times New Roman;sans-serif"/>
          <w:b/>
          <w:color w:val="000000"/>
          <w:sz w:val="22"/>
        </w:rPr>
        <w:t>Recoupment</w:t>
      </w:r>
    </w:p>
    <w:p>
      <w:pPr>
        <w:pStyle w:val="TextBody"/>
        <w:bidi w:val="0"/>
        <w:spacing w:lineRule="auto" w:line="240" w:before="0" w:after="220"/>
        <w:ind w:left="0" w:right="0" w:firstLine="720"/>
        <w:jc w:val="both"/>
        <w:rPr/>
      </w:pPr>
      <w:r>
        <w:rPr>
          <w:rFonts w:ascii="Times New Roman;sans-serif" w:hAnsi="Times New Roman;sans-serif"/>
          <w:b/>
          <w:color w:val="000000"/>
          <w:sz w:val="22"/>
        </w:rPr>
        <w:t>(1)</w:t>
      </w:r>
      <w:r>
        <w:rPr>
          <w:rFonts w:ascii="Times New Roman;sans-serif" w:hAnsi="Times New Roman;sans-serif"/>
          <w:b/>
          <w:color w:val="000000"/>
          <w:sz w:val="22"/>
        </w:rPr>
        <w:t xml:space="preserve">Applicability of Policy. </w:t>
      </w:r>
      <w:r>
        <w:rPr>
          <w:rFonts w:ascii="Times New Roman;sans-serif" w:hAnsi="Times New Roman;sans-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40" w:before="0" w:after="220"/>
        <w:ind w:left="0" w:right="0" w:firstLine="720"/>
        <w:jc w:val="both"/>
        <w:rPr/>
      </w:pPr>
      <w:r>
        <w:rPr>
          <w:rFonts w:ascii="Times New Roman;sans-serif" w:hAnsi="Times New Roman;sans-serif"/>
          <w:b/>
          <w:color w:val="000000"/>
          <w:sz w:val="22"/>
        </w:rPr>
        <w:t>(2)</w:t>
      </w:r>
      <w:r>
        <w:rPr>
          <w:rFonts w:ascii="Times New Roman;sans-serif" w:hAnsi="Times New Roman;sans-serif"/>
          <w:b/>
          <w:color w:val="000000"/>
          <w:sz w:val="22"/>
        </w:rPr>
        <w:t xml:space="preserve">Recoupment Generally. </w:t>
      </w:r>
      <w:r>
        <w:rPr>
          <w:rFonts w:ascii="Times New Roman;sans-serif" w:hAnsi="Times New Roman;sans-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901700"/>
                <wp:effectExtent l="0" t="0" r="0" b="0"/>
                <wp:wrapNone/>
                <wp:docPr id="154" name="Frame154"/>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40" w:before="0" w:after="220"/>
        <w:ind w:left="0" w:right="0" w:firstLine="720"/>
        <w:jc w:val="both"/>
        <w:rPr/>
      </w:pPr>
      <w:r>
        <w:rPr>
          <w:rFonts w:ascii="Times New Roman;sans-serif" w:hAnsi="Times New Roman;sans-serif"/>
          <w:b/>
          <w:color w:val="000000"/>
          <w:sz w:val="22"/>
        </w:rPr>
        <w:t>(3)</w:t>
      </w:r>
      <w:r>
        <w:rPr>
          <w:rFonts w:ascii="Times New Roman;sans-serif" w:hAnsi="Times New Roman;sans-serif"/>
          <w:b/>
          <w:color w:val="000000"/>
          <w:sz w:val="22"/>
        </w:rPr>
        <w:t>Impracticability of Recovery.</w:t>
      </w:r>
      <w:r>
        <w:rPr>
          <w:color w:val="000000"/>
        </w:rPr>
        <w:t xml:space="preserve"> </w:t>
      </w:r>
      <w:r>
        <w:rPr>
          <w:rFonts w:ascii="Times New Roman;sans-serif" w:hAnsi="Times New Roman;sans-serif"/>
          <w:b w:val="false"/>
          <w:color w:val="000000"/>
          <w:sz w:val="22"/>
        </w:rPr>
        <w:t>Recoupment may be determined to be impracticable if, and only if:</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40" w:before="0" w:after="220"/>
        <w:ind w:left="0" w:right="0" w:firstLine="720"/>
        <w:jc w:val="both"/>
        <w:rPr/>
      </w:pPr>
      <w:r>
        <w:rPr>
          <w:rFonts w:ascii="Times New Roman;sans-serif" w:hAnsi="Times New Roman;sans-serif"/>
          <w:b/>
          <w:color w:val="000000"/>
          <w:sz w:val="22"/>
        </w:rPr>
        <w:t>(4)</w:t>
      </w:r>
      <w:r>
        <w:rPr>
          <w:rFonts w:ascii="Times New Roman;sans-serif" w:hAnsi="Times New Roman;sans-serif"/>
          <w:b/>
          <w:color w:val="000000"/>
          <w:sz w:val="22"/>
        </w:rPr>
        <w:t>Sources of Recoupment.</w:t>
      </w:r>
      <w:r>
        <w:rPr>
          <w:color w:val="000000"/>
        </w:rPr>
        <w:t xml:space="preserve"> </w:t>
      </w:r>
      <w:r>
        <w:rPr>
          <w:rFonts w:ascii="Times New Roman;sans-serif" w:hAnsi="Times New Roman;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2"/>
        </w:rPr>
        <w:t>e.g.</w:t>
      </w:r>
      <w:r>
        <w:rPr>
          <w:rFonts w:ascii="Times New Roman;sans-serif" w:hAnsi="Times New Roman;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40" w:before="0" w:after="220"/>
        <w:ind w:left="0" w:right="0" w:firstLine="720"/>
        <w:jc w:val="both"/>
        <w:rPr/>
      </w:pPr>
      <w:r>
        <w:rPr>
          <w:rFonts w:ascii="Times New Roman;sans-serif" w:hAnsi="Times New Roman;sans-serif"/>
          <w:b/>
          <w:color w:val="000000"/>
          <w:sz w:val="22"/>
        </w:rPr>
        <w:t>(5)</w:t>
      </w:r>
      <w:r>
        <w:rPr>
          <w:rFonts w:ascii="Times New Roman;sans-serif" w:hAnsi="Times New Roman;sans-serif"/>
          <w:b/>
          <w:color w:val="000000"/>
          <w:sz w:val="22"/>
        </w:rPr>
        <w:t>No Indemnification of Covered Officers.</w:t>
      </w:r>
      <w:r>
        <w:rPr>
          <w:color w:val="000000"/>
        </w:rPr>
        <w:t xml:space="preserve">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40" w:before="0" w:after="220"/>
        <w:ind w:left="0" w:right="0" w:firstLine="720"/>
        <w:jc w:val="both"/>
        <w:rPr/>
      </w:pPr>
      <w:r>
        <w:rPr>
          <w:rFonts w:ascii="Times New Roman;sans-serif" w:hAnsi="Times New Roman;sans-serif"/>
          <w:b/>
          <w:color w:val="000000"/>
          <w:sz w:val="22"/>
        </w:rPr>
        <w:t>(6)</w:t>
      </w:r>
      <w:r>
        <w:rPr>
          <w:rFonts w:ascii="Times New Roman;sans-serif" w:hAnsi="Times New Roman;sans-serif"/>
          <w:b/>
          <w:color w:val="000000"/>
          <w:sz w:val="22"/>
        </w:rPr>
        <w:t>Indemnification of Administrator.</w:t>
      </w:r>
      <w:r>
        <w:rPr>
          <w:color w:val="000000"/>
        </w:rPr>
        <w:t xml:space="preserve"> </w:t>
      </w:r>
      <w:r>
        <w:rPr>
          <w:rFonts w:ascii="Times New Roman;sans-serif" w:hAnsi="Times New Roman;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40" w:before="0" w:after="220"/>
        <w:jc w:val="both"/>
        <w:rPr/>
      </w:pPr>
      <w:r>
        <w:rPr>
          <w:rFonts w:ascii="Times New Roman;sans-serif" w:hAnsi="Times New Roman;sans-serif"/>
          <w:b/>
          <w:color w:val="000000"/>
          <w:sz w:val="22"/>
        </w:rPr>
        <w:t>5.</w:t>
      </w:r>
      <w:r>
        <w:rPr>
          <w:rFonts w:ascii="Times New Roman;sans-serif" w:hAnsi="Times New Roman;sans-serif"/>
          <w:b/>
          <w:color w:val="000000"/>
          <w:sz w:val="22"/>
        </w:rPr>
        <w:t>Administration</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901700"/>
                <wp:effectExtent l="0" t="0" r="0" b="0"/>
                <wp:wrapNone/>
                <wp:docPr id="155" name="Frame155"/>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40" w:before="0" w:after="220"/>
        <w:jc w:val="both"/>
        <w:rPr/>
      </w:pPr>
      <w:r>
        <w:rPr>
          <w:rFonts w:ascii="Times New Roman;sans-serif" w:hAnsi="Times New Roman;sans-serif"/>
          <w:b/>
          <w:color w:val="000000"/>
          <w:sz w:val="22"/>
        </w:rPr>
        <w:t>6.</w:t>
      </w:r>
      <w:r>
        <w:rPr>
          <w:rFonts w:ascii="Times New Roman;sans-serif" w:hAnsi="Times New Roman;sans-serif"/>
          <w:b/>
          <w:color w:val="000000"/>
          <w:sz w:val="22"/>
        </w:rPr>
        <w:t>Severability</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40" w:before="0" w:after="220"/>
        <w:jc w:val="both"/>
        <w:rPr/>
      </w:pPr>
      <w:r>
        <w:rPr>
          <w:rFonts w:ascii="Times New Roman;sans-serif" w:hAnsi="Times New Roman;sans-serif"/>
          <w:b/>
          <w:color w:val="000000"/>
          <w:sz w:val="22"/>
        </w:rPr>
        <w:t>7.</w:t>
      </w:r>
      <w:r>
        <w:rPr>
          <w:rFonts w:ascii="Times New Roman;sans-serif" w:hAnsi="Times New Roman;sans-serif"/>
          <w:b/>
          <w:color w:val="000000"/>
          <w:sz w:val="22"/>
        </w:rPr>
        <w:t>No Impairment of Other Remedies</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w:t>
      </w:r>
    </w:p>
    <w:p>
      <w:pPr>
        <w:pStyle w:val="TextBody"/>
        <w:bidi w:val="0"/>
        <w:spacing w:lineRule="auto" w:line="240" w:before="0" w:after="220"/>
        <w:jc w:val="both"/>
        <w:rPr/>
      </w:pPr>
      <w:r>
        <w:rPr>
          <w:rFonts w:ascii="Times New Roman;sans-serif" w:hAnsi="Times New Roman;sans-serif"/>
          <w:b/>
          <w:color w:val="000000"/>
          <w:sz w:val="22"/>
        </w:rPr>
        <w:t>8.</w:t>
      </w:r>
      <w:r>
        <w:rPr>
          <w:rFonts w:ascii="Times New Roman;sans-serif" w:hAnsi="Times New Roman;sans-serif"/>
          <w:b/>
          <w:color w:val="000000"/>
          <w:sz w:val="22"/>
        </w:rPr>
        <w:t>Amendment; Termination</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40" w:before="0" w:after="220"/>
        <w:jc w:val="both"/>
        <w:rPr/>
      </w:pPr>
      <w:r>
        <w:rPr>
          <w:rFonts w:ascii="Times New Roman;sans-serif" w:hAnsi="Times New Roman;sans-serif"/>
          <w:b/>
          <w:color w:val="000000"/>
          <w:sz w:val="22"/>
        </w:rPr>
        <w:t>9.</w:t>
      </w:r>
      <w:r>
        <w:rPr>
          <w:rFonts w:ascii="Times New Roman;sans-serif" w:hAnsi="Times New Roman;sans-serif"/>
          <w:b/>
          <w:color w:val="000000"/>
          <w:sz w:val="22"/>
        </w:rPr>
        <w:t>Successors</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10.    Required Filings</w:t>
      </w:r>
    </w:p>
    <w:p>
      <w:pPr>
        <w:pStyle w:val="TextBody"/>
        <w:bidi w:val="0"/>
        <w:spacing w:lineRule="auto" w:line="240" w:before="0" w:after="220"/>
        <w:jc w:val="both"/>
        <w:rPr>
          <w:color w:val="000000"/>
        </w:rPr>
      </w:pPr>
      <w:r>
        <w:rPr>
          <w:color w:val="000000"/>
        </w:rPr>
        <w:t>    </w:t>
      </w: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lineRule="auto" w:line="240" w:before="0" w:after="22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901700"/>
                <wp:effectExtent l="0" t="0" r="0" b="0"/>
                <wp:wrapNone/>
                <wp:docPr id="156" name="Frame156"/>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SI-BONE, INC.</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Form of Executive Acknowledgment</w:t>
      </w:r>
    </w:p>
    <w:p>
      <w:pPr>
        <w:pStyle w:val="TextBody"/>
        <w:bidi w:val="0"/>
        <w:spacing w:before="0" w:after="220"/>
        <w:jc w:val="both"/>
        <w:rPr/>
      </w:pPr>
      <w:r>
        <w:rPr/>
      </w:r>
    </w:p>
    <w:p>
      <w:pPr>
        <w:pStyle w:val="TextBody"/>
        <w:bidi w:val="0"/>
        <w:spacing w:lineRule="auto" w:line="240" w:before="0" w:after="220"/>
        <w:jc w:val="both"/>
        <w:rPr/>
      </w:pPr>
      <w:r>
        <w:rPr>
          <w:rFonts w:ascii="Times New Roman;sans-serif" w:hAnsi="Times New Roman;sans-serif"/>
          <w:b w:val="false"/>
          <w:color w:val="000000"/>
          <w:sz w:val="22"/>
        </w:rPr>
        <w:t>I, the undersigned, agree and acknowledge that I am bound by, and subject to, the SI-BONE, Inc. Incentive Compensation Recoupment Policy, as may be amended, restated, supplemented or otherwise modified from time to time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SI-BONE,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r>
    </w:p>
    <w:p>
      <w:pPr>
        <w:pStyle w:val="TextBody"/>
        <w:bidi w:val="0"/>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Agreed and Acknowledged:</w:t>
      </w:r>
    </w:p>
    <w:p>
      <w:pPr>
        <w:pStyle w:val="TextBody"/>
        <w:bidi w:val="0"/>
        <w:spacing w:before="0" w:after="220"/>
        <w:jc w:val="both"/>
        <w:rPr/>
      </w:pPr>
      <w:r>
        <w:rPr/>
      </w:r>
    </w:p>
    <w:p>
      <w:pPr>
        <w:pStyle w:val="TextBody"/>
        <w:bidi w:val="0"/>
        <w:spacing w:lineRule="auto" w:line="240" w:before="0" w:after="220"/>
        <w:jc w:val="both"/>
        <w:rPr>
          <w:color w:val="000000"/>
          <w:u w:val="single"/>
        </w:rPr>
      </w:pP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Name: </w:t>
      </w: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Title: </w:t>
      </w: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Date: </w:t>
      </w:r>
      <w:r>
        <w:rPr>
          <w:color w:val="000000"/>
          <w:u w:val="single"/>
        </w:rPr>
        <w:t>    </w:t>
      </w:r>
    </w:p>
    <w:p>
      <w:pPr>
        <w:pStyle w:val="TextBody"/>
        <w:bidi w:val="0"/>
        <w:spacing w:before="0" w:after="220"/>
        <w:jc w:val="both"/>
        <w:rPr/>
      </w:pPr>
      <w:r>
        <w:rPr/>
      </w:r>
    </w:p>
    <w:p>
      <w:pPr>
        <w:pStyle w:val="TextBody"/>
        <w:bidi w:val="0"/>
        <w:spacing w:before="0" w:after="2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41045"/>
                <wp:effectExtent l="0" t="0" r="0" b="0"/>
                <wp:wrapNone/>
                <wp:docPr id="157" name="Frame157"/>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288357702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Cambri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020/d641574dex31.htm" TargetMode="External"/><Relationship Id="rId3" Type="http://schemas.openxmlformats.org/officeDocument/2006/relationships/hyperlink" Target="https://www.sec.gov/Archives/edgar/data/1459839/000145983923000095/secondamendedandrestatedby.htm" TargetMode="External"/><Relationship Id="rId4" Type="http://schemas.openxmlformats.org/officeDocument/2006/relationships/hyperlink" Target="http://www.sec.gov/Archives/edgar/data/1459839/000119312518293978/d452987dex41.htm" TargetMode="External"/><Relationship Id="rId5" Type="http://schemas.openxmlformats.org/officeDocument/2006/relationships/hyperlink" Target="http://www.sec.gov/Archives/edgar/data/1459839/000119312518303020/d641574dex31.htm" TargetMode="External"/><Relationship Id="rId6" Type="http://schemas.openxmlformats.org/officeDocument/2006/relationships/hyperlink" Target="http://www.sec.gov/Archives/edgar/data/1459839/000119312518293978/d452987dex34.htm" TargetMode="External"/><Relationship Id="rId7" Type="http://schemas.openxmlformats.org/officeDocument/2006/relationships/hyperlink" Target="http://www.sec.gov/Archives/edgar/data/1459839/000145983920000047/exhibit43descriptionof.htm" TargetMode="External"/><Relationship Id="rId8" Type="http://schemas.openxmlformats.org/officeDocument/2006/relationships/hyperlink" Target="http://www.sec.gov/Archives/edgar/data/1459839/000119312518278797/d452987dex101.htm" TargetMode="External"/><Relationship Id="rId9" Type="http://schemas.openxmlformats.org/officeDocument/2006/relationships/hyperlink" Target="http://www.sec.gov/Archives/edgar/data/1459839/000119312518293978/d452987dex102.htm" TargetMode="External"/><Relationship Id="rId10" Type="http://schemas.openxmlformats.org/officeDocument/2006/relationships/hyperlink" Target="http://www.sec.gov/Archives/edgar/data/1459839/000119312518293978/d452987dex103.htm" TargetMode="External"/><Relationship Id="rId11" Type="http://schemas.openxmlformats.org/officeDocument/2006/relationships/hyperlink" Target="http://www.sec.gov/Archives/edgar/data/1459839/000119312518293978/d452987dex104.htm" TargetMode="External"/><Relationship Id="rId12" Type="http://schemas.openxmlformats.org/officeDocument/2006/relationships/hyperlink" Target="http://www.sec.gov/Archives/edgar/data/1459839/000119312518293978/d452987dex105.htm" TargetMode="External"/><Relationship Id="rId13" Type="http://schemas.openxmlformats.org/officeDocument/2006/relationships/hyperlink" Target="http://www.sec.gov/Archives/edgar/data/1459839/000119312518293978/d452987dex106.htm" TargetMode="External"/><Relationship Id="rId14" Type="http://schemas.openxmlformats.org/officeDocument/2006/relationships/hyperlink" Target="http://www.sec.gov/Archives/edgar/data/1459839/000119312518278797/d452987dex107.htm" TargetMode="External"/><Relationship Id="rId15" Type="http://schemas.openxmlformats.org/officeDocument/2006/relationships/hyperlink" Target="http://www.sec.gov/Archives/edgar/data/1459839/000119312518278797/d452987dex1018.htm" TargetMode="External"/><Relationship Id="rId16" Type="http://schemas.openxmlformats.org/officeDocument/2006/relationships/hyperlink" Target="http://www.sec.gov/Archives/edgar/data/1459839/000119312518293978/d452987dex1021.htm" TargetMode="External"/><Relationship Id="rId17" Type="http://schemas.openxmlformats.org/officeDocument/2006/relationships/hyperlink" Target="http://www.sec.gov/Archives/edgar/data/1459839/000145983919000044/exhibit102amendmenttores.htm" TargetMode="External"/><Relationship Id="rId18" Type="http://schemas.openxmlformats.org/officeDocument/2006/relationships/hyperlink" Target="http://www.sec.gov/Archives/edgar/data/1459839/000145983921000003/exh101_amendmenttoceooffer.htm" TargetMode="External"/><Relationship Id="rId19" Type="http://schemas.openxmlformats.org/officeDocument/2006/relationships/hyperlink" Target="https://www.sec.gov/Archives/edgar/data/1459839/000145983923000091/a2023directorcompensationp.htm" TargetMode="External"/><Relationship Id="rId20" Type="http://schemas.openxmlformats.org/officeDocument/2006/relationships/hyperlink" Target="https://www.sec.gov/Archives/edgar/data/0001459839/000145983921000012/exhibit1024severancebenefi.htm" TargetMode="External"/><Relationship Id="rId21" Type="http://schemas.openxmlformats.org/officeDocument/2006/relationships/hyperlink" Target="https://www.sec.gov/Archives/edgar/data/0001459839/000145983921000045/lohhelen-sibnboardofferlet.htm" TargetMode="External"/><Relationship Id="rId22" Type="http://schemas.openxmlformats.org/officeDocument/2006/relationships/hyperlink" Target="https://www.sec.gov/Archives/edgar/data/0001459839/000145983921000045/nishimuram-sibnboardofferl.htm" TargetMode="External"/><Relationship Id="rId23" Type="http://schemas.openxmlformats.org/officeDocument/2006/relationships/hyperlink" Target="http://www.sec.gov/Archives/edgar/data/1459839/000119312518278797/d452987dex1021.htm" TargetMode="External"/><Relationship Id="rId24" Type="http://schemas.openxmlformats.org/officeDocument/2006/relationships/hyperlink" Target="https://www.sec.gov/Archives/edgar/data/0001459839/000145983921000061/sibn-ex101loanandsecuritya.htm" TargetMode="External"/><Relationship Id="rId25" Type="http://schemas.openxmlformats.org/officeDocument/2006/relationships/hyperlink" Target="https://www.sec.gov/Archives/edgar/data/0001459839/000145983921000061/sibn-ex102secondamendmentt.htm" TargetMode="External"/><Relationship Id="rId26" Type="http://schemas.openxmlformats.org/officeDocument/2006/relationships/hyperlink" Target="https://www.sec.gov/Archives/edgar/data/1459839/000145983921000035/maheshwarianshulcfo4122021.htm" TargetMode="External"/><Relationship Id="rId27" Type="http://schemas.openxmlformats.org/officeDocument/2006/relationships/hyperlink" Target="https://www.sec.gov/Archives/edgar/data/1459839/000145983921000035/amendedandrestatedparticip.htm" TargetMode="External"/><Relationship Id="rId28" Type="http://schemas.openxmlformats.org/officeDocument/2006/relationships/hyperlink" Target="https://www.sec.gov/Archives/edgar/data/1459839/000145983922000006/si-bonexformofprsugrantp.htm" TargetMode="External"/><Relationship Id="rId29" Type="http://schemas.openxmlformats.org/officeDocument/2006/relationships/hyperlink" Target="https://www.sec.gov/Archives/edgar/data/1459839/000145983923000020/confidentialmarkupsvb_-x.htm" TargetMode="External"/><Relationship Id="rId30" Type="http://schemas.openxmlformats.org/officeDocument/2006/relationships/hyperlink" Target="https://www.sec.gov/Archives/edgar/data/1459839/000145983923000063/letteragreement.htm" TargetMode="External"/><Relationship Id="rId31" Type="http://schemas.openxmlformats.org/officeDocument/2006/relationships/hyperlink" Target="https://www.sec.gov/Archives/edgar/data/1459839/000145983923000063/letteragreement.htm" TargetMode="External"/><Relationship Id="rId32" Type="http://schemas.openxmlformats.org/officeDocument/2006/relationships/hyperlink" Target="http://www.sec.gov/Archives/edgar/data/1459839/000119312518278797/d452987dex1021.htm" TargetMode="External"/><Relationship Id="rId33" Type="http://schemas.openxmlformats.org/officeDocument/2006/relationships/hyperlink" Target="https://www.sec.gov/ix?doc=/Archives/edgar/data/1459839/000145983922000006/sibn-20220106.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87116</Words>
  <Characters>490545</Characters>
  <CharactersWithSpaces>576438</CharactersWithSpaces>
  <Paragraphs>3968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