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Georgia" w:cs="Georgia" w:eastAsia="Georgia" w:hAnsi="Georgia"/>
          <w:sz w:val="22"/>
          <w:szCs w:val="22"/>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SECURITIES AND EXCHANGE COMMISSION</w:t>
      </w:r>
    </w:p>
    <w:p>
      <w:pPr>
        <w:jc w:val="center"/>
        <w:ind w:right="-59"/>
        <w:spacing w:after="0" w:line="238" w:lineRule="auto"/>
        <w:rPr>
          <w:sz w:val="20"/>
          <w:szCs w:val="20"/>
          <w:color w:val="auto"/>
        </w:rPr>
      </w:pPr>
      <w:r>
        <w:rPr>
          <w:rFonts w:ascii="Georgia" w:cs="Georgia" w:eastAsia="Georgia" w:hAnsi="Georgia"/>
          <w:sz w:val="20"/>
          <w:szCs w:val="20"/>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color w:val="auto"/>
        </w:rPr>
        <w:t>SCHEDULE 13G</w:t>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b w:val="1"/>
          <w:bCs w:val="1"/>
          <w:color w:val="auto"/>
        </w:rPr>
        <w:t>Under the Securities Exchange Act of 1934</w:t>
      </w:r>
    </w:p>
    <w:p>
      <w:pPr>
        <w:jc w:val="center"/>
        <w:ind w:right="-59"/>
        <w:spacing w:after="0" w:line="236" w:lineRule="auto"/>
        <w:rPr>
          <w:sz w:val="20"/>
          <w:szCs w:val="20"/>
          <w:color w:val="auto"/>
        </w:rPr>
      </w:pPr>
      <w:r>
        <w:rPr>
          <w:rFonts w:ascii="Georgia" w:cs="Georgia" w:eastAsia="Georgia" w:hAnsi="Georgia"/>
          <w:sz w:val="20"/>
          <w:szCs w:val="20"/>
          <w:b w:val="1"/>
          <w:bCs w:val="1"/>
          <w:color w:val="auto"/>
        </w:rPr>
        <w:t>(Amendment No. 3)*</w:t>
      </w:r>
    </w:p>
    <w:p>
      <w:pPr>
        <w:spacing w:after="0" w:line="200" w:lineRule="exact"/>
        <w:rPr>
          <w:sz w:val="24"/>
          <w:szCs w:val="24"/>
          <w:color w:val="auto"/>
        </w:rPr>
      </w:pPr>
    </w:p>
    <w:p>
      <w:pPr>
        <w:spacing w:after="0" w:line="202"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SI-BONE, Inc.</w:t>
      </w:r>
    </w:p>
    <w:p>
      <w:pPr>
        <w:jc w:val="center"/>
        <w:ind w:right="-59"/>
        <w:spacing w:after="0" w:line="238" w:lineRule="auto"/>
        <w:rPr>
          <w:sz w:val="20"/>
          <w:szCs w:val="20"/>
          <w:color w:val="auto"/>
        </w:rPr>
      </w:pPr>
      <w:r>
        <w:rPr>
          <w:rFonts w:ascii="Georgia" w:cs="Georgia" w:eastAsia="Georgia" w:hAnsi="Georgia"/>
          <w:sz w:val="20"/>
          <w:szCs w:val="20"/>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Georgia" w:cs="Georgia" w:eastAsia="Georgia" w:hAnsi="Georgia"/>
          <w:sz w:val="20"/>
          <w:szCs w:val="20"/>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825704109</w:t>
      </w:r>
    </w:p>
    <w:p>
      <w:pPr>
        <w:jc w:val="center"/>
        <w:ind w:right="-59"/>
        <w:spacing w:after="0" w:line="238" w:lineRule="auto"/>
        <w:rPr>
          <w:sz w:val="20"/>
          <w:szCs w:val="20"/>
          <w:color w:val="auto"/>
        </w:rPr>
      </w:pPr>
      <w:r>
        <w:rPr>
          <w:rFonts w:ascii="Georgia" w:cs="Georgia" w:eastAsia="Georgia" w:hAnsi="Georgia"/>
          <w:sz w:val="20"/>
          <w:szCs w:val="20"/>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Georgia" w:cs="Georgia" w:eastAsia="Georgia" w:hAnsi="Georgia"/>
          <w:sz w:val="22"/>
          <w:szCs w:val="22"/>
          <w:b w:val="1"/>
          <w:bCs w:val="1"/>
          <w:u w:val="single" w:color="auto"/>
          <w:color w:val="auto"/>
        </w:rPr>
        <w:t>December 31, 2023</w:t>
      </w:r>
    </w:p>
    <w:p>
      <w:pPr>
        <w:jc w:val="center"/>
        <w:ind w:right="-59"/>
        <w:spacing w:after="0" w:line="238" w:lineRule="auto"/>
        <w:rPr>
          <w:sz w:val="20"/>
          <w:szCs w:val="20"/>
          <w:color w:val="auto"/>
        </w:rPr>
      </w:pPr>
      <w:r>
        <w:rPr>
          <w:rFonts w:ascii="Georgia" w:cs="Georgia" w:eastAsia="Georgia" w:hAnsi="Georgia"/>
          <w:sz w:val="20"/>
          <w:szCs w:val="20"/>
          <w:color w:val="auto"/>
        </w:rPr>
        <w:t>(Date of Event which Requires Filing of this Statement)</w:t>
      </w:r>
    </w:p>
    <w:p>
      <w:pPr>
        <w:spacing w:after="0" w:line="399" w:lineRule="exact"/>
        <w:rPr>
          <w:sz w:val="24"/>
          <w:szCs w:val="24"/>
          <w:color w:val="auto"/>
        </w:rPr>
      </w:pPr>
    </w:p>
    <w:p>
      <w:pPr>
        <w:spacing w:after="0"/>
        <w:rPr>
          <w:sz w:val="20"/>
          <w:szCs w:val="20"/>
          <w:color w:val="auto"/>
        </w:rPr>
      </w:pPr>
      <w:r>
        <w:rPr>
          <w:rFonts w:ascii="Georgia" w:cs="Georgia" w:eastAsia="Georgia" w:hAnsi="Georgia"/>
          <w:sz w:val="18"/>
          <w:szCs w:val="18"/>
          <w:color w:val="auto"/>
        </w:rPr>
        <w:t>Check the appropriate box to designate the rule pursuant to which this Schedule is filed:</w:t>
      </w:r>
    </w:p>
    <w:p>
      <w:pPr>
        <w:spacing w:after="0" w:line="350" w:lineRule="exact"/>
        <w:rPr>
          <w:sz w:val="24"/>
          <w:szCs w:val="24"/>
          <w:color w:val="auto"/>
        </w:rPr>
      </w:pPr>
    </w:p>
    <w:p>
      <w:pPr>
        <w:jc w:val="both"/>
        <w:ind w:left="4620" w:right="4560" w:firstLine="10"/>
        <w:spacing w:after="0" w:line="237" w:lineRule="auto"/>
        <w:tabs>
          <w:tab w:leader="none" w:pos="4926" w:val="left"/>
        </w:tabs>
        <w:numPr>
          <w:ilvl w:val="1"/>
          <w:numId w:val="1"/>
        </w:numPr>
        <w:rPr>
          <w:rFonts w:ascii="Georgia" w:cs="Georgia" w:eastAsia="Georgia" w:hAnsi="Georgia"/>
          <w:sz w:val="18"/>
          <w:szCs w:val="18"/>
          <w:color w:val="auto"/>
        </w:rPr>
      </w:pPr>
      <w:r>
        <w:rPr>
          <w:rFonts w:ascii="Georgia" w:cs="Georgia" w:eastAsia="Georgia" w:hAnsi="Georgia"/>
          <w:sz w:val="18"/>
          <w:szCs w:val="18"/>
          <w:color w:val="auto"/>
        </w:rPr>
        <w:t>Rule 13d-1(b) [ ] Rule 13d-1(c) [ ] Rule 13d-1(d)</w:t>
      </w:r>
    </w:p>
    <w:p>
      <w:pPr>
        <w:spacing w:after="0" w:line="366" w:lineRule="exact"/>
        <w:rPr>
          <w:rFonts w:ascii="Georgia" w:cs="Georgia" w:eastAsia="Georgia" w:hAnsi="Georgia"/>
          <w:sz w:val="18"/>
          <w:szCs w:val="18"/>
          <w:color w:val="auto"/>
        </w:rPr>
      </w:pPr>
    </w:p>
    <w:p>
      <w:pPr>
        <w:spacing w:after="0" w:line="237" w:lineRule="auto"/>
        <w:rPr>
          <w:rFonts w:ascii="Georgia" w:cs="Georgia" w:eastAsia="Georgia" w:hAnsi="Georgia"/>
          <w:sz w:val="18"/>
          <w:szCs w:val="18"/>
          <w:color w:val="auto"/>
        </w:rPr>
      </w:pPr>
      <w:r>
        <w:rPr>
          <w:rFonts w:ascii="Georgia" w:cs="Georgia" w:eastAsia="Georgia" w:hAnsi="Georgia"/>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66" w:lineRule="exact"/>
        <w:rPr>
          <w:sz w:val="24"/>
          <w:szCs w:val="24"/>
          <w:color w:val="auto"/>
        </w:rPr>
      </w:pPr>
    </w:p>
    <w:p>
      <w:pPr>
        <w:ind w:right="100"/>
        <w:spacing w:after="0" w:line="237" w:lineRule="auto"/>
        <w:rPr>
          <w:sz w:val="20"/>
          <w:szCs w:val="20"/>
          <w:color w:val="auto"/>
        </w:rPr>
      </w:pPr>
      <w:r>
        <w:rPr>
          <w:rFonts w:ascii="Georgia" w:cs="Georgia" w:eastAsia="Georgia" w:hAnsi="Georgia"/>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80"/>
          </w:cols>
          <w:pgMar w:left="320" w:top="246" w:right="999" w:bottom="1440" w:gutter="0" w:footer="0" w:header="0"/>
        </w:sectPr>
      </w:pPr>
    </w:p>
    <w:bookmarkStart w:id="1" w:name="page2"/>
    <w:bookmarkEnd w:id="1"/>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20" w:right="7000" w:hanging="374"/>
        <w:spacing w:after="0" w:line="237" w:lineRule="auto"/>
        <w:tabs>
          <w:tab w:leader="none" w:pos="620" w:val="left"/>
        </w:tabs>
        <w:numPr>
          <w:ilvl w:val="0"/>
          <w:numId w:val="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Incorporated ("BAI")</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52-2112409</w:t>
      </w:r>
    </w:p>
    <w:p>
      <w:pPr>
        <w:spacing w:after="0" w:line="133" w:lineRule="exact"/>
        <w:rPr>
          <w:sz w:val="20"/>
          <w:szCs w:val="20"/>
          <w:color w:val="auto"/>
        </w:rPr>
      </w:pPr>
    </w:p>
    <w:p>
      <w:pPr>
        <w:ind w:left="620" w:hanging="385"/>
        <w:spacing w:after="0"/>
        <w:tabs>
          <w:tab w:leader="none" w:pos="620" w:val="left"/>
        </w:tabs>
        <w:numPr>
          <w:ilvl w:val="0"/>
          <w:numId w:val="3"/>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3"/>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4"/>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460" w:hanging="386"/>
        <w:spacing w:after="0" w:line="237" w:lineRule="auto"/>
        <w:tabs>
          <w:tab w:leader="none" w:pos="620" w:val="left"/>
        </w:tabs>
        <w:numPr>
          <w:ilvl w:val="0"/>
          <w:numId w:val="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Brown Advisory Incorporated is a Maryland Corporation.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3,591,084</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4,155,434</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4,155,434</w:t>
      </w:r>
    </w:p>
    <w:p>
      <w:pPr>
        <w:spacing w:after="0" w:line="150" w:lineRule="exact"/>
        <w:rPr>
          <w:sz w:val="20"/>
          <w:szCs w:val="20"/>
          <w:color w:val="auto"/>
        </w:rPr>
      </w:pPr>
    </w:p>
    <w:p>
      <w:pPr>
        <w:ind w:left="620" w:right="1860" w:hanging="429"/>
        <w:spacing w:after="0" w:line="237" w:lineRule="auto"/>
        <w:tabs>
          <w:tab w:leader="none" w:pos="620" w:val="left"/>
        </w:tabs>
        <w:numPr>
          <w:ilvl w:val="0"/>
          <w:numId w:val="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10.3%</w:t>
      </w:r>
    </w:p>
    <w:p>
      <w:pPr>
        <w:spacing w:after="0" w:line="150" w:lineRule="exact"/>
        <w:rPr>
          <w:sz w:val="20"/>
          <w:szCs w:val="20"/>
          <w:color w:val="auto"/>
        </w:rPr>
      </w:pPr>
    </w:p>
    <w:p>
      <w:pPr>
        <w:ind w:left="620" w:right="7100" w:hanging="424"/>
        <w:spacing w:after="0" w:line="237" w:lineRule="auto"/>
        <w:tabs>
          <w:tab w:leader="none" w:pos="620" w:val="left"/>
        </w:tabs>
        <w:numPr>
          <w:ilvl w:val="0"/>
          <w:numId w:val="9"/>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(Control Entity)</w:t>
      </w:r>
    </w:p>
    <w:p>
      <w:pPr>
        <w:sectPr>
          <w:pgSz w:w="11900" w:h="16838" w:orient="portrait"/>
          <w:cols w:equalWidth="0" w:num="1">
            <w:col w:w="10640"/>
          </w:cols>
          <w:pgMar w:left="320" w:top="958" w:right="939" w:bottom="1440" w:gutter="0" w:footer="0" w:header="0"/>
        </w:sectPr>
      </w:pPr>
    </w:p>
    <w:bookmarkStart w:id="2" w:name="page3"/>
    <w:bookmarkEnd w:id="2"/>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20" w:hanging="374"/>
        <w:spacing w:after="0"/>
        <w:tabs>
          <w:tab w:leader="none" w:pos="620" w:val="left"/>
        </w:tabs>
        <w:numPr>
          <w:ilvl w:val="0"/>
          <w:numId w:val="10"/>
        </w:numPr>
        <w:rPr>
          <w:rFonts w:ascii="Georgia" w:cs="Georgia" w:eastAsia="Georgia" w:hAnsi="Georgia"/>
          <w:sz w:val="18"/>
          <w:szCs w:val="18"/>
          <w:color w:val="auto"/>
        </w:rPr>
      </w:pPr>
      <w:r>
        <w:rPr>
          <w:rFonts w:ascii="Georgia" w:cs="Georgia" w:eastAsia="Georgia" w:hAnsi="Georgia"/>
          <w:sz w:val="18"/>
          <w:szCs w:val="18"/>
          <w:b w:val="1"/>
          <w:bCs w:val="1"/>
          <w:color w:val="auto"/>
        </w:rPr>
        <w:t>NAME OF REPORTING PERSON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("BIATC")</w:t>
      </w:r>
    </w:p>
    <w:p>
      <w:pPr>
        <w:spacing w:after="0" w:line="187"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52-1811121</w:t>
      </w:r>
    </w:p>
    <w:p>
      <w:pPr>
        <w:spacing w:after="0" w:line="133" w:lineRule="exact"/>
        <w:rPr>
          <w:sz w:val="20"/>
          <w:szCs w:val="20"/>
          <w:color w:val="auto"/>
        </w:rPr>
      </w:pPr>
    </w:p>
    <w:p>
      <w:pPr>
        <w:ind w:left="620" w:hanging="385"/>
        <w:spacing w:after="0"/>
        <w:tabs>
          <w:tab w:leader="none" w:pos="620" w:val="left"/>
        </w:tabs>
        <w:numPr>
          <w:ilvl w:val="0"/>
          <w:numId w:val="11"/>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1"/>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12"/>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6" w:lineRule="exact"/>
        <w:rPr>
          <w:sz w:val="20"/>
          <w:szCs w:val="20"/>
          <w:color w:val="auto"/>
        </w:rPr>
      </w:pPr>
    </w:p>
    <w:p>
      <w:pPr>
        <w:ind w:left="620" w:hanging="386"/>
        <w:spacing w:after="0"/>
        <w:tabs>
          <w:tab w:leader="none" w:pos="620" w:val="left"/>
        </w:tabs>
        <w:numPr>
          <w:ilvl w:val="0"/>
          <w:numId w:val="13"/>
        </w:numPr>
        <w:rPr>
          <w:rFonts w:ascii="Georgia" w:cs="Georgia" w:eastAsia="Georgia" w:hAnsi="Georgia"/>
          <w:sz w:val="18"/>
          <w:szCs w:val="18"/>
          <w:color w:val="auto"/>
        </w:rPr>
      </w:pPr>
      <w:r>
        <w:rPr>
          <w:rFonts w:ascii="Georgia" w:cs="Georgia" w:eastAsia="Georgia" w:hAnsi="Georgia"/>
          <w:sz w:val="18"/>
          <w:szCs w:val="18"/>
          <w:b w:val="1"/>
          <w:bCs w:val="1"/>
          <w:color w:val="auto"/>
        </w:rPr>
        <w:t>CITIZENSHIP OR PLACE OF ORGANIZATION</w:t>
      </w:r>
    </w:p>
    <w:p>
      <w:pPr>
        <w:ind w:left="6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Brown Investment Advisory &amp; Trust Company is a Maryland Trust Company.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20,718</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20,718</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1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20,718</w:t>
      </w:r>
    </w:p>
    <w:p>
      <w:pPr>
        <w:spacing w:after="0" w:line="150" w:lineRule="exact"/>
        <w:rPr>
          <w:sz w:val="20"/>
          <w:szCs w:val="20"/>
          <w:color w:val="auto"/>
        </w:rPr>
      </w:pPr>
    </w:p>
    <w:p>
      <w:pPr>
        <w:ind w:left="620" w:right="1860" w:hanging="429"/>
        <w:spacing w:after="0" w:line="237" w:lineRule="auto"/>
        <w:tabs>
          <w:tab w:leader="none" w:pos="620" w:val="left"/>
        </w:tabs>
        <w:numPr>
          <w:ilvl w:val="0"/>
          <w:numId w:val="1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16"/>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0.1%</w:t>
      </w:r>
    </w:p>
    <w:p>
      <w:pPr>
        <w:spacing w:after="0" w:line="150" w:lineRule="exact"/>
        <w:rPr>
          <w:sz w:val="20"/>
          <w:szCs w:val="20"/>
          <w:color w:val="auto"/>
        </w:rPr>
      </w:pPr>
    </w:p>
    <w:p>
      <w:pPr>
        <w:ind w:left="620" w:right="7100" w:hanging="424"/>
        <w:spacing w:after="0" w:line="237" w:lineRule="auto"/>
        <w:tabs>
          <w:tab w:leader="none" w:pos="620" w:val="left"/>
        </w:tabs>
        <w:numPr>
          <w:ilvl w:val="0"/>
          <w:numId w:val="17"/>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BK (Bank)</w:t>
      </w:r>
    </w:p>
    <w:p>
      <w:pPr>
        <w:sectPr>
          <w:pgSz w:w="11900" w:h="16838" w:orient="portrait"/>
          <w:cols w:equalWidth="0" w:num="1">
            <w:col w:w="10640"/>
          </w:cols>
          <w:pgMar w:left="320" w:top="958" w:right="939" w:bottom="1440" w:gutter="0" w:footer="0" w:header="0"/>
        </w:sectPr>
      </w:pPr>
    </w:p>
    <w:bookmarkStart w:id="3" w:name="page4"/>
    <w:bookmarkEnd w:id="3"/>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6755130" cy="4594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5948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20" w:right="7000" w:hanging="374"/>
        <w:spacing w:after="0" w:line="237" w:lineRule="auto"/>
        <w:tabs>
          <w:tab w:leader="none" w:pos="620" w:val="left"/>
        </w:tabs>
        <w:numPr>
          <w:ilvl w:val="0"/>
          <w:numId w:val="18"/>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NAME OF REPORTING PERSON </w:t>
      </w:r>
      <w:r>
        <w:rPr>
          <w:rFonts w:ascii="Georgia" w:cs="Georgia" w:eastAsia="Georgia" w:hAnsi="Georgia"/>
          <w:sz w:val="18"/>
          <w:szCs w:val="18"/>
          <w:color w:val="auto"/>
        </w:rPr>
        <w:t>Brown Advisory Incorporated ("BAI")</w:t>
      </w:r>
    </w:p>
    <w:p>
      <w:pPr>
        <w:spacing w:after="0" w:line="188" w:lineRule="exact"/>
        <w:rPr>
          <w:sz w:val="20"/>
          <w:szCs w:val="20"/>
          <w:color w:val="auto"/>
        </w:rPr>
      </w:pPr>
    </w:p>
    <w:p>
      <w:pPr>
        <w:ind w:left="620"/>
        <w:spacing w:after="0"/>
        <w:rPr>
          <w:sz w:val="20"/>
          <w:szCs w:val="20"/>
          <w:color w:val="auto"/>
        </w:rPr>
      </w:pPr>
      <w:r>
        <w:rPr>
          <w:rFonts w:ascii="Georgia" w:cs="Georgia" w:eastAsia="Georgia" w:hAnsi="Georgia"/>
          <w:sz w:val="18"/>
          <w:szCs w:val="18"/>
          <w:b w:val="1"/>
          <w:bCs w:val="1"/>
          <w:color w:val="auto"/>
        </w:rPr>
        <w:t>I.R.S. IDENTIFICATION NO. OF ABOVE PERSON (ENTITIES ONLY)</w:t>
      </w:r>
    </w:p>
    <w:p>
      <w:pPr>
        <w:ind w:left="620"/>
        <w:spacing w:after="0" w:line="238" w:lineRule="auto"/>
        <w:rPr>
          <w:sz w:val="20"/>
          <w:szCs w:val="20"/>
          <w:color w:val="auto"/>
        </w:rPr>
      </w:pPr>
      <w:r>
        <w:rPr>
          <w:rFonts w:ascii="Georgia" w:cs="Georgia" w:eastAsia="Georgia" w:hAnsi="Georgia"/>
          <w:sz w:val="18"/>
          <w:szCs w:val="18"/>
          <w:color w:val="auto"/>
        </w:rPr>
        <w:t>52-2112409</w:t>
      </w:r>
    </w:p>
    <w:p>
      <w:pPr>
        <w:spacing w:after="0" w:line="133" w:lineRule="exact"/>
        <w:rPr>
          <w:sz w:val="20"/>
          <w:szCs w:val="20"/>
          <w:color w:val="auto"/>
        </w:rPr>
      </w:pPr>
    </w:p>
    <w:p>
      <w:pPr>
        <w:ind w:left="620" w:hanging="385"/>
        <w:spacing w:after="0"/>
        <w:tabs>
          <w:tab w:leader="none" w:pos="620" w:val="left"/>
        </w:tabs>
        <w:numPr>
          <w:ilvl w:val="0"/>
          <w:numId w:val="19"/>
        </w:numPr>
        <w:rPr>
          <w:rFonts w:ascii="Georgia" w:cs="Georgia" w:eastAsia="Georgia" w:hAnsi="Georgia"/>
          <w:sz w:val="18"/>
          <w:szCs w:val="18"/>
          <w:color w:val="auto"/>
        </w:rPr>
      </w:pPr>
      <w:r>
        <w:rPr>
          <w:rFonts w:ascii="Georgia" w:cs="Georgia" w:eastAsia="Georgia" w:hAnsi="Georgia"/>
          <w:sz w:val="18"/>
          <w:szCs w:val="18"/>
          <w:b w:val="1"/>
          <w:bCs w:val="1"/>
          <w:color w:val="auto"/>
        </w:rPr>
        <w:t>CHECK THE APPROPRIATE BOX IF A MEMBER OF A GROUP</w:t>
      </w:r>
    </w:p>
    <w:p>
      <w:pPr>
        <w:ind w:left="900" w:hanging="271"/>
        <w:spacing w:after="0" w:line="237"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ind w:left="900" w:hanging="271"/>
        <w:spacing w:after="0" w:line="238" w:lineRule="auto"/>
        <w:tabs>
          <w:tab w:leader="none" w:pos="900" w:val="left"/>
        </w:tabs>
        <w:numPr>
          <w:ilvl w:val="1"/>
          <w:numId w:val="19"/>
        </w:numPr>
        <w:rPr>
          <w:rFonts w:ascii="Georgia" w:cs="Georgia" w:eastAsia="Georgia" w:hAnsi="Georgia"/>
          <w:sz w:val="18"/>
          <w:szCs w:val="18"/>
          <w:color w:val="auto"/>
        </w:rPr>
      </w:pPr>
      <w:r>
        <w:rPr>
          <w:rFonts w:ascii="Georgia" w:cs="Georgia" w:eastAsia="Georgia" w:hAnsi="Georgia"/>
          <w:sz w:val="18"/>
          <w:szCs w:val="18"/>
          <w:color w:val="auto"/>
        </w:rPr>
        <w:t>[  ]</w:t>
      </w:r>
    </w:p>
    <w:p>
      <w:pPr>
        <w:spacing w:after="0" w:line="147" w:lineRule="exact"/>
        <w:rPr>
          <w:sz w:val="20"/>
          <w:szCs w:val="20"/>
          <w:color w:val="auto"/>
        </w:rPr>
      </w:pPr>
    </w:p>
    <w:p>
      <w:pPr>
        <w:ind w:left="620" w:hanging="385"/>
        <w:spacing w:after="0"/>
        <w:tabs>
          <w:tab w:leader="none" w:pos="620" w:val="left"/>
        </w:tabs>
        <w:numPr>
          <w:ilvl w:val="0"/>
          <w:numId w:val="20"/>
        </w:numPr>
        <w:rPr>
          <w:rFonts w:ascii="Georgia" w:cs="Georgia" w:eastAsia="Georgia" w:hAnsi="Georgia"/>
          <w:sz w:val="18"/>
          <w:szCs w:val="18"/>
          <w:color w:val="auto"/>
        </w:rPr>
      </w:pPr>
      <w:r>
        <w:rPr>
          <w:rFonts w:ascii="Georgia" w:cs="Georgia" w:eastAsia="Georgia" w:hAnsi="Georgia"/>
          <w:sz w:val="18"/>
          <w:szCs w:val="18"/>
          <w:b w:val="1"/>
          <w:bCs w:val="1"/>
          <w:color w:val="auto"/>
        </w:rPr>
        <w:t>SEC USE ONLY</w:t>
      </w:r>
    </w:p>
    <w:p>
      <w:pPr>
        <w:spacing w:after="0" w:line="148" w:lineRule="exact"/>
        <w:rPr>
          <w:sz w:val="20"/>
          <w:szCs w:val="20"/>
          <w:color w:val="auto"/>
        </w:rPr>
      </w:pPr>
    </w:p>
    <w:p>
      <w:pPr>
        <w:ind w:left="620" w:right="5460" w:hanging="386"/>
        <w:spacing w:after="0" w:line="237" w:lineRule="auto"/>
        <w:tabs>
          <w:tab w:leader="none" w:pos="620" w:val="left"/>
        </w:tabs>
        <w:numPr>
          <w:ilvl w:val="0"/>
          <w:numId w:val="21"/>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CITIZENSHIP OR PLACE OF ORGANIZATION </w:t>
      </w:r>
      <w:r>
        <w:rPr>
          <w:rFonts w:ascii="Georgia" w:cs="Georgia" w:eastAsia="Georgia" w:hAnsi="Georgia"/>
          <w:sz w:val="18"/>
          <w:szCs w:val="18"/>
          <w:color w:val="auto"/>
        </w:rPr>
        <w:t>Brown Advisory Incorporated is a Maryland Corporation.</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center"/>
              <w:spacing w:after="0"/>
              <w:rPr>
                <w:sz w:val="20"/>
                <w:szCs w:val="20"/>
                <w:color w:val="auto"/>
              </w:rPr>
            </w:pPr>
            <w:r>
              <w:rPr>
                <w:rFonts w:ascii="Georgia" w:cs="Georgia" w:eastAsia="Georgia" w:hAnsi="Georgia"/>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Georgia" w:cs="Georgia" w:eastAsia="Georgia" w:hAnsi="Georgia"/>
                <w:sz w:val="18"/>
                <w:szCs w:val="18"/>
                <w:b w:val="1"/>
                <w:bCs w:val="1"/>
                <w:color w:val="auto"/>
              </w:rPr>
              <w:t>SOLE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b w:val="1"/>
                <w:bCs w:val="1"/>
                <w:color w:val="auto"/>
                <w:w w:val="99"/>
              </w:rPr>
              <w:t>NUMBER OF</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3,570,366</w:t>
            </w: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w w:val="98"/>
              </w:rPr>
              <w:t>SHARES</w:t>
            </w:r>
          </w:p>
        </w:tc>
        <w:tc>
          <w:tcPr>
            <w:tcW w:w="52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color w:val="auto"/>
                <w:w w:val="97"/>
              </w:rPr>
              <w:t>6</w:t>
            </w:r>
          </w:p>
        </w:tc>
        <w:tc>
          <w:tcPr>
            <w:tcW w:w="8480" w:type="dxa"/>
            <w:vAlign w:val="bottom"/>
          </w:tcPr>
          <w:p>
            <w:pPr>
              <w:ind w:left="60"/>
              <w:spacing w:after="0"/>
              <w:rPr>
                <w:sz w:val="20"/>
                <w:szCs w:val="20"/>
                <w:color w:val="auto"/>
              </w:rPr>
            </w:pPr>
            <w:r>
              <w:rPr>
                <w:rFonts w:ascii="Georgia" w:cs="Georgia" w:eastAsia="Georgia" w:hAnsi="Georgia"/>
                <w:sz w:val="18"/>
                <w:szCs w:val="18"/>
                <w:b w:val="1"/>
                <w:bCs w:val="1"/>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jc w:val="center"/>
              <w:spacing w:after="0" w:line="202" w:lineRule="exact"/>
              <w:rPr>
                <w:sz w:val="20"/>
                <w:szCs w:val="20"/>
                <w:color w:val="auto"/>
              </w:rPr>
            </w:pPr>
            <w:r>
              <w:rPr>
                <w:rFonts w:ascii="Georgia" w:cs="Georgia" w:eastAsia="Georgia" w:hAnsi="Georgia"/>
                <w:sz w:val="18"/>
                <w:szCs w:val="18"/>
                <w:b w:val="1"/>
                <w:bCs w:val="1"/>
                <w:color w:val="auto"/>
              </w:rPr>
              <w:t>BENEFICIALLY</w:t>
            </w: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2"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98"/>
        </w:trPr>
        <w:tc>
          <w:tcPr>
            <w:tcW w:w="1640" w:type="dxa"/>
            <w:vAlign w:val="bottom"/>
            <w:tcBorders>
              <w:right w:val="single" w:sz="8" w:color="auto"/>
            </w:tcBorders>
            <w:vMerge w:val="restart"/>
          </w:tcPr>
          <w:p>
            <w:pPr>
              <w:jc w:val="center"/>
              <w:spacing w:after="0" w:line="202" w:lineRule="exact"/>
              <w:rPr>
                <w:sz w:val="20"/>
                <w:szCs w:val="20"/>
                <w:color w:val="auto"/>
              </w:rPr>
            </w:pPr>
            <w:r>
              <w:rPr>
                <w:rFonts w:ascii="Georgia" w:cs="Georgia" w:eastAsia="Georgia" w:hAnsi="Georgia"/>
                <w:sz w:val="18"/>
                <w:szCs w:val="18"/>
                <w:b w:val="1"/>
                <w:bCs w:val="1"/>
                <w:color w:val="auto"/>
              </w:rPr>
              <w:t>OWNED BY</w:t>
            </w:r>
          </w:p>
        </w:tc>
        <w:tc>
          <w:tcPr>
            <w:tcW w:w="520" w:type="dxa"/>
            <w:vAlign w:val="bottom"/>
            <w:tcBorders>
              <w:bottom w:val="single" w:sz="8" w:color="auto"/>
              <w:right w:val="single" w:sz="8" w:color="auto"/>
            </w:tcBorders>
          </w:tcPr>
          <w:p>
            <w:pPr>
              <w:spacing w:after="0"/>
              <w:rPr>
                <w:sz w:val="8"/>
                <w:szCs w:val="8"/>
                <w:color w:val="auto"/>
              </w:rPr>
            </w:pPr>
          </w:p>
        </w:tc>
        <w:tc>
          <w:tcPr>
            <w:tcW w:w="8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auto"/>
            </w:tcBorders>
            <w:vMerge w:val="continue"/>
          </w:tcPr>
          <w:p>
            <w:pPr>
              <w:spacing w:after="0"/>
              <w:rPr>
                <w:sz w:val="7"/>
                <w:szCs w:val="7"/>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rPr>
              <w:t>7</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SOLE DISPOSITIVE POWER</w:t>
            </w:r>
          </w:p>
        </w:tc>
        <w:tc>
          <w:tcPr>
            <w:tcW w:w="0" w:type="dxa"/>
            <w:vAlign w:val="bottom"/>
          </w:tcPr>
          <w:p>
            <w:pPr>
              <w:spacing w:after="0"/>
              <w:rPr>
                <w:sz w:val="1"/>
                <w:szCs w:val="1"/>
                <w:color w:val="auto"/>
              </w:rPr>
            </w:pPr>
          </w:p>
        </w:tc>
      </w:tr>
      <w:tr>
        <w:trPr>
          <w:trHeight w:val="175"/>
        </w:trPr>
        <w:tc>
          <w:tcPr>
            <w:tcW w:w="1640" w:type="dxa"/>
            <w:vAlign w:val="bottom"/>
            <w:tcBorders>
              <w:right w:val="single" w:sz="8" w:color="auto"/>
            </w:tcBorders>
          </w:tcPr>
          <w:p>
            <w:pPr>
              <w:jc w:val="center"/>
              <w:spacing w:after="0" w:line="175" w:lineRule="exact"/>
              <w:rPr>
                <w:sz w:val="20"/>
                <w:szCs w:val="20"/>
                <w:color w:val="auto"/>
              </w:rPr>
            </w:pPr>
            <w:r>
              <w:rPr>
                <w:rFonts w:ascii="Georgia" w:cs="Georgia" w:eastAsia="Georgia" w:hAnsi="Georgia"/>
                <w:sz w:val="18"/>
                <w:szCs w:val="18"/>
                <w:b w:val="1"/>
                <w:bCs w:val="1"/>
                <w:color w:val="auto"/>
              </w:rPr>
              <w:t>EACH</w:t>
            </w:r>
          </w:p>
        </w:tc>
        <w:tc>
          <w:tcPr>
            <w:tcW w:w="520" w:type="dxa"/>
            <w:vAlign w:val="bottom"/>
            <w:tcBorders>
              <w:right w:val="single" w:sz="8" w:color="auto"/>
            </w:tcBorders>
            <w:vMerge w:val="continue"/>
          </w:tcPr>
          <w:p>
            <w:pPr>
              <w:spacing w:after="0"/>
              <w:rPr>
                <w:sz w:val="15"/>
                <w:szCs w:val="15"/>
                <w:color w:val="auto"/>
              </w:rPr>
            </w:pP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jc w:val="center"/>
              <w:spacing w:after="0"/>
              <w:rPr>
                <w:sz w:val="20"/>
                <w:szCs w:val="20"/>
                <w:color w:val="auto"/>
              </w:rPr>
            </w:pPr>
            <w:r>
              <w:rPr>
                <w:rFonts w:ascii="Georgia" w:cs="Georgia" w:eastAsia="Georgia" w:hAnsi="Georgia"/>
                <w:sz w:val="18"/>
                <w:szCs w:val="18"/>
                <w:b w:val="1"/>
                <w:bCs w:val="1"/>
                <w:color w:val="auto"/>
              </w:rPr>
              <w:t>REPORTING</w:t>
            </w:r>
          </w:p>
        </w:tc>
        <w:tc>
          <w:tcPr>
            <w:tcW w:w="520" w:type="dxa"/>
            <w:vAlign w:val="bottom"/>
            <w:tcBorders>
              <w:right w:val="single" w:sz="8" w:color="auto"/>
            </w:tcBorders>
          </w:tcPr>
          <w:p>
            <w:pPr>
              <w:spacing w:after="0"/>
              <w:rPr>
                <w:sz w:val="19"/>
                <w:szCs w:val="19"/>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0</w:t>
            </w:r>
          </w:p>
        </w:tc>
        <w:tc>
          <w:tcPr>
            <w:tcW w:w="0" w:type="dxa"/>
            <w:vAlign w:val="bottom"/>
          </w:tcPr>
          <w:p>
            <w:pPr>
              <w:spacing w:after="0"/>
              <w:rPr>
                <w:sz w:val="1"/>
                <w:szCs w:val="1"/>
                <w:color w:val="auto"/>
              </w:rPr>
            </w:pPr>
          </w:p>
        </w:tc>
      </w:tr>
      <w:tr>
        <w:trPr>
          <w:trHeight w:val="44"/>
        </w:trPr>
        <w:tc>
          <w:tcPr>
            <w:tcW w:w="1640" w:type="dxa"/>
            <w:vAlign w:val="bottom"/>
            <w:tcBorders>
              <w:right w:val="single" w:sz="8" w:color="auto"/>
            </w:tcBorders>
            <w:vMerge w:val="restart"/>
          </w:tcPr>
          <w:p>
            <w:pPr>
              <w:jc w:val="center"/>
              <w:spacing w:after="0" w:line="203" w:lineRule="exact"/>
              <w:rPr>
                <w:sz w:val="20"/>
                <w:szCs w:val="20"/>
                <w:color w:val="auto"/>
              </w:rPr>
            </w:pPr>
            <w:r>
              <w:rPr>
                <w:rFonts w:ascii="Georgia" w:cs="Georgia" w:eastAsia="Georgia" w:hAnsi="Georgia"/>
                <w:sz w:val="18"/>
                <w:szCs w:val="18"/>
                <w:b w:val="1"/>
                <w:bCs w:val="1"/>
                <w:color w:val="auto"/>
              </w:rPr>
              <w:t>PERSON WITH</w:t>
            </w:r>
          </w:p>
        </w:tc>
        <w:tc>
          <w:tcPr>
            <w:tcW w:w="520" w:type="dxa"/>
            <w:vAlign w:val="bottom"/>
            <w:tcBorders>
              <w:bottom w:val="single" w:sz="8" w:color="auto"/>
              <w:right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64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vMerge w:val="restart"/>
          </w:tcPr>
          <w:p>
            <w:pPr>
              <w:jc w:val="center"/>
              <w:spacing w:after="0"/>
              <w:rPr>
                <w:sz w:val="20"/>
                <w:szCs w:val="20"/>
                <w:color w:val="auto"/>
              </w:rPr>
            </w:pPr>
            <w:r>
              <w:rPr>
                <w:rFonts w:ascii="Georgia" w:cs="Georgia" w:eastAsia="Georgia" w:hAnsi="Georgia"/>
                <w:sz w:val="18"/>
                <w:szCs w:val="18"/>
                <w:color w:val="auto"/>
                <w:w w:val="92"/>
              </w:rPr>
              <w:t>8</w:t>
            </w:r>
          </w:p>
        </w:tc>
        <w:tc>
          <w:tcPr>
            <w:tcW w:w="8480" w:type="dxa"/>
            <w:vAlign w:val="bottom"/>
            <w:vMerge w:val="restart"/>
          </w:tcPr>
          <w:p>
            <w:pPr>
              <w:ind w:left="60"/>
              <w:spacing w:after="0"/>
              <w:rPr>
                <w:sz w:val="20"/>
                <w:szCs w:val="20"/>
                <w:color w:val="auto"/>
              </w:rPr>
            </w:pPr>
            <w:r>
              <w:rPr>
                <w:rFonts w:ascii="Georgia" w:cs="Georgia" w:eastAsia="Georgia" w:hAnsi="Georgia"/>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6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8480" w:type="dxa"/>
            <w:vAlign w:val="bottom"/>
          </w:tcPr>
          <w:p>
            <w:pPr>
              <w:ind w:left="60"/>
              <w:spacing w:after="0" w:line="203" w:lineRule="exact"/>
              <w:rPr>
                <w:sz w:val="20"/>
                <w:szCs w:val="20"/>
                <w:color w:val="auto"/>
              </w:rPr>
            </w:pPr>
            <w:r>
              <w:rPr>
                <w:rFonts w:ascii="Georgia" w:cs="Georgia" w:eastAsia="Georgia" w:hAnsi="Georgia"/>
                <w:sz w:val="18"/>
                <w:szCs w:val="18"/>
                <w:color w:val="auto"/>
              </w:rPr>
              <w:t>4,134,716</w:t>
            </w:r>
          </w:p>
        </w:tc>
        <w:tc>
          <w:tcPr>
            <w:tcW w:w="0" w:type="dxa"/>
            <w:vAlign w:val="bottom"/>
          </w:tcPr>
          <w:p>
            <w:pPr>
              <w:spacing w:after="0"/>
              <w:rPr>
                <w:sz w:val="1"/>
                <w:szCs w:val="1"/>
                <w:color w:val="auto"/>
              </w:rPr>
            </w:pPr>
          </w:p>
        </w:tc>
      </w:tr>
      <w:tr>
        <w:trPr>
          <w:trHeight w:val="70"/>
        </w:trPr>
        <w:tc>
          <w:tcPr>
            <w:tcW w:w="1640" w:type="dxa"/>
            <w:vAlign w:val="bottom"/>
            <w:tcBorders>
              <w:bottom w:val="single" w:sz="8" w:color="auto"/>
              <w:right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c>
          <w:tcPr>
            <w:tcW w:w="8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620" w:right="2480" w:hanging="386"/>
        <w:spacing w:after="0" w:line="237" w:lineRule="auto"/>
        <w:tabs>
          <w:tab w:leader="none" w:pos="620" w:val="left"/>
        </w:tabs>
        <w:numPr>
          <w:ilvl w:val="0"/>
          <w:numId w:val="22"/>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AGGREGATE AMOUNT BENEFICIALLY OWNED BY EACH REPORTING PERSON </w:t>
      </w:r>
      <w:r>
        <w:rPr>
          <w:rFonts w:ascii="Georgia" w:cs="Georgia" w:eastAsia="Georgia" w:hAnsi="Georgia"/>
          <w:sz w:val="18"/>
          <w:szCs w:val="18"/>
          <w:color w:val="auto"/>
        </w:rPr>
        <w:t>4,134,716</w:t>
      </w:r>
    </w:p>
    <w:p>
      <w:pPr>
        <w:spacing w:after="0" w:line="150" w:lineRule="exact"/>
        <w:rPr>
          <w:sz w:val="20"/>
          <w:szCs w:val="20"/>
          <w:color w:val="auto"/>
        </w:rPr>
      </w:pPr>
    </w:p>
    <w:p>
      <w:pPr>
        <w:ind w:left="620" w:right="1860" w:hanging="429"/>
        <w:spacing w:after="0" w:line="237" w:lineRule="auto"/>
        <w:tabs>
          <w:tab w:leader="none" w:pos="620" w:val="left"/>
        </w:tabs>
        <w:numPr>
          <w:ilvl w:val="0"/>
          <w:numId w:val="23"/>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CHECK BOX IF THE AGGREGATE AMOUNT IN ROW (9) EXCLUDES CERTAIN SHARES </w:t>
      </w:r>
      <w:r>
        <w:rPr>
          <w:rFonts w:ascii="Georgia" w:cs="Georgia" w:eastAsia="Georgia" w:hAnsi="Georgia"/>
          <w:sz w:val="18"/>
          <w:szCs w:val="18"/>
          <w:color w:val="auto"/>
        </w:rPr>
        <w:t>[ ]</w:t>
      </w:r>
    </w:p>
    <w:p>
      <w:pPr>
        <w:spacing w:after="0" w:line="150" w:lineRule="exact"/>
        <w:rPr>
          <w:sz w:val="20"/>
          <w:szCs w:val="20"/>
          <w:color w:val="auto"/>
        </w:rPr>
      </w:pPr>
    </w:p>
    <w:p>
      <w:pPr>
        <w:ind w:left="620" w:right="4180" w:hanging="413"/>
        <w:spacing w:after="0" w:line="237" w:lineRule="auto"/>
        <w:tabs>
          <w:tab w:leader="none" w:pos="620" w:val="left"/>
        </w:tabs>
        <w:numPr>
          <w:ilvl w:val="0"/>
          <w:numId w:val="24"/>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PERCENT OF CLASS REPRESENTED BY AMOUNT IN ROW (9) </w:t>
      </w:r>
      <w:r>
        <w:rPr>
          <w:rFonts w:ascii="Georgia" w:cs="Georgia" w:eastAsia="Georgia" w:hAnsi="Georgia"/>
          <w:sz w:val="18"/>
          <w:szCs w:val="18"/>
          <w:color w:val="auto"/>
        </w:rPr>
        <w:t>10.2%</w:t>
      </w:r>
    </w:p>
    <w:p>
      <w:pPr>
        <w:spacing w:after="0" w:line="150" w:lineRule="exact"/>
        <w:rPr>
          <w:sz w:val="20"/>
          <w:szCs w:val="20"/>
          <w:color w:val="auto"/>
        </w:rPr>
      </w:pPr>
    </w:p>
    <w:p>
      <w:pPr>
        <w:ind w:left="620" w:right="7100" w:hanging="424"/>
        <w:spacing w:after="0" w:line="237" w:lineRule="auto"/>
        <w:tabs>
          <w:tab w:leader="none" w:pos="620" w:val="left"/>
        </w:tabs>
        <w:numPr>
          <w:ilvl w:val="0"/>
          <w:numId w:val="25"/>
        </w:numPr>
        <w:rPr>
          <w:rFonts w:ascii="Georgia" w:cs="Georgia" w:eastAsia="Georgia" w:hAnsi="Georgia"/>
          <w:sz w:val="18"/>
          <w:szCs w:val="18"/>
          <w:color w:val="auto"/>
        </w:rPr>
      </w:pPr>
      <w:r>
        <w:rPr>
          <w:rFonts w:ascii="Georgia" w:cs="Georgia" w:eastAsia="Georgia" w:hAnsi="Georgia"/>
          <w:sz w:val="18"/>
          <w:szCs w:val="18"/>
          <w:b w:val="1"/>
          <w:bCs w:val="1"/>
          <w:color w:val="auto"/>
        </w:rPr>
        <w:t xml:space="preserve">TYPE OF REPORTING PERSON </w:t>
      </w:r>
      <w:r>
        <w:rPr>
          <w:rFonts w:ascii="Georgia" w:cs="Georgia" w:eastAsia="Georgia" w:hAnsi="Georgia"/>
          <w:sz w:val="18"/>
          <w:szCs w:val="18"/>
          <w:color w:val="auto"/>
        </w:rPr>
        <w:t>HC (Control Entity)</w:t>
      </w:r>
    </w:p>
    <w:p>
      <w:pPr>
        <w:sectPr>
          <w:pgSz w:w="11900" w:h="16838" w:orient="portrait"/>
          <w:cols w:equalWidth="0" w:num="1">
            <w:col w:w="10640"/>
          </w:cols>
          <w:pgMar w:left="320" w:top="958" w:right="939" w:bottom="1440" w:gutter="0" w:footer="0" w:header="0"/>
        </w:sectPr>
      </w:pPr>
    </w:p>
    <w:bookmarkStart w:id="4" w:name="page5"/>
    <w:bookmarkEnd w:id="4"/>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r>
    </w:p>
    <w:p>
      <w:pPr>
        <w:ind w:left="300"/>
        <w:spacing w:after="0"/>
        <w:rPr>
          <w:sz w:val="20"/>
          <w:szCs w:val="20"/>
          <w:color w:val="auto"/>
        </w:rPr>
      </w:pPr>
      <w:r>
        <w:rPr>
          <w:rFonts w:ascii="Georgia" w:cs="Georgia" w:eastAsia="Georgia" w:hAnsi="Georgia"/>
          <w:sz w:val="18"/>
          <w:szCs w:val="18"/>
          <w:b w:val="1"/>
          <w:bCs w:val="1"/>
          <w:color w:val="auto"/>
        </w:rPr>
        <w:t>CUSIP No.: 825704109</w:t>
      </w:r>
    </w:p>
    <w:p>
      <w:pPr>
        <w:spacing w:after="0" w:line="200" w:lineRule="exact"/>
        <w:rPr>
          <w:sz w:val="20"/>
          <w:szCs w:val="20"/>
          <w:color w:val="auto"/>
        </w:rPr>
      </w:pPr>
    </w:p>
    <w:p>
      <w:pPr>
        <w:spacing w:after="0" w:line="33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1(a).</w:t>
      </w:r>
      <w:r>
        <w:rPr>
          <w:sz w:val="20"/>
          <w:szCs w:val="20"/>
          <w:color w:val="auto"/>
        </w:rPr>
        <w:tab/>
      </w:r>
      <w:r>
        <w:rPr>
          <w:rFonts w:ascii="Georgia" w:cs="Georgia" w:eastAsia="Georgia" w:hAnsi="Georgia"/>
          <w:sz w:val="17"/>
          <w:szCs w:val="17"/>
          <w:b w:val="1"/>
          <w:bCs w:val="1"/>
          <w:color w:val="auto"/>
        </w:rPr>
        <w:t>NAME OF ISSUER: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SI-BONE, Inc.</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1(b).</w:t>
      </w:r>
      <w:r>
        <w:rPr>
          <w:sz w:val="20"/>
          <w:szCs w:val="20"/>
          <w:color w:val="auto"/>
        </w:rPr>
        <w:tab/>
      </w:r>
      <w:r>
        <w:rPr>
          <w:rFonts w:ascii="Georgia" w:cs="Georgia" w:eastAsia="Georgia" w:hAnsi="Georgia"/>
          <w:sz w:val="17"/>
          <w:szCs w:val="17"/>
          <w:b w:val="1"/>
          <w:bCs w:val="1"/>
          <w:color w:val="auto"/>
        </w:rPr>
        <w:t>ADDRESS OF ISSUER'S PRINCIPAL EXECUTIVE OFFICES:</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471 El Camino Real Suite 101 Santa Clara, CA 95050</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2(a).  NAME OF PERSON FILING:</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("BAI")</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("BIATC")</w:t>
      </w:r>
    </w:p>
    <w:p>
      <w:pPr>
        <w:ind w:left="1160"/>
        <w:spacing w:after="0"/>
        <w:rPr>
          <w:sz w:val="20"/>
          <w:szCs w:val="20"/>
          <w:color w:val="auto"/>
        </w:rPr>
      </w:pPr>
      <w:r>
        <w:rPr>
          <w:rFonts w:ascii="Georgia" w:cs="Georgia" w:eastAsia="Georgia" w:hAnsi="Georgia"/>
          <w:sz w:val="18"/>
          <w:szCs w:val="18"/>
          <w:color w:val="auto"/>
        </w:rPr>
        <w:t>Brown Advisory Incorporated ("BAI")</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2(b).  ADDRESS OF PRINCIPAL BUSINESS OFFICE OR, IF NONE, RESIDENCE:</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901 South Bond Street, Suite #400</w:t>
      </w:r>
    </w:p>
    <w:p>
      <w:pPr>
        <w:ind w:left="1160"/>
        <w:spacing w:after="0" w:line="238" w:lineRule="auto"/>
        <w:rPr>
          <w:sz w:val="20"/>
          <w:szCs w:val="20"/>
          <w:color w:val="auto"/>
        </w:rPr>
      </w:pPr>
      <w:r>
        <w:rPr>
          <w:rFonts w:ascii="Georgia" w:cs="Georgia" w:eastAsia="Georgia" w:hAnsi="Georgia"/>
          <w:sz w:val="18"/>
          <w:szCs w:val="18"/>
          <w:color w:val="auto"/>
        </w:rPr>
        <w:t>Baltimore, Maryland 21231</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2(c).  CITIZENSHIP:</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Brown Advisory Incorporated is a Maryland Corporation.</w:t>
      </w:r>
    </w:p>
    <w:p>
      <w:pPr>
        <w:ind w:left="1160"/>
        <w:spacing w:after="0" w:line="237" w:lineRule="auto"/>
        <w:rPr>
          <w:sz w:val="20"/>
          <w:szCs w:val="20"/>
          <w:color w:val="auto"/>
        </w:rPr>
      </w:pPr>
      <w:r>
        <w:rPr>
          <w:rFonts w:ascii="Georgia" w:cs="Georgia" w:eastAsia="Georgia" w:hAnsi="Georgia"/>
          <w:sz w:val="18"/>
          <w:szCs w:val="18"/>
          <w:color w:val="auto"/>
        </w:rPr>
        <w:t>Brown Investment Advisory &amp; Trust Company is a Maryland Trust Company.</w:t>
      </w:r>
    </w:p>
    <w:p>
      <w:pPr>
        <w:ind w:left="1160"/>
        <w:spacing w:after="0"/>
        <w:rPr>
          <w:sz w:val="20"/>
          <w:szCs w:val="20"/>
          <w:color w:val="auto"/>
        </w:rPr>
      </w:pPr>
      <w:r>
        <w:rPr>
          <w:rFonts w:ascii="Georgia" w:cs="Georgia" w:eastAsia="Georgia" w:hAnsi="Georgia"/>
          <w:sz w:val="18"/>
          <w:szCs w:val="18"/>
          <w:color w:val="auto"/>
        </w:rPr>
        <w:t>Brown Advisory Incorporated is a Maryland Corporation.</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2(d).  TITLE OF CLASS OF SECURITIES:</w:t>
      </w:r>
    </w:p>
    <w:p>
      <w:pPr>
        <w:spacing w:after="0" w:line="322"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ITEM 2(e).  CUSIP NUMBER:</w:t>
      </w:r>
    </w:p>
    <w:p>
      <w:pPr>
        <w:spacing w:after="0" w:line="92"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825704109</w:t>
      </w:r>
    </w:p>
    <w:p>
      <w:pPr>
        <w:spacing w:after="0" w:line="229" w:lineRule="exact"/>
        <w:rPr>
          <w:sz w:val="20"/>
          <w:szCs w:val="20"/>
          <w:color w:val="auto"/>
        </w:rPr>
      </w:pPr>
    </w:p>
    <w:p>
      <w:pPr>
        <w:ind w:left="1160" w:right="380" w:hanging="1160"/>
        <w:spacing w:after="0" w:line="237" w:lineRule="auto"/>
        <w:tabs>
          <w:tab w:leader="none" w:pos="1140" w:val="left"/>
        </w:tabs>
        <w:rPr>
          <w:sz w:val="20"/>
          <w:szCs w:val="20"/>
          <w:color w:val="auto"/>
        </w:rPr>
      </w:pPr>
      <w:r>
        <w:rPr>
          <w:rFonts w:ascii="Georgia" w:cs="Georgia" w:eastAsia="Georgia" w:hAnsi="Georgia"/>
          <w:sz w:val="18"/>
          <w:szCs w:val="18"/>
          <w:b w:val="1"/>
          <w:bCs w:val="1"/>
          <w:color w:val="auto"/>
        </w:rPr>
        <w:t>ITEM 3.</w:t>
      </w:r>
      <w:r>
        <w:rPr>
          <w:sz w:val="20"/>
          <w:szCs w:val="20"/>
          <w:color w:val="auto"/>
        </w:rPr>
        <w:tab/>
      </w:r>
      <w:r>
        <w:rPr>
          <w:rFonts w:ascii="Georgia" w:cs="Georgia" w:eastAsia="Georgia" w:hAnsi="Georgia"/>
          <w:sz w:val="18"/>
          <w:szCs w:val="18"/>
          <w:b w:val="1"/>
          <w:bCs w:val="1"/>
          <w:color w:val="auto"/>
        </w:rPr>
        <w:t>IF THIS STATEMENT IS FILED PURSUANT TO SECTION 240.13d-1(b), or 13d-2(b) or (c) CHECK WHETHER THE PERSON FILING IS A:</w:t>
      </w:r>
    </w:p>
    <w:p>
      <w:pPr>
        <w:spacing w:after="0" w:line="135" w:lineRule="exact"/>
        <w:rPr>
          <w:sz w:val="20"/>
          <w:szCs w:val="20"/>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]Broker or dealer registered under Section 15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Bank as defined in Section 3(a)(6) of the Act (15 U.S.C. 78c);</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Insurance company as defined in Section 3(a)(19) of the Act (15 U.S.C. 78c);</w:t>
      </w:r>
    </w:p>
    <w:p>
      <w:pPr>
        <w:spacing w:after="0" w:line="134" w:lineRule="exact"/>
        <w:rPr>
          <w:rFonts w:ascii="Georgia" w:cs="Georgia" w:eastAsia="Georgia" w:hAnsi="Georgia"/>
          <w:sz w:val="18"/>
          <w:szCs w:val="18"/>
          <w:color w:val="auto"/>
        </w:rPr>
      </w:pPr>
    </w:p>
    <w:p>
      <w:pPr>
        <w:ind w:left="2320" w:right="36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]Investment company registered under Section 8 of the Investment Company Act of 1940 (15 U.S.C 80a-8);</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w:t>
      </w:r>
      <w:r>
        <w:rPr>
          <w:rFonts w:ascii="Georgia" w:cs="Georgia" w:eastAsia="Georgia" w:hAnsi="Georgia"/>
          <w:sz w:val="17"/>
          <w:szCs w:val="17"/>
          <w:color w:val="auto"/>
        </w:rPr>
        <w:t>An investment adviser in accordance with 240.13d-1(b)(1)(ii)(E);</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An employee benefit plan or endowment fund in accordance with 240.13d-1(b)(1)(ii)(F);</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[X]A parent holding company or control person in accordance with 240.13d-1(b)(1)(ii)(G);</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savings associations as defined in Section 3(b) of the Federal Deposit Insurance Act (12 U.S.C. 1813);</w:t>
      </w:r>
    </w:p>
    <w:p>
      <w:pPr>
        <w:spacing w:after="0" w:line="134" w:lineRule="exact"/>
        <w:rPr>
          <w:rFonts w:ascii="Georgia" w:cs="Georgia" w:eastAsia="Georgia" w:hAnsi="Georgia"/>
          <w:sz w:val="18"/>
          <w:szCs w:val="18"/>
          <w:color w:val="auto"/>
        </w:rPr>
      </w:pPr>
    </w:p>
    <w:p>
      <w:pPr>
        <w:ind w:left="2320" w:right="40" w:hanging="1162"/>
        <w:spacing w:after="0" w:line="237" w:lineRule="auto"/>
        <w:tabs>
          <w:tab w:leader="none" w:pos="1607"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]A church plan that is excluded from the definition of an investment company under Section 3(c)(14) of the Investment Company Act of 1940 (15 U.S.C. 80a-3);</w:t>
      </w:r>
    </w:p>
    <w:p>
      <w:pPr>
        <w:spacing w:after="0" w:line="134"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A non-U.S. institution in accordance with 240.13d-1(b)(1)(ii)(J);</w:t>
      </w:r>
    </w:p>
    <w:p>
      <w:pPr>
        <w:spacing w:after="0" w:line="132" w:lineRule="exact"/>
        <w:rPr>
          <w:rFonts w:ascii="Georgia" w:cs="Georgia" w:eastAsia="Georgia" w:hAnsi="Georgia"/>
          <w:sz w:val="18"/>
          <w:szCs w:val="18"/>
          <w:color w:val="auto"/>
        </w:rPr>
      </w:pPr>
    </w:p>
    <w:p>
      <w:pPr>
        <w:ind w:left="1600" w:hanging="442"/>
        <w:spacing w:after="0"/>
        <w:tabs>
          <w:tab w:leader="none" w:pos="1600" w:val="left"/>
        </w:tabs>
        <w:numPr>
          <w:ilvl w:val="0"/>
          <w:numId w:val="26"/>
        </w:numPr>
        <w:rPr>
          <w:rFonts w:ascii="Georgia" w:cs="Georgia" w:eastAsia="Georgia" w:hAnsi="Georgia"/>
          <w:sz w:val="18"/>
          <w:szCs w:val="18"/>
          <w:color w:val="auto"/>
        </w:rPr>
      </w:pPr>
      <w:r>
        <w:rPr>
          <w:rFonts w:ascii="Georgia" w:cs="Georgia" w:eastAsia="Georgia" w:hAnsi="Georgia"/>
          <w:sz w:val="18"/>
          <w:szCs w:val="18"/>
          <w:color w:val="auto"/>
        </w:rPr>
        <w:t>[ ]</w:t>
      </w:r>
      <w:r>
        <w:rPr>
          <w:rFonts w:ascii="Georgia" w:cs="Georgia" w:eastAsia="Georgia" w:hAnsi="Georgia"/>
          <w:sz w:val="17"/>
          <w:szCs w:val="17"/>
          <w:color w:val="auto"/>
        </w:rPr>
        <w:t>Group, in accordance with 240.13d-1(b)(1)(ii)(K). If filing as a non-U.S. institution in accordance with</w:t>
      </w:r>
    </w:p>
    <w:p>
      <w:pPr>
        <w:ind w:left="2320"/>
        <w:spacing w:after="0" w:line="238" w:lineRule="auto"/>
        <w:rPr>
          <w:rFonts w:ascii="Georgia" w:cs="Georgia" w:eastAsia="Georgia" w:hAnsi="Georgia"/>
          <w:sz w:val="18"/>
          <w:szCs w:val="18"/>
          <w:color w:val="auto"/>
        </w:rPr>
      </w:pPr>
      <w:r>
        <w:rPr>
          <w:rFonts w:ascii="Georgia" w:cs="Georgia" w:eastAsia="Georgia" w:hAnsi="Georgia"/>
          <w:sz w:val="18"/>
          <w:szCs w:val="18"/>
          <w:color w:val="auto"/>
        </w:rPr>
        <w:t>240.13d1(b)(1)(ii)(J), please specify the type of institution:</w:t>
      </w:r>
    </w:p>
    <w:p>
      <w:pPr>
        <w:spacing w:after="0" w:line="135" w:lineRule="exact"/>
        <w:rPr>
          <w:sz w:val="20"/>
          <w:szCs w:val="20"/>
          <w:color w:val="auto"/>
        </w:rPr>
      </w:pPr>
    </w:p>
    <w:p>
      <w:pPr>
        <w:ind w:left="1160"/>
        <w:spacing w:after="0"/>
        <w:rPr>
          <w:sz w:val="20"/>
          <w:szCs w:val="20"/>
          <w:color w:val="auto"/>
        </w:rPr>
      </w:pPr>
      <w:r>
        <w:rPr>
          <w:rFonts w:ascii="Georgia" w:cs="Georgia" w:eastAsia="Georgia" w:hAnsi="Georgia"/>
          <w:sz w:val="17"/>
          <w:szCs w:val="17"/>
          <w:color w:val="auto"/>
        </w:rPr>
        <w:t>Brown Advisory Incorporated ("BAI") is a parent holding company or control person in accordance with 240.13d-1(b)</w:t>
      </w:r>
    </w:p>
    <w:p>
      <w:pPr>
        <w:spacing w:after="0" w:line="7"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(1)(ii)(G)</w:t>
      </w:r>
    </w:p>
    <w:p>
      <w:pPr>
        <w:ind w:left="1160" w:right="920"/>
        <w:spacing w:after="0" w:line="237" w:lineRule="auto"/>
        <w:rPr>
          <w:sz w:val="20"/>
          <w:szCs w:val="20"/>
          <w:color w:val="auto"/>
        </w:rPr>
      </w:pPr>
      <w:r>
        <w:rPr>
          <w:rFonts w:ascii="Georgia" w:cs="Georgia" w:eastAsia="Georgia" w:hAnsi="Georgia"/>
          <w:sz w:val="18"/>
          <w:szCs w:val="18"/>
          <w:color w:val="auto"/>
        </w:rPr>
        <w:t>Brown Investment Advisory &amp; Trust Company ("BIATC") is a bank as defined in Section 3(a)(6) of the Act (15U.S.C.78c)</w:t>
      </w:r>
    </w:p>
    <w:p>
      <w:pPr>
        <w:ind w:left="1160"/>
        <w:spacing w:after="0"/>
        <w:rPr>
          <w:sz w:val="20"/>
          <w:szCs w:val="20"/>
          <w:color w:val="auto"/>
        </w:rPr>
      </w:pPr>
      <w:r>
        <w:rPr>
          <w:rFonts w:ascii="Georgia" w:cs="Georgia" w:eastAsia="Georgia" w:hAnsi="Georgia"/>
          <w:sz w:val="18"/>
          <w:szCs w:val="18"/>
          <w:color w:val="auto"/>
        </w:rPr>
        <w:t>Brown Advisory LLC ("BALLC") is an investment adviser in accordance with 240.13d-1(b)(1)(ii)(E)</w:t>
      </w:r>
    </w:p>
    <w:p>
      <w:pPr>
        <w:spacing w:after="0" w:line="308"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4.</w:t>
      </w:r>
      <w:r>
        <w:rPr>
          <w:sz w:val="20"/>
          <w:szCs w:val="20"/>
          <w:color w:val="auto"/>
        </w:rPr>
        <w:tab/>
      </w:r>
      <w:r>
        <w:rPr>
          <w:rFonts w:ascii="Georgia" w:cs="Georgia" w:eastAsia="Georgia" w:hAnsi="Georgia"/>
          <w:sz w:val="17"/>
          <w:szCs w:val="17"/>
          <w:b w:val="1"/>
          <w:bCs w:val="1"/>
          <w:color w:val="auto"/>
        </w:rPr>
        <w:t>OWNERSHIP</w:t>
      </w:r>
    </w:p>
    <w:p>
      <w:pPr>
        <w:spacing w:after="0" w:line="268"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(a) Amount beneficially owned:</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3,695,421</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(b) Percent of class:</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color w:val="auto"/>
        </w:rPr>
        <w:t>10.9%</w:t>
      </w:r>
    </w:p>
    <w:p>
      <w:pPr>
        <w:spacing w:after="0" w:line="133" w:lineRule="exact"/>
        <w:rPr>
          <w:sz w:val="20"/>
          <w:szCs w:val="20"/>
          <w:color w:val="auto"/>
        </w:rPr>
      </w:pPr>
    </w:p>
    <w:p>
      <w:pPr>
        <w:ind w:left="1160"/>
        <w:spacing w:after="0"/>
        <w:rPr>
          <w:sz w:val="20"/>
          <w:szCs w:val="20"/>
          <w:color w:val="auto"/>
        </w:rPr>
      </w:pPr>
      <w:r>
        <w:rPr>
          <w:rFonts w:ascii="Georgia" w:cs="Georgia" w:eastAsia="Georgia" w:hAnsi="Georgia"/>
          <w:sz w:val="18"/>
          <w:szCs w:val="18"/>
          <w:b w:val="1"/>
          <w:bCs w:val="1"/>
          <w:color w:val="auto"/>
        </w:rPr>
        <w:t>(c) Number of shares as to which the person has:</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 sole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- 3,591,084</w:t>
      </w:r>
    </w:p>
    <w:p>
      <w:pPr>
        <w:ind w:left="1460"/>
        <w:spacing w:after="0" w:line="238" w:lineRule="auto"/>
        <w:rPr>
          <w:sz w:val="20"/>
          <w:szCs w:val="20"/>
          <w:color w:val="auto"/>
        </w:rPr>
      </w:pPr>
      <w:r>
        <w:rPr>
          <w:rFonts w:ascii="Georgia" w:cs="Georgia" w:eastAsia="Georgia" w:hAnsi="Georgia"/>
          <w:sz w:val="18"/>
          <w:szCs w:val="18"/>
          <w:color w:val="auto"/>
        </w:rPr>
        <w:t>Brown Investment Advisory &amp; Trust Company ("BIATC") - 20,718</w:t>
      </w:r>
    </w:p>
    <w:p>
      <w:pPr>
        <w:sectPr>
          <w:pgSz w:w="11900" w:h="16902" w:orient="portrait"/>
          <w:cols w:equalWidth="0" w:num="1">
            <w:col w:w="10460"/>
          </w:cols>
          <w:pgMar w:left="400" w:top="958" w:right="1039" w:bottom="0" w:gutter="0" w:footer="0" w:header="0"/>
        </w:sectPr>
      </w:pPr>
    </w:p>
    <w:bookmarkStart w:id="5" w:name="page6"/>
    <w:bookmarkEnd w:id="5"/>
    <w:p>
      <w:pPr>
        <w:ind w:left="1460"/>
        <w:spacing w:after="0"/>
        <w:rPr>
          <w:sz w:val="20"/>
          <w:szCs w:val="20"/>
          <w:color w:val="auto"/>
        </w:rPr>
      </w:pPr>
      <w:r>
        <w:rPr>
          <w:rFonts w:ascii="Georgia" w:cs="Georgia" w:eastAsia="Georgia" w:hAnsi="Georgia"/>
          <w:sz w:val="18"/>
          <w:szCs w:val="18"/>
          <w:color w:val="auto"/>
        </w:rPr>
        <w:t>Brown Advisory Incorporated ("BAI") - 3,570,366</w:t>
      </w:r>
    </w:p>
    <w:p>
      <w:pPr>
        <w:spacing w:after="0" w:line="133"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 shared power to vote or to direct the vote:</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- 0</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- 0</w:t>
      </w:r>
    </w:p>
    <w:p>
      <w:pPr>
        <w:ind w:left="1460"/>
        <w:spacing w:after="0"/>
        <w:rPr>
          <w:sz w:val="20"/>
          <w:szCs w:val="20"/>
          <w:color w:val="auto"/>
        </w:rPr>
      </w:pPr>
      <w:r>
        <w:rPr>
          <w:rFonts w:ascii="Georgia" w:cs="Georgia" w:eastAsia="Georgia" w:hAnsi="Georgia"/>
          <w:sz w:val="18"/>
          <w:szCs w:val="18"/>
          <w:color w:val="auto"/>
        </w:rPr>
        <w:t>Brown Advisory Incorporated ("BAI")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(iii) sole power to dispose or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- 0</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- 0</w:t>
      </w:r>
    </w:p>
    <w:p>
      <w:pPr>
        <w:ind w:left="1460"/>
        <w:spacing w:after="0"/>
        <w:rPr>
          <w:sz w:val="20"/>
          <w:szCs w:val="20"/>
          <w:color w:val="auto"/>
        </w:rPr>
      </w:pPr>
      <w:r>
        <w:rPr>
          <w:rFonts w:ascii="Georgia" w:cs="Georgia" w:eastAsia="Georgia" w:hAnsi="Georgia"/>
          <w:sz w:val="18"/>
          <w:szCs w:val="18"/>
          <w:color w:val="auto"/>
        </w:rPr>
        <w:t>Brown Advisory Incorporated ("BAI") - 0</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(iv) shared power to dispose or to direct the disposition of:</w:t>
      </w:r>
    </w:p>
    <w:p>
      <w:pPr>
        <w:spacing w:after="0" w:line="132" w:lineRule="exact"/>
        <w:rPr>
          <w:sz w:val="20"/>
          <w:szCs w:val="20"/>
          <w:color w:val="auto"/>
        </w:rPr>
      </w:pPr>
    </w:p>
    <w:p>
      <w:pPr>
        <w:ind w:left="1460"/>
        <w:spacing w:after="0"/>
        <w:rPr>
          <w:sz w:val="20"/>
          <w:szCs w:val="20"/>
          <w:color w:val="auto"/>
        </w:rPr>
      </w:pPr>
      <w:r>
        <w:rPr>
          <w:rFonts w:ascii="Georgia" w:cs="Georgia" w:eastAsia="Georgia" w:hAnsi="Georgia"/>
          <w:sz w:val="18"/>
          <w:szCs w:val="18"/>
          <w:color w:val="auto"/>
        </w:rPr>
        <w:t>Brown Advisory Incorporated ("BAI") - 4,155,434</w:t>
      </w:r>
    </w:p>
    <w:p>
      <w:pPr>
        <w:ind w:left="1460"/>
        <w:spacing w:after="0" w:line="237" w:lineRule="auto"/>
        <w:rPr>
          <w:sz w:val="20"/>
          <w:szCs w:val="20"/>
          <w:color w:val="auto"/>
        </w:rPr>
      </w:pPr>
      <w:r>
        <w:rPr>
          <w:rFonts w:ascii="Georgia" w:cs="Georgia" w:eastAsia="Georgia" w:hAnsi="Georgia"/>
          <w:sz w:val="18"/>
          <w:szCs w:val="18"/>
          <w:color w:val="auto"/>
        </w:rPr>
        <w:t>Brown Investment Advisory &amp; Trust Company ("BIATC") - 20,718</w:t>
      </w:r>
    </w:p>
    <w:p>
      <w:pPr>
        <w:ind w:left="1460"/>
        <w:spacing w:after="0"/>
        <w:rPr>
          <w:sz w:val="20"/>
          <w:szCs w:val="20"/>
          <w:color w:val="auto"/>
        </w:rPr>
      </w:pPr>
      <w:r>
        <w:rPr>
          <w:rFonts w:ascii="Georgia" w:cs="Georgia" w:eastAsia="Georgia" w:hAnsi="Georgia"/>
          <w:sz w:val="18"/>
          <w:szCs w:val="18"/>
          <w:color w:val="auto"/>
        </w:rPr>
        <w:t>Brown Advisory Incorporated ("BAI") - 4,134,716</w:t>
      </w:r>
    </w:p>
    <w:p>
      <w:pPr>
        <w:spacing w:after="0" w:line="13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5.</w:t>
      </w:r>
      <w:r>
        <w:rPr>
          <w:sz w:val="20"/>
          <w:szCs w:val="20"/>
          <w:color w:val="auto"/>
        </w:rPr>
        <w:tab/>
      </w:r>
      <w:r>
        <w:rPr>
          <w:rFonts w:ascii="Georgia" w:cs="Georgia" w:eastAsia="Georgia" w:hAnsi="Georgia"/>
          <w:sz w:val="17"/>
          <w:szCs w:val="17"/>
          <w:b w:val="1"/>
          <w:bCs w:val="1"/>
          <w:color w:val="auto"/>
        </w:rPr>
        <w:t>OWNERSHIP OF FIVE PERCENT OR LESS OF A CLASS:</w:t>
      </w:r>
    </w:p>
    <w:p>
      <w:pPr>
        <w:spacing w:after="0" w:line="94" w:lineRule="exact"/>
        <w:rPr>
          <w:sz w:val="20"/>
          <w:szCs w:val="20"/>
          <w:color w:val="auto"/>
        </w:rPr>
      </w:pPr>
    </w:p>
    <w:p>
      <w:pPr>
        <w:ind w:left="1160" w:right="180"/>
        <w:spacing w:after="0" w:line="237" w:lineRule="auto"/>
        <w:rPr>
          <w:sz w:val="20"/>
          <w:szCs w:val="20"/>
          <w:color w:val="auto"/>
        </w:rPr>
      </w:pPr>
      <w:r>
        <w:rPr>
          <w:rFonts w:ascii="Georgia" w:cs="Georgia" w:eastAsia="Georgia" w:hAnsi="Georgia"/>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29"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6.</w:t>
      </w:r>
      <w:r>
        <w:rPr>
          <w:sz w:val="20"/>
          <w:szCs w:val="20"/>
          <w:color w:val="auto"/>
        </w:rPr>
        <w:tab/>
      </w:r>
      <w:r>
        <w:rPr>
          <w:rFonts w:ascii="Georgia" w:cs="Georgia" w:eastAsia="Georgia" w:hAnsi="Georgia"/>
          <w:sz w:val="17"/>
          <w:szCs w:val="17"/>
          <w:b w:val="1"/>
          <w:bCs w:val="1"/>
          <w:color w:val="auto"/>
        </w:rPr>
        <w:t>OWNERSHIP OF MORE THAN FIVE PERCENT ON BEHALF OF ANOTHER PERSON:</w:t>
      </w:r>
    </w:p>
    <w:p>
      <w:pPr>
        <w:spacing w:after="0" w:line="94" w:lineRule="exact"/>
        <w:rPr>
          <w:sz w:val="20"/>
          <w:szCs w:val="20"/>
          <w:color w:val="auto"/>
        </w:rPr>
      </w:pPr>
    </w:p>
    <w:p>
      <w:pPr>
        <w:ind w:left="1160" w:right="100"/>
        <w:spacing w:after="0" w:line="237" w:lineRule="auto"/>
        <w:rPr>
          <w:sz w:val="20"/>
          <w:szCs w:val="20"/>
          <w:color w:val="auto"/>
        </w:rPr>
      </w:pPr>
      <w:r>
        <w:rPr>
          <w:rFonts w:ascii="Georgia" w:cs="Georgia" w:eastAsia="Georgia" w:hAnsi="Georgia"/>
          <w:sz w:val="18"/>
          <w:szCs w:val="18"/>
          <w:color w:val="auto"/>
        </w:rPr>
        <w:t>The total securities being reported are beneficially owned by investment companies and other managed accounts of direct/indirect subsidiaries of BAI (listed above). These subsidiaries may be deemed to be beneficial owners of the reported securities because applicable investment advisory contracts provide voting and/or investment power over securities.</w:t>
      </w:r>
    </w:p>
    <w:p>
      <w:pPr>
        <w:spacing w:after="0" w:line="230"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7.</w:t>
      </w:r>
      <w:r>
        <w:rPr>
          <w:sz w:val="20"/>
          <w:szCs w:val="20"/>
          <w:color w:val="auto"/>
        </w:rPr>
        <w:tab/>
      </w:r>
      <w:r>
        <w:rPr>
          <w:rFonts w:ascii="Georgia" w:cs="Georgia" w:eastAsia="Georgia" w:hAnsi="Georgia"/>
          <w:sz w:val="17"/>
          <w:szCs w:val="17"/>
          <w:b w:val="1"/>
          <w:bCs w:val="1"/>
          <w:color w:val="auto"/>
        </w:rPr>
        <w:t>IDENTIFICATION AND CLASSIFICATION OF THE SUBSIDIARY WHICH ACQUIRED THE</w:t>
      </w:r>
    </w:p>
    <w:p>
      <w:pPr>
        <w:ind w:left="1160"/>
        <w:spacing w:after="0" w:line="238" w:lineRule="auto"/>
        <w:rPr>
          <w:sz w:val="20"/>
          <w:szCs w:val="20"/>
          <w:color w:val="auto"/>
        </w:rPr>
      </w:pPr>
      <w:r>
        <w:rPr>
          <w:rFonts w:ascii="Georgia" w:cs="Georgia" w:eastAsia="Georgia" w:hAnsi="Georgia"/>
          <w:sz w:val="18"/>
          <w:szCs w:val="18"/>
          <w:b w:val="1"/>
          <w:bCs w:val="1"/>
          <w:color w:val="auto"/>
        </w:rPr>
        <w:t>SECURITY BEING REPORTED ON BY THE PARENT HOLDING COMPANY:</w:t>
      </w:r>
    </w:p>
    <w:p>
      <w:pPr>
        <w:spacing w:after="0" w:line="94" w:lineRule="exact"/>
        <w:rPr>
          <w:sz w:val="20"/>
          <w:szCs w:val="20"/>
          <w:color w:val="auto"/>
        </w:rPr>
      </w:pPr>
    </w:p>
    <w:p>
      <w:pPr>
        <w:ind w:left="1160" w:right="480"/>
        <w:spacing w:after="0" w:line="237" w:lineRule="auto"/>
        <w:rPr>
          <w:sz w:val="20"/>
          <w:szCs w:val="20"/>
          <w:color w:val="auto"/>
        </w:rPr>
      </w:pPr>
      <w:r>
        <w:rPr>
          <w:rFonts w:ascii="Georgia" w:cs="Georgia" w:eastAsia="Georgia" w:hAnsi="Georgia"/>
          <w:sz w:val="18"/>
          <w:szCs w:val="18"/>
          <w:color w:val="auto"/>
        </w:rPr>
        <w:t>Brown Advisory Incorporated (BAI) is a parent holding company filing this schedule on behalf of the following subsidiaries pursuant to Rule 13d-1(b)(1)(ii)(G) under the Securities Exchange Act of 1934: Brown Investment Advisory &amp; Trust Company (BIATC) BK (Bank)</w:t>
      </w:r>
    </w:p>
    <w:p>
      <w:pPr>
        <w:ind w:left="1160"/>
        <w:spacing w:after="0"/>
        <w:rPr>
          <w:sz w:val="20"/>
          <w:szCs w:val="20"/>
          <w:color w:val="auto"/>
        </w:rPr>
      </w:pPr>
      <w:r>
        <w:rPr>
          <w:rFonts w:ascii="Georgia" w:cs="Georgia" w:eastAsia="Georgia" w:hAnsi="Georgia"/>
          <w:sz w:val="18"/>
          <w:szCs w:val="18"/>
          <w:color w:val="auto"/>
        </w:rPr>
        <w:t>Brown Advisory LLC (BALLC) IA (Investment Adviser)</w:t>
      </w:r>
    </w:p>
    <w:p>
      <w:pPr>
        <w:spacing w:after="0" w:line="227"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8.</w:t>
      </w:r>
      <w:r>
        <w:rPr>
          <w:sz w:val="20"/>
          <w:szCs w:val="20"/>
          <w:color w:val="auto"/>
        </w:rPr>
        <w:tab/>
      </w:r>
      <w:r>
        <w:rPr>
          <w:rFonts w:ascii="Georgia" w:cs="Georgia" w:eastAsia="Georgia" w:hAnsi="Georgia"/>
          <w:sz w:val="17"/>
          <w:szCs w:val="17"/>
          <w:b w:val="1"/>
          <w:bCs w:val="1"/>
          <w:color w:val="auto"/>
        </w:rPr>
        <w:t>IDENTIFICATION AND CLASSIFICATION OF MEMBERS OF THE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9.</w:t>
      </w:r>
      <w:r>
        <w:rPr>
          <w:sz w:val="20"/>
          <w:szCs w:val="20"/>
          <w:color w:val="auto"/>
        </w:rPr>
        <w:tab/>
      </w:r>
      <w:r>
        <w:rPr>
          <w:rFonts w:ascii="Georgia" w:cs="Georgia" w:eastAsia="Georgia" w:hAnsi="Georgia"/>
          <w:sz w:val="17"/>
          <w:szCs w:val="17"/>
          <w:b w:val="1"/>
          <w:bCs w:val="1"/>
          <w:color w:val="auto"/>
        </w:rPr>
        <w:t>NOTICE OF DISSOLUTION OF GROUP:</w:t>
      </w:r>
    </w:p>
    <w:p>
      <w:pPr>
        <w:spacing w:after="0" w:line="322" w:lineRule="exact"/>
        <w:rPr>
          <w:sz w:val="20"/>
          <w:szCs w:val="20"/>
          <w:color w:val="auto"/>
        </w:rPr>
      </w:pPr>
    </w:p>
    <w:p>
      <w:pPr>
        <w:spacing w:after="0"/>
        <w:tabs>
          <w:tab w:leader="none" w:pos="1140" w:val="left"/>
        </w:tabs>
        <w:rPr>
          <w:sz w:val="20"/>
          <w:szCs w:val="20"/>
          <w:color w:val="auto"/>
        </w:rPr>
      </w:pPr>
      <w:r>
        <w:rPr>
          <w:rFonts w:ascii="Georgia" w:cs="Georgia" w:eastAsia="Georgia" w:hAnsi="Georgia"/>
          <w:sz w:val="18"/>
          <w:szCs w:val="18"/>
          <w:b w:val="1"/>
          <w:bCs w:val="1"/>
          <w:color w:val="auto"/>
        </w:rPr>
        <w:t>ITEM 10.</w:t>
        <w:tab/>
        <w:t>CERTIFICATION:</w:t>
      </w:r>
    </w:p>
    <w:p>
      <w:pPr>
        <w:spacing w:after="0" w:line="94" w:lineRule="exact"/>
        <w:rPr>
          <w:sz w:val="20"/>
          <w:szCs w:val="20"/>
          <w:color w:val="auto"/>
        </w:rPr>
      </w:pPr>
    </w:p>
    <w:p>
      <w:pPr>
        <w:jc w:val="both"/>
        <w:ind w:left="1160"/>
        <w:spacing w:after="0" w:line="237" w:lineRule="auto"/>
        <w:rPr>
          <w:sz w:val="20"/>
          <w:szCs w:val="20"/>
          <w:color w:val="auto"/>
        </w:rPr>
      </w:pPr>
      <w:r>
        <w:rPr>
          <w:rFonts w:ascii="Georgia" w:cs="Georgia" w:eastAsia="Georgia" w:hAnsi="Georgia"/>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380"/>
          </w:cols>
          <w:pgMar w:left="400" w:top="135" w:right="1119" w:bottom="1440" w:gutter="0" w:footer="0" w:header="0"/>
        </w:sectPr>
      </w:pPr>
    </w:p>
    <w:bookmarkStart w:id="6" w:name="page7"/>
    <w:bookmarkEnd w:id="6"/>
    <w:p>
      <w:pPr>
        <w:ind w:left="380"/>
        <w:spacing w:after="0"/>
        <w:rPr>
          <w:sz w:val="20"/>
          <w:szCs w:val="20"/>
          <w:color w:val="auto"/>
        </w:rPr>
      </w:pPr>
      <w:r>
        <w:rPr>
          <w:rFonts w:ascii="Georgia" w:cs="Georgia" w:eastAsia="Georgia" w:hAnsi="Georgia"/>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825704109</w:t>
      </w: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Georgia" w:cs="Georgia" w:eastAsia="Georgia" w:hAnsi="Georgia"/>
          <w:sz w:val="22"/>
          <w:szCs w:val="22"/>
          <w:b w:val="1"/>
          <w:bCs w:val="1"/>
          <w:color w:val="auto"/>
        </w:rPr>
        <w:t>SIGNATURE</w:t>
      </w:r>
    </w:p>
    <w:p>
      <w:pPr>
        <w:spacing w:after="0" w:line="376" w:lineRule="exact"/>
        <w:rPr>
          <w:sz w:val="20"/>
          <w:szCs w:val="20"/>
          <w:color w:val="auto"/>
        </w:rPr>
      </w:pPr>
    </w:p>
    <w:p>
      <w:pPr>
        <w:ind w:left="460"/>
        <w:spacing w:after="0"/>
        <w:rPr>
          <w:sz w:val="20"/>
          <w:szCs w:val="20"/>
          <w:color w:val="auto"/>
        </w:rPr>
      </w:pPr>
      <w:r>
        <w:rPr>
          <w:rFonts w:ascii="Georgia" w:cs="Georgia" w:eastAsia="Georgia" w:hAnsi="Georgia"/>
          <w:sz w:val="14"/>
          <w:szCs w:val="14"/>
          <w:color w:val="auto"/>
        </w:rPr>
        <w:t>After reasonable inquiry and to the best of my knowledge and belief, I certify that the information set forth in this statement is true, complete and correct.</w:t>
      </w:r>
    </w:p>
    <w:p>
      <w:pPr>
        <w:spacing w:after="0" w:line="283" w:lineRule="exact"/>
        <w:rPr>
          <w:sz w:val="20"/>
          <w:szCs w:val="20"/>
          <w:color w:val="auto"/>
        </w:rPr>
      </w:pPr>
    </w:p>
    <w:p>
      <w:pPr>
        <w:ind w:left="3200"/>
        <w:spacing w:after="0"/>
        <w:rPr>
          <w:sz w:val="20"/>
          <w:szCs w:val="20"/>
          <w:color w:val="auto"/>
        </w:rPr>
      </w:pPr>
      <w:r>
        <w:rPr>
          <w:rFonts w:ascii="Georgia" w:cs="Georgia" w:eastAsia="Georgia" w:hAnsi="Georgia"/>
          <w:sz w:val="16"/>
          <w:szCs w:val="16"/>
          <w:color w:val="auto"/>
        </w:rPr>
        <w:t>Brown Advisory Incorporated ("BAI")</w:t>
      </w:r>
    </w:p>
    <w:p>
      <w:pPr>
        <w:spacing w:after="0" w:line="88" w:lineRule="exact"/>
        <w:rPr>
          <w:sz w:val="20"/>
          <w:szCs w:val="20"/>
          <w:color w:val="auto"/>
        </w:rPr>
      </w:pPr>
    </w:p>
    <w:p>
      <w:pPr>
        <w:ind w:left="3200"/>
        <w:spacing w:after="0"/>
        <w:tabs>
          <w:tab w:leader="none" w:pos="3840" w:val="left"/>
        </w:tabs>
        <w:rPr>
          <w:sz w:val="20"/>
          <w:szCs w:val="20"/>
          <w:color w:val="auto"/>
        </w:rPr>
      </w:pPr>
      <w:r>
        <w:rPr>
          <w:rFonts w:ascii="Georgia" w:cs="Georgia" w:eastAsia="Georgia" w:hAnsi="Georgia"/>
          <w:sz w:val="16"/>
          <w:szCs w:val="16"/>
          <w:color w:val="auto"/>
        </w:rPr>
        <w:t>By:</w:t>
      </w:r>
      <w:r>
        <w:rPr>
          <w:sz w:val="20"/>
          <w:szCs w:val="20"/>
          <w:color w:val="auto"/>
        </w:rPr>
        <w:tab/>
      </w:r>
      <w:r>
        <w:rPr>
          <w:rFonts w:ascii="Georgia" w:cs="Georgia" w:eastAsia="Georgia" w:hAnsi="Georgia"/>
          <w:sz w:val="16"/>
          <w:szCs w:val="16"/>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4445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95" w:lineRule="exact"/>
        <w:rPr>
          <w:sz w:val="20"/>
          <w:szCs w:val="20"/>
          <w:color w:val="auto"/>
        </w:rPr>
      </w:pPr>
    </w:p>
    <w:p>
      <w:pPr>
        <w:ind w:left="3200"/>
        <w:spacing w:after="0"/>
        <w:tabs>
          <w:tab w:leader="none" w:pos="3840" w:val="left"/>
        </w:tabs>
        <w:rPr>
          <w:sz w:val="20"/>
          <w:szCs w:val="20"/>
          <w:color w:val="auto"/>
        </w:rPr>
      </w:pPr>
      <w:r>
        <w:rPr>
          <w:rFonts w:ascii="Georgia" w:cs="Georgia" w:eastAsia="Georgia" w:hAnsi="Georgia"/>
          <w:sz w:val="16"/>
          <w:szCs w:val="16"/>
          <w:color w:val="auto"/>
        </w:rPr>
        <w:t>Name:</w:t>
        <w:tab/>
        <w:t>Brett D. Rogers</w:t>
      </w:r>
    </w:p>
    <w:p>
      <w:pPr>
        <w:spacing w:after="0" w:line="88" w:lineRule="exact"/>
        <w:rPr>
          <w:sz w:val="20"/>
          <w:szCs w:val="20"/>
          <w:color w:val="auto"/>
        </w:rPr>
      </w:pPr>
    </w:p>
    <w:p>
      <w:pPr>
        <w:ind w:left="3200"/>
        <w:spacing w:after="0"/>
        <w:tabs>
          <w:tab w:leader="none" w:pos="3840" w:val="left"/>
        </w:tabs>
        <w:rPr>
          <w:sz w:val="20"/>
          <w:szCs w:val="20"/>
          <w:color w:val="auto"/>
        </w:rPr>
      </w:pPr>
      <w:r>
        <w:rPr>
          <w:rFonts w:ascii="Georgia" w:cs="Georgia" w:eastAsia="Georgia" w:hAnsi="Georgia"/>
          <w:sz w:val="16"/>
          <w:szCs w:val="16"/>
          <w:color w:val="auto"/>
        </w:rPr>
        <w:t>Title:</w:t>
      </w:r>
      <w:r>
        <w:rPr>
          <w:sz w:val="20"/>
          <w:szCs w:val="20"/>
          <w:color w:val="auto"/>
        </w:rPr>
        <w:tab/>
      </w:r>
      <w:r>
        <w:rPr>
          <w:rFonts w:ascii="Georgia" w:cs="Georgia" w:eastAsia="Georgia" w:hAnsi="Georgia"/>
          <w:sz w:val="16"/>
          <w:szCs w:val="16"/>
          <w:color w:val="auto"/>
        </w:rPr>
        <w:t>General Counsel</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Georgia" w:cs="Georgia" w:eastAsia="Georgia" w:hAnsi="Georgia"/>
          <w:sz w:val="16"/>
          <w:szCs w:val="16"/>
          <w:color w:val="auto"/>
        </w:rPr>
        <w:t>Attention — Intentional misstatements or omissions of fact constitute Federal criminal violations (See 18 U.S.C. 1001).</w:t>
      </w:r>
    </w:p>
    <w:sectPr>
      <w:pgSz w:w="11900" w:h="16838" w:orient="portrait"/>
      <w:cols w:equalWidth="0" w:num="1">
        <w:col w:w="10180"/>
      </w:cols>
      <w:pgMar w:left="320" w:top="95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upperLetter"/>
      <w:start w:val="24"/>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3"/>
      <w:numFmt w:val="bullet"/>
      <w:start w:val="1"/>
    </w:lvl>
  </w:abstractNum>
  <w:abstractNum w:abstractNumId="4">
    <w:nsid w:val="41A7C4C9"/>
    <w:multiLevelType w:val="hybridMultilevel"/>
    <w:lvl w:ilvl="0">
      <w:lvlJc w:val="left"/>
      <w:lvlText w:val="4"/>
      <w:numFmt w:val="bullet"/>
      <w:start w:val="1"/>
    </w:lvl>
  </w:abstractNum>
  <w:abstractNum w:abstractNumId="5">
    <w:nsid w:val="6B68079A"/>
    <w:multiLevelType w:val="hybridMultilevel"/>
    <w:lvl w:ilvl="0">
      <w:lvlJc w:val="left"/>
      <w:lvlText w:val="9"/>
      <w:numFmt w:val="bullet"/>
      <w:start w:val="1"/>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bullet"/>
      <w:start w:val="1"/>
    </w:lvl>
  </w:abstractNum>
  <w:abstractNum w:abstractNumId="10">
    <w:nsid w:val="3F2DBA31"/>
    <w:multiLevelType w:val="hybridMultilevel"/>
    <w:lvl w:ilvl="0">
      <w:lvlJc w:val="left"/>
      <w:lvlText w:val="2"/>
      <w:numFmt w:val="bullet"/>
      <w:start w:val="1"/>
    </w:lvl>
    <w:lvl w:ilvl="1">
      <w:lvlJc w:val="left"/>
      <w:lvlText w:val="(%2)"/>
      <w:numFmt w:val="lowerLetter"/>
      <w:start w:val="1"/>
    </w:lvl>
  </w:abstractNum>
  <w:abstractNum w:abstractNumId="11">
    <w:nsid w:val="7C83E458"/>
    <w:multiLevelType w:val="hybridMultilevel"/>
    <w:lvl w:ilvl="0">
      <w:lvlJc w:val="left"/>
      <w:lvlText w:val="3"/>
      <w:numFmt w:val="bullet"/>
      <w:start w:val="1"/>
    </w:lvl>
  </w:abstractNum>
  <w:abstractNum w:abstractNumId="12">
    <w:nsid w:val="257130A3"/>
    <w:multiLevelType w:val="hybridMultilevel"/>
    <w:lvl w:ilvl="0">
      <w:lvlJc w:val="left"/>
      <w:lvlText w:val="4"/>
      <w:numFmt w:val="bullet"/>
      <w:start w:val="1"/>
    </w:lvl>
  </w:abstractNum>
  <w:abstractNum w:abstractNumId="13">
    <w:nsid w:val="62BBD95A"/>
    <w:multiLevelType w:val="hybridMultilevel"/>
    <w:lvl w:ilvl="0">
      <w:lvlJc w:val="left"/>
      <w:lvlText w:val="9"/>
      <w:numFmt w:val="bullet"/>
      <w:start w:val="1"/>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1"/>
      <w:numFmt w:val="decimal"/>
      <w:start w:val="11"/>
    </w:lvl>
  </w:abstractNum>
  <w:abstractNum w:abstractNumId="16">
    <w:nsid w:val="333AB105"/>
    <w:multiLevelType w:val="hybridMultilevel"/>
    <w:lvl w:ilvl="0">
      <w:lvlJc w:val="left"/>
      <w:lvlText w:val="%1"/>
      <w:numFmt w:val="decimal"/>
      <w:start w:val="12"/>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2"/>
      <w:numFmt w:val="bullet"/>
      <w:start w:val="1"/>
    </w:lvl>
    <w:lvl w:ilvl="1">
      <w:lvlJc w:val="left"/>
      <w:lvlText w:val="(%2)"/>
      <w:numFmt w:val="lowerLetter"/>
      <w:start w:val="1"/>
    </w:lvl>
  </w:abstractNum>
  <w:abstractNum w:abstractNumId="19">
    <w:nsid w:val="2D1D5AE9"/>
    <w:multiLevelType w:val="hybridMultilevel"/>
    <w:lvl w:ilvl="0">
      <w:lvlJc w:val="left"/>
      <w:lvlText w:val="3"/>
      <w:numFmt w:val="bullet"/>
      <w:start w:val="1"/>
    </w:lvl>
  </w:abstractNum>
  <w:abstractNum w:abstractNumId="20">
    <w:nsid w:val="6763845E"/>
    <w:multiLevelType w:val="hybridMultilevel"/>
    <w:lvl w:ilvl="0">
      <w:lvlJc w:val="left"/>
      <w:lvlText w:val="4"/>
      <w:numFmt w:val="bullet"/>
      <w:start w:val="1"/>
    </w:lvl>
  </w:abstractNum>
  <w:abstractNum w:abstractNumId="21">
    <w:nsid w:val="75A2A8D4"/>
    <w:multiLevelType w:val="hybridMultilevel"/>
    <w:lvl w:ilvl="0">
      <w:lvlJc w:val="left"/>
      <w:lvlText w:val="9"/>
      <w:numFmt w:val="bullet"/>
      <w:start w:val="1"/>
    </w:lvl>
  </w:abstractNum>
  <w:abstractNum w:abstractNumId="22">
    <w:nsid w:val="8EDBDAB"/>
    <w:multiLevelType w:val="hybridMultilevel"/>
    <w:lvl w:ilvl="0">
      <w:lvlJc w:val="left"/>
      <w:lvlText w:val="%1"/>
      <w:numFmt w:val="decimal"/>
      <w:start w:val="10"/>
    </w:lvl>
  </w:abstractNum>
  <w:abstractNum w:abstractNumId="23">
    <w:nsid w:val="79838CB2"/>
    <w:multiLevelType w:val="hybridMultilevel"/>
    <w:lvl w:ilvl="0">
      <w:lvlJc w:val="left"/>
      <w:lvlText w:val="%1"/>
      <w:numFmt w:val="decimal"/>
      <w:start w:val="11"/>
    </w:lvl>
  </w:abstractNum>
  <w:abstractNum w:abstractNumId="24">
    <w:nsid w:val="4353D0CD"/>
    <w:multiLevelType w:val="hybridMultilevel"/>
    <w:lvl w:ilvl="0">
      <w:lvlJc w:val="left"/>
      <w:lvlText w:val="%1"/>
      <w:numFmt w:val="decimal"/>
      <w:start w:val="12"/>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2024-02-09T14:19:22Z</dcterms:created>
  <dcterms:modified xsi:type="dcterms:W3CDTF">2024-02-09T14:19:22Z</dcterms:modified>
</cp:coreProperties>
</file>