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Davis Timothy E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06/16/2022</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gridSpan w:val="2"/>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9"/>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06/16/2022</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8,324</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27,395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8,324 shares issuable on settlement of restricted stock units granted to the Reporting Person. Each restricted stock unit represents a contingent right to receive one share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06/20/2022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4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208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2022-06-21T15:10:58Z</dcterms:created>
  <dcterms:modified xsi:type="dcterms:W3CDTF">2022-06-21T15:10:58Z</dcterms:modified>
</cp:coreProperties>
</file>