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2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4, 2026</w:t>
      </w:r>
    </w:p>
    <w:p>
      <w:pPr>
        <w:spacing w:after="0" w:line="2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SI-BONE, INC.</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3"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____________________________________________________________________________</w:t>
      </w:r>
    </w:p>
    <w:p>
      <w:pPr>
        <w:spacing w:after="0" w:line="59" w:lineRule="exact"/>
        <w:rPr>
          <w:sz w:val="24"/>
          <w:szCs w:val="24"/>
          <w:color w:val="auto"/>
        </w:rPr>
      </w:pPr>
    </w:p>
    <w:tbl>
      <w:tblPr>
        <w:tblLayout w:type="fixed"/>
        <w:tblInd w:w="720" w:type="dxa"/>
        <w:tblCellMar>
          <w:top w:w="0" w:type="dxa"/>
          <w:left w:w="0" w:type="dxa"/>
          <w:bottom w:w="0" w:type="dxa"/>
          <w:right w:w="0" w:type="dxa"/>
        </w:tblCellMar>
      </w:tblPr>
      <w:tr>
        <w:trPr>
          <w:trHeight w:val="212"/>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51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001-38701</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26-2216351</w:t>
            </w:r>
          </w:p>
        </w:tc>
      </w:tr>
      <w:tr>
        <w:trPr>
          <w:trHeight w:val="168"/>
        </w:trPr>
        <w:tc>
          <w:tcPr>
            <w:tcW w:w="2340" w:type="dxa"/>
            <w:vAlign w:val="bottom"/>
          </w:tcPr>
          <w:p>
            <w:pPr>
              <w:jc w:val="center"/>
              <w:ind w:right="29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right="99"/>
              <w:spacing w:after="0" w:line="168" w:lineRule="exact"/>
              <w:rPr>
                <w:sz w:val="20"/>
                <w:szCs w:val="20"/>
                <w:color w:val="auto"/>
              </w:rPr>
            </w:pPr>
            <w:r>
              <w:rPr>
                <w:rFonts w:ascii="Times New Roman" w:cs="Times New Roman" w:eastAsia="Times New Roman" w:hAnsi="Times New Roman"/>
                <w:sz w:val="16"/>
                <w:szCs w:val="16"/>
                <w:color w:val="auto"/>
              </w:rPr>
              <w:t>(Commission</w:t>
            </w:r>
          </w:p>
        </w:tc>
        <w:tc>
          <w:tcPr>
            <w:tcW w:w="1720" w:type="dxa"/>
            <w:vAlign w:val="bottom"/>
          </w:tcPr>
          <w:p>
            <w:pPr>
              <w:jc w:val="center"/>
              <w:ind w:left="419"/>
              <w:spacing w:after="0" w:line="168" w:lineRule="exact"/>
              <w:rPr>
                <w:sz w:val="20"/>
                <w:szCs w:val="20"/>
                <w:color w:val="auto"/>
              </w:rPr>
            </w:pPr>
            <w:r>
              <w:rPr>
                <w:rFonts w:ascii="Times New Roman" w:cs="Times New Roman" w:eastAsia="Times New Roman" w:hAnsi="Times New Roman"/>
                <w:sz w:val="16"/>
                <w:szCs w:val="16"/>
                <w:color w:val="auto"/>
              </w:rPr>
              <w:t>(I.R.S. Employer</w:t>
            </w:r>
          </w:p>
        </w:tc>
      </w:tr>
      <w:tr>
        <w:trPr>
          <w:trHeight w:val="210"/>
        </w:trPr>
        <w:tc>
          <w:tcPr>
            <w:tcW w:w="2340" w:type="dxa"/>
            <w:vAlign w:val="bottom"/>
          </w:tcPr>
          <w:p>
            <w:pPr>
              <w:jc w:val="center"/>
              <w:ind w:right="2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518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File Number)</w:t>
            </w:r>
          </w:p>
        </w:tc>
        <w:tc>
          <w:tcPr>
            <w:tcW w:w="1720" w:type="dxa"/>
            <w:vAlign w:val="bottom"/>
          </w:tcPr>
          <w:p>
            <w:pPr>
              <w:jc w:val="center"/>
              <w:ind w:left="419"/>
              <w:spacing w:after="0"/>
              <w:rPr>
                <w:sz w:val="20"/>
                <w:szCs w:val="20"/>
                <w:color w:val="auto"/>
              </w:rPr>
            </w:pPr>
            <w:r>
              <w:rPr>
                <w:rFonts w:ascii="Times New Roman" w:cs="Times New Roman" w:eastAsia="Times New Roman" w:hAnsi="Times New Roman"/>
                <w:sz w:val="16"/>
                <w:szCs w:val="16"/>
                <w:color w:val="auto"/>
              </w:rPr>
              <w:t>Identification No.)</w:t>
            </w:r>
          </w:p>
        </w:tc>
      </w:tr>
      <w:tr>
        <w:trPr>
          <w:trHeight w:val="516"/>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471 El Camino Real</w:t>
            </w:r>
          </w:p>
        </w:tc>
        <w:tc>
          <w:tcPr>
            <w:tcW w:w="1720" w:type="dxa"/>
            <w:vAlign w:val="bottom"/>
          </w:tcPr>
          <w:p>
            <w:pPr>
              <w:spacing w:after="0"/>
              <w:rPr>
                <w:sz w:val="24"/>
                <w:szCs w:val="24"/>
                <w:color w:val="auto"/>
              </w:rPr>
            </w:pPr>
          </w:p>
        </w:tc>
      </w:tr>
      <w:tr>
        <w:trPr>
          <w:trHeight w:val="189"/>
        </w:trPr>
        <w:tc>
          <w:tcPr>
            <w:tcW w:w="2340" w:type="dxa"/>
            <w:vAlign w:val="bottom"/>
          </w:tcPr>
          <w:p>
            <w:pPr>
              <w:spacing w:after="0"/>
              <w:rPr>
                <w:sz w:val="16"/>
                <w:szCs w:val="16"/>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Suite 101</w:t>
            </w:r>
          </w:p>
        </w:tc>
        <w:tc>
          <w:tcPr>
            <w:tcW w:w="1720" w:type="dxa"/>
            <w:vAlign w:val="bottom"/>
          </w:tcPr>
          <w:p>
            <w:pPr>
              <w:spacing w:after="0"/>
              <w:rPr>
                <w:sz w:val="16"/>
                <w:szCs w:val="16"/>
                <w:color w:val="auto"/>
              </w:rPr>
            </w:pPr>
          </w:p>
        </w:tc>
      </w:tr>
      <w:tr>
        <w:trPr>
          <w:trHeight w:val="204"/>
        </w:trPr>
        <w:tc>
          <w:tcPr>
            <w:tcW w:w="2340" w:type="dxa"/>
            <w:vAlign w:val="bottom"/>
          </w:tcPr>
          <w:p>
            <w:pPr>
              <w:spacing w:after="0"/>
              <w:rPr>
                <w:sz w:val="17"/>
                <w:szCs w:val="17"/>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Santa Clara, CA 95050</w:t>
            </w:r>
          </w:p>
        </w:tc>
        <w:tc>
          <w:tcPr>
            <w:tcW w:w="1720" w:type="dxa"/>
            <w:vAlign w:val="bottom"/>
          </w:tcPr>
          <w:p>
            <w:pPr>
              <w:spacing w:after="0"/>
              <w:rPr>
                <w:sz w:val="17"/>
                <w:szCs w:val="17"/>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ind w:left="860"/>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c>
          <w:tcPr>
            <w:tcW w:w="1720" w:type="dxa"/>
            <w:vAlign w:val="bottom"/>
          </w:tcPr>
          <w:p>
            <w:pPr>
              <w:spacing w:after="0"/>
              <w:rPr>
                <w:sz w:val="18"/>
                <w:szCs w:val="18"/>
                <w:color w:val="auto"/>
              </w:rPr>
            </w:pPr>
          </w:p>
        </w:tc>
      </w:tr>
      <w:tr>
        <w:trPr>
          <w:trHeight w:val="424"/>
        </w:trPr>
        <w:tc>
          <w:tcPr>
            <w:tcW w:w="2340" w:type="dxa"/>
            <w:vAlign w:val="bottom"/>
          </w:tcPr>
          <w:p>
            <w:pPr>
              <w:spacing w:after="0"/>
              <w:rPr>
                <w:sz w:val="24"/>
                <w:szCs w:val="24"/>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(408) 207-0700</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include area code)</w:t>
            </w:r>
          </w:p>
        </w:tc>
        <w:tc>
          <w:tcPr>
            <w:tcW w:w="1720" w:type="dxa"/>
            <w:vAlign w:val="bottom"/>
          </w:tcPr>
          <w:p>
            <w:pPr>
              <w:spacing w:after="0"/>
              <w:rPr>
                <w:sz w:val="18"/>
                <w:szCs w:val="18"/>
                <w:color w:val="auto"/>
              </w:rPr>
            </w:pPr>
          </w:p>
        </w:tc>
      </w:tr>
      <w:tr>
        <w:trPr>
          <w:trHeight w:val="411"/>
        </w:trPr>
        <w:tc>
          <w:tcPr>
            <w:tcW w:w="2340" w:type="dxa"/>
            <w:vAlign w:val="bottom"/>
          </w:tcPr>
          <w:p>
            <w:pPr>
              <w:spacing w:after="0"/>
              <w:rPr>
                <w:sz w:val="24"/>
                <w:szCs w:val="24"/>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N/A</w:t>
            </w:r>
          </w:p>
        </w:tc>
        <w:tc>
          <w:tcPr>
            <w:tcW w:w="1720" w:type="dxa"/>
            <w:vAlign w:val="bottom"/>
          </w:tcPr>
          <w:p>
            <w:pPr>
              <w:spacing w:after="0"/>
              <w:rPr>
                <w:sz w:val="24"/>
                <w:szCs w:val="24"/>
                <w:color w:val="auto"/>
              </w:rPr>
            </w:pPr>
          </w:p>
        </w:tc>
      </w:tr>
      <w:tr>
        <w:trPr>
          <w:trHeight w:val="210"/>
        </w:trPr>
        <w:tc>
          <w:tcPr>
            <w:tcW w:w="2340" w:type="dxa"/>
            <w:vAlign w:val="bottom"/>
          </w:tcPr>
          <w:p>
            <w:pPr>
              <w:spacing w:after="0"/>
              <w:rPr>
                <w:sz w:val="18"/>
                <w:szCs w:val="18"/>
                <w:color w:val="auto"/>
              </w:rPr>
            </w:pPr>
          </w:p>
        </w:tc>
        <w:tc>
          <w:tcPr>
            <w:tcW w:w="51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c>
          <w:tcPr>
            <w:tcW w:w="1720" w:type="dxa"/>
            <w:vAlign w:val="bottom"/>
          </w:tcPr>
          <w:p>
            <w:pPr>
              <w:spacing w:after="0"/>
              <w:rPr>
                <w:sz w:val="18"/>
                <w:szCs w:val="18"/>
                <w:color w:val="auto"/>
              </w:rPr>
            </w:pPr>
          </w:p>
        </w:tc>
      </w:tr>
    </w:tbl>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40"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53" w:lineRule="exact"/>
        <w:rPr>
          <w:rFonts w:ascii="MS PGothic" w:cs="MS PGothic" w:eastAsia="MS PGothic" w:hAnsi="MS PGothic"/>
          <w:sz w:val="16"/>
          <w:szCs w:val="16"/>
          <w:color w:val="auto"/>
        </w:rPr>
      </w:pPr>
    </w:p>
    <w:p>
      <w:pPr>
        <w:ind w:left="1560" w:hanging="580"/>
        <w:spacing w:after="0"/>
        <w:tabs>
          <w:tab w:leader="none" w:pos="15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7" w:lineRule="exact"/>
        <w:rPr>
          <w:sz w:val="24"/>
          <w:szCs w:val="24"/>
          <w:color w:val="auto"/>
        </w:rPr>
      </w:pPr>
    </w:p>
    <w:tbl>
      <w:tblPr>
        <w:tblLayout w:type="fixed"/>
        <w:tblInd w:w="96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3100" w:type="dxa"/>
            <w:vAlign w:val="bottom"/>
            <w:gridSpan w:val="2"/>
          </w:tcPr>
          <w:p>
            <w:pPr>
              <w:jc w:val="center"/>
              <w:ind w:right="188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040" w:type="dxa"/>
            <w:vAlign w:val="bottom"/>
            <w:gridSpan w:val="2"/>
          </w:tcPr>
          <w:p>
            <w:pPr>
              <w:jc w:val="center"/>
              <w:ind w:left="95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30"/>
        </w:trPr>
        <w:tc>
          <w:tcPr>
            <w:tcW w:w="3920" w:type="dxa"/>
            <w:vAlign w:val="bottom"/>
            <w:gridSpan w:val="3"/>
          </w:tcPr>
          <w:p>
            <w:pPr>
              <w:jc w:val="center"/>
              <w:ind w:right="1040"/>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SIBN</w:t>
            </w:r>
          </w:p>
        </w:tc>
        <w:tc>
          <w:tcPr>
            <w:tcW w:w="1040" w:type="dxa"/>
            <w:vAlign w:val="bottom"/>
          </w:tcPr>
          <w:p>
            <w:pPr>
              <w:spacing w:after="0"/>
              <w:rPr>
                <w:sz w:val="20"/>
                <w:szCs w:val="20"/>
                <w:color w:val="auto"/>
              </w:rPr>
            </w:pPr>
          </w:p>
        </w:tc>
        <w:tc>
          <w:tcPr>
            <w:tcW w:w="3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Global Market</w:t>
            </w:r>
          </w:p>
        </w:tc>
      </w:tr>
    </w:tbl>
    <w:p>
      <w:pPr>
        <w:spacing w:after="0" w:line="330" w:lineRule="exact"/>
        <w:rPr>
          <w:sz w:val="24"/>
          <w:szCs w:val="24"/>
          <w:color w:val="auto"/>
        </w:rPr>
      </w:pPr>
    </w:p>
    <w:p>
      <w:pPr>
        <w:jc w:val="cente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jc w:val="center"/>
        <w:spacing w:after="0" w:line="184" w:lineRule="exact"/>
        <w:tabs>
          <w:tab w:leader="none" w:pos="18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84" w:lineRule="exact"/>
        <w:rPr>
          <w:sz w:val="24"/>
          <w:szCs w:val="24"/>
          <w:color w:val="auto"/>
        </w:rPr>
      </w:pPr>
    </w:p>
    <w:p>
      <w:pPr>
        <w:jc w:val="center"/>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1303655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988" w:right="37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3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On June 5, 2026, SI-BONE,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BIXBY SPE FINANCE 11, LLC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entered into the Third Amendment to Lease (the “</w:t>
      </w:r>
      <w:r>
        <w:rPr>
          <w:rFonts w:ascii="Times New Roman" w:cs="Times New Roman" w:eastAsia="Times New Roman" w:hAnsi="Times New Roman"/>
          <w:sz w:val="18"/>
          <w:szCs w:val="18"/>
          <w:b w:val="1"/>
          <w:bCs w:val="1"/>
          <w:color w:val="auto"/>
        </w:rPr>
        <w:t>Third Lease Amendment</w:t>
      </w:r>
      <w:r>
        <w:rPr>
          <w:rFonts w:ascii="Times New Roman" w:cs="Times New Roman" w:eastAsia="Times New Roman" w:hAnsi="Times New Roman"/>
          <w:sz w:val="18"/>
          <w:szCs w:val="18"/>
          <w:color w:val="auto"/>
        </w:rPr>
        <w:t>”) to the Office Lease Agreement (the “</w:t>
      </w:r>
      <w:r>
        <w:rPr>
          <w:rFonts w:ascii="Times New Roman" w:cs="Times New Roman" w:eastAsia="Times New Roman" w:hAnsi="Times New Roman"/>
          <w:sz w:val="18"/>
          <w:szCs w:val="18"/>
          <w:b w:val="1"/>
          <w:bCs w:val="1"/>
          <w:color w:val="auto"/>
        </w:rPr>
        <w:t>Original Lease</w:t>
      </w:r>
      <w:r>
        <w:rPr>
          <w:rFonts w:ascii="Times New Roman" w:cs="Times New Roman" w:eastAsia="Times New Roman" w:hAnsi="Times New Roman"/>
          <w:sz w:val="18"/>
          <w:szCs w:val="18"/>
          <w:color w:val="auto"/>
        </w:rPr>
        <w:t>”) dated as of February 2, 2018, as amended by that certain First Amendment to Lease (the “</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dated as of April 16, 2018 and that certain Second Amendment to Lease (the "</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dated as of July 18, 2024, (collectively, as amended, the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The Lease is for 21,848 square feet of office space located at 471 El Camino Real, Santa Clara, California, the Company’s corporate headquarters.</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Third Lease Amendment, the Company and Landlord agreed to extend the term of the Lease for a month commencing on August 1, 2026 and expiring August 31, 2026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with the base rent in the amount of $43,696 per month. The Company has an option to extend the Lease for an additional month under the same terms, and upon the Company’s exercise of such option, the Expiration Date shall become September 30, 2026. Pursuant to the Third Lease Amendment, the Company agreed to continue to pay its share of operating expenses and taxes through the Expiration Date.</w:t>
      </w:r>
    </w:p>
    <w:p>
      <w:pPr>
        <w:spacing w:after="0" w:line="21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Third Lease Amendment does not purport to be complete and is qualified in its entirety by reference to the full text of the Third Lease Amendment, which is attached hereto as Exhibit 10.1 and incorporated herein by reference.</w:t>
      </w:r>
    </w:p>
    <w:p>
      <w:pPr>
        <w:spacing w:after="0" w:line="18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1.01 Entry into a Material Definitive Agreement” is incorporated by reference herein in its entirety.</w:t>
      </w:r>
    </w:p>
    <w:p>
      <w:pPr>
        <w:spacing w:after="0" w:line="24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 total of 38,905,031 shares of the Company’s common stock were present or represented by proxy at the Annual Meeting, which represented approximately 88% of the Company’s 44,243,715 shares of common stock that were outstanding and entitled to vote at the meeting as of the record date of April 6, 2026.</w:t>
      </w:r>
    </w:p>
    <w:p>
      <w:pPr>
        <w:spacing w:after="0" w:line="204"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following is a brief description of each matter voted upon at the Annual Meeting, as well as the final tally of the number of votes cast: (a) for or withheld with respect to the election of directors; (b) for or against, as well as abstentions, for the ratification of the appointment of PricewaterhouseCoopers LLP as the Company’s independent registered public accounting firm for the fiscal year ending December 31, 2026; and (c) for or against, as well as abstentions, for the advisory vote to approve executive compensation. A more complete description of each matter is set forth in the Company’s definitive proxy statement filed with the Securities and Exchange Commission on April 21, 2026 (the “</w:t>
      </w:r>
      <w:r>
        <w:rPr>
          <w:rFonts w:ascii="Times New Roman" w:cs="Times New Roman" w:eastAsia="Times New Roman" w:hAnsi="Times New Roman"/>
          <w:sz w:val="18"/>
          <w:szCs w:val="18"/>
          <w:b w:val="1"/>
          <w:bCs w:val="1"/>
          <w:color w:val="auto"/>
        </w:rPr>
        <w:t>Proxy Statement</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left="1060" w:hanging="1052"/>
        <w:spacing w:after="0" w:line="250"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1:</w:t>
      </w:r>
      <w:r>
        <w:rPr>
          <w:sz w:val="20"/>
          <w:szCs w:val="20"/>
          <w:color w:val="auto"/>
        </w:rPr>
        <w:tab/>
      </w:r>
      <w:r>
        <w:rPr>
          <w:rFonts w:ascii="Times New Roman" w:cs="Times New Roman" w:eastAsia="Times New Roman" w:hAnsi="Times New Roman"/>
          <w:sz w:val="18"/>
          <w:szCs w:val="18"/>
          <w:color w:val="auto"/>
        </w:rPr>
        <w:t>Each of the below directors proposed by the Company for election was elected by the following votes to serve until the Company’s 2029 Annual Meeting of Stockholders, or until each of their respective successors has been elected and qualified. The tabulation of votes on this matter was as follows:</w:t>
      </w:r>
    </w:p>
    <w:p>
      <w:pPr>
        <w:spacing w:after="0" w:line="256" w:lineRule="exact"/>
        <w:rPr>
          <w:sz w:val="20"/>
          <w:szCs w:val="20"/>
          <w:color w:val="auto"/>
        </w:rPr>
      </w:pPr>
    </w:p>
    <w:tbl>
      <w:tblPr>
        <w:tblLayout w:type="fixed"/>
        <w:tblInd w:w="148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4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5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3"/>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Jeffrey W. Dunn</w:t>
            </w:r>
          </w:p>
        </w:tc>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22,751,499</w:t>
            </w:r>
          </w:p>
        </w:tc>
        <w:tc>
          <w:tcPr>
            <w:tcW w:w="16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13,111,805</w:t>
            </w:r>
          </w:p>
        </w:tc>
        <w:tc>
          <w:tcPr>
            <w:tcW w:w="200" w:type="dxa"/>
            <w:vAlign w:val="bottom"/>
            <w:tcBorders>
              <w:top w:val="single" w:sz="8" w:color="CCEEFF"/>
            </w:tcBorders>
            <w:shd w:val="clear" w:color="auto" w:fill="CCEEFF"/>
          </w:tcPr>
          <w:p>
            <w:pPr>
              <w:spacing w:after="0"/>
              <w:rPr>
                <w:sz w:val="19"/>
                <w:szCs w:val="19"/>
                <w:color w:val="auto"/>
              </w:rPr>
            </w:pPr>
          </w:p>
        </w:tc>
        <w:tc>
          <w:tcPr>
            <w:tcW w:w="2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3,041,727</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John G. Freund, M.D.</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26,308,690</w:t>
            </w:r>
          </w:p>
        </w:tc>
        <w:tc>
          <w:tcPr>
            <w:tcW w:w="160" w:type="dxa"/>
            <w:vAlign w:val="bottom"/>
          </w:tcPr>
          <w:p>
            <w:pPr>
              <w:spacing w:after="0"/>
              <w:rPr>
                <w:sz w:val="20"/>
                <w:szCs w:val="20"/>
                <w:color w:val="auto"/>
              </w:rPr>
            </w:pPr>
          </w:p>
        </w:tc>
        <w:tc>
          <w:tcPr>
            <w:tcW w:w="13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9,554,614</w:t>
            </w:r>
          </w:p>
        </w:tc>
        <w:tc>
          <w:tcPr>
            <w:tcW w:w="20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3,041,727</w:t>
            </w:r>
          </w:p>
        </w:tc>
      </w:tr>
    </w:tbl>
    <w:p>
      <w:pPr>
        <w:spacing w:after="0" w:line="299"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i w:val="1"/>
          <w:iCs w:val="1"/>
          <w:color w:val="auto"/>
        </w:rPr>
        <w:t>Proposal 2:</w:t>
      </w:r>
      <w:r>
        <w:rPr>
          <w:sz w:val="20"/>
          <w:szCs w:val="20"/>
          <w:color w:val="auto"/>
        </w:rPr>
        <w:tab/>
      </w:r>
      <w:r>
        <w:rPr>
          <w:rFonts w:ascii="Times New Roman" w:cs="Times New Roman" w:eastAsia="Times New Roman" w:hAnsi="Times New Roman"/>
          <w:sz w:val="18"/>
          <w:szCs w:val="18"/>
          <w:color w:val="auto"/>
        </w:rPr>
        <w:t>The appointment of PricewaterhouseCoopers LLP as the Company’s independent registered public accounting firm for the fiscal year ending</w:t>
      </w:r>
    </w:p>
    <w:p>
      <w:pPr>
        <w:spacing w:after="0" w:line="29"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December 31, 2026, was ratified. The tabulation of votes on this matter was as follows:</w:t>
      </w:r>
    </w:p>
    <w:p>
      <w:pPr>
        <w:spacing w:after="0" w:line="270" w:lineRule="exact"/>
        <w:rPr>
          <w:sz w:val="20"/>
          <w:szCs w:val="20"/>
          <w:color w:val="auto"/>
        </w:rPr>
      </w:pPr>
    </w:p>
    <w:tbl>
      <w:tblPr>
        <w:tblLayout w:type="fixed"/>
        <w:tblInd w:w="960" w:type="dxa"/>
        <w:tblCellMar>
          <w:top w:w="0" w:type="dxa"/>
          <w:left w:w="0" w:type="dxa"/>
          <w:bottom w:w="0" w:type="dxa"/>
          <w:right w:w="0" w:type="dxa"/>
        </w:tblCellMar>
      </w:tblPr>
      <w:tr>
        <w:trPr>
          <w:trHeight w:val="245"/>
        </w:trPr>
        <w:tc>
          <w:tcPr>
            <w:tcW w:w="19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170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38,876,920</w:t>
            </w:r>
          </w:p>
        </w:tc>
        <w:tc>
          <w:tcPr>
            <w:tcW w:w="28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rPr>
              <w:t>27,588</w:t>
            </w:r>
          </w:p>
        </w:tc>
        <w:tc>
          <w:tcPr>
            <w:tcW w:w="28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523</w:t>
            </w:r>
          </w:p>
        </w:tc>
        <w:tc>
          <w:tcPr>
            <w:tcW w:w="280" w:type="dxa"/>
            <w:vAlign w:val="bottom"/>
            <w:tcBorders>
              <w:top w:val="single" w:sz="8" w:color="CCEEFF"/>
            </w:tcBorders>
            <w:shd w:val="clear" w:color="auto" w:fill="CCEEFF"/>
          </w:tcPr>
          <w:p>
            <w:pPr>
              <w:spacing w:after="0"/>
              <w:rPr>
                <w:sz w:val="22"/>
                <w:szCs w:val="22"/>
                <w:color w:val="auto"/>
              </w:rPr>
            </w:pPr>
          </w:p>
        </w:tc>
        <w:tc>
          <w:tcPr>
            <w:tcW w:w="2400" w:type="dxa"/>
            <w:vAlign w:val="bottom"/>
            <w:tcBorders>
              <w:top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0</w:t>
            </w:r>
          </w:p>
        </w:tc>
      </w:tr>
    </w:tbl>
    <w:p>
      <w:pPr>
        <w:spacing w:after="0" w:line="317" w:lineRule="exact"/>
        <w:rPr>
          <w:sz w:val="20"/>
          <w:szCs w:val="20"/>
          <w:color w:val="auto"/>
        </w:rPr>
      </w:pPr>
    </w:p>
    <w:p>
      <w:pPr>
        <w:ind w:left="1060" w:hanging="1052"/>
        <w:spacing w:after="0" w:line="266" w:lineRule="auto"/>
        <w:tabs>
          <w:tab w:leader="none" w:pos="1040" w:val="left"/>
        </w:tabs>
        <w:rPr>
          <w:sz w:val="20"/>
          <w:szCs w:val="20"/>
          <w:color w:val="auto"/>
        </w:rPr>
      </w:pPr>
      <w:r>
        <w:rPr>
          <w:rFonts w:ascii="Times New Roman" w:cs="Times New Roman" w:eastAsia="Times New Roman" w:hAnsi="Times New Roman"/>
          <w:sz w:val="18"/>
          <w:szCs w:val="18"/>
          <w:i w:val="1"/>
          <w:iCs w:val="1"/>
          <w:color w:val="auto"/>
        </w:rPr>
        <w:t>Proposal 3:</w:t>
      </w:r>
      <w:r>
        <w:rPr>
          <w:sz w:val="20"/>
          <w:szCs w:val="20"/>
          <w:color w:val="auto"/>
        </w:rPr>
        <w:tab/>
      </w:r>
      <w:r>
        <w:rPr>
          <w:rFonts w:ascii="Times New Roman" w:cs="Times New Roman" w:eastAsia="Times New Roman" w:hAnsi="Times New Roman"/>
          <w:sz w:val="18"/>
          <w:szCs w:val="18"/>
          <w:color w:val="auto"/>
        </w:rPr>
        <w:t>The compensation of the Company’s named executive officers as disclosed in the Proxy Statement was approved on an advisory basis. The tabulation of votes on this matter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940" w:type="dxa"/>
        <w:tblCellMar>
          <w:top w:w="0" w:type="dxa"/>
          <w:left w:w="0" w:type="dxa"/>
          <w:bottom w:w="0" w:type="dxa"/>
          <w:right w:w="0" w:type="dxa"/>
        </w:tblCellMar>
      </w:tblPr>
      <w:tr>
        <w:trPr>
          <w:trHeight w:val="245"/>
        </w:trPr>
        <w:tc>
          <w:tcPr>
            <w:tcW w:w="19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1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2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57"/>
        </w:trPr>
        <w:tc>
          <w:tcPr>
            <w:tcW w:w="1700" w:type="dxa"/>
            <w:vAlign w:val="bottom"/>
            <w:tcBorders>
              <w:top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33,265,992</w:t>
            </w:r>
          </w:p>
        </w:tc>
        <w:tc>
          <w:tcPr>
            <w:tcW w:w="280" w:type="dxa"/>
            <w:vAlign w:val="bottom"/>
            <w:tcBorders>
              <w:top w:val="single" w:sz="8" w:color="CCEEFF"/>
            </w:tcBorders>
            <w:shd w:val="clear" w:color="auto" w:fill="CCEEFF"/>
          </w:tcPr>
          <w:p>
            <w:pPr>
              <w:spacing w:after="0"/>
              <w:rPr>
                <w:sz w:val="22"/>
                <w:szCs w:val="22"/>
                <w:color w:val="auto"/>
              </w:rPr>
            </w:pPr>
          </w:p>
        </w:tc>
        <w:tc>
          <w:tcPr>
            <w:tcW w:w="1660" w:type="dxa"/>
            <w:vAlign w:val="bottom"/>
            <w:tcBorders>
              <w:top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2,579,849</w:t>
            </w:r>
          </w:p>
        </w:tc>
        <w:tc>
          <w:tcPr>
            <w:tcW w:w="280" w:type="dxa"/>
            <w:vAlign w:val="bottom"/>
            <w:tcBorders>
              <w:top w:val="single" w:sz="8" w:color="CCEEFF"/>
            </w:tcBorders>
            <w:shd w:val="clear" w:color="auto" w:fill="CCEEFF"/>
          </w:tcPr>
          <w:p>
            <w:pPr>
              <w:spacing w:after="0"/>
              <w:rPr>
                <w:sz w:val="22"/>
                <w:szCs w:val="22"/>
                <w:color w:val="auto"/>
              </w:rPr>
            </w:pPr>
          </w:p>
        </w:tc>
        <w:tc>
          <w:tcPr>
            <w:tcW w:w="1680" w:type="dxa"/>
            <w:vAlign w:val="bottom"/>
            <w:tcBorders>
              <w:top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17,463</w:t>
            </w:r>
          </w:p>
        </w:tc>
        <w:tc>
          <w:tcPr>
            <w:tcW w:w="280" w:type="dxa"/>
            <w:vAlign w:val="bottom"/>
            <w:tcBorders>
              <w:top w:val="single" w:sz="8" w:color="CCEEFF"/>
            </w:tcBorders>
            <w:shd w:val="clear" w:color="auto" w:fill="CCEEFF"/>
          </w:tcPr>
          <w:p>
            <w:pPr>
              <w:spacing w:after="0"/>
              <w:rPr>
                <w:sz w:val="22"/>
                <w:szCs w:val="22"/>
                <w:color w:val="auto"/>
              </w:rPr>
            </w:pPr>
          </w:p>
        </w:tc>
        <w:tc>
          <w:tcPr>
            <w:tcW w:w="244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3,041,727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3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446"/>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2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40" w:type="dxa"/>
            <w:vAlign w:val="bottom"/>
            <w:gridSpan w:val="3"/>
          </w:tcPr>
          <w:p>
            <w:pPr>
              <w:ind w:left="42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920" w:type="dxa"/>
            <w:vAlign w:val="bottom"/>
            <w:tcBorders>
              <w:top w:val="single" w:sz="8" w:color="auto"/>
            </w:tcBorders>
          </w:tcPr>
          <w:p>
            <w:pPr>
              <w:jc w:val="right"/>
              <w:ind w:right="21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420" w:type="dxa"/>
            <w:vAlign w:val="bottom"/>
            <w:tcBorders>
              <w:top w:val="single" w:sz="8" w:color="auto"/>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Third Amendment to Lease, dated June 5, 2026, between SI-BONE, Inc. and BIXBY SPE FINANCE 11, LLC</w:t>
            </w:r>
          </w:p>
        </w:tc>
        <w:tc>
          <w:tcPr>
            <w:tcW w:w="620" w:type="dxa"/>
            <w:vAlign w:val="bottom"/>
          </w:tcPr>
          <w:p>
            <w:pPr>
              <w:spacing w:after="0"/>
              <w:rPr>
                <w:sz w:val="15"/>
                <w:szCs w:val="15"/>
                <w:color w:val="auto"/>
              </w:rPr>
            </w:pPr>
          </w:p>
        </w:tc>
      </w:tr>
      <w:tr>
        <w:trPr>
          <w:trHeight w:val="250"/>
        </w:trPr>
        <w:tc>
          <w:tcPr>
            <w:tcW w:w="9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96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Date File (embedded within the Inline XBRL document)</w:t>
            </w:r>
          </w:p>
        </w:tc>
        <w:tc>
          <w:tcPr>
            <w:tcW w:w="2080" w:type="dxa"/>
            <w:vAlign w:val="bottom"/>
            <w:gridSpan w:val="2"/>
          </w:tcPr>
          <w:p>
            <w:pPr>
              <w:spacing w:after="0"/>
              <w:rPr>
                <w:sz w:val="21"/>
                <w:szCs w:val="21"/>
                <w:color w:val="auto"/>
              </w:rPr>
            </w:pPr>
          </w:p>
        </w:tc>
      </w:tr>
      <w:tr>
        <w:trPr>
          <w:trHeight w:val="979"/>
        </w:trPr>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96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50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2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8000" w:type="dxa"/>
            <w:vAlign w:val="bottom"/>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SI-BONE, INC.</w:t>
            </w:r>
          </w:p>
        </w:tc>
      </w:tr>
      <w:tr>
        <w:trPr>
          <w:trHeight w:val="459"/>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8, 2026</w:t>
            </w:r>
          </w:p>
        </w:tc>
        <w:tc>
          <w:tcPr>
            <w:tcW w:w="21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By:</w:t>
            </w:r>
          </w:p>
        </w:tc>
        <w:tc>
          <w:tcPr>
            <w:tcW w:w="5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Anshul Maheshwari</w:t>
            </w:r>
          </w:p>
        </w:tc>
      </w:tr>
      <w:tr>
        <w:trPr>
          <w:trHeight w:val="218"/>
        </w:trPr>
        <w:tc>
          <w:tcPr>
            <w:tcW w:w="6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Anshul Maheshwari</w:t>
            </w:r>
          </w:p>
        </w:tc>
      </w:tr>
      <w:tr>
        <w:trPr>
          <w:trHeight w:val="229"/>
        </w:trPr>
        <w:tc>
          <w:tcPr>
            <w:tcW w:w="6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Operating Officer &amp; Chief Financial Officer</w:t>
            </w:r>
          </w:p>
        </w:tc>
      </w:tr>
      <w:tr>
        <w:trPr>
          <w:trHeight w:val="234"/>
        </w:trPr>
        <w:tc>
          <w:tcPr>
            <w:tcW w:w="6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20"/>
          </w:cols>
          <w:pgMar w:left="320" w:top="887" w:right="359" w:bottom="1440" w:gutter="0" w:footer="0" w:header="0"/>
        </w:sectPr>
      </w:pPr>
    </w:p>
    <w:bookmarkStart w:id="4" w:name="page5"/>
    <w:bookmarkEnd w:id="4"/>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74"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4"/>
          <w:szCs w:val="14"/>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UNIVERSITY STATION</w:t>
      </w:r>
    </w:p>
    <w:p>
      <w:pPr>
        <w:spacing w:after="0" w:line="225"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THIRD AMENDMENT TO LEASE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07" w:lineRule="exact"/>
        <w:rPr>
          <w:sz w:val="20"/>
          <w:szCs w:val="20"/>
          <w:color w:val="auto"/>
        </w:rPr>
      </w:pPr>
    </w:p>
    <w:p>
      <w:pPr>
        <w:ind w:firstLine="648"/>
        <w:spacing w:after="0" w:line="296" w:lineRule="auto"/>
        <w:rPr>
          <w:sz w:val="20"/>
          <w:szCs w:val="20"/>
          <w:color w:val="auto"/>
        </w:rPr>
      </w:pPr>
      <w:r>
        <w:rPr>
          <w:rFonts w:ascii="Arial" w:cs="Arial" w:eastAsia="Arial" w:hAnsi="Arial"/>
          <w:sz w:val="18"/>
          <w:szCs w:val="18"/>
          <w:b w:val="1"/>
          <w:bCs w:val="1"/>
          <w:color w:val="auto"/>
        </w:rPr>
        <w:t xml:space="preserve">THIS THIRD AMENDMENT TO LEASE </w:t>
      </w:r>
      <w:r>
        <w:rPr>
          <w:rFonts w:ascii="Arial" w:cs="Arial" w:eastAsia="Arial" w:hAnsi="Arial"/>
          <w:sz w:val="18"/>
          <w:szCs w:val="18"/>
          <w:color w:val="auto"/>
        </w:rPr>
        <w:t>(this “</w:t>
      </w:r>
      <w:r>
        <w:rPr>
          <w:rFonts w:ascii="Arial" w:cs="Arial" w:eastAsia="Arial" w:hAnsi="Arial"/>
          <w:sz w:val="18"/>
          <w:szCs w:val="18"/>
          <w:b w:val="1"/>
          <w:bCs w:val="1"/>
          <w:color w:val="auto"/>
        </w:rPr>
        <w:t>Amendment</w:t>
      </w:r>
      <w:r>
        <w:rPr>
          <w:rFonts w:ascii="Arial" w:cs="Arial" w:eastAsia="Arial" w:hAnsi="Arial"/>
          <w:sz w:val="18"/>
          <w:szCs w:val="18"/>
          <w:color w:val="auto"/>
        </w:rPr>
        <w:t>”) is made as of June 5, 2026, by and between</w:t>
      </w:r>
      <w:r>
        <w:rPr>
          <w:rFonts w:ascii="Arial" w:cs="Arial" w:eastAsia="Arial" w:hAnsi="Arial"/>
          <w:sz w:val="18"/>
          <w:szCs w:val="18"/>
          <w:b w:val="1"/>
          <w:bCs w:val="1"/>
          <w:color w:val="auto"/>
        </w:rPr>
        <w:t xml:space="preserve"> BIXBY SPE FINANCE 11,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SI-BONE,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56"/>
        <w:spacing w:after="0" w:line="259" w:lineRule="auto"/>
        <w:tabs>
          <w:tab w:leader="none" w:pos="103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and Tenant are parties to that certain Office Lease Agreement (the “</w:t>
      </w:r>
      <w:r>
        <w:rPr>
          <w:rFonts w:ascii="Arial" w:cs="Arial" w:eastAsia="Arial" w:hAnsi="Arial"/>
          <w:sz w:val="18"/>
          <w:szCs w:val="18"/>
          <w:b w:val="1"/>
          <w:bCs w:val="1"/>
          <w:color w:val="auto"/>
        </w:rPr>
        <w:t>Original Lease</w:t>
      </w:r>
      <w:r>
        <w:rPr>
          <w:rFonts w:ascii="Arial" w:cs="Arial" w:eastAsia="Arial" w:hAnsi="Arial"/>
          <w:sz w:val="18"/>
          <w:szCs w:val="18"/>
          <w:color w:val="auto"/>
        </w:rPr>
        <w:t>”) dated as of February 2, 2018, as amended by that certain First Amendment to Lease (the “</w:t>
      </w:r>
      <w:r>
        <w:rPr>
          <w:rFonts w:ascii="Arial" w:cs="Arial" w:eastAsia="Arial" w:hAnsi="Arial"/>
          <w:sz w:val="18"/>
          <w:szCs w:val="18"/>
          <w:b w:val="1"/>
          <w:bCs w:val="1"/>
          <w:color w:val="auto"/>
        </w:rPr>
        <w:t>First Amendment</w:t>
      </w:r>
      <w:r>
        <w:rPr>
          <w:rFonts w:ascii="Arial" w:cs="Arial" w:eastAsia="Arial" w:hAnsi="Arial"/>
          <w:sz w:val="18"/>
          <w:szCs w:val="18"/>
          <w:color w:val="auto"/>
        </w:rPr>
        <w:t>”) dated as of April 16, 2018, and that certain Second Amendment to Lease dated as of July 18, 2024 (collectively, as amended, the “</w:t>
      </w:r>
      <w:r>
        <w:rPr>
          <w:rFonts w:ascii="Arial" w:cs="Arial" w:eastAsia="Arial" w:hAnsi="Arial"/>
          <w:sz w:val="18"/>
          <w:szCs w:val="18"/>
          <w:b w:val="1"/>
          <w:bCs w:val="1"/>
          <w:color w:val="auto"/>
        </w:rPr>
        <w:t>Lease</w:t>
      </w:r>
      <w:r>
        <w:rPr>
          <w:rFonts w:ascii="Arial" w:cs="Arial" w:eastAsia="Arial" w:hAnsi="Arial"/>
          <w:sz w:val="18"/>
          <w:szCs w:val="18"/>
          <w:color w:val="auto"/>
        </w:rPr>
        <w:t>”), with respect to the Premises within that the Building located at 471 El Camino Real, Santa Clara, California. All capitalized terms used herein and not otherwise defined herein shall have the meanings set forth in the Lease.</w:t>
      </w:r>
    </w:p>
    <w:p>
      <w:pPr>
        <w:spacing w:after="0" w:line="179" w:lineRule="exact"/>
        <w:rPr>
          <w:rFonts w:ascii="Arial" w:cs="Arial" w:eastAsia="Arial" w:hAnsi="Arial"/>
          <w:sz w:val="18"/>
          <w:szCs w:val="18"/>
          <w:b w:val="1"/>
          <w:bCs w:val="1"/>
          <w:color w:val="auto"/>
        </w:rPr>
      </w:pPr>
    </w:p>
    <w:p>
      <w:pPr>
        <w:ind w:firstLine="656"/>
        <w:spacing w:after="0" w:line="287" w:lineRule="auto"/>
        <w:tabs>
          <w:tab w:leader="none" w:pos="1108"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Pursuant to the Lease, Tenant leases from Landlord the Premises designated as Suite 101 and consisting of approximately 21,848 rentable square feet located on the first (1</w:t>
      </w:r>
      <w:r>
        <w:rPr>
          <w:rFonts w:ascii="Arial" w:cs="Arial" w:eastAsia="Arial" w:hAnsi="Arial"/>
          <w:sz w:val="23"/>
          <w:szCs w:val="23"/>
          <w:color w:val="auto"/>
          <w:vertAlign w:val="superscript"/>
        </w:rPr>
        <w:t>st</w:t>
      </w:r>
      <w:r>
        <w:rPr>
          <w:rFonts w:ascii="Arial" w:cs="Arial" w:eastAsia="Arial" w:hAnsi="Arial"/>
          <w:sz w:val="18"/>
          <w:szCs w:val="18"/>
          <w:color w:val="auto"/>
        </w:rPr>
        <w:t>) floor of the Building, as more particularly described in the Lease.</w:t>
      </w:r>
    </w:p>
    <w:p>
      <w:pPr>
        <w:spacing w:after="0" w:line="84" w:lineRule="exact"/>
        <w:rPr>
          <w:rFonts w:ascii="Arial" w:cs="Arial" w:eastAsia="Arial" w:hAnsi="Arial"/>
          <w:sz w:val="18"/>
          <w:szCs w:val="18"/>
          <w:b w:val="1"/>
          <w:bCs w:val="1"/>
          <w:color w:val="auto"/>
        </w:rPr>
      </w:pPr>
    </w:p>
    <w:p>
      <w:pPr>
        <w:jc w:val="both"/>
        <w:ind w:firstLine="656"/>
        <w:spacing w:after="0" w:line="268" w:lineRule="auto"/>
        <w:tabs>
          <w:tab w:leader="none" w:pos="1167"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(as Owner) and Tenant (as Licensee) are parties to that certain Telecommunications License Agreement dated October 23, 2019 (the “</w:t>
      </w:r>
      <w:r>
        <w:rPr>
          <w:rFonts w:ascii="Arial" w:cs="Arial" w:eastAsia="Arial" w:hAnsi="Arial"/>
          <w:sz w:val="18"/>
          <w:szCs w:val="18"/>
          <w:b w:val="1"/>
          <w:bCs w:val="1"/>
          <w:color w:val="auto"/>
        </w:rPr>
        <w:t>License Agreement</w:t>
      </w:r>
      <w:r>
        <w:rPr>
          <w:rFonts w:ascii="Arial" w:cs="Arial" w:eastAsia="Arial" w:hAnsi="Arial"/>
          <w:sz w:val="18"/>
          <w:szCs w:val="18"/>
          <w:color w:val="auto"/>
        </w:rPr>
        <w:t>”). Pursuant to the License Agreement, Tenant has the License to use the License Space and the Approved Facilities at the Building for the Permitted Use thereunder (as such terms are defined in the License Agreement).</w:t>
      </w:r>
    </w:p>
    <w:p>
      <w:pPr>
        <w:spacing w:after="0" w:line="170" w:lineRule="exact"/>
        <w:rPr>
          <w:rFonts w:ascii="Arial" w:cs="Arial" w:eastAsia="Arial" w:hAnsi="Arial"/>
          <w:sz w:val="18"/>
          <w:szCs w:val="18"/>
          <w:b w:val="1"/>
          <w:bCs w:val="1"/>
          <w:color w:val="auto"/>
        </w:rPr>
      </w:pPr>
    </w:p>
    <w:p>
      <w:pPr>
        <w:ind w:firstLine="656"/>
        <w:spacing w:after="0" w:line="287" w:lineRule="auto"/>
        <w:tabs>
          <w:tab w:leader="none" w:pos="1055"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Landlord and Tenant desire to amend the Lease to extend the Term of the Lease, and to modify other provisions of the Lease, as more particularly described herein.</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mutual covenants contained herein, Landlord and Tenant hereby agree to amend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Lease as follows:</w:t>
      </w:r>
    </w:p>
    <w:p>
      <w:pPr>
        <w:spacing w:after="0" w:line="194" w:lineRule="exact"/>
        <w:rPr>
          <w:sz w:val="20"/>
          <w:szCs w:val="20"/>
          <w:color w:val="auto"/>
        </w:rPr>
      </w:pPr>
    </w:p>
    <w:p>
      <w:pPr>
        <w:ind w:left="1300" w:hanging="644"/>
        <w:spacing w:after="0"/>
        <w:tabs>
          <w:tab w:leader="none" w:pos="1300" w:val="left"/>
        </w:tabs>
        <w:numPr>
          <w:ilvl w:val="1"/>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w:t>
      </w:r>
      <w:r>
        <w:rPr>
          <w:rFonts w:ascii="Arial" w:cs="Arial" w:eastAsia="Arial" w:hAnsi="Arial"/>
          <w:sz w:val="18"/>
          <w:szCs w:val="18"/>
          <w:color w:val="auto"/>
        </w:rPr>
        <w:t>.</w:t>
      </w:r>
    </w:p>
    <w:p>
      <w:pPr>
        <w:spacing w:after="0" w:line="198" w:lineRule="exact"/>
        <w:rPr>
          <w:rFonts w:ascii="Arial" w:cs="Arial" w:eastAsia="Arial" w:hAnsi="Arial"/>
          <w:sz w:val="18"/>
          <w:szCs w:val="18"/>
          <w:b w:val="1"/>
          <w:bCs w:val="1"/>
          <w:color w:val="auto"/>
        </w:rPr>
      </w:pPr>
    </w:p>
    <w:p>
      <w:pPr>
        <w:jc w:val="both"/>
        <w:ind w:firstLine="1304"/>
        <w:spacing w:after="0" w:line="260" w:lineRule="auto"/>
        <w:tabs>
          <w:tab w:leader="none" w:pos="1932" w:val="left"/>
        </w:tabs>
        <w:numPr>
          <w:ilvl w:val="2"/>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Extension of the Term</w:t>
      </w:r>
      <w:r>
        <w:rPr>
          <w:rFonts w:ascii="Arial" w:cs="Arial" w:eastAsia="Arial" w:hAnsi="Arial"/>
          <w:sz w:val="18"/>
          <w:szCs w:val="18"/>
          <w:color w:val="auto"/>
        </w:rPr>
        <w:t>. It is hereby confirmed and agreed that the Term of the Lease is currently scheduled to expire</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the terms thereof on July 31, 2026. Effective as of the date hereof, the Term is hereby extended for an additional period of one</w:t>
      </w:r>
    </w:p>
    <w:p>
      <w:pPr>
        <w:spacing w:after="0" w:line="1" w:lineRule="exact"/>
        <w:rPr>
          <w:rFonts w:ascii="Arial" w:cs="Arial" w:eastAsia="Arial" w:hAnsi="Arial"/>
          <w:sz w:val="18"/>
          <w:szCs w:val="18"/>
          <w:color w:val="auto"/>
        </w:rPr>
      </w:pPr>
    </w:p>
    <w:p>
      <w:pPr>
        <w:jc w:val="both"/>
        <w:ind w:firstLine="8"/>
        <w:spacing w:after="0" w:line="254" w:lineRule="auto"/>
        <w:tabs>
          <w:tab w:leader="none" w:pos="281" w:val="left"/>
        </w:tabs>
        <w:numPr>
          <w:ilvl w:val="0"/>
          <w:numId w:val="4"/>
        </w:numPr>
        <w:rPr>
          <w:rFonts w:ascii="Arial" w:cs="Arial" w:eastAsia="Arial" w:hAnsi="Arial"/>
          <w:sz w:val="18"/>
          <w:szCs w:val="18"/>
          <w:color w:val="auto"/>
        </w:rPr>
      </w:pPr>
      <w:r>
        <w:rPr>
          <w:rFonts w:ascii="Arial" w:cs="Arial" w:eastAsia="Arial" w:hAnsi="Arial"/>
          <w:sz w:val="18"/>
          <w:szCs w:val="18"/>
          <w:color w:val="auto"/>
        </w:rPr>
        <w:t>month, commencing August 1, 2026 (the “</w:t>
      </w:r>
      <w:r>
        <w:rPr>
          <w:rFonts w:ascii="Arial" w:cs="Arial" w:eastAsia="Arial" w:hAnsi="Arial"/>
          <w:sz w:val="18"/>
          <w:szCs w:val="18"/>
          <w:b w:val="1"/>
          <w:bCs w:val="1"/>
          <w:color w:val="auto"/>
        </w:rPr>
        <w:t>Extension Date</w:t>
      </w:r>
      <w:r>
        <w:rPr>
          <w:rFonts w:ascii="Arial" w:cs="Arial" w:eastAsia="Arial" w:hAnsi="Arial"/>
          <w:sz w:val="18"/>
          <w:szCs w:val="18"/>
          <w:color w:val="auto"/>
        </w:rPr>
        <w:t>”), and expiring August 31, 2026 (the “</w:t>
      </w:r>
      <w:r>
        <w:rPr>
          <w:rFonts w:ascii="Arial" w:cs="Arial" w:eastAsia="Arial" w:hAnsi="Arial"/>
          <w:sz w:val="18"/>
          <w:szCs w:val="18"/>
          <w:b w:val="1"/>
          <w:bCs w:val="1"/>
          <w:color w:val="auto"/>
        </w:rPr>
        <w:t>Expiration Date</w:t>
      </w:r>
      <w:r>
        <w:rPr>
          <w:rFonts w:ascii="Arial" w:cs="Arial" w:eastAsia="Arial" w:hAnsi="Arial"/>
          <w:sz w:val="18"/>
          <w:szCs w:val="18"/>
          <w:color w:val="auto"/>
        </w:rPr>
        <w:t xml:space="preserve">”). From and after the date hereof, all references to the “Term” in the Lease and this Amendment shall be deemed references to the Term of the Lease, as extended by this Amendment, and all references to the “Expiration Date” in the Lease and this Amendment shall be deemed references to August 31, 2026, unless the Expiration Date is further extended to September 30, 2026, pursuant to and in accordance with the terms and conditions of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(Additional Extended Term) below.</w:t>
      </w:r>
    </w:p>
    <w:p>
      <w:pPr>
        <w:spacing w:after="0" w:line="182" w:lineRule="exact"/>
        <w:rPr>
          <w:rFonts w:ascii="Arial" w:cs="Arial" w:eastAsia="Arial" w:hAnsi="Arial"/>
          <w:sz w:val="18"/>
          <w:szCs w:val="18"/>
          <w:color w:val="auto"/>
        </w:rPr>
      </w:pPr>
    </w:p>
    <w:p>
      <w:pPr>
        <w:jc w:val="both"/>
        <w:ind w:firstLine="1304"/>
        <w:spacing w:after="0" w:line="255" w:lineRule="auto"/>
        <w:tabs>
          <w:tab w:leader="none" w:pos="1932" w:val="left"/>
        </w:tabs>
        <w:numPr>
          <w:ilvl w:val="2"/>
          <w:numId w:val="4"/>
        </w:numPr>
        <w:rPr>
          <w:rFonts w:ascii="Arial" w:cs="Arial" w:eastAsia="Arial" w:hAnsi="Arial"/>
          <w:sz w:val="18"/>
          <w:szCs w:val="18"/>
          <w:color w:val="auto"/>
        </w:rPr>
      </w:pPr>
      <w:r>
        <w:rPr>
          <w:rFonts w:ascii="Arial" w:cs="Arial" w:eastAsia="Arial" w:hAnsi="Arial"/>
          <w:sz w:val="18"/>
          <w:szCs w:val="18"/>
          <w:i w:val="1"/>
          <w:iCs w:val="1"/>
          <w:u w:val="single" w:color="auto"/>
          <w:color w:val="auto"/>
        </w:rPr>
        <w:t>Additional Extended Term</w:t>
      </w:r>
      <w:r>
        <w:rPr>
          <w:rFonts w:ascii="Arial" w:cs="Arial" w:eastAsia="Arial" w:hAnsi="Arial"/>
          <w:sz w:val="18"/>
          <w:szCs w:val="18"/>
          <w:color w:val="auto"/>
        </w:rPr>
        <w:t>. Notwithstanding anything to the contrary in the Lease, as amended, so long as Tenant</w:t>
      </w:r>
      <w:r>
        <w:rPr>
          <w:rFonts w:ascii="Arial" w:cs="Arial" w:eastAsia="Arial" w:hAnsi="Arial"/>
          <w:sz w:val="18"/>
          <w:szCs w:val="18"/>
          <w:i w:val="1"/>
          <w:iCs w:val="1"/>
          <w:color w:val="auto"/>
        </w:rPr>
        <w:t xml:space="preserve"> </w:t>
      </w:r>
      <w:r>
        <w:rPr>
          <w:rFonts w:ascii="Arial" w:cs="Arial" w:eastAsia="Arial" w:hAnsi="Arial"/>
          <w:sz w:val="18"/>
          <w:szCs w:val="18"/>
          <w:color w:val="auto"/>
        </w:rPr>
        <w:t>has not been in default under the Lease, Tenant shall have the right to further extend the Term of the Lease for an additional period of one (1) month through to and including September 30, 2026 (the “</w:t>
      </w:r>
      <w:r>
        <w:rPr>
          <w:rFonts w:ascii="Arial" w:cs="Arial" w:eastAsia="Arial" w:hAnsi="Arial"/>
          <w:sz w:val="18"/>
          <w:szCs w:val="18"/>
          <w:b w:val="1"/>
          <w:bCs w:val="1"/>
          <w:color w:val="auto"/>
        </w:rPr>
        <w:t>Additional Extended Term</w:t>
      </w:r>
      <w:r>
        <w:rPr>
          <w:rFonts w:ascii="Arial" w:cs="Arial" w:eastAsia="Arial" w:hAnsi="Arial"/>
          <w:sz w:val="18"/>
          <w:szCs w:val="18"/>
          <w:color w:val="auto"/>
        </w:rPr>
        <w:t>”). In order to further extend the Term for the Additional Extended Term, Tenant shall, on or before August 15, 2026, deliver to Landlord a written notice confirming Tenant’s election to further extend the Term (the “</w:t>
      </w:r>
      <w:r>
        <w:rPr>
          <w:rFonts w:ascii="Arial" w:cs="Arial" w:eastAsia="Arial" w:hAnsi="Arial"/>
          <w:sz w:val="18"/>
          <w:szCs w:val="18"/>
          <w:b w:val="1"/>
          <w:bCs w:val="1"/>
          <w:color w:val="auto"/>
        </w:rPr>
        <w:t>Extension Notice</w:t>
      </w:r>
      <w:r>
        <w:rPr>
          <w:rFonts w:ascii="Arial" w:cs="Arial" w:eastAsia="Arial" w:hAnsi="Arial"/>
          <w:sz w:val="18"/>
          <w:szCs w:val="18"/>
          <w:color w:val="auto"/>
        </w:rPr>
        <w:t xml:space="preserve">”), which Extension Notice may be delivered to Landlord via email to [***] at [***], or such other email address provided by Landlord to Tenant in writing, with a follow up copy being sent to Landlord’s notice address under the Lease. If Tenant properly and timely exercises its right to extend the Term for the Additional Extended Term pursuant to this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(Additional Extended Term), then from and after Tenant’s delivery of the Extension Notice to Landlord in accordance with this </w:t>
      </w:r>
      <w:r>
        <w:rPr>
          <w:rFonts w:ascii="Arial" w:cs="Arial" w:eastAsia="Arial" w:hAnsi="Arial"/>
          <w:sz w:val="18"/>
          <w:szCs w:val="18"/>
          <w:u w:val="single" w:color="auto"/>
          <w:color w:val="auto"/>
        </w:rPr>
        <w:t>Section 1.b</w:t>
      </w:r>
    </w:p>
    <w:p>
      <w:pPr>
        <w:spacing w:after="0" w:line="200" w:lineRule="exact"/>
        <w:rPr>
          <w:sz w:val="20"/>
          <w:szCs w:val="20"/>
          <w:color w:val="auto"/>
        </w:rPr>
      </w:pPr>
    </w:p>
    <w:p>
      <w:pPr>
        <w:spacing w:after="0" w:line="20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17"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74"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4"/>
          <w:szCs w:val="14"/>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(Additional Extended Term), all references to the “Term” in the Lease and this Amendment shall be deemed references to the Term of the Lease, as extended by the Additional Extended Term, and all references to the “Expiration Date” in the Lease and this Amendment shall be deemed references to September 30, 2026. Tenant shall have no additional right to extend the Term of the Lease beyond the Additional Extended Term, and in no event shall the Term of the Lease extend beyond September 30, 2026, as provided herein.</w:t>
      </w:r>
    </w:p>
    <w:p>
      <w:pPr>
        <w:spacing w:after="0" w:line="163" w:lineRule="exact"/>
        <w:rPr>
          <w:sz w:val="20"/>
          <w:szCs w:val="20"/>
          <w:color w:val="auto"/>
        </w:rPr>
      </w:pPr>
    </w:p>
    <w:p>
      <w:pPr>
        <w:jc w:val="both"/>
        <w:ind w:right="20" w:firstLine="656"/>
        <w:spacing w:after="0" w:line="231"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 and Use of Premises</w:t>
      </w:r>
      <w:r>
        <w:rPr>
          <w:rFonts w:ascii="Arial" w:cs="Arial" w:eastAsia="Arial" w:hAnsi="Arial"/>
          <w:sz w:val="18"/>
          <w:szCs w:val="18"/>
          <w:color w:val="auto"/>
        </w:rPr>
        <w:t>. Landlord shall have no obligation whatsoever to construct leasehold improvements for</w:t>
      </w:r>
      <w:r>
        <w:rPr>
          <w:rFonts w:ascii="Arial" w:cs="Arial" w:eastAsia="Arial" w:hAnsi="Arial"/>
          <w:sz w:val="18"/>
          <w:szCs w:val="18"/>
          <w:b w:val="1"/>
          <w:bCs w:val="1"/>
          <w:color w:val="auto"/>
        </w:rPr>
        <w:t xml:space="preserve"> </w:t>
      </w:r>
      <w:r>
        <w:rPr>
          <w:rFonts w:ascii="Arial" w:cs="Arial" w:eastAsia="Arial" w:hAnsi="Arial"/>
          <w:sz w:val="18"/>
          <w:szCs w:val="18"/>
          <w:color w:val="auto"/>
        </w:rPr>
        <w:t>Tenant or to repair or refurbish the Premises. Tenant confirms that (a) it has accepted the Premises and will continue to occupy such space “</w:t>
      </w:r>
      <w:r>
        <w:rPr>
          <w:rFonts w:ascii="Arial" w:cs="Arial" w:eastAsia="Arial" w:hAnsi="Arial"/>
          <w:sz w:val="18"/>
          <w:szCs w:val="18"/>
          <w:b w:val="1"/>
          <w:bCs w:val="1"/>
          <w:color w:val="auto"/>
        </w:rPr>
        <w:t>AS-IS</w:t>
      </w:r>
      <w:r>
        <w:rPr>
          <w:rFonts w:ascii="Arial" w:cs="Arial" w:eastAsia="Arial" w:hAnsi="Arial"/>
          <w:sz w:val="18"/>
          <w:szCs w:val="18"/>
          <w:color w:val="auto"/>
        </w:rPr>
        <w:t>”, (b) the Premises are suited for the use intended by Tenant, and (c) the Premises are in good and satisfactory condition.</w:t>
      </w:r>
    </w:p>
    <w:p>
      <w:pPr>
        <w:spacing w:after="0" w:line="158" w:lineRule="exact"/>
        <w:rPr>
          <w:rFonts w:ascii="Arial" w:cs="Arial" w:eastAsia="Arial" w:hAnsi="Arial"/>
          <w:sz w:val="18"/>
          <w:szCs w:val="18"/>
          <w:b w:val="1"/>
          <w:bCs w:val="1"/>
          <w:color w:val="auto"/>
        </w:rPr>
      </w:pPr>
    </w:p>
    <w:p>
      <w:pPr>
        <w:jc w:val="both"/>
        <w:ind w:firstLine="656"/>
        <w:spacing w:after="0" w:line="221"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 In addition to all other amounts due and payable by Tenant under the Lease, Tenant shall pay Base Rent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the terms of the Lease, as amended. From and after the Extension Date, and continuing through to and including the Expiration Date hereunder (as may be extended through to and including September 30, 2026, pursuant to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(Additional Extended Term) above), Tenant shall pay Base Rent in the amount of $43,696.00 per month (calculated at the rate of $2.00 per rentable square foot of the Premises per month).</w:t>
      </w:r>
    </w:p>
    <w:p>
      <w:pPr>
        <w:spacing w:after="0" w:line="154" w:lineRule="exact"/>
        <w:rPr>
          <w:rFonts w:ascii="Arial" w:cs="Arial" w:eastAsia="Arial" w:hAnsi="Arial"/>
          <w:sz w:val="18"/>
          <w:szCs w:val="18"/>
          <w:b w:val="1"/>
          <w:bCs w:val="1"/>
          <w:color w:val="auto"/>
        </w:rPr>
      </w:pPr>
    </w:p>
    <w:p>
      <w:pPr>
        <w:ind w:firstLine="656"/>
        <w:spacing w:after="0" w:line="256"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Operating Expenses and Taxes</w:t>
      </w:r>
      <w:r>
        <w:rPr>
          <w:rFonts w:ascii="Arial" w:cs="Arial" w:eastAsia="Arial" w:hAnsi="Arial"/>
          <w:sz w:val="18"/>
          <w:szCs w:val="18"/>
          <w:color w:val="auto"/>
        </w:rPr>
        <w:t>. In addition to all other amounts due and payable by Tenant under the Lease, Tenant shall</w:t>
      </w:r>
      <w:r>
        <w:rPr>
          <w:rFonts w:ascii="Arial" w:cs="Arial" w:eastAsia="Arial" w:hAnsi="Arial"/>
          <w:sz w:val="18"/>
          <w:szCs w:val="18"/>
          <w:b w:val="1"/>
          <w:bCs w:val="1"/>
          <w:color w:val="auto"/>
        </w:rPr>
        <w:t xml:space="preserve"> </w:t>
      </w:r>
      <w:r>
        <w:rPr>
          <w:rFonts w:ascii="Arial" w:cs="Arial" w:eastAsia="Arial" w:hAnsi="Arial"/>
          <w:sz w:val="18"/>
          <w:szCs w:val="18"/>
          <w:color w:val="auto"/>
        </w:rPr>
        <w:t>pay Tenant’s Share of Operating Expenses and Taxes pursuant to the terms of the Lease, as amended.</w:t>
      </w:r>
    </w:p>
    <w:p>
      <w:pPr>
        <w:spacing w:after="0" w:line="138" w:lineRule="exact"/>
        <w:rPr>
          <w:rFonts w:ascii="Arial" w:cs="Arial" w:eastAsia="Arial" w:hAnsi="Arial"/>
          <w:sz w:val="18"/>
          <w:szCs w:val="18"/>
          <w:b w:val="1"/>
          <w:bCs w:val="1"/>
          <w:color w:val="auto"/>
        </w:rPr>
      </w:pPr>
    </w:p>
    <w:p>
      <w:pPr>
        <w:jc w:val="both"/>
        <w:ind w:firstLine="656"/>
        <w:spacing w:after="0" w:line="233"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Landlord is currently holding a Security Deposit in the amount of $199,570.56 under the Lease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xml:space="preserve">”). The Security Deposit shall be held pursuant to the terms of the Lease, including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(Security Deposit) of the Original Lease, through the date Tenant has satisfied all of its obligations of the Lease, as amended.</w:t>
      </w:r>
    </w:p>
    <w:p>
      <w:pPr>
        <w:spacing w:after="0" w:line="153" w:lineRule="exact"/>
        <w:rPr>
          <w:rFonts w:ascii="Arial" w:cs="Arial" w:eastAsia="Arial" w:hAnsi="Arial"/>
          <w:sz w:val="18"/>
          <w:szCs w:val="18"/>
          <w:b w:val="1"/>
          <w:bCs w:val="1"/>
          <w:color w:val="auto"/>
        </w:rPr>
      </w:pPr>
    </w:p>
    <w:p>
      <w:pPr>
        <w:jc w:val="both"/>
        <w:ind w:firstLine="656"/>
        <w:spacing w:after="0" w:line="221"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Brokers</w:t>
      </w:r>
      <w:r>
        <w:rPr>
          <w:rFonts w:ascii="Arial" w:cs="Arial" w:eastAsia="Arial" w:hAnsi="Arial"/>
          <w:sz w:val="18"/>
          <w:szCs w:val="18"/>
          <w:color w:val="auto"/>
        </w:rPr>
        <w:t>. Tenant represents and warrants to Landlord that it has not engaged any broker, finder or other person who would</w:t>
      </w:r>
      <w:r>
        <w:rPr>
          <w:rFonts w:ascii="Arial" w:cs="Arial" w:eastAsia="Arial" w:hAnsi="Arial"/>
          <w:sz w:val="18"/>
          <w:szCs w:val="18"/>
          <w:b w:val="1"/>
          <w:bCs w:val="1"/>
          <w:color w:val="auto"/>
        </w:rPr>
        <w:t xml:space="preserve"> </w:t>
      </w:r>
      <w:r>
        <w:rPr>
          <w:rFonts w:ascii="Arial" w:cs="Arial" w:eastAsia="Arial" w:hAnsi="Arial"/>
          <w:sz w:val="18"/>
          <w:szCs w:val="18"/>
          <w:color w:val="auto"/>
        </w:rPr>
        <w:t>be entitled to any commission or fees in respect of the negotiation, execution or delivery of this Amendment, and shall indemnify, defend and hold harmless Landlord against any loss, cost, liability or expense incurred by Landlord as a result of any claim asserted by any broker, finder or other person on the basis of any arrangements or agreements made or alleged to have been made by or on behalf of Tenant. The provisions of this section shall not apply to brokers with whom Landlord has an express written broker agreement.</w:t>
      </w:r>
    </w:p>
    <w:p>
      <w:pPr>
        <w:spacing w:after="0" w:line="167" w:lineRule="exact"/>
        <w:rPr>
          <w:rFonts w:ascii="Arial" w:cs="Arial" w:eastAsia="Arial" w:hAnsi="Arial"/>
          <w:sz w:val="18"/>
          <w:szCs w:val="18"/>
          <w:b w:val="1"/>
          <w:bCs w:val="1"/>
          <w:color w:val="auto"/>
        </w:rPr>
      </w:pPr>
    </w:p>
    <w:p>
      <w:pPr>
        <w:jc w:val="both"/>
        <w:ind w:firstLine="656"/>
        <w:spacing w:after="0" w:line="227"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The Lease, as amended by this Amendment, and the Extension Notice (if delivered by Tenant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pursuant to </w:t>
      </w:r>
      <w:r>
        <w:rPr>
          <w:rFonts w:ascii="Arial" w:cs="Arial" w:eastAsia="Arial" w:hAnsi="Arial"/>
          <w:sz w:val="18"/>
          <w:szCs w:val="18"/>
          <w:u w:val="single" w:color="auto"/>
          <w:color w:val="auto"/>
        </w:rPr>
        <w:t>Section 1.b</w:t>
      </w:r>
      <w:r>
        <w:rPr>
          <w:rFonts w:ascii="Arial" w:cs="Arial" w:eastAsia="Arial" w:hAnsi="Arial"/>
          <w:sz w:val="18"/>
          <w:szCs w:val="18"/>
          <w:color w:val="auto"/>
        </w:rPr>
        <w:t xml:space="preserve"> (Additional Extended Term) above), constitutes the entire agreement between Landlord and Tenant regarding the subject matter hereof and supersedes all verbal statements and prior writings related thereto.</w:t>
      </w:r>
    </w:p>
    <w:p>
      <w:pPr>
        <w:spacing w:after="0" w:line="168" w:lineRule="exact"/>
        <w:rPr>
          <w:rFonts w:ascii="Arial" w:cs="Arial" w:eastAsia="Arial" w:hAnsi="Arial"/>
          <w:sz w:val="18"/>
          <w:szCs w:val="18"/>
          <w:b w:val="1"/>
          <w:bCs w:val="1"/>
          <w:color w:val="auto"/>
        </w:rPr>
      </w:pPr>
    </w:p>
    <w:p>
      <w:pPr>
        <w:ind w:firstLine="656"/>
        <w:spacing w:after="0"/>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Continuing Effectiveness</w:t>
      </w:r>
      <w:r>
        <w:rPr>
          <w:rFonts w:ascii="Arial" w:cs="Arial" w:eastAsia="Arial" w:hAnsi="Arial"/>
          <w:sz w:val="18"/>
          <w:szCs w:val="18"/>
          <w:color w:val="auto"/>
        </w:rPr>
        <w:t>. The Lease, except as amended hereby, remains unamended, and as amended hereby, remains</w:t>
      </w:r>
      <w:r>
        <w:rPr>
          <w:rFonts w:ascii="Arial" w:cs="Arial" w:eastAsia="Arial" w:hAnsi="Arial"/>
          <w:sz w:val="18"/>
          <w:szCs w:val="18"/>
          <w:b w:val="1"/>
          <w:bCs w:val="1"/>
          <w:color w:val="auto"/>
        </w:rPr>
        <w:t xml:space="preserve"> </w:t>
      </w:r>
      <w:r>
        <w:rPr>
          <w:rFonts w:ascii="Arial" w:cs="Arial" w:eastAsia="Arial" w:hAnsi="Arial"/>
          <w:sz w:val="18"/>
          <w:szCs w:val="18"/>
          <w:color w:val="auto"/>
        </w:rPr>
        <w:t>in full force and effect. Tenant hereby confirms that no default exists under the Lease.</w:t>
      </w:r>
    </w:p>
    <w:p>
      <w:pPr>
        <w:spacing w:after="0" w:line="153" w:lineRule="exact"/>
        <w:rPr>
          <w:rFonts w:ascii="Arial" w:cs="Arial" w:eastAsia="Arial" w:hAnsi="Arial"/>
          <w:sz w:val="18"/>
          <w:szCs w:val="18"/>
          <w:b w:val="1"/>
          <w:bCs w:val="1"/>
          <w:color w:val="auto"/>
        </w:rPr>
      </w:pPr>
    </w:p>
    <w:p>
      <w:pPr>
        <w:jc w:val="both"/>
        <w:ind w:firstLine="656"/>
        <w:spacing w:after="0" w:line="225" w:lineRule="auto"/>
        <w:tabs>
          <w:tab w:leader="none" w:pos="12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 Electronic Delivery/Signatures</w:t>
      </w:r>
      <w:r>
        <w:rPr>
          <w:rFonts w:ascii="Arial" w:cs="Arial" w:eastAsia="Arial" w:hAnsi="Arial"/>
          <w:sz w:val="18"/>
          <w:szCs w:val="18"/>
          <w:color w:val="auto"/>
        </w:rPr>
        <w:t>. This Amendment may be executed in one (1) or more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constitute an original and all of which shall be one and the same agreement. The parties may exchange electronic counterpart signatures by electronic transmission and the same shall constitute execution and delivery of this Amendment with respect to the delivering party. If a variation or discrepancy among counterparts occurs, the copy of this Amendment in Landlord's possession shall control.</w:t>
      </w:r>
    </w:p>
    <w:p>
      <w:pPr>
        <w:spacing w:after="0" w:line="168" w:lineRule="exact"/>
        <w:rPr>
          <w:rFonts w:ascii="Arial" w:cs="Arial" w:eastAsia="Arial" w:hAnsi="Arial"/>
          <w:sz w:val="18"/>
          <w:szCs w:val="18"/>
          <w:b w:val="1"/>
          <w:bCs w:val="1"/>
          <w:color w:val="auto"/>
        </w:rPr>
      </w:pPr>
    </w:p>
    <w:p>
      <w:pPr>
        <w:jc w:val="both"/>
        <w:ind w:firstLine="656"/>
        <w:spacing w:after="0" w:line="225" w:lineRule="auto"/>
        <w:tabs>
          <w:tab w:leader="none" w:pos="128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Execution by Both Parties</w:t>
      </w:r>
      <w:r>
        <w:rPr>
          <w:rFonts w:ascii="Arial" w:cs="Arial" w:eastAsia="Arial" w:hAnsi="Arial"/>
          <w:sz w:val="18"/>
          <w:szCs w:val="18"/>
          <w:color w:val="auto"/>
        </w:rPr>
        <w:t>. Submission of this instrument for examination or signature by Tenant does not constitute a</w:t>
      </w:r>
      <w:r>
        <w:rPr>
          <w:rFonts w:ascii="Arial" w:cs="Arial" w:eastAsia="Arial" w:hAnsi="Arial"/>
          <w:sz w:val="18"/>
          <w:szCs w:val="18"/>
          <w:b w:val="1"/>
          <w:bCs w:val="1"/>
          <w:color w:val="auto"/>
        </w:rPr>
        <w:t xml:space="preserve"> </w:t>
      </w:r>
      <w:r>
        <w:rPr>
          <w:rFonts w:ascii="Arial" w:cs="Arial" w:eastAsia="Arial" w:hAnsi="Arial"/>
          <w:sz w:val="18"/>
          <w:szCs w:val="18"/>
          <w:color w:val="auto"/>
        </w:rPr>
        <w:t>reservation of or an option for lease, and it is not effective as a lease or otherwise until execution and delivery by both Landlord and Tenant has occurred, and Landlord’s lender holding a lien with respect to the Building has approved this Amendment and the terms and conditions hereof.</w:t>
      </w:r>
    </w:p>
    <w:p>
      <w:pPr>
        <w:spacing w:after="0" w:line="155" w:lineRule="exact"/>
        <w:rPr>
          <w:rFonts w:ascii="Arial" w:cs="Arial" w:eastAsia="Arial" w:hAnsi="Arial"/>
          <w:sz w:val="18"/>
          <w:szCs w:val="18"/>
          <w:b w:val="1"/>
          <w:bCs w:val="1"/>
          <w:color w:val="auto"/>
        </w:rPr>
      </w:pPr>
    </w:p>
    <w:p>
      <w:pPr>
        <w:jc w:val="both"/>
        <w:ind w:firstLine="656"/>
        <w:spacing w:after="0" w:line="233" w:lineRule="auto"/>
        <w:tabs>
          <w:tab w:leader="none" w:pos="12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Authorization</w:t>
      </w:r>
      <w:r>
        <w:rPr>
          <w:rFonts w:ascii="Arial" w:cs="Arial" w:eastAsia="Arial" w:hAnsi="Arial"/>
          <w:sz w:val="18"/>
          <w:szCs w:val="18"/>
          <w:color w:val="auto"/>
        </w:rPr>
        <w:t>. The individuals signing on behalf of Tenant each hereby represents and warrants that such individuals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capacity set forth on the signature pages hereof and have full power and authority to bind Tenant to the terms hereof. Two (2) authorized officers must sign on behalf of Tenant.</w:t>
      </w:r>
    </w:p>
    <w:p>
      <w:pPr>
        <w:spacing w:after="0" w:line="153" w:lineRule="exact"/>
        <w:rPr>
          <w:rFonts w:ascii="Arial" w:cs="Arial" w:eastAsia="Arial" w:hAnsi="Arial"/>
          <w:sz w:val="18"/>
          <w:szCs w:val="18"/>
          <w:b w:val="1"/>
          <w:bCs w:val="1"/>
          <w:color w:val="auto"/>
        </w:rPr>
      </w:pPr>
    </w:p>
    <w:p>
      <w:pPr>
        <w:ind w:right="20" w:firstLine="656"/>
        <w:spacing w:after="0"/>
        <w:tabs>
          <w:tab w:leader="none" w:pos="1289"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r>
        <w:rPr>
          <w:rFonts w:ascii="Arial" w:cs="Arial" w:eastAsia="Arial" w:hAnsi="Arial"/>
          <w:sz w:val="18"/>
          <w:szCs w:val="18"/>
          <w:color w:val="auto"/>
        </w:rPr>
        <w:t>. The terms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28.11</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(Confidentiality) of the Original Lease shall continue to apply to the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Lease, as amended hereby.</w:t>
      </w:r>
    </w:p>
    <w:p>
      <w:pPr>
        <w:spacing w:after="0" w:line="3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7"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74"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4"/>
          <w:szCs w:val="14"/>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209" w:lineRule="exact"/>
        <w:rPr>
          <w:sz w:val="20"/>
          <w:szCs w:val="20"/>
          <w:color w:val="auto"/>
        </w:rPr>
      </w:pPr>
    </w:p>
    <w:p>
      <w:pPr>
        <w:ind w:firstLine="656"/>
        <w:spacing w:after="0"/>
        <w:tabs>
          <w:tab w:leader="none" w:pos="128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Required Accessibility Disclosure</w:t>
      </w:r>
      <w:r>
        <w:rPr>
          <w:rFonts w:ascii="Arial" w:cs="Arial" w:eastAsia="Arial" w:hAnsi="Arial"/>
          <w:sz w:val="18"/>
          <w:szCs w:val="18"/>
          <w:color w:val="auto"/>
        </w:rPr>
        <w:t>. The terms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9</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Accessibility Disclosure) of the First 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continue to apply to the Lease, as amended hereby.</w:t>
      </w:r>
    </w:p>
    <w:p>
      <w:pPr>
        <w:spacing w:after="0" w:line="153" w:lineRule="exact"/>
        <w:rPr>
          <w:rFonts w:ascii="Arial" w:cs="Arial" w:eastAsia="Arial" w:hAnsi="Arial"/>
          <w:sz w:val="18"/>
          <w:szCs w:val="18"/>
          <w:b w:val="1"/>
          <w:bCs w:val="1"/>
          <w:color w:val="auto"/>
        </w:rPr>
      </w:pPr>
    </w:p>
    <w:p>
      <w:pPr>
        <w:jc w:val="both"/>
        <w:ind w:firstLine="656"/>
        <w:spacing w:after="0" w:line="215" w:lineRule="auto"/>
        <w:tabs>
          <w:tab w:leader="none" w:pos="1289"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 Not a Qualified Commercial Tenant</w:t>
      </w:r>
      <w:r>
        <w:rPr>
          <w:rFonts w:ascii="Arial" w:cs="Arial" w:eastAsia="Arial" w:hAnsi="Arial"/>
          <w:sz w:val="18"/>
          <w:szCs w:val="18"/>
          <w:color w:val="auto"/>
        </w:rPr>
        <w:t>. Tenant hereby represents and warrants to Landlord that as of the date of</w:t>
      </w:r>
      <w:r>
        <w:rPr>
          <w:rFonts w:ascii="Arial" w:cs="Arial" w:eastAsia="Arial" w:hAnsi="Arial"/>
          <w:sz w:val="18"/>
          <w:szCs w:val="18"/>
          <w:b w:val="1"/>
          <w:bCs w:val="1"/>
          <w:color w:val="auto"/>
        </w:rPr>
        <w:t xml:space="preserve"> </w:t>
      </w:r>
      <w:r>
        <w:rPr>
          <w:rFonts w:ascii="Arial" w:cs="Arial" w:eastAsia="Arial" w:hAnsi="Arial"/>
          <w:sz w:val="18"/>
          <w:szCs w:val="18"/>
          <w:color w:val="auto"/>
        </w:rPr>
        <w:t>execution and delivery of this Amendment, Tenant is not a “qualified commercial tenant” under the terms of California law. Under applicable California law, a “qualified commercial tenant” means and includes an entity which is (i) a private non-profit organization under 501(c)(3) with fewer than 20 employees, (ii) a restaurant with fewer than 10 employees, or (iii) a sole proprietorship, partnership, limited liability company or corporation with 5 or fewer employees (including the owner) which entity generally lacks sufficient access to loans, equity, or other financial capital. If at any time during the Term of the Lease, Tenant becomes an entity which is a “qualified commercial tenant” in accordance with the terms of applicable California law, Tenant covenants and agrees that Tenant shall promptly deliver to Landlord written notice confirming that Tenant has become a “qualified commercial tenant” and setting forth in reasonable detail the facts that support Tenant’s qualification as a “qualified commercial tenant”. Following Landlord’s receipt of such written notification by Tenant, Tenant covenants and agrees to execute and deliver to Landlord such additional provisions and documents as may be required to comply with applicable California law with regard to “qualified commercial tenants”.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[LANDLORD’S SIGNATURE ON PAGE S-1 AND TENANT’S SIGNATURE ON PAGE S-2]</w:t>
      </w:r>
    </w:p>
    <w:p>
      <w:pPr>
        <w:spacing w:after="0" w:line="225"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17" w:right="339" w:bottom="1440" w:gutter="0" w:footer="0" w:header="0"/>
        </w:sectPr>
      </w:pPr>
    </w:p>
    <w:bookmarkStart w:id="7" w:name="page8"/>
    <w:bookmarkEnd w:id="7"/>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74"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4"/>
          <w:szCs w:val="14"/>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38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Landlord has executed this Amendment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BIXBY SPE FINANCE 11, LLC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Bixby SPE Finance, LLC,</w:t>
      </w:r>
    </w:p>
    <w:p>
      <w:pPr>
        <w:spacing w:after="0" w:line="2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Delaware limited liability company</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its sole Member and Manager</w:t>
      </w:r>
    </w:p>
    <w:p>
      <w:pPr>
        <w:spacing w:after="0" w:line="207" w:lineRule="exact"/>
        <w:rPr>
          <w:sz w:val="20"/>
          <w:szCs w:val="20"/>
          <w:color w:val="auto"/>
        </w:rPr>
      </w:pPr>
    </w:p>
    <w:p>
      <w:pPr>
        <w:ind w:left="200"/>
        <w:spacing w:after="0"/>
        <w:tabs>
          <w:tab w:leader="none" w:pos="700" w:val="left"/>
        </w:tabs>
        <w:rPr>
          <w:sz w:val="20"/>
          <w:szCs w:val="20"/>
          <w:color w:val="auto"/>
        </w:rPr>
      </w:pPr>
      <w:r>
        <w:rPr>
          <w:rFonts w:ascii="Arial" w:cs="Arial" w:eastAsia="Arial" w:hAnsi="Arial"/>
          <w:sz w:val="18"/>
          <w:szCs w:val="18"/>
          <w:color w:val="auto"/>
        </w:rPr>
        <w:t>By:</w:t>
        <w:tab/>
        <w:t>Bixby Land Company,</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California corporation</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its sole Member and Manager</w:t>
      </w:r>
    </w:p>
    <w:p>
      <w:pPr>
        <w:spacing w:after="0" w:line="315"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8"/>
          <w:szCs w:val="18"/>
          <w:color w:val="auto"/>
        </w:rPr>
        <w:t>By:</w:t>
        <w:tab/>
        <w:t>/s/ William DeLaney</w:t>
      </w:r>
    </w:p>
    <w:p>
      <w:pPr>
        <w:spacing w:after="0" w:line="11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Name:</w:t>
        <w:tab/>
        <w:t>William DeLaney</w:t>
      </w:r>
    </w:p>
    <w:p>
      <w:pPr>
        <w:spacing w:after="0" w:line="117"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Title:</w:t>
        <w:tab/>
        <w:t>Vice President of Operations</w:t>
      </w:r>
    </w:p>
    <w:p>
      <w:pPr>
        <w:spacing w:after="0" w:line="200" w:lineRule="exact"/>
        <w:rPr>
          <w:sz w:val="20"/>
          <w:szCs w:val="20"/>
          <w:color w:val="auto"/>
        </w:rPr>
      </w:pPr>
    </w:p>
    <w:p>
      <w:pPr>
        <w:spacing w:after="0" w:line="376" w:lineRule="exact"/>
        <w:rPr>
          <w:sz w:val="20"/>
          <w:szCs w:val="20"/>
          <w:color w:val="auto"/>
        </w:rPr>
      </w:pPr>
    </w:p>
    <w:p>
      <w:pPr>
        <w:ind w:left="400"/>
        <w:spacing w:after="0"/>
        <w:tabs>
          <w:tab w:leader="none" w:pos="900" w:val="left"/>
        </w:tabs>
        <w:rPr>
          <w:sz w:val="20"/>
          <w:szCs w:val="20"/>
          <w:color w:val="auto"/>
        </w:rPr>
      </w:pPr>
      <w:r>
        <w:rPr>
          <w:rFonts w:ascii="Arial" w:cs="Arial" w:eastAsia="Arial" w:hAnsi="Arial"/>
          <w:sz w:val="18"/>
          <w:szCs w:val="18"/>
          <w:color w:val="auto"/>
        </w:rPr>
        <w:t>By:</w:t>
        <w:tab/>
        <w:t>/s/ Matt Ela</w:t>
      </w:r>
    </w:p>
    <w:p>
      <w:pPr>
        <w:spacing w:after="0" w:line="117" w:lineRule="exact"/>
        <w:rPr>
          <w:sz w:val="20"/>
          <w:szCs w:val="20"/>
          <w:color w:val="auto"/>
        </w:rPr>
      </w:pPr>
    </w:p>
    <w:p>
      <w:pPr>
        <w:ind w:left="400"/>
        <w:spacing w:after="0"/>
        <w:tabs>
          <w:tab w:leader="none" w:pos="1120" w:val="left"/>
        </w:tabs>
        <w:rPr>
          <w:sz w:val="20"/>
          <w:szCs w:val="20"/>
          <w:color w:val="auto"/>
        </w:rPr>
      </w:pPr>
      <w:r>
        <w:rPr>
          <w:rFonts w:ascii="Arial" w:cs="Arial" w:eastAsia="Arial" w:hAnsi="Arial"/>
          <w:sz w:val="18"/>
          <w:szCs w:val="18"/>
          <w:color w:val="auto"/>
        </w:rPr>
        <w:t>Name:</w:t>
        <w:tab/>
        <w:t>Matt Ela</w:t>
      </w:r>
    </w:p>
    <w:p>
      <w:pPr>
        <w:spacing w:after="0" w:line="117" w:lineRule="exact"/>
        <w:rPr>
          <w:sz w:val="20"/>
          <w:szCs w:val="20"/>
          <w:color w:val="auto"/>
        </w:rPr>
      </w:pPr>
    </w:p>
    <w:p>
      <w:pPr>
        <w:ind w:left="400"/>
        <w:spacing w:after="0"/>
        <w:tabs>
          <w:tab w:leader="none" w:pos="1020" w:val="left"/>
        </w:tabs>
        <w:rPr>
          <w:sz w:val="20"/>
          <w:szCs w:val="20"/>
          <w:color w:val="auto"/>
        </w:rPr>
      </w:pPr>
      <w:r>
        <w:rPr>
          <w:rFonts w:ascii="Arial" w:cs="Arial" w:eastAsia="Arial" w:hAnsi="Arial"/>
          <w:sz w:val="18"/>
          <w:szCs w:val="18"/>
          <w:color w:val="auto"/>
        </w:rPr>
        <w:t>Title:</w:t>
        <w:tab/>
        <w:t>Chief Operating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[TENANT’S SIGNATURE ON FOLLOWING PAGE S-2]</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320" w:top="117" w:right="339" w:bottom="1440" w:gutter="0" w:footer="0" w:header="0"/>
        </w:sectPr>
      </w:pPr>
    </w:p>
    <w:bookmarkStart w:id="8" w:name="page9"/>
    <w:bookmarkEnd w:id="8"/>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74" w:lineRule="exact"/>
        <w:rPr>
          <w:sz w:val="20"/>
          <w:szCs w:val="20"/>
          <w:color w:val="auto"/>
        </w:rPr>
      </w:pPr>
    </w:p>
    <w:p>
      <w:pPr>
        <w:jc w:val="center"/>
        <w:spacing w:after="0" w:line="302" w:lineRule="auto"/>
        <w:rPr>
          <w:sz w:val="20"/>
          <w:szCs w:val="20"/>
          <w:color w:val="auto"/>
        </w:rPr>
      </w:pPr>
      <w:r>
        <w:rPr>
          <w:rFonts w:ascii="Times New Roman" w:cs="Times New Roman" w:eastAsia="Times New Roman" w:hAnsi="Times New Roman"/>
          <w:sz w:val="14"/>
          <w:szCs w:val="14"/>
          <w:color w:val="auto"/>
        </w:rPr>
        <w:t>CERTAIN INFORMATION IDENTIFIED BY “[***]” HAS BEEN EXCLUDED FROM THE EXHIBIT BECAUSE IT IS BOTH NOT MATERIAL AND IS THE TYPE OF INFORMATION THAT THE REGISTRANT TREATS AS PRIVATE OR CONFIDENTIAL.</w:t>
      </w:r>
    </w:p>
    <w:p>
      <w:pPr>
        <w:spacing w:after="0" w:line="200" w:lineRule="exact"/>
        <w:rPr>
          <w:sz w:val="20"/>
          <w:szCs w:val="20"/>
          <w:color w:val="auto"/>
        </w:rPr>
      </w:pP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Tenant has executed this Amendment as of the day and year first above written.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7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Michael Pisetsky</w:t>
      </w:r>
    </w:p>
    <w:p>
      <w:pPr>
        <w:spacing w:after="0" w:line="27"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Name:</w:t>
        <w:tab/>
        <w:t>Michael Pisetsky</w:t>
      </w:r>
    </w:p>
    <w:p>
      <w:pPr>
        <w:spacing w:after="0" w:line="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Its:</w:t>
        <w:tab/>
        <w:t>Chief Business &amp; Legal Affairs Officer</w:t>
      </w:r>
    </w:p>
    <w:p>
      <w:pPr>
        <w:spacing w:after="0" w:line="200" w:lineRule="exact"/>
        <w:rPr>
          <w:sz w:val="20"/>
          <w:szCs w:val="20"/>
          <w:color w:val="auto"/>
        </w:rPr>
      </w:pPr>
    </w:p>
    <w:p>
      <w:pPr>
        <w:spacing w:after="0" w:line="277"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tab/>
        <w:t>/s/ Anshul Maheshwari</w:t>
      </w:r>
    </w:p>
    <w:p>
      <w:pPr>
        <w:spacing w:after="0" w:line="2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Name:</w:t>
        <w:tab/>
        <w:t>Anshul Maheshwari</w:t>
      </w:r>
    </w:p>
    <w:p>
      <w:pPr>
        <w:spacing w:after="0" w:line="9"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Its:</w:t>
        <w:tab/>
        <w:t>Chief Operating Officer &amp; Financial Officer</w:t>
      </w:r>
    </w:p>
    <w:p>
      <w:pPr>
        <w:spacing w:after="0" w:line="200" w:lineRule="exact"/>
        <w:rPr>
          <w:sz w:val="20"/>
          <w:szCs w:val="20"/>
          <w:color w:val="auto"/>
        </w:rPr>
      </w:pPr>
    </w:p>
    <w:p>
      <w:pPr>
        <w:spacing w:after="0" w:line="25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831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185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Tenant's Tax ID Number (SSN or FEIN)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S-2</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upperLetter"/>
      <w:start w:val="1"/>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
    <w:nsid w:val="46E87C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2026-06-08T15:12:54Z</dcterms:created>
  <dcterms:modified xsi:type="dcterms:W3CDTF">2026-06-08T15:12:54Z</dcterms:modified>
</cp:coreProperties>
</file>