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18"/>
        </w:rPr>
        <w:t>Date of report (Date of earliest event reported): May 5, 2025</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SI-BONE,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tbl>
      <w:tblPr>
        <w:tblW w:w="5410"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001-38701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Suite 101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Santa Clara, CA 95050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(408) 207-0700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include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Former Address, if Changed Since Last Report)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414" w:type="dxa"/>
        <w:jc w:val="center"/>
        <w:tblInd w:w="0" w:type="dxa"/>
        <w:tblLayout w:type="fixed"/>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Title of each class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Trading Symbol(s) </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Name of each exchange on which registered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SIBN</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2025, SI-BONE, Inc. (the "Company") issued a press release (the “Press Release”) announcing results for the quarter ended March 31, 2025. A copy of the Press Release is attached as Exhibit 99.1 to this current report on Form 8-K and is incorporated by reference herein.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0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q125earningsrel.htm">
              <w:r>
                <w:rPr>
                  <w:rStyle w:val="InternetLink"/>
                  <w:rFonts w:ascii="Times New Roman;sans-serif" w:hAnsi="Times New Roman;sans-serif"/>
                  <w:b w:val="false"/>
                  <w:color w:val="0000FF"/>
                  <w:sz w:val="20"/>
                  <w:u w:val="single"/>
                </w:rPr>
                <w:t>Press release dated May 5, 2025</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12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22"/>
        <w:gridCol w:w="222"/>
        <w:gridCol w:w="222"/>
        <w:gridCol w:w="1098"/>
        <w:gridCol w:w="1098"/>
        <w:gridCol w:w="15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612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SI-BONE,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center"/>
        <w:rPr/>
      </w:pPr>
      <w:r>
        <w:rPr/>
        <w:drawing>
          <wp:inline distT="0" distB="0" distL="0" distR="0">
            <wp:extent cx="14668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838200"/>
                    </a:xfrm>
                    <a:prstGeom prst="rect">
                      <a:avLst/>
                    </a:prstGeom>
                  </pic:spPr>
                </pic:pic>
              </a:graphicData>
            </a:graphic>
          </wp:inline>
        </w:drawing>
      </w:r>
    </w:p>
    <w:p>
      <w:pPr>
        <w:pStyle w:val="TextBody"/>
        <w:bidi w:val="0"/>
        <w:spacing w:lineRule="auto" w:line="319" w:before="0" w:after="0"/>
        <w:jc w:val="center"/>
        <w:rPr>
          <w:rFonts w:ascii="Times New Roman;sans-serif" w:hAnsi="Times New Roman;sans-serif"/>
          <w:b/>
          <w:color w:val="000000"/>
          <w:sz w:val="22"/>
        </w:rPr>
      </w:pPr>
      <w:r>
        <w:rPr>
          <w:rFonts w:ascii="Times New Roman;sans-serif" w:hAnsi="Times New Roman;sans-serif"/>
          <w:b/>
          <w:color w:val="000000"/>
          <w:sz w:val="22"/>
        </w:rPr>
        <w:t>SI-BONE, Inc. Reports Financial Results for the First Quarter 2025 and Updates 2025 Guidance</w:t>
      </w:r>
    </w:p>
    <w:p>
      <w:pPr>
        <w:pStyle w:val="TextBody"/>
        <w:bidi w:val="0"/>
        <w:spacing w:lineRule="auto" w:line="319"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Achieved ~25% worldwide revenue growth and positive adjusted EBITDA</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00" w:before="0" w:after="0"/>
        <w:jc w:val="both"/>
        <w:rPr/>
      </w:pPr>
      <w:r>
        <w:rPr>
          <w:rFonts w:ascii="Times New Roman;sans-serif" w:hAnsi="Times New Roman;sans-serif"/>
          <w:b/>
          <w:color w:val="000000"/>
          <w:sz w:val="22"/>
        </w:rPr>
        <w:t>First Quarter 2025 Financial Highlights</w:t>
      </w:r>
      <w:r>
        <w:rPr>
          <w:color w:val="000000"/>
        </w:rPr>
        <w:t xml:space="preserve"> </w:t>
      </w:r>
      <w:r>
        <w:rPr>
          <w:rFonts w:ascii="Times New Roman;sans-serif" w:hAnsi="Times New Roman;sans-serif"/>
          <w:b w:val="false"/>
          <w:i/>
          <w:color w:val="000000"/>
          <w:sz w:val="22"/>
        </w:rPr>
        <w:t>(all comparisons are to the prior year period)</w:t>
      </w:r>
    </w:p>
    <w:p>
      <w:pPr>
        <w:pStyle w:val="TextBody"/>
        <w:bidi w:val="0"/>
        <w:spacing w:lineRule="auto" w:line="400" w:before="0" w:after="0"/>
        <w:ind w:left="0" w:right="0" w:hanging="450"/>
        <w:jc w:val="both"/>
        <w:rPr/>
      </w:pPr>
      <w:r>
        <w:rPr>
          <w:color w:val="000000"/>
        </w:rPr>
        <w:t>•</w:t>
      </w:r>
      <w:r>
        <w:rPr>
          <w:rFonts w:ascii="Times New Roman;sans-serif" w:hAnsi="Times New Roman;sans-serif"/>
          <w:b w:val="false"/>
          <w:color w:val="000000"/>
          <w:sz w:val="22"/>
        </w:rPr>
        <w:t xml:space="preserve">Worldwide revenue of $47.3 million, representing growth of 24.9% </w:t>
      </w:r>
    </w:p>
    <w:p>
      <w:pPr>
        <w:pStyle w:val="TextBody"/>
        <w:bidi w:val="0"/>
        <w:spacing w:lineRule="auto" w:line="400" w:before="0" w:after="0"/>
        <w:ind w:left="0" w:right="0" w:hanging="450"/>
        <w:jc w:val="both"/>
        <w:rPr/>
      </w:pPr>
      <w:r>
        <w:rPr>
          <w:color w:val="000000"/>
        </w:rPr>
        <w:t>•</w:t>
      </w:r>
      <w:r>
        <w:rPr>
          <w:rFonts w:ascii="Times New Roman;sans-serif" w:hAnsi="Times New Roman;sans-serif"/>
          <w:b w:val="false"/>
          <w:color w:val="000000"/>
          <w:sz w:val="22"/>
        </w:rPr>
        <w:t xml:space="preserve">U.S. revenue of $44.8 million, representing growth of 26.6% </w:t>
      </w:r>
    </w:p>
    <w:p>
      <w:pPr>
        <w:pStyle w:val="TextBody"/>
        <w:bidi w:val="0"/>
        <w:spacing w:lineRule="auto" w:line="400" w:before="0" w:after="0"/>
        <w:ind w:left="0" w:right="0" w:hanging="450"/>
        <w:jc w:val="both"/>
        <w:rPr/>
      </w:pPr>
      <w:r>
        <w:rPr>
          <w:color w:val="000000"/>
        </w:rPr>
        <w:t>•</w:t>
      </w:r>
      <w:r>
        <w:rPr>
          <w:rFonts w:ascii="Times New Roman;sans-serif" w:hAnsi="Times New Roman;sans-serif"/>
          <w:b w:val="false"/>
          <w:color w:val="000000"/>
          <w:sz w:val="22"/>
        </w:rPr>
        <w:t xml:space="preserve">Gross margin of 79.7%, representing an improvement of 80 basis points </w:t>
      </w:r>
    </w:p>
    <w:p>
      <w:pPr>
        <w:pStyle w:val="TextBody"/>
        <w:bidi w:val="0"/>
        <w:spacing w:lineRule="auto" w:line="400" w:before="0" w:after="0"/>
        <w:ind w:left="0" w:right="0" w:hanging="450"/>
        <w:jc w:val="both"/>
        <w:rPr/>
      </w:pPr>
      <w:r>
        <w:rPr>
          <w:color w:val="000000"/>
        </w:rPr>
        <w:t>•</w:t>
      </w:r>
      <w:r>
        <w:rPr>
          <w:rFonts w:ascii="Times New Roman;sans-serif" w:hAnsi="Times New Roman;sans-serif"/>
          <w:b w:val="false"/>
          <w:color w:val="000000"/>
          <w:sz w:val="22"/>
        </w:rPr>
        <w:t xml:space="preserve">Net loss of $6.5 million, representing an improvement of 40.0% </w:t>
      </w:r>
    </w:p>
    <w:p>
      <w:pPr>
        <w:pStyle w:val="TextBody"/>
        <w:bidi w:val="0"/>
        <w:spacing w:lineRule="auto" w:line="400" w:before="0" w:after="0"/>
        <w:ind w:left="0" w:right="0" w:hanging="450"/>
        <w:jc w:val="both"/>
        <w:rPr/>
      </w:pPr>
      <w:r>
        <w:rPr>
          <w:color w:val="000000"/>
        </w:rPr>
        <w:t>•</w:t>
      </w:r>
      <w:r>
        <w:rPr>
          <w:rFonts w:ascii="Times New Roman;sans-serif" w:hAnsi="Times New Roman;sans-serif"/>
          <w:b w:val="false"/>
          <w:color w:val="000000"/>
          <w:sz w:val="22"/>
        </w:rPr>
        <w:t xml:space="preserve">Positive adjusted EBITDA of $0.5 million </w:t>
      </w:r>
    </w:p>
    <w:p>
      <w:pPr>
        <w:pStyle w:val="TextBody"/>
        <w:bidi w:val="0"/>
        <w:spacing w:lineRule="auto" w:line="400" w:before="0" w:after="0"/>
        <w:ind w:left="0" w:right="0" w:hanging="450"/>
        <w:jc w:val="both"/>
        <w:rPr/>
      </w:pPr>
      <w:r>
        <w:rPr>
          <w:color w:val="000000"/>
        </w:rPr>
        <w:t>•</w:t>
      </w:r>
      <w:r>
        <w:rPr>
          <w:rFonts w:ascii="Times New Roman;sans-serif" w:hAnsi="Times New Roman;sans-serif"/>
          <w:b w:val="false"/>
          <w:color w:val="000000"/>
          <w:sz w:val="22"/>
        </w:rPr>
        <w:t xml:space="preserve">$144.4 million in cash and equivalents, with net cash usage in the quarter declining 31.7% to $5.6 million </w:t>
      </w:r>
    </w:p>
    <w:p>
      <w:pPr>
        <w:pStyle w:val="TextBody"/>
        <w:bidi w:val="0"/>
        <w:spacing w:before="0" w:after="0"/>
        <w:jc w:val="both"/>
        <w:rPr/>
      </w:pPr>
      <w:r>
        <w:rPr/>
      </w:r>
    </w:p>
    <w:p>
      <w:pPr>
        <w:pStyle w:val="TextBody"/>
        <w:bidi w:val="0"/>
        <w:spacing w:lineRule="auto" w:line="400" w:before="0" w:after="0"/>
        <w:jc w:val="both"/>
        <w:rPr/>
      </w:pPr>
      <w:r>
        <w:rPr>
          <w:rFonts w:ascii="Times New Roman;sans-serif" w:hAnsi="Times New Roman;sans-serif"/>
          <w:b/>
          <w:color w:val="000000"/>
          <w:sz w:val="22"/>
        </w:rPr>
        <w:t xml:space="preserve">Recent Operational Highlights </w:t>
      </w:r>
      <w:r>
        <w:rPr>
          <w:rFonts w:ascii="Times New Roman;sans-serif" w:hAnsi="Times New Roman;sans-serif"/>
          <w:b w:val="false"/>
          <w:i/>
          <w:color w:val="000000"/>
          <w:sz w:val="22"/>
        </w:rPr>
        <w:t>(any comparisons are to the prior year period)</w:t>
      </w:r>
    </w:p>
    <w:p>
      <w:pPr>
        <w:pStyle w:val="TextBody"/>
        <w:bidi w:val="0"/>
        <w:spacing w:lineRule="auto" w:line="400" w:before="0" w:after="0"/>
        <w:ind w:left="0" w:right="0" w:hanging="450"/>
        <w:jc w:val="both"/>
        <w:rPr/>
      </w:pPr>
      <w:r>
        <w:rPr>
          <w:color w:val="000000"/>
        </w:rPr>
        <w:t>•</w:t>
      </w:r>
      <w:r>
        <w:rPr>
          <w:rFonts w:ascii="Times New Roman;sans-serif" w:hAnsi="Times New Roman;sans-serif"/>
          <w:b w:val="false"/>
          <w:color w:val="000000"/>
          <w:sz w:val="22"/>
        </w:rPr>
        <w:t xml:space="preserve">Over 1,400 active U.S. physicians with 300 physicians added in the quarter, representing 27.3% growth </w:t>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2"/>
        </w:rPr>
        <w:t>CMS FY 2026 proposed hospital inpatient rule for New Technology Add-On Payment (“NTAP”) effective October 1, 2025, paying an additional amount up to $3,960 for procedures involving iFuse TORQ TNT</w:t>
      </w:r>
    </w:p>
    <w:p>
      <w:pPr>
        <w:pStyle w:val="TextBody"/>
        <w:bidi w:val="0"/>
        <w:spacing w:before="0" w:after="0"/>
        <w:jc w:val="both"/>
        <w:rPr/>
      </w:pPr>
      <w:r>
        <w:rPr/>
      </w:r>
    </w:p>
    <w:p>
      <w:pPr>
        <w:pStyle w:val="TextBody"/>
        <w:bidi w:val="0"/>
        <w:spacing w:lineRule="auto" w:line="400" w:before="0" w:after="0"/>
        <w:jc w:val="both"/>
        <w:rPr/>
      </w:pPr>
      <w:r>
        <w:rPr>
          <w:rFonts w:ascii="Times New Roman;sans-serif" w:hAnsi="Times New Roman;sans-serif"/>
          <w:b/>
          <w:color w:val="000000"/>
          <w:sz w:val="22"/>
        </w:rPr>
        <w:t xml:space="preserve">SANTA CLARA, Calif. </w:t>
      </w:r>
      <w:r>
        <w:rPr>
          <w:rFonts w:ascii="Times New Roman;sans-serif" w:hAnsi="Times New Roman;sans-serif"/>
          <w:b w:val="false"/>
          <w:color w:val="000000"/>
          <w:sz w:val="22"/>
        </w:rPr>
        <w:t>May 5, 2025 - SI-BONE, Inc. (Nasdaq: SIBN), a medical device company dedicated to solving sacropelvic disorders, today reported financial results for the quarter ended March 31, 2025.</w:t>
      </w:r>
    </w:p>
    <w:p>
      <w:pPr>
        <w:pStyle w:val="TextBody"/>
        <w:bidi w:val="0"/>
        <w:spacing w:before="0" w:after="0"/>
        <w:jc w:val="left"/>
        <w:rPr/>
      </w:pPr>
      <w:r>
        <w:rPr/>
      </w:r>
    </w:p>
    <w:p>
      <w:pPr>
        <w:pStyle w:val="TextBody"/>
        <w:bidi w:val="0"/>
        <w:spacing w:lineRule="auto" w:line="400" w:before="0" w:after="0"/>
        <w:jc w:val="both"/>
        <w:rPr>
          <w:color w:val="000000"/>
        </w:rPr>
      </w:pPr>
      <w:r>
        <w:rPr>
          <w:color w:val="000000"/>
        </w:rPr>
        <w:t>“</w:t>
      </w:r>
      <w:r>
        <w:rPr>
          <w:rFonts w:ascii="Times New Roman;sans-serif" w:hAnsi="Times New Roman;sans-serif"/>
          <w:b w:val="false"/>
          <w:color w:val="000000"/>
          <w:sz w:val="22"/>
        </w:rPr>
        <w:t>Our momentum continues unabated with a strong start to 2025, as we outperformed across all our key value creation metrics. We delivered another quarter of stellar revenue growth, expanded our gross margins and exceeded profitability targets,” said Laura Francis, Chief Executive Officer. “The record number of active physicians added in the quarter illustrates the rapid progress on the adoption of our innovative products launched in the past year. Our focus on innovation backed by our strong commercial execution and operating rigor, has allowed us to build a resilient platform that is poised to continue to deliver outsized revenue growth.”</w:t>
      </w:r>
    </w:p>
    <w:p>
      <w:pPr>
        <w:pStyle w:val="TextBody"/>
        <w:bidi w:val="0"/>
        <w:spacing w:before="0" w:after="0"/>
        <w:jc w:val="left"/>
        <w:rPr/>
      </w:pPr>
      <w:r>
        <w:rPr/>
      </w:r>
    </w:p>
    <w:p>
      <w:pPr>
        <w:pStyle w:val="TextBody"/>
        <w:bidi w:val="0"/>
        <w:spacing w:lineRule="auto" w:line="288" w:before="55" w:after="30"/>
        <w:jc w:val="left"/>
        <w:rPr>
          <w:rFonts w:ascii="Times New Roman;sans-serif" w:hAnsi="Times New Roman;sans-serif"/>
          <w:b/>
          <w:color w:val="000000"/>
          <w:sz w:val="22"/>
        </w:rPr>
      </w:pPr>
      <w:r>
        <w:rPr>
          <w:rFonts w:ascii="Times New Roman;sans-serif" w:hAnsi="Times New Roman;sans-serif"/>
          <w:b/>
          <w:color w:val="000000"/>
          <w:sz w:val="22"/>
        </w:rPr>
        <w:t>First Quarter 2025 Financial Results</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Worldwide revenue was $47.3 million in the first quarter 2025, a 24.9% increase from $37.9 million in the corresponding period in 2024. U.S. revenue for the first quarter 2025 was $44.8 million, a 26.6% increase from $35.4 million in the corresponding period in 2024. U.S revenue growth benefited from the strong underlying procedure demand as well as the rollout of new products in the last 12 months. International revenue for the first quarter 2025 was $2.5 million, compared to $2.4 million in the corresponding period in 2024.</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Gross profit was $37.7 million in the first quarter 2025, an increase of 26.2% from $29.9 million in the corresponding period in 2024. Gross margin was 79.7% for the first quarter 2025 compared to 78.9% in the corresponding period in 2024. </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expenses increased 7.8% to $45.2 million in the first quarter 2025, as compared to $41.9 million in the corresponding period in 2024. The change in operating expenses was primarily driven by general commercial activity related to higher revenue and new product rollout, as well as research and development investments related to future products. </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Operating loss improved by 37.9% to $7.5 million in the first quarter 2025, as compared to an operating loss of $12.0 million in the corresponding period in 2024.</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loss improved by 40.0% to $6.5 million, or $0.15 per diluted share in the first quarter 2025, as compared to a net loss of $10.9 million, or $0.27 per diluted share in the corresponding period in 2024. </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was positive $0.5 million in the first quarter 2025, improving from an adjusted EBITDA loss of $4.0 million in the corresponding period in 2024. </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equivalents as of March 31, 2025 were $144.4 million, compared to $150.0 million on December 31, 2024, representing $5.6 million in net cash usage during the first quarter 2025, an improvement of 31.7% from $8.2 million in net cash usage during the corresponding period in 2024.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Fiscal 2025 Updated Financial Guidance </w:t>
      </w:r>
    </w:p>
    <w:p>
      <w:pPr>
        <w:pStyle w:val="TextBody"/>
        <w:bidi w:val="0"/>
        <w:spacing w:lineRule="auto" w:line="417" w:before="0" w:after="0"/>
        <w:jc w:val="both"/>
        <w:rPr/>
      </w:pPr>
      <w:r>
        <w:rPr>
          <w:rFonts w:ascii="Times New Roman;sans-serif" w:hAnsi="Times New Roman;sans-serif"/>
          <w:b w:val="false"/>
          <w:color w:val="000000"/>
          <w:sz w:val="22"/>
        </w:rPr>
        <w:t>SI-BONE expects 2025 worldwide revenue to be in the range of $193.5 million to $197.5 million, compared to the prior guidance of $193.5 million to $195.5 million.</w:t>
      </w:r>
      <w:r>
        <w:rPr>
          <w:color w:val="000000"/>
        </w:rPr>
        <w:t xml:space="preserve"> </w:t>
      </w:r>
      <w:r>
        <w:rPr>
          <w:rFonts w:ascii="Times New Roman;sans-serif" w:hAnsi="Times New Roman;sans-serif"/>
          <w:b w:val="false"/>
          <w:color w:val="000000"/>
          <w:sz w:val="22"/>
        </w:rPr>
        <w:t>The updated guidance implies year-over-year growth of ~16% to ~18%. SI-BONE estimates full year 2025 gross margin to be 78%, and does not expect a material impact to gross margins from the recently announced tariffs.</w:t>
      </w:r>
      <w:r>
        <w:rPr>
          <w:color w:val="000000"/>
        </w:rPr>
        <w:t xml:space="preserve"> </w:t>
      </w:r>
      <w:r>
        <w:rPr>
          <w:rFonts w:ascii="Times New Roman;sans-serif" w:hAnsi="Times New Roman;sans-serif"/>
          <w:b w:val="false"/>
          <w:color w:val="000000"/>
          <w:sz w:val="22"/>
        </w:rPr>
        <w:t xml:space="preserve">SI-BONE anticipates operating expenses to grow at ~10% at the mid-point of the revenue guidance and expects to deliver positive adjusted EBITDA for the full year 2025. </w:t>
      </w:r>
    </w:p>
    <w:p>
      <w:pPr>
        <w:pStyle w:val="TextBody"/>
        <w:bidi w:val="0"/>
        <w:spacing w:before="0" w:after="0"/>
        <w:jc w:val="both"/>
        <w:rPr/>
      </w:pPr>
      <w:r>
        <w:rPr/>
      </w:r>
    </w:p>
    <w:tbl>
      <w:tblPr>
        <w:tblW w:w="5368" w:type="dxa"/>
        <w:jc w:val="left"/>
        <w:tblInd w:w="0" w:type="dxa"/>
        <w:tblLayout w:type="fixed"/>
        <w:tblCellMar>
          <w:top w:w="28" w:type="dxa"/>
          <w:left w:w="28" w:type="dxa"/>
          <w:bottom w:w="28" w:type="dxa"/>
          <w:right w:w="28" w:type="dxa"/>
        </w:tblCellMar>
      </w:tblPr>
      <w:tblGrid>
        <w:gridCol w:w="645"/>
        <w:gridCol w:w="569"/>
        <w:gridCol w:w="570"/>
        <w:gridCol w:w="585"/>
        <w:gridCol w:w="585"/>
        <w:gridCol w:w="585"/>
        <w:gridCol w:w="530"/>
        <w:gridCol w:w="530"/>
        <w:gridCol w:w="769"/>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2025 Guidance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New (May 5, 2025)</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Prior (Feb 24, 2025)</w:t>
            </w:r>
          </w:p>
        </w:tc>
      </w:tr>
      <w:tr>
        <w:trPr/>
        <w:tc>
          <w:tcPr>
            <w:tcW w:w="17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7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$193.5M - $197.5M</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~16%-18% growth</w:t>
            </w:r>
          </w:p>
        </w:tc>
        <w:tc>
          <w:tcPr>
            <w:tcW w:w="18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$193.5M - $195.5M</w:t>
              <w:br/>
            </w:r>
            <w:r>
              <w:rPr>
                <w:rFonts w:ascii="Times New Roman;sans-serif" w:hAnsi="Times New Roman;sans-serif"/>
                <w:b w:val="false"/>
                <w:i/>
                <w:color w:val="000000"/>
                <w:sz w:val="20"/>
              </w:rPr>
              <w:t>~16%-17% growth</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 - 78%</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growth</w:t>
              <w:br/>
              <w:t>at revenue midpoint</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 growth</w:t>
              <w:br/>
              <w:t>at revenue midpoint</w:t>
            </w:r>
          </w:p>
        </w:tc>
      </w:tr>
      <w:tr>
        <w:trPr/>
        <w:tc>
          <w:tcPr>
            <w:tcW w:w="1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75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Positive</w:t>
            </w:r>
          </w:p>
        </w:tc>
        <w:tc>
          <w:tcPr>
            <w:tcW w:w="182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Positive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758" w:before="0" w:after="0"/>
        <w:jc w:val="both"/>
        <w:rPr>
          <w:rFonts w:ascii="Times New Roman;sans-serif" w:hAnsi="Times New Roman;sans-serif"/>
          <w:b/>
          <w:color w:val="000000"/>
          <w:sz w:val="22"/>
        </w:rPr>
      </w:pPr>
      <w:r>
        <w:rPr>
          <w:rFonts w:ascii="Times New Roman;sans-serif" w:hAnsi="Times New Roman;sans-serif"/>
          <w:b/>
          <w:color w:val="000000"/>
          <w:sz w:val="22"/>
        </w:rPr>
        <w:t>Webcast Information</w: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will host a conference call to discuss the first quarter 2025 financial results after market close on Monday, May 5, 2025 at 4:30 P.M. Eastern Time. The conference call can be accessed live over webcast at https://edge.media-server.com/mmc/p/ueassh6s. Live audio of the webcast will be available on the “Investors” section of the company’s website at: www.si-bone.com. The webcast will be archived and available for replay for at least 90 days after the event.</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color w:val="000000"/>
          <w:sz w:val="22"/>
        </w:rPr>
      </w:pPr>
      <w:r>
        <w:rPr>
          <w:rFonts w:ascii="Times New Roman;sans-serif" w:hAnsi="Times New Roman;sans-serif"/>
          <w:b/>
          <w:color w:val="000000"/>
          <w:sz w:val="22"/>
        </w:rPr>
        <w:t>About SI-BONE, Inc.</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(NASDAQ: SIBN) is a global leader in developing unique technologies for surgical treatment of sacropelvic disorders. Since pioneering minimally invasive SI joint surgery in 2009, SI-BONE has supported over 4,500 physicians in performing a total of over 120,000 procedures. A unique body of clinical evidence supports the use of SI-BONE’s technologies, including two randomized controlled trials and over 160 peer reviewed publications. SI-BONE has leveraged its leadership in minimally invasive SI joint fusion to commercialize novel solutions for adjacent markets, including adult deformity, sacropelvic fixation and pelvic trauma.</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additional information on the company or the products including risks and benefits, please visit www.si-bone.com.</w:t>
      </w:r>
    </w:p>
    <w:p>
      <w:pPr>
        <w:pStyle w:val="TextBody"/>
        <w:bidi w:val="0"/>
        <w:spacing w:before="0" w:after="0"/>
        <w:jc w:val="both"/>
        <w:rPr/>
      </w:pPr>
      <w:r>
        <w:rPr/>
      </w:r>
    </w:p>
    <w:p>
      <w:pPr>
        <w:pStyle w:val="TextBody"/>
        <w:bidi w:val="0"/>
        <w:spacing w:lineRule="auto" w:line="312"/>
        <w:jc w:val="left"/>
        <w:rPr>
          <w:rFonts w:ascii="Times New Roman;sans-serif" w:hAnsi="Times New Roman;sans-serif"/>
          <w:b w:val="false"/>
          <w:color w:val="000000"/>
          <w:sz w:val="22"/>
        </w:rPr>
      </w:pPr>
      <w:r>
        <w:rPr>
          <w:rFonts w:ascii="Times New Roman;sans-serif" w:hAnsi="Times New Roman;sans-serif"/>
          <w:b w:val="false"/>
          <w:color w:val="000000"/>
          <w:sz w:val="22"/>
        </w:rPr>
        <w:t>iFuse Bedrock Granite, iFuse-TORQ TNT and SI-BONE are registered trademarks of SI-BONE, Inc. ©2025 SI-BONE, Inc. All Rights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statements in this press release regarding expectations of future events or results, including SI-BONE’s expectations of continued revenue and procedure growth and financial outlook,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or deterioration in economic conditions as a result of tariffs and retaliation by U.S. trading partners on the ability and desire of patients to undergo elective procedures including those using SI-BONE’s products,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products. Actual results and the timing of events could differ materially from those anticipated in such forward-looking statements as a result of these and other risks and uncertainties, many of which are described in SI-BONE’s most recent filing on Form 10-K, and SI-BONE’s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color w:val="000000"/>
          <w:sz w:val="22"/>
        </w:rPr>
      </w:pPr>
      <w:r>
        <w:rPr>
          <w:rFonts w:ascii="Times New Roman;sans-serif" w:hAnsi="Times New Roman;sans-serif"/>
          <w:b/>
          <w:color w:val="000000"/>
          <w:sz w:val="22"/>
        </w:rPr>
        <w:t>Use of Non-GAAP Financial Measures</w:t>
      </w:r>
    </w:p>
    <w:p>
      <w:pPr>
        <w:pStyle w:val="TextBody"/>
        <w:bidi w:val="0"/>
        <w:spacing w:before="0" w:after="0"/>
        <w:jc w:val="left"/>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pStyle w:val="TextBody"/>
        <w:bidi w:val="0"/>
        <w:spacing w:before="0" w:after="0"/>
        <w:jc w:val="both"/>
        <w:rPr/>
      </w:pPr>
      <w:r>
        <w:rPr/>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ans-serif" w:hAnsi="Times New Roman;sans-serif"/>
          <w:b/>
          <w:color w:val="000000"/>
          <w:sz w:val="22"/>
        </w:rPr>
      </w:pPr>
      <w:r>
        <w:rPr>
          <w:rFonts w:ascii="Times New Roman;sans-serif" w:hAnsi="Times New Roman;sans-serif"/>
          <w:b/>
          <w:color w:val="000000"/>
          <w:sz w:val="22"/>
        </w:rPr>
        <w:t>Investor Contact</w:t>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Saqib Iqbal</w:t>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VP, FP&amp;A, and Investor Relations</w:t>
      </w:r>
    </w:p>
    <w:p>
      <w:pPr>
        <w:pStyle w:val="TextBody"/>
        <w:bidi w:val="0"/>
        <w:spacing w:lineRule="auto" w:line="4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investors@SI-BONE.com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16"/>
        <w:gridCol w:w="2185"/>
        <w:gridCol w:w="2198"/>
        <w:gridCol w:w="244"/>
        <w:gridCol w:w="837"/>
        <w:gridCol w:w="112"/>
        <w:gridCol w:w="112"/>
        <w:gridCol w:w="112"/>
        <w:gridCol w:w="112"/>
        <w:gridCol w:w="240"/>
        <w:gridCol w:w="841"/>
        <w:gridCol w:w="112"/>
        <w:gridCol w:w="109"/>
        <w:gridCol w:w="109"/>
        <w:gridCol w:w="109"/>
        <w:gridCol w:w="157"/>
      </w:tblGrid>
      <w:tr>
        <w:trPr/>
        <w:tc>
          <w:tcPr>
            <w:tcW w:w="2616"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88" w:before="75" w:after="3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42,337,481 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40,934,392 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915" w:type="dxa"/>
        <w:jc w:val="left"/>
        <w:tblInd w:w="0" w:type="dxa"/>
        <w:tblLayout w:type="fixed"/>
        <w:tblCellMar>
          <w:top w:w="28" w:type="dxa"/>
          <w:left w:w="28" w:type="dxa"/>
          <w:bottom w:w="28" w:type="dxa"/>
          <w:right w:w="28" w:type="dxa"/>
        </w:tblCellMar>
      </w:tblPr>
      <w:tblGrid>
        <w:gridCol w:w="1705"/>
        <w:gridCol w:w="1499"/>
        <w:gridCol w:w="1506"/>
        <w:gridCol w:w="237"/>
        <w:gridCol w:w="930"/>
        <w:gridCol w:w="122"/>
        <w:gridCol w:w="109"/>
        <w:gridCol w:w="109"/>
        <w:gridCol w:w="109"/>
        <w:gridCol w:w="281"/>
        <w:gridCol w:w="1103"/>
        <w:gridCol w:w="205"/>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207,779 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227,280 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230,437 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AND STOCKHOLDERS’ EQUITY </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(437,896)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(431,354)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227,280 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230,437 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LOSS TO NON-GAAP ADJUSTED EBITDA</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5977" w:type="dxa"/>
        <w:jc w:val="center"/>
        <w:tblInd w:w="0" w:type="dxa"/>
        <w:tblLayout w:type="fixed"/>
        <w:tblCellMar>
          <w:top w:w="28" w:type="dxa"/>
          <w:left w:w="28" w:type="dxa"/>
          <w:bottom w:w="28" w:type="dxa"/>
          <w:right w:w="28" w:type="dxa"/>
        </w:tblCellMar>
      </w:tblPr>
      <w:tblGrid>
        <w:gridCol w:w="941"/>
        <w:gridCol w:w="821"/>
        <w:gridCol w:w="832"/>
        <w:gridCol w:w="109"/>
        <w:gridCol w:w="109"/>
        <w:gridCol w:w="109"/>
        <w:gridCol w:w="221"/>
        <w:gridCol w:w="726"/>
        <w:gridCol w:w="114"/>
        <w:gridCol w:w="114"/>
        <w:gridCol w:w="114"/>
        <w:gridCol w:w="114"/>
        <w:gridCol w:w="221"/>
        <w:gridCol w:w="837"/>
        <w:gridCol w:w="114"/>
        <w:gridCol w:w="109"/>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2268</Words>
  <Characters>13221</Characters>
  <CharactersWithSpaces>15312</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