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GC &amp; Chief Compliance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03/04/2021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9"/>
              </w:rPr>
              <w:t>100</w:t>
            </w:r>
            <w:r>
              <w:rPr>
                <w:rFonts w:ascii="Arial" w:cs="Arial" w:eastAsia="Arial" w:hAnsi="Arial"/>
                <w:sz w:val="22"/>
                <w:szCs w:val="22"/>
                <w:color w:val="008000"/>
                <w:w w:val="9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75,559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vest in lump sum on May 15, 2022, subject to the Reporting Person's continued service through relevant vesting date.</w:t>
      </w: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57,859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03/08/2021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2021-03-08T15:49:54Z</dcterms:created>
  <dcterms:modified xsi:type="dcterms:W3CDTF">2021-03-08T15:49:54Z</dcterms:modified>
</cp:coreProperties>
</file>