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95050</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04/30/2025</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21,367</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4.68</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266,245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4.68</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04/30/2025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21,367</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03/01/2027</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21,367</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157,982 shares issuable on the settlement of restricted stock units granted to the Reporting Person. Each restricted stock unit represents a contingent right to receive one share of the Issuer's common stock.</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December 12, 2017, subject to Reporting Person's continued service through each relevant vesting date. The shares subject to this option may be exercised prior to vesting, subject to Issuer's right to repurchase.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05/02/2025</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2025-05-02T16:13:38Z</dcterms:created>
  <dcterms:modified xsi:type="dcterms:W3CDTF">2025-05-02T16:13:38Z</dcterms:modified>
</cp:coreProperties>
</file>