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422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4223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352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52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02/16/2026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58"/>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80,994</w:t>
            </w:r>
            <w:r>
              <w:rPr>
                <w:rFonts w:ascii="Times New Roman" w:cs="Times New Roman" w:eastAsia="Times New Roman" w:hAnsi="Times New Roman"/>
                <w:sz w:val="22"/>
                <w:szCs w:val="22"/>
                <w:color w:val="008000"/>
                <w:w w:val="97"/>
                <w:vertAlign w:val="superscript"/>
              </w:rPr>
              <w:t>(1)</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2"/>
          </w:tcPr>
          <w:p>
            <w:pPr>
              <w:jc w:val="center"/>
              <w:ind w:left="8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260,996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02/16/2026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58"/>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13,499</w:t>
            </w:r>
            <w:r>
              <w:rPr>
                <w:rFonts w:ascii="Times New Roman" w:cs="Times New Roman" w:eastAsia="Times New Roman" w:hAnsi="Times New Roman"/>
                <w:sz w:val="22"/>
                <w:szCs w:val="22"/>
                <w:color w:val="008000"/>
                <w:w w:val="97"/>
                <w:vertAlign w:val="superscript"/>
              </w:rPr>
              <w:t>(2)</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2"/>
          </w:tcPr>
          <w:p>
            <w:pPr>
              <w:jc w:val="center"/>
              <w:ind w:left="8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274,495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02/16/2026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58"/>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13,499</w:t>
            </w:r>
            <w:r>
              <w:rPr>
                <w:rFonts w:ascii="Times New Roman" w:cs="Times New Roman" w:eastAsia="Times New Roman" w:hAnsi="Times New Roman"/>
                <w:sz w:val="22"/>
                <w:szCs w:val="22"/>
                <w:color w:val="008000"/>
                <w:w w:val="97"/>
                <w:vertAlign w:val="superscript"/>
              </w:rPr>
              <w:t>(2)</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2"/>
          </w:tcPr>
          <w:p>
            <w:pPr>
              <w:jc w:val="center"/>
              <w:ind w:left="8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287,994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02/17/2026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358"/>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1,279</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15.3501</w:t>
            </w:r>
            <w:r>
              <w:rPr>
                <w:rFonts w:ascii="Times New Roman" w:cs="Times New Roman" w:eastAsia="Times New Roman" w:hAnsi="Times New Roman"/>
                <w:sz w:val="22"/>
                <w:szCs w:val="22"/>
                <w:color w:val="008000"/>
                <w:w w:val="95"/>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286,715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02/17/2026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358"/>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11,104</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15.3593</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275,611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02/17/2026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358"/>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2,189</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15.2881</w:t>
            </w:r>
            <w:r>
              <w:rPr>
                <w:rFonts w:ascii="Times New Roman" w:cs="Times New Roman" w:eastAsia="Times New Roman" w:hAnsi="Times New Roman"/>
                <w:sz w:val="22"/>
                <w:szCs w:val="22"/>
                <w:color w:val="008000"/>
                <w:w w:val="95"/>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273,422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02/17/2026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358"/>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3,065</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15.4597</w:t>
            </w:r>
            <w:r>
              <w:rPr>
                <w:rFonts w:ascii="Times New Roman" w:cs="Times New Roman" w:eastAsia="Times New Roman" w:hAnsi="Times New Roman"/>
                <w:sz w:val="22"/>
                <w:szCs w:val="22"/>
                <w:color w:val="008000"/>
                <w:w w:val="95"/>
                <w:vertAlign w:val="superscript"/>
              </w:rPr>
              <w:t>(7)</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270,357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02/17/2026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358"/>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3,891</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15.4073</w:t>
            </w:r>
            <w:r>
              <w:rPr>
                <w:rFonts w:ascii="Times New Roman" w:cs="Times New Roman" w:eastAsia="Times New Roman" w:hAnsi="Times New Roman"/>
                <w:sz w:val="22"/>
                <w:szCs w:val="22"/>
                <w:color w:val="008000"/>
                <w:w w:val="95"/>
                <w:vertAlign w:val="superscript"/>
              </w:rPr>
              <w:t>(8)</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266,466</w:t>
            </w:r>
            <w:r>
              <w:rPr>
                <w:rFonts w:ascii="Times New Roman" w:cs="Times New Roman" w:eastAsia="Times New Roman" w:hAnsi="Times New Roman"/>
                <w:sz w:val="22"/>
                <w:szCs w:val="22"/>
                <w:color w:val="008000"/>
                <w:w w:val="96"/>
                <w:vertAlign w:val="superscript"/>
              </w:rPr>
              <w:t>(9)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over four years beginning on February 15, 2026, and will be released in quarterly installments, subject to the Reporting Person's continued service through each relevant vesting date.</w:t>
      </w:r>
    </w:p>
    <w:p>
      <w:pPr>
        <w:spacing w:after="0" w:line="2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if at all, over three years based on the Issuer's total shareholder return (TSR) as measured against the TSR of the company at the median of the range TSRs of a set of peer companies established by the Issuer as set forth in the grant.</w:t>
      </w:r>
    </w:p>
    <w:p>
      <w:pPr>
        <w:spacing w:after="0" w:line="2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$15.18 USD to $15.54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$15.13 USD to $15.62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$15.14 USD to $15.52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$15.24 USD to $15.645 USD; the price reported above reflects the weighted average sale price.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$15.24 USD to $15.62 USD; the price reported above reflects the weighted average sale price. The Reporting Person undertakes</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to provide Issuer, any security holder of the Issuer, or the Staff of the Securities and Exchange Commission, upon request, full information regarding the number of shares sold at each separate price within the range set forth in this footnote.</w:t>
      </w:r>
    </w:p>
    <w:p>
      <w:pPr>
        <w:spacing w:after="0" w:line="8" w:lineRule="exact"/>
        <w:rPr>
          <w:sz w:val="20"/>
          <w:szCs w:val="20"/>
          <w:color w:val="auto"/>
        </w:rPr>
      </w:pPr>
    </w:p>
    <w:p>
      <w:pPr>
        <w:ind w:right="22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200,237 shares issuable on the settlement of restricted stock units granted to the Reporting Person. Each restricted stock unit represents a contingent right to receive one share of the Issuer's common stock.</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6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02/18/2026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12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435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80"/>
          </w:cols>
          <w:pgMar w:left="500" w:top="127" w:right="51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9"/>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53089"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2026-02-18T18:15:47Z</dcterms:created>
  <dcterms:modified xsi:type="dcterms:W3CDTF">2026-02-18T18:15:47Z</dcterms:modified>
</cp:coreProperties>
</file>