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20, 2026</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4"/>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jc w:val="cente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1303655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20, 2026, SI-BONE, Inc. (the “Company”) and Orchard Commons, LLC (the “Landlord”) entered into a lease agreement (the “Lease”), pursuant to which the Company will lease approximately 50,485 square feet of space located at 88 West Plumeria Drive, San Jose, California 95134 (the “Premises”).</w:t>
      </w:r>
    </w:p>
    <w:p>
      <w:pPr>
        <w:spacing w:after="0" w:line="20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term of the Lease will commence on the earlier of (a) October 1, 2026 and (b) the date of the Company’s commencement of its business operations in substantially all of the Premises, and will expire on the date that is one hundred and two (102) months from such commencement date. The Company will have one option to extend the term of the Lease for an additional period of five (5) years. The Company also has a one-time right to lease the space of approximately 28,531 square feet that is contiguous to the Premises if and to the extent such space is available. The monthly base rent due under the Lease is initially $128,737 for the first year and is scheduled to increase by approximately 3% per year for each subsequent year. In addition to the base rent, the Company is required to pay its share of operating expenses, which include certain taxes, costs, expenses and disbursements. The Company is also required to provide a security deposit of $163,067 to the Landlord. Subject to customary terms and conditions set forth in the Lease, the Company is entitled to (i) rent abatement for the first six (6) months, (ii) a tenant improvement allowance of $70 per square foot, and (iii) an allowance for power upgrades of $5 per square foot. The Landlord has the right to terminate the Lease upon customary events of default.</w:t>
      </w:r>
    </w:p>
    <w:p>
      <w:pPr>
        <w:spacing w:after="0" w:line="21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Lease does not purport to be complete and is qualified in its entirety by reference to the full text of the Lease, a copy of which will be filed with the Securities and Exchange Commission as an exhibit to the Company’s Annually Report on Form 10-K for the fiscal year ended December 31, 2025 and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February 23, 2026, the Company issued a press release (the “Press Release”) announcing results for the quarter and year ended December 31, 2025. A copy of the Press Release is attached as Exhibit 99.1 to this current report on Form 8-K and is incorporated by reference herein.</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February 22, 2026, the Company appointed Anshul Maheshwari, the Company’s Chief Financial Officer, also as the Company’s Chief Operating Officer, effective February 22, 2026.</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Mr. Maheshwari, age 46, has served as the Company’s Chief Financial Officer since April 2021. Prior to joining the Company, Mr. Maheshwari served as Vice President of Finance and Treasurer from June 2018 and Head of Investor Relations from October 2019 for Varian Medical Systems ("Varian"), a cancer care company, until its acquisition by Siemens Healthineers AG in April 2021. At Varian, he was responsible for treasury and risk management, capital markets, customer finance, financial and strategic planning and investor relations. From April 2013 to June 2014, Mr. Maheshwari served as Manager of Investments and from June 2014 to June 2018, served as Assistant Treasurer for Bechtel Corporation, an engineering and construction company, in which latter roles he was responsible for managing global treasury operations. From November 2004 to March 2013, Mr. Maheshwari served in various client facing roles within the corporate and investment bank divisions at Bank of America Merrill Lynch. Mr. Maheshwari received a M.B.A. from Boston College, Carroll Graduate School of Management and a Bachelors of Commerce from the H.R. College of Commerce in India.</w:t>
      </w:r>
    </w:p>
    <w:p>
      <w:pPr>
        <w:spacing w:after="0" w:line="21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no arrangement or understanding between Mr. Maheshwari and the Company or any other person pursuant to which Mr. Maheshwari was appointed as the Company’s Chief Operating Officer that would require disclosure under Item 401(b) of Regulation S-K under the Securities Act of 1933, as amended (the “Securities Act”). There is no family relationship between Mr. Maheshwari and any other person that would require disclosure under Item 401(d) of Regulation S-K under the Securities Act. There are no transactions involving the Company and Mr. Maheshwari that the Company would be required to report pursuant to Item 404(a) of Regulation S-K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February 23, 2026</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6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02/23/2026</w:t>
            </w:r>
          </w:p>
        </w:tc>
        <w:tc>
          <w:tcPr>
            <w:tcW w:w="22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18"/>
        </w:trPr>
        <w:tc>
          <w:tcPr>
            <w:tcW w:w="6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r>
        <w:trPr>
          <w:trHeight w:val="229"/>
        </w:trPr>
        <w:tc>
          <w:tcPr>
            <w:tcW w:w="6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 &amp; Chief Financial Officer</w:t>
            </w:r>
          </w:p>
        </w:tc>
      </w:tr>
      <w:tr>
        <w:trPr>
          <w:trHeight w:val="234"/>
        </w:trPr>
        <w:tc>
          <w:tcPr>
            <w:tcW w:w="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20"/>
          </w:cols>
          <w:pgMar w:left="320" w:top="88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19685</wp:posOffset>
            </wp:positionV>
            <wp:extent cx="132016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b w:val="1"/>
          <w:bCs w:val="1"/>
          <w:color w:val="auto"/>
        </w:rPr>
        <w:t>SI-BONE, Inc. Reports Record Financial Results for the Fourth Quarter 2025 and Issues 2026 Guidance</w:t>
      </w:r>
    </w:p>
    <w:p>
      <w:pPr>
        <w:spacing w:after="0" w:line="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Achieves 20% worldwide revenue growth and positive adjusted EBITDA for Fiscal Year 2025</w:t>
      </w:r>
    </w:p>
    <w:p>
      <w:pPr>
        <w:jc w:val="center"/>
        <w:spacing w:after="0"/>
        <w:rPr>
          <w:sz w:val="20"/>
          <w:szCs w:val="20"/>
          <w:color w:val="auto"/>
        </w:rPr>
      </w:pPr>
      <w:r>
        <w:rPr>
          <w:rFonts w:ascii="Times New Roman" w:cs="Times New Roman" w:eastAsia="Times New Roman" w:hAnsi="Times New Roman"/>
          <w:sz w:val="20"/>
          <w:szCs w:val="20"/>
          <w:color w:val="auto"/>
        </w:rPr>
        <w:t>Generates free cash flow in the Fourth Quarter 2025</w:t>
      </w:r>
    </w:p>
    <w:p>
      <w:pPr>
        <w:spacing w:after="0" w:line="244"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20"/>
          <w:szCs w:val="20"/>
          <w:b w:val="1"/>
          <w:bCs w:val="1"/>
          <w:color w:val="auto"/>
        </w:rPr>
        <w:t xml:space="preserve">SANTA CLARA, Calif. February 23, 2026 </w:t>
      </w:r>
      <w:r>
        <w:rPr>
          <w:rFonts w:ascii="Times New Roman" w:cs="Times New Roman" w:eastAsia="Times New Roman" w:hAnsi="Times New Roman"/>
          <w:sz w:val="20"/>
          <w:szCs w:val="20"/>
          <w:color w:val="auto"/>
        </w:rPr>
        <w:t>- SI-BONE, Inc. (Nasdaq: SIBN), the global leader in developing procedural solutions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address clinical challenges associated with compromised bone, today reported financial results for the fourth quarter and full year ended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Fourth Quarter 2025 Financial Highlights </w:t>
      </w:r>
      <w:r>
        <w:rPr>
          <w:rFonts w:ascii="Times New Roman" w:cs="Times New Roman" w:eastAsia="Times New Roman" w:hAnsi="Times New Roman"/>
          <w:sz w:val="20"/>
          <w:szCs w:val="20"/>
          <w:i w:val="1"/>
          <w:iCs w:val="1"/>
          <w:color w:val="auto"/>
        </w:rPr>
        <w:t>(all comparisons are to the prior year period)</w:t>
      </w:r>
    </w:p>
    <w:p>
      <w:pPr>
        <w:spacing w:after="0" w:line="58"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revenue of $56.3 million, representing growth of 15.0%</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of $53.5 million, representing growth of 13.9%</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of 79.0%</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Net loss of $1.6 million, representing an improvement of 63.3%</w:t>
      </w:r>
    </w:p>
    <w:p>
      <w:pPr>
        <w:spacing w:after="0" w:line="53" w:lineRule="exact"/>
        <w:rPr>
          <w:rFonts w:ascii="Times New Roman" w:cs="Times New Roman" w:eastAsia="Times New Roman" w:hAnsi="Times New Roman"/>
          <w:sz w:val="20"/>
          <w:szCs w:val="20"/>
          <w:b w:val="1"/>
          <w:bCs w:val="1"/>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adjusted EBITDA of $5.1 million, representing an improvement of 176.2%</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cashflow from operations of $1.7 million and positive free cash flow of $0.4 million</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the quarter with $147.8 million in cash and equivalents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Fiscal Year 2025 Highlights </w:t>
      </w:r>
      <w:r>
        <w:rPr>
          <w:rFonts w:ascii="Times New Roman" w:cs="Times New Roman" w:eastAsia="Times New Roman" w:hAnsi="Times New Roman"/>
          <w:sz w:val="20"/>
          <w:szCs w:val="20"/>
          <w:i w:val="1"/>
          <w:iCs w:val="1"/>
          <w:color w:val="auto"/>
        </w:rPr>
        <w:t>(all comparisons are to the prior year period)</w:t>
      </w:r>
    </w:p>
    <w:p>
      <w:pPr>
        <w:spacing w:after="0" w:line="98"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revenue of $200.9 million, representing growth of 20.2%</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of $191.1 million, representing growth of 20.6%</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of 79.6%</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$18.9 million, representing an improvement of 38.8%</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adjusted EBITDA of $8.9 million, representing an improvement of $14.0 million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Recent Operational </w:t>
      </w:r>
      <w:r>
        <w:rPr>
          <w:rFonts w:ascii="Times New Roman" w:cs="Times New Roman" w:eastAsia="Times New Roman" w:hAnsi="Times New Roman"/>
          <w:sz w:val="20"/>
          <w:szCs w:val="20"/>
          <w:i w:val="1"/>
          <w:iCs w:val="1"/>
          <w:color w:val="auto"/>
        </w:rPr>
        <w:t>(all comparisons are to the prior year period)</w:t>
      </w:r>
    </w:p>
    <w:p>
      <w:pPr>
        <w:spacing w:after="0" w:line="58"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~1,640 U.S. physicians performed a procedure in the fourth quarter, representing an increase of 18%</w:t>
      </w:r>
    </w:p>
    <w:p>
      <w:pPr>
        <w:spacing w:after="0" w:line="53" w:lineRule="exact"/>
        <w:rPr>
          <w:rFonts w:ascii="Times New Roman" w:cs="Times New Roman" w:eastAsia="Times New Roman" w:hAnsi="Times New Roman"/>
          <w:sz w:val="20"/>
          <w:szCs w:val="20"/>
          <w:b w:val="1"/>
          <w:bCs w:val="1"/>
          <w:color w:val="auto"/>
        </w:rPr>
      </w:pPr>
    </w:p>
    <w:p>
      <w:pPr>
        <w:ind w:left="420" w:hanging="412"/>
        <w:spacing w:after="0" w:line="295" w:lineRule="auto"/>
        <w:tabs>
          <w:tab w:leader="none" w:pos="4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Entered into a strategic partnership with Smith+Nephew, an orthopedics industry leader, to distribute iFuse TORQ and iFuse TORQ TNT across Level 1 and Level 2 trauma centers nationwide for pelvic trauma</w:t>
      </w:r>
    </w:p>
    <w:p>
      <w:pPr>
        <w:spacing w:after="0" w:line="1" w:lineRule="exact"/>
        <w:rPr>
          <w:rFonts w:ascii="Times New Roman" w:cs="Times New Roman" w:eastAsia="Times New Roman" w:hAnsi="Times New Roman"/>
          <w:sz w:val="20"/>
          <w:szCs w:val="20"/>
          <w:color w:val="auto"/>
        </w:rPr>
      </w:pPr>
    </w:p>
    <w:p>
      <w:pPr>
        <w:ind w:left="420" w:hanging="412"/>
        <w:spacing w:after="0" w:line="295" w:lineRule="auto"/>
        <w:tabs>
          <w:tab w:leader="none" w:pos="4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INTRA platform with the launch of INTRA Ti in February, our newest SI joint fusion solution that provides physicians procedural flexibility and workflow efficiency in ambulatory surgery centers</w:t>
      </w:r>
    </w:p>
    <w:p>
      <w:pPr>
        <w:spacing w:after="0" w:line="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patent portfolio covering the original iFuse, including the triangular shape, extended to August 2028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Organizational Update</w:t>
      </w:r>
    </w:p>
    <w:p>
      <w:pPr>
        <w:spacing w:after="0" w:line="58"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Anshul Maheshwari promoted to Chief Operating Officer in addition to his role as Chief Financial Officer</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previously announced, Nikolas Kerr was promoted to the role of Chief Commercial Officer</w:t>
      </w:r>
    </w:p>
    <w:p>
      <w:pPr>
        <w:spacing w:after="0" w:line="67"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Jeff Zigler promoted to Senior Vice President of Market Access and Reimbursement</w:t>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304" w:lineRule="auto"/>
        <w:rPr>
          <w:sz w:val="20"/>
          <w:szCs w:val="20"/>
          <w:color w:val="auto"/>
        </w:rPr>
      </w:pPr>
      <w:r>
        <w:rPr>
          <w:rFonts w:ascii="Times New Roman" w:cs="Times New Roman" w:eastAsia="Times New Roman" w:hAnsi="Times New Roman"/>
          <w:sz w:val="20"/>
          <w:szCs w:val="20"/>
          <w:color w:val="auto"/>
        </w:rPr>
        <w:t>“In 2025, we demonstrated the strength and scalability of our business model, delivering another year of worldwide revenue growth that exceeded 20% while expanding margins and exiting the year with positive free cash flow. These results reflect disciplined execution, a differentiated platform, and durability of demand across our portfolio.” said Laura Francis, Chief Executive Officer. “As we enter 2026, we have a compelling set of growth catalysts, including favorable reimbursement dynamics, expanding commercial footprint and upcoming product launches designed to deepen physician engagement and expand our reach into a sizable new market. Together, these factors reinforce our confidence in SI-BONE's ability to sustain strong, profitable growth over the long term."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2025 Financial Results</w:t>
      </w:r>
    </w:p>
    <w:p>
      <w:pPr>
        <w:spacing w:after="0" w:line="30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Worldwide revenue was $56.3 million in the fourth quarter 2025, a 15.0% increase from $49.0 million in the corresponding period in 2024. U.S. revenue for the fourth quarter 2025 was $53.5 million, a 13.9% increase from $46.9 million in the corresponding period in 2024. International revenue for the fourth quarter 2025 was $2.9 million, a 38.8% increase from $2.1 million in the corresponding period in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Gross profit was $44.5 million in the fourth quarter 2025, an increase of 14.8% from $38.8 million in the corresponding period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Gross margin was stable at 79.0% for the fourth quarter 2025 compared to 79.1% in the corresponding period in 2024.</w:t>
      </w:r>
    </w:p>
    <w:p>
      <w:pPr>
        <w:spacing w:after="0" w:line="29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0"/>
          <w:szCs w:val="20"/>
          <w:color w:val="auto"/>
        </w:rPr>
        <w:t>Operating expenses increased 6.2% to $47.0 million in the fourth quarter 2025, as compared to $44.3 million in the corresponding period in 2024. The change in operating expenses was primarily driven by general commercial activity related to higher revenue and research and development investments related to future products.</w:t>
      </w:r>
    </w:p>
    <w:p>
      <w:pPr>
        <w:spacing w:after="0" w:line="196"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Operating loss improved by 55.2% to $2.5 million in the fourth quarter 2025, as compared to an operating loss of $5.5 million in the corresponding period in 2024.</w:t>
      </w:r>
    </w:p>
    <w:p>
      <w:pPr>
        <w:spacing w:after="0" w:line="1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Net loss improved by 63.3%, to $1.6 million, or $0.04 per diluted share in the fourth quarter 2025, as compared to a net loss of $4.5 million, or $0.11 per diluted share in the corresponding period in 2024.</w:t>
      </w:r>
    </w:p>
    <w:p>
      <w:pPr>
        <w:spacing w:after="0" w:line="1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Adjusted EBITDA improved by 176.2% to positive $5.1 million in the fourth quarter 2025, as compared to a positive adjusted EBITDA of $1.9 million in the corresponding period in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2025 Financial Results</w:t>
      </w:r>
    </w:p>
    <w:p>
      <w:pPr>
        <w:spacing w:after="0" w:line="2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Worldwide revenue was $200.9 million for 2025, a 20.2% increase from $167.2 million in 2024. U.S. revenue for 2025 was $191.1 million, a 20.6% increase from $158.4 million in 2024. International revenue was $9.8 million in 2025, a 12.4% increase from $8.8 million in 2024.</w:t>
      </w:r>
    </w:p>
    <w:p>
      <w:pPr>
        <w:spacing w:after="0" w:line="20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Gross profit was $159.9 million in 2025, a 21.0% increase from $132.1 million in 2024. Gross margin was 79.6% in 2025 and 79.0% in 2024.</w:t>
      </w:r>
    </w:p>
    <w:p>
      <w:pPr>
        <w:sectPr>
          <w:pgSz w:w="11900" w:h="16838" w:orient="portrait"/>
          <w:cols w:equalWidth="0" w:num="1">
            <w:col w:w="11240"/>
          </w:cols>
          <w:pgMar w:left="320" w:top="913" w:right="339" w:bottom="1440" w:gutter="0" w:footer="0" w:header="0"/>
        </w:sectPr>
      </w:pPr>
    </w:p>
    <w:bookmarkStart w:id="6" w:name="page7"/>
    <w:bookmarkEnd w:id="6"/>
    <w:p>
      <w:pPr>
        <w:jc w:val="both"/>
        <w:spacing w:after="0" w:line="310" w:lineRule="auto"/>
        <w:rPr>
          <w:sz w:val="20"/>
          <w:szCs w:val="20"/>
          <w:color w:val="auto"/>
        </w:rPr>
      </w:pPr>
      <w:r>
        <w:rPr>
          <w:rFonts w:ascii="Times New Roman" w:cs="Times New Roman" w:eastAsia="Times New Roman" w:hAnsi="Times New Roman"/>
          <w:sz w:val="20"/>
          <w:szCs w:val="20"/>
          <w:color w:val="auto"/>
        </w:rPr>
        <w:t>Operating expenses increased 8.9% to $182.2 million in 2025, as compared to $167.4 million in 2024. The change in operating expenses was primarily driven by general commercial activity related to higher revenue and research and development investments related to future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loss improved by 36.6% to $22.3 million in 2025, as compared to an operating loss of $35.2 million in 2024.</w:t>
      </w:r>
    </w:p>
    <w:p>
      <w:pPr>
        <w:spacing w:after="0" w:line="297"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Net loss improved by 38.8%, to $18.9 million, or $0.44 per diluted share in 2025, as compared to a net loss of $30.9 million, or $0.75 per diluted share in 2024.</w:t>
      </w:r>
    </w:p>
    <w:p>
      <w:pPr>
        <w:spacing w:after="0" w:line="17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Adjusted EBITDA improved to positive $8.9 million in 2025, as compared to a loss of $5.1 million in 2024, representing and improvement of $14.0 million.</w:t>
      </w:r>
    </w:p>
    <w:p>
      <w:pPr>
        <w:spacing w:after="0" w:line="1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Cash and equivalents were $147.8 million, representing a sequential improvement of $2.1 million, and borrowings were $35.6 million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Financial Guidance</w:t>
      </w:r>
    </w:p>
    <w:p>
      <w:pPr>
        <w:spacing w:after="0" w:line="31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SI-BONE expects 2026 worldwide revenue to be in the range of $228.5 million to $232.5 million, implying year-over-year growth of ~14% to ~16%. SI-BONE estimates fiscal year 2026 gross margin to be approximately 78%, and operating expenses growth to be ~12.5% at the mid-point of the revenue guidance. Based on these assumptions, SI-BONE expects to deliver increased positive adjusted EBITDA for the full year 2026.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Information</w:t>
      </w:r>
    </w:p>
    <w:p>
      <w:pPr>
        <w:spacing w:after="0" w:line="2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SI-BONE will host a conference call to discuss the fourth quarter 2025 financial results after market close on Monday, February 23, 2026 at 4:30 P.M. Eastern Time. The conference call can be accessed live over webcast at https://edge.media-server.com/mmc/p/zfxy6yox. Live audio of the webcast will be available on the “Investors” section of the company’s website at: www.si-bone.com. The webcast will be archived and available for replay for at least 90 days after the event.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SI-BONE, Inc.</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SI-BONE (NASDAQ: SIBN) is a global leader in developing procedural solutions to address clinical challenges associated with compromised bone. With expertise in biomechanical design and anatomy specific innovation, SI-BONE has built a technology platform with market-leading applications centered on the spinopelvic anatomy. SI-BONE continues to leverage the deep experience in addressing the challenges of low-density bone in the sacrum to develop unique technologies that are targeting new clinical adjacencies to help improve outcomes for patients with compromised bone. Since 2009, SI-BONE has supported physicians in performing a total of over 140,000 procedures. A unique body of clinical evidence supports the use of SI-BONE's technologies, including four randomized controlled trials and over 180 peer reviewed publications.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SI-BONE® is a registered trademark of SI-BONE, Inc. ©2026 SI-BONE, Inc. All Rights Reserved.</w:t>
      </w:r>
    </w:p>
    <w:p>
      <w:pPr>
        <w:sectPr>
          <w:pgSz w:w="11900" w:h="16838" w:orient="portrait"/>
          <w:cols w:equalWidth="0" w:num="1">
            <w:col w:w="11240"/>
          </w:cols>
          <w:pgMar w:left="320" w:top="9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30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devices. Actual results and the timing of events could differ materially from those anticipated in such forward-looking statements as a result of these and other risks and uncertainties, many of which are described in the company's most recent filing on Form 10-K,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30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To supplement our condensed consolidated financial statements, which are prepared and presented in accordance with generally accepted accounting principles in the United States ("GAAP"), SI-BONE uses two non-GAAP financial measures: Adjusted EBITDA and free cash flow. Non-GAAP measures should be considered supplemental to, and not a substitute for, financial information prepared in accordance with GAAP. Adjusted EBITDA excludes the effect of items that increase or decrease SI-BONE’s reported results of operations. Free cash flow is not intended to represent our residual cash flow available for discretionary expenditures. Management strongly encourages investors to review, when they become available, the company's consolidated financial statements and publicly filed reports in their entirety. The company's definition of adjusted EBITDA and free cash flow may differ from similarly titled measures used by others.</w:t>
      </w:r>
    </w:p>
    <w:p>
      <w:pPr>
        <w:spacing w:after="0" w:line="22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Adjusted EBITDA excludes from net loss the effects of interest income, interest expense, depreciation and amortization, and stock-based compensation. Free cash flow is defined as net cash provided by operating activities less purchases of property and equipment. SI-BONE believes the presentation of these financial measures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non-GAAP financial measures is useful to investors and other interested persons as it enables these persons to use this additional information to assess the company’s performance in using this additional metric that management uses to assess the company’s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Saqib Iqbal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VP, FP&amp;A and Investor Relations</w:t>
      </w:r>
    </w:p>
    <w:p>
      <w:pPr>
        <w:sectPr>
          <w:pgSz w:w="11900" w:h="16838" w:orient="portrait"/>
          <w:cols w:equalWidth="0" w:num="1">
            <w:col w:w="11240"/>
          </w:cols>
          <w:pgMar w:left="320" w:top="115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color w:val="auto"/>
        </w:rPr>
        <w:t>investors@SI-BONE.com</w:t>
      </w:r>
    </w:p>
    <w:p>
      <w:pPr>
        <w:sectPr>
          <w:pgSz w:w="11900" w:h="16838" w:orient="portrait"/>
          <w:cols w:equalWidth="0" w:num="1">
            <w:col w:w="10139"/>
          </w:cols>
          <w:pgMar w:left="320" w:top="913"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00" w:type="dxa"/>
            <w:vAlign w:val="bottom"/>
          </w:tcPr>
          <w:p>
            <w:pPr>
              <w:spacing w:after="0"/>
              <w:rPr>
                <w:sz w:val="18"/>
                <w:szCs w:val="18"/>
                <w:color w:val="auto"/>
              </w:rPr>
            </w:pPr>
          </w:p>
        </w:tc>
        <w:tc>
          <w:tcPr>
            <w:tcW w:w="2620" w:type="dxa"/>
            <w:vAlign w:val="bottom"/>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0" w:type="dxa"/>
            <w:vAlign w:val="bottom"/>
          </w:tcPr>
          <w:p>
            <w:pPr>
              <w:spacing w:after="0"/>
              <w:rPr>
                <w:sz w:val="1"/>
                <w:szCs w:val="1"/>
                <w:color w:val="auto"/>
              </w:rPr>
            </w:pPr>
          </w:p>
        </w:tc>
      </w:tr>
      <w:tr>
        <w:trPr>
          <w:trHeight w:val="226"/>
        </w:trPr>
        <w:tc>
          <w:tcPr>
            <w:tcW w:w="57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167,178</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159,879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132,121</w:t>
            </w:r>
          </w:p>
        </w:tc>
        <w:tc>
          <w:tcPr>
            <w:tcW w:w="0" w:type="dxa"/>
            <w:vAlign w:val="bottom"/>
          </w:tcPr>
          <w:p>
            <w:pPr>
              <w:spacing w:after="0"/>
              <w:rPr>
                <w:sz w:val="1"/>
                <w:szCs w:val="1"/>
                <w:color w:val="auto"/>
              </w:rPr>
            </w:pPr>
          </w:p>
        </w:tc>
      </w:tr>
      <w:tr>
        <w:trPr>
          <w:trHeight w:val="210"/>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117,054</w:t>
            </w:r>
          </w:p>
        </w:tc>
        <w:tc>
          <w:tcPr>
            <w:tcW w:w="0" w:type="dxa"/>
            <w:vAlign w:val="bottom"/>
          </w:tcPr>
          <w:p>
            <w:pPr>
              <w:spacing w:after="0"/>
              <w:rPr>
                <w:sz w:val="1"/>
                <w:szCs w:val="1"/>
                <w:color w:val="auto"/>
              </w:rPr>
            </w:pPr>
          </w:p>
        </w:tc>
      </w:tr>
      <w:tr>
        <w:trPr>
          <w:trHeight w:val="229"/>
        </w:trPr>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33,755</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182,209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167,369</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(35,248)</w:t>
            </w:r>
          </w:p>
        </w:tc>
        <w:tc>
          <w:tcPr>
            <w:tcW w:w="0" w:type="dxa"/>
            <w:vAlign w:val="bottom"/>
          </w:tcPr>
          <w:p>
            <w:pPr>
              <w:spacing w:after="0"/>
              <w:rPr>
                <w:sz w:val="1"/>
                <w:szCs w:val="1"/>
                <w:color w:val="auto"/>
              </w:rPr>
            </w:pPr>
          </w:p>
        </w:tc>
      </w:tr>
      <w:tr>
        <w:trPr>
          <w:trHeight w:val="229"/>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0" w:type="dxa"/>
            <w:vAlign w:val="bottom"/>
          </w:tcPr>
          <w:p>
            <w:pPr>
              <w:spacing w:after="0"/>
              <w:rPr>
                <w:sz w:val="1"/>
                <w:szCs w:val="1"/>
                <w:color w:val="auto"/>
              </w:rPr>
            </w:pPr>
          </w:p>
        </w:tc>
      </w:tr>
      <w:tr>
        <w:trPr>
          <w:trHeight w:val="229"/>
        </w:trPr>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57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(4,495)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(18,904)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(30,913)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Weighted-average number of common shares used to compute basic and</w:t>
            </w:r>
          </w:p>
        </w:tc>
        <w:tc>
          <w:tcPr>
            <w:tcW w:w="12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43,507,786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41,994,284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42,959,856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41,466,564</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34,948</w:t>
            </w:r>
          </w:p>
        </w:tc>
      </w:tr>
      <w:tr>
        <w:trPr>
          <w:trHeight w:val="229"/>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115,094</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w:t>
            </w:r>
          </w:p>
        </w:tc>
      </w:tr>
      <w:tr>
        <w:trPr>
          <w:trHeight w:val="229"/>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27,074</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207,779</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238,555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230,437</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w:t>
            </w:r>
          </w:p>
        </w:tc>
      </w:tr>
      <w:tr>
        <w:trPr>
          <w:trHeight w:val="229"/>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35,452</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06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63,473</w:t>
            </w:r>
          </w:p>
        </w:tc>
      </w:tr>
      <w:tr>
        <w:trPr>
          <w:trHeight w:val="250"/>
        </w:trPr>
        <w:tc>
          <w:tcPr>
            <w:tcW w:w="7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598,074</w:t>
            </w: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(450,258)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(431,354)</w:t>
            </w:r>
          </w:p>
        </w:tc>
      </w:tr>
      <w:tr>
        <w:trPr>
          <w:trHeight w:val="223"/>
        </w:trPr>
        <w:tc>
          <w:tcPr>
            <w:tcW w:w="7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166,964</w:t>
            </w:r>
          </w:p>
        </w:tc>
      </w:tr>
      <w:tr>
        <w:trPr>
          <w:trHeight w:val="22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238,555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230,437</w:t>
            </w:r>
          </w:p>
        </w:tc>
      </w:tr>
      <w:tr>
        <w:trPr>
          <w:trHeight w:val="20"/>
        </w:trPr>
        <w:tc>
          <w:tcPr>
            <w:tcW w:w="7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60"/>
          </w:cols>
          <w:pgMar w:left="820" w:top="887" w:right="8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Twelve Months Ended December</w:t>
      </w: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0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07"/>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(18,904)</w:t>
            </w:r>
          </w:p>
        </w:tc>
        <w:tc>
          <w:tcPr>
            <w:tcW w:w="1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(30,913)</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25,869</w:t>
            </w:r>
          </w:p>
        </w:tc>
      </w:tr>
      <w:tr>
        <w:trPr>
          <w:trHeight w:val="229"/>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w:t>
            </w:r>
          </w:p>
        </w:tc>
      </w:tr>
      <w:tr>
        <w:trPr>
          <w:trHeight w:val="230"/>
        </w:trPr>
        <w:tc>
          <w:tcPr>
            <w:tcW w:w="8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receivable credit losses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229"/>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reserve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230"/>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discount and premium on marketable securities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(5,440)</w:t>
            </w:r>
          </w:p>
        </w:tc>
      </w:tr>
      <w:tr>
        <w:trPr>
          <w:trHeight w:val="229"/>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29"/>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r>
      <w:tr>
        <w:trPr>
          <w:trHeight w:val="230"/>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(8,047)</w:t>
            </w:r>
          </w:p>
        </w:tc>
      </w:tr>
      <w:tr>
        <w:trPr>
          <w:trHeight w:val="229"/>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9"/>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w:t>
            </w:r>
          </w:p>
        </w:tc>
      </w:tr>
      <w:tr>
        <w:trPr>
          <w:trHeight w:val="209"/>
        </w:trPr>
        <w:tc>
          <w:tcPr>
            <w:tcW w:w="8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(12,425)</w:t>
            </w:r>
          </w:p>
        </w:tc>
      </w:tr>
      <w:tr>
        <w:trPr>
          <w:trHeight w:val="20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228,500</w:t>
            </w:r>
          </w:p>
        </w:tc>
      </w:tr>
      <w:tr>
        <w:trPr>
          <w:trHeight w:val="229"/>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(205,380)</w:t>
            </w:r>
          </w:p>
        </w:tc>
      </w:tr>
      <w:tr>
        <w:trPr>
          <w:trHeight w:val="230"/>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(10,497)</w:t>
            </w:r>
          </w:p>
        </w:tc>
      </w:tr>
      <w:tr>
        <w:trPr>
          <w:trHeight w:val="210"/>
        </w:trPr>
        <w:tc>
          <w:tcPr>
            <w:tcW w:w="8480" w:type="dxa"/>
            <w:vAlign w:val="bottom"/>
            <w:tcBorders>
              <w:bottom w:val="single" w:sz="8" w:color="CCEEFF"/>
            </w:tcBorders>
          </w:tcPr>
          <w:p>
            <w:pPr>
              <w:ind w:left="11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12,623</w:t>
            </w:r>
          </w:p>
        </w:tc>
      </w:tr>
      <w:tr>
        <w:trPr>
          <w:trHeight w:val="21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debt financing, net of debt issuance cost</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35,954</w:t>
            </w:r>
          </w:p>
        </w:tc>
      </w:tr>
      <w:tr>
        <w:trPr>
          <w:trHeight w:val="230"/>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debt financing</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w:t>
            </w:r>
          </w:p>
        </w:tc>
      </w:tr>
      <w:tr>
        <w:trPr>
          <w:trHeight w:val="230"/>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Final payment fee related to debt</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230"/>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229"/>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w:t>
            </w:r>
          </w:p>
        </w:tc>
      </w:tr>
      <w:tr>
        <w:trPr>
          <w:trHeight w:val="210"/>
        </w:trPr>
        <w:tc>
          <w:tcPr>
            <w:tcW w:w="84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w:t>
            </w:r>
          </w:p>
        </w:tc>
      </w:tr>
      <w:tr>
        <w:trPr>
          <w:trHeight w:val="21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210"/>
        </w:trPr>
        <w:tc>
          <w:tcPr>
            <w:tcW w:w="84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Cash and cash equivalents at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33,271</w:t>
            </w:r>
          </w:p>
        </w:tc>
      </w:tr>
      <w:tr>
        <w:trPr>
          <w:trHeight w:val="196"/>
        </w:trPr>
        <w:tc>
          <w:tcPr>
            <w:tcW w:w="848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End of year</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42,240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34,948</w:t>
            </w: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7"/>
          <w:szCs w:val="17"/>
          <w:b w:val="1"/>
          <w:bCs w:val="1"/>
          <w:color w:val="auto"/>
        </w:rPr>
        <w:t>RECONCILIATION OF NET LOSS TO NON-GAAP ADJUSTED EBITDA</w:t>
      </w:r>
    </w:p>
    <w:p>
      <w:pPr>
        <w:spacing w:after="0" w:line="2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1940" w:type="dxa"/>
        <w:tblCellMar>
          <w:top w:w="0" w:type="dxa"/>
          <w:left w:w="0" w:type="dxa"/>
          <w:bottom w:w="0" w:type="dxa"/>
          <w:right w:w="0" w:type="dxa"/>
        </w:tblCellMar>
      </w:tblPr>
      <w:tr>
        <w:trPr>
          <w:trHeight w:val="215"/>
        </w:trPr>
        <w:tc>
          <w:tcPr>
            <w:tcW w:w="240" w:type="dxa"/>
            <w:vAlign w:val="bottom"/>
          </w:tcPr>
          <w:p>
            <w:pPr>
              <w:spacing w:after="0"/>
              <w:rPr>
                <w:sz w:val="18"/>
                <w:szCs w:val="18"/>
                <w:color w:val="auto"/>
              </w:rPr>
            </w:pPr>
          </w:p>
        </w:tc>
        <w:tc>
          <w:tcPr>
            <w:tcW w:w="3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3020" w:type="dxa"/>
            <w:vAlign w:val="bottom"/>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11"/>
        </w:trPr>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w:t>
            </w:r>
          </w:p>
        </w:tc>
      </w:tr>
      <w:tr>
        <w:trPr>
          <w:trHeight w:val="229"/>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r>
      <w:tr>
        <w:trPr>
          <w:trHeight w:val="229"/>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30"/>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34"/>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25,868</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-925195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-624840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-333375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2">
            <w:col w:w="2400" w:space="260"/>
            <w:col w:w="8560"/>
          </w:cols>
          <w:pgMar w:left="340" w:top="887"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23" w:lineRule="exact"/>
        <w:rPr>
          <w:sz w:val="20"/>
          <w:szCs w:val="20"/>
          <w:color w:val="auto"/>
        </w:rPr>
      </w:pPr>
    </w:p>
    <w:p>
      <w:pPr>
        <w:ind w:right="220" w:firstLine="202"/>
        <w:spacing w:after="0" w:line="339" w:lineRule="auto"/>
        <w:rPr>
          <w:sz w:val="20"/>
          <w:szCs w:val="20"/>
          <w:color w:val="auto"/>
        </w:rPr>
      </w:pPr>
      <w:r>
        <w:rPr>
          <w:rFonts w:ascii="Times New Roman" w:cs="Times New Roman" w:eastAsia="Times New Roman" w:hAnsi="Times New Roman"/>
          <w:sz w:val="18"/>
          <w:szCs w:val="18"/>
          <w:color w:val="auto"/>
        </w:rPr>
        <w:t>Purchases of property and equipment Free cash flow</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7"/>
          <w:szCs w:val="17"/>
          <w:b w:val="1"/>
          <w:bCs w:val="1"/>
          <w:color w:val="auto"/>
        </w:rPr>
        <w:t>RECONCILIATION OF FREE CASH FLOW</w:t>
      </w:r>
    </w:p>
    <w:p>
      <w:pPr>
        <w:spacing w:after="0" w:line="2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p>
      <w:pPr>
        <w:spacing w:after="0" w:line="31" w:lineRule="exact"/>
        <w:rPr>
          <w:sz w:val="20"/>
          <w:szCs w:val="20"/>
          <w:color w:val="auto"/>
        </w:rPr>
      </w:pPr>
    </w:p>
    <w:tbl>
      <w:tblPr>
        <w:tblLayout w:type="fixed"/>
        <w:tblInd w:w="402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454"/>
        </w:trPr>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w:t>
            </w: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-633730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-333375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sectPr>
      <w:pgSz w:w="11900" w:h="16838" w:orient="portrait"/>
      <w:cols w:equalWidth="0" w:num="2">
        <w:col w:w="3100" w:space="720"/>
        <w:col w:w="7400"/>
      </w:cols>
      <w:pgMar w:left="34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2026-02-23T15:24:02Z</dcterms:created>
  <dcterms:modified xsi:type="dcterms:W3CDTF">2026-02-23T15:24:02Z</dcterms:modified>
</cp:coreProperties>
</file>