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DUNN JEFFREY W</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1"/>
              </w:rPr>
              <w:t>811</w:t>
            </w:r>
            <w:r>
              <w:rPr>
                <w:rFonts w:ascii="Arial" w:cs="Arial" w:eastAsia="Arial" w:hAnsi="Arial"/>
                <w:sz w:val="22"/>
                <w:szCs w:val="22"/>
                <w:color w:val="008000"/>
                <w:w w:val="91"/>
                <w:vertAlign w:val="superscript"/>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78,015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132,580</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69,941 shares issuable on the settlement of restricted stock units granted to the Reporting Person. Each restricted stock unit represents a contingent right to receive one share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Jeffrey W. Dunn Living Trust Dated May 17,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80" w:type="dxa"/>
            <w:vAlign w:val="bottom"/>
            <w:gridSpan w:val="4"/>
          </w:tcPr>
          <w:p>
            <w:pPr>
              <w:spacing w:after="0" w:line="196" w:lineRule="exact"/>
              <w:rPr>
                <w:sz w:val="20"/>
                <w:szCs w:val="20"/>
                <w:color w:val="auto"/>
              </w:rPr>
            </w:pPr>
            <w:r>
              <w:rPr>
                <w:rFonts w:ascii="Arial" w:cs="Arial" w:eastAsia="Arial" w:hAnsi="Arial"/>
                <w:sz w:val="18"/>
                <w:szCs w:val="18"/>
                <w:color w:val="0000FF"/>
                <w:w w:val="96"/>
              </w:rPr>
              <w:t>Attorney-in-Fact for Jeffrey</w:t>
            </w: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06/13/2023</w:t>
            </w:r>
          </w:p>
        </w:tc>
      </w:tr>
      <w:tr>
        <w:trPr>
          <w:trHeight w:val="196"/>
        </w:trPr>
        <w:tc>
          <w:tcPr>
            <w:tcW w:w="6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8"/>
              </w:rPr>
              <w:t>W. Dunn</w:t>
            </w:r>
          </w:p>
        </w:tc>
        <w:tc>
          <w:tcPr>
            <w:tcW w:w="132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2023-06-13T15:36:45Z</dcterms:created>
  <dcterms:modified xsi:type="dcterms:W3CDTF">2023-06-13T15:36:45Z</dcterms:modified>
</cp:coreProperties>
</file>