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Skyline Venture Partners V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w w:val="96"/>
              </w:rPr>
              <w:t>525 UNIVERSITY AVENUE, SUITE 1350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60" w:type="dxa"/>
            <w:vAlign w:val="bottom"/>
            <w:gridSpan w:val="3"/>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w w:val="99"/>
              </w:rPr>
              <w:t>PALO ALTO</w:t>
            </w:r>
          </w:p>
        </w:tc>
        <w:tc>
          <w:tcPr>
            <w:tcW w:w="820" w:type="dxa"/>
            <w:vAlign w:val="bottom"/>
          </w:tcPr>
          <w:p>
            <w:pPr>
              <w:ind w:left="80"/>
              <w:spacing w:after="0"/>
              <w:rPr>
                <w:sz w:val="20"/>
                <w:szCs w:val="20"/>
                <w:color w:val="auto"/>
              </w:rPr>
            </w:pPr>
            <w:r>
              <w:rPr>
                <w:rFonts w:ascii="Arial" w:cs="Arial" w:eastAsia="Arial" w:hAnsi="Arial"/>
                <w:sz w:val="18"/>
                <w:szCs w:val="18"/>
                <w:color w:val="0000FF"/>
              </w:rPr>
              <w:t>CA</w:t>
            </w:r>
          </w:p>
        </w:tc>
        <w:tc>
          <w:tcPr>
            <w:tcW w:w="840" w:type="dxa"/>
            <w:vAlign w:val="bottom"/>
          </w:tcPr>
          <w:p>
            <w:pPr>
              <w:ind w:left="340"/>
              <w:spacing w:after="0"/>
              <w:rPr>
                <w:sz w:val="20"/>
                <w:szCs w:val="20"/>
                <w:color w:val="auto"/>
              </w:rPr>
            </w:pPr>
            <w:r>
              <w:rPr>
                <w:rFonts w:ascii="Arial" w:cs="Arial" w:eastAsia="Arial" w:hAnsi="Arial"/>
                <w:sz w:val="18"/>
                <w:szCs w:val="18"/>
                <w:color w:val="0000FF"/>
                <w:w w:val="95"/>
              </w:rPr>
              <w:t>94301</w:t>
            </w: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gridSpan w:val="2"/>
          </w:tcPr>
          <w:p>
            <w:pPr>
              <w:ind w:left="340"/>
              <w:spacing w:after="0"/>
              <w:rPr>
                <w:sz w:val="20"/>
                <w:szCs w:val="20"/>
                <w:color w:val="auto"/>
              </w:rPr>
            </w:pPr>
            <w:r>
              <w:rPr>
                <w:rFonts w:ascii="Arial" w:cs="Arial" w:eastAsia="Arial" w:hAnsi="Arial"/>
                <w:sz w:val="14"/>
                <w:szCs w:val="14"/>
                <w:color w:val="auto"/>
              </w:rPr>
              <w:t>(Zip)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83"/>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5"/>
                <w:szCs w:val="15"/>
                <w:color w:val="auto"/>
              </w:rPr>
            </w:pPr>
          </w:p>
        </w:tc>
        <w:tc>
          <w:tcPr>
            <w:tcW w:w="2680" w:type="dxa"/>
            <w:vAlign w:val="bottom"/>
            <w:tcBorders>
              <w:bottom w:val="single" w:sz="8" w:color="2C2C2C"/>
            </w:tcBorders>
          </w:tcPr>
          <w:p>
            <w:pPr>
              <w:spacing w:after="0"/>
              <w:rPr>
                <w:sz w:val="15"/>
                <w:szCs w:val="15"/>
                <w:color w:val="auto"/>
              </w:rPr>
            </w:pPr>
          </w:p>
        </w:tc>
      </w:tr>
      <w:tr>
        <w:trPr>
          <w:trHeight w:val="21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5"/>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1"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4"/>
            <w:vMerge w:val="restart"/>
          </w:tcPr>
          <w:p>
            <w:pPr>
              <w:ind w:left="60"/>
              <w:spacing w:after="0"/>
              <w:rPr>
                <w:sz w:val="20"/>
                <w:szCs w:val="20"/>
                <w:color w:val="auto"/>
              </w:rPr>
            </w:pPr>
            <w:r>
              <w:rPr>
                <w:rFonts w:ascii="Arial" w:cs="Arial" w:eastAsia="Arial" w:hAnsi="Arial"/>
                <w:sz w:val="18"/>
                <w:szCs w:val="18"/>
                <w:color w:val="0000FF"/>
              </w:rPr>
              <w:t>Series 4 Preferred Stock</w:t>
            </w:r>
          </w:p>
        </w:tc>
        <w:tc>
          <w:tcPr>
            <w:tcW w:w="1440" w:type="dxa"/>
            <w:vAlign w:val="bottom"/>
            <w:gridSpan w:val="3"/>
            <w:vMerge w:val="restart"/>
          </w:tcPr>
          <w:p>
            <w:pPr>
              <w:ind w:left="940"/>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9"/>
              </w:rPr>
              <w:t>Common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2,213,425</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00" w:type="dxa"/>
            <w:vAlign w:val="bottom"/>
            <w:gridSpan w:val="4"/>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4"/>
            <w:vMerge w:val="restart"/>
          </w:tcPr>
          <w:p>
            <w:pPr>
              <w:ind w:left="60"/>
              <w:spacing w:after="0"/>
              <w:rPr>
                <w:sz w:val="20"/>
                <w:szCs w:val="20"/>
                <w:color w:val="auto"/>
              </w:rPr>
            </w:pPr>
            <w:r>
              <w:rPr>
                <w:rFonts w:ascii="Arial" w:cs="Arial" w:eastAsia="Arial" w:hAnsi="Arial"/>
                <w:sz w:val="18"/>
                <w:szCs w:val="18"/>
                <w:color w:val="0000FF"/>
              </w:rPr>
              <w:t>Series 5 Preferred Stock</w:t>
            </w:r>
          </w:p>
        </w:tc>
        <w:tc>
          <w:tcPr>
            <w:tcW w:w="1440" w:type="dxa"/>
            <w:vAlign w:val="bottom"/>
            <w:gridSpan w:val="3"/>
            <w:vMerge w:val="restart"/>
          </w:tcPr>
          <w:p>
            <w:pPr>
              <w:ind w:left="940"/>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9"/>
              </w:rPr>
              <w:t>Common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9"/>
              </w:rPr>
              <w:t>776,678</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00" w:type="dxa"/>
            <w:vAlign w:val="bottom"/>
            <w:gridSpan w:val="4"/>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4"/>
            <w:vMerge w:val="restart"/>
          </w:tcPr>
          <w:p>
            <w:pPr>
              <w:ind w:left="60"/>
              <w:spacing w:after="0"/>
              <w:rPr>
                <w:sz w:val="20"/>
                <w:szCs w:val="20"/>
                <w:color w:val="auto"/>
              </w:rPr>
            </w:pPr>
            <w:r>
              <w:rPr>
                <w:rFonts w:ascii="Arial" w:cs="Arial" w:eastAsia="Arial" w:hAnsi="Arial"/>
                <w:sz w:val="18"/>
                <w:szCs w:val="18"/>
                <w:color w:val="0000FF"/>
              </w:rPr>
              <w:t>Series 6 Preferred Stock</w:t>
            </w:r>
          </w:p>
        </w:tc>
        <w:tc>
          <w:tcPr>
            <w:tcW w:w="1440" w:type="dxa"/>
            <w:vAlign w:val="bottom"/>
            <w:gridSpan w:val="3"/>
            <w:vMerge w:val="restart"/>
          </w:tcPr>
          <w:p>
            <w:pPr>
              <w:ind w:left="940"/>
              <w:spacing w:after="0"/>
              <w:rPr>
                <w:sz w:val="20"/>
                <w:szCs w:val="20"/>
                <w:color w:val="auto"/>
              </w:rPr>
            </w:pPr>
            <w:r>
              <w:rPr>
                <w:rFonts w:ascii="Arial" w:cs="Arial" w:eastAsia="Arial" w:hAnsi="Arial"/>
                <w:sz w:val="11"/>
                <w:szCs w:val="11"/>
                <w:color w:val="008000"/>
              </w:rPr>
              <w:t>(3)</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rPr>
              <w:t>(3)</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9"/>
              </w:rPr>
              <w:t>Common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9"/>
              </w:rPr>
              <w:t>652,347</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00" w:type="dxa"/>
            <w:vAlign w:val="bottom"/>
            <w:gridSpan w:val="4"/>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4"/>
            <w:vMerge w:val="restart"/>
          </w:tcPr>
          <w:p>
            <w:pPr>
              <w:ind w:left="60"/>
              <w:spacing w:after="0"/>
              <w:rPr>
                <w:sz w:val="20"/>
                <w:szCs w:val="20"/>
                <w:color w:val="auto"/>
              </w:rPr>
            </w:pPr>
            <w:r>
              <w:rPr>
                <w:rFonts w:ascii="Arial" w:cs="Arial" w:eastAsia="Arial" w:hAnsi="Arial"/>
                <w:sz w:val="18"/>
                <w:szCs w:val="18"/>
                <w:color w:val="0000FF"/>
              </w:rPr>
              <w:t>Series 7 Preferred Stock</w:t>
            </w:r>
          </w:p>
        </w:tc>
        <w:tc>
          <w:tcPr>
            <w:tcW w:w="1440" w:type="dxa"/>
            <w:vAlign w:val="bottom"/>
            <w:gridSpan w:val="3"/>
            <w:vMerge w:val="restart"/>
          </w:tcPr>
          <w:p>
            <w:pPr>
              <w:ind w:left="940"/>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9"/>
              </w:rPr>
              <w:t>Common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9"/>
              </w:rPr>
              <w:t>398,676</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00" w:type="dxa"/>
            <w:vAlign w:val="bottom"/>
            <w:gridSpan w:val="4"/>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4"/>
            <w:vMerge w:val="restart"/>
          </w:tcPr>
          <w:p>
            <w:pPr>
              <w:ind w:left="60"/>
              <w:spacing w:after="0"/>
              <w:rPr>
                <w:sz w:val="20"/>
                <w:szCs w:val="20"/>
                <w:color w:val="auto"/>
              </w:rPr>
            </w:pPr>
            <w:r>
              <w:rPr>
                <w:rFonts w:ascii="Arial" w:cs="Arial" w:eastAsia="Arial" w:hAnsi="Arial"/>
                <w:sz w:val="18"/>
                <w:szCs w:val="18"/>
                <w:color w:val="0000FF"/>
              </w:rPr>
              <w:t>Warrant (right to buy)</w:t>
            </w:r>
          </w:p>
        </w:tc>
        <w:tc>
          <w:tcPr>
            <w:tcW w:w="1440" w:type="dxa"/>
            <w:vAlign w:val="bottom"/>
            <w:gridSpan w:val="3"/>
            <w:vMerge w:val="restart"/>
          </w:tcPr>
          <w:p>
            <w:pPr>
              <w:ind w:left="940"/>
              <w:spacing w:after="0"/>
              <w:rPr>
                <w:sz w:val="20"/>
                <w:szCs w:val="20"/>
                <w:color w:val="auto"/>
              </w:rPr>
            </w:pPr>
            <w:r>
              <w:rPr>
                <w:rFonts w:ascii="Arial" w:cs="Arial" w:eastAsia="Arial" w:hAnsi="Arial"/>
                <w:sz w:val="11"/>
                <w:szCs w:val="11"/>
                <w:color w:val="008000"/>
              </w:rPr>
              <w:t>(4)</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rPr>
              <w:t>(4)</w:t>
            </w:r>
          </w:p>
        </w:tc>
        <w:tc>
          <w:tcPr>
            <w:tcW w:w="2000" w:type="dxa"/>
            <w:vAlign w:val="bottom"/>
            <w:vMerge w:val="restart"/>
          </w:tcPr>
          <w:p>
            <w:pPr>
              <w:jc w:val="center"/>
              <w:spacing w:after="0"/>
              <w:rPr>
                <w:sz w:val="20"/>
                <w:szCs w:val="20"/>
                <w:color w:val="auto"/>
              </w:rPr>
            </w:pPr>
            <w:r>
              <w:rPr>
                <w:rFonts w:ascii="Arial" w:cs="Arial" w:eastAsia="Arial" w:hAnsi="Arial"/>
                <w:sz w:val="18"/>
                <w:szCs w:val="18"/>
                <w:color w:val="0000FF"/>
                <w:w w:val="86"/>
              </w:rPr>
              <w:t>Series 5 Preferred Stock</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39,421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9.1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8"/>
              </w:rPr>
              <w:t>By Skyline Venture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00" w:type="dxa"/>
            <w:vAlign w:val="bottom"/>
            <w:gridSpan w:val="4"/>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Partners V,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14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62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0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3"/>
          </w:tcPr>
          <w:p>
            <w:pPr>
              <w:spacing w:after="0" w:line="224" w:lineRule="exact"/>
              <w:rPr>
                <w:rFonts w:ascii="Arial" w:cs="Arial" w:eastAsia="Arial" w:hAnsi="Arial"/>
                <w:sz w:val="22"/>
                <w:szCs w:val="22"/>
                <w:color w:val="0000EE"/>
                <w:w w:val="93"/>
              </w:rPr>
            </w:pPr>
            <w:hyperlink r:id="rId11">
              <w:r>
                <w:rPr>
                  <w:rFonts w:ascii="Arial" w:cs="Arial" w:eastAsia="Arial" w:hAnsi="Arial"/>
                  <w:sz w:val="22"/>
                  <w:szCs w:val="22"/>
                  <w:color w:val="0000EE"/>
                  <w:w w:val="93"/>
                </w:rPr>
                <w:t>Skyline Venture Partners V LP</w:t>
              </w:r>
            </w:hyperlink>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440" w:type="dxa"/>
            <w:vAlign w:val="bottom"/>
            <w:gridSpan w:val="3"/>
          </w:tcPr>
          <w:p>
            <w:pPr>
              <w:ind w:left="12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gridSpan w:val="6"/>
          </w:tcPr>
          <w:p>
            <w:pPr>
              <w:spacing w:after="0"/>
              <w:rPr>
                <w:sz w:val="20"/>
                <w:szCs w:val="20"/>
                <w:color w:val="auto"/>
              </w:rPr>
            </w:pPr>
            <w:r>
              <w:rPr>
                <w:rFonts w:ascii="Arial" w:cs="Arial" w:eastAsia="Arial" w:hAnsi="Arial"/>
                <w:sz w:val="18"/>
                <w:szCs w:val="18"/>
                <w:color w:val="0000FF"/>
              </w:rPr>
              <w:t>525 UNIVERSITY AVENUE, SUITE 1350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PALO ALTO</w:t>
            </w:r>
          </w:p>
        </w:tc>
        <w:tc>
          <w:tcPr>
            <w:tcW w:w="1600" w:type="dxa"/>
            <w:vAlign w:val="bottom"/>
            <w:gridSpan w:val="2"/>
          </w:tcPr>
          <w:p>
            <w:pPr>
              <w:ind w:left="260"/>
              <w:spacing w:after="0"/>
              <w:rPr>
                <w:sz w:val="20"/>
                <w:szCs w:val="20"/>
                <w:color w:val="auto"/>
              </w:rPr>
            </w:pPr>
            <w:r>
              <w:rPr>
                <w:rFonts w:ascii="Arial" w:cs="Arial" w:eastAsia="Arial" w:hAnsi="Arial"/>
                <w:sz w:val="18"/>
                <w:szCs w:val="18"/>
                <w:color w:val="0000FF"/>
              </w:rPr>
              <w:t>CA</w:t>
            </w:r>
          </w:p>
        </w:tc>
        <w:tc>
          <w:tcPr>
            <w:tcW w:w="1440" w:type="dxa"/>
            <w:vAlign w:val="bottom"/>
            <w:gridSpan w:val="3"/>
          </w:tcPr>
          <w:p>
            <w:pPr>
              <w:ind w:left="120"/>
              <w:spacing w:after="0"/>
              <w:rPr>
                <w:sz w:val="20"/>
                <w:szCs w:val="20"/>
                <w:color w:val="auto"/>
              </w:rPr>
            </w:pPr>
            <w:r>
              <w:rPr>
                <w:rFonts w:ascii="Arial" w:cs="Arial" w:eastAsia="Arial" w:hAnsi="Arial"/>
                <w:sz w:val="18"/>
                <w:szCs w:val="18"/>
                <w:color w:val="0000FF"/>
              </w:rPr>
              <w:t>94301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440" w:type="dxa"/>
            <w:vAlign w:val="bottom"/>
            <w:gridSpan w:val="3"/>
          </w:tcPr>
          <w:p>
            <w:pPr>
              <w:ind w:left="12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gridSpan w:val="6"/>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Skyline Venture Management V, LLC</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440" w:type="dxa"/>
            <w:vAlign w:val="bottom"/>
            <w:gridSpan w:val="3"/>
          </w:tcPr>
          <w:p>
            <w:pPr>
              <w:ind w:left="12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gridSpan w:val="6"/>
          </w:tcPr>
          <w:p>
            <w:pPr>
              <w:spacing w:after="0"/>
              <w:rPr>
                <w:sz w:val="20"/>
                <w:szCs w:val="20"/>
                <w:color w:val="auto"/>
              </w:rPr>
            </w:pPr>
            <w:r>
              <w:rPr>
                <w:rFonts w:ascii="Arial" w:cs="Arial" w:eastAsia="Arial" w:hAnsi="Arial"/>
                <w:sz w:val="18"/>
                <w:szCs w:val="18"/>
                <w:color w:val="0000FF"/>
              </w:rPr>
              <w:t>525 UNIVERSITY AVENUE, SUITE 1350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PALO ALTO</w:t>
            </w:r>
          </w:p>
        </w:tc>
        <w:tc>
          <w:tcPr>
            <w:tcW w:w="1600" w:type="dxa"/>
            <w:vAlign w:val="bottom"/>
            <w:gridSpan w:val="2"/>
          </w:tcPr>
          <w:p>
            <w:pPr>
              <w:ind w:left="260"/>
              <w:spacing w:after="0"/>
              <w:rPr>
                <w:sz w:val="20"/>
                <w:szCs w:val="20"/>
                <w:color w:val="auto"/>
              </w:rPr>
            </w:pPr>
            <w:r>
              <w:rPr>
                <w:rFonts w:ascii="Arial" w:cs="Arial" w:eastAsia="Arial" w:hAnsi="Arial"/>
                <w:sz w:val="18"/>
                <w:szCs w:val="18"/>
                <w:color w:val="0000FF"/>
              </w:rPr>
              <w:t>CA</w:t>
            </w:r>
          </w:p>
        </w:tc>
        <w:tc>
          <w:tcPr>
            <w:tcW w:w="1440" w:type="dxa"/>
            <w:vAlign w:val="bottom"/>
            <w:gridSpan w:val="3"/>
          </w:tcPr>
          <w:p>
            <w:pPr>
              <w:ind w:left="120"/>
              <w:spacing w:after="0"/>
              <w:rPr>
                <w:sz w:val="20"/>
                <w:szCs w:val="20"/>
                <w:color w:val="auto"/>
              </w:rPr>
            </w:pPr>
            <w:r>
              <w:rPr>
                <w:rFonts w:ascii="Arial" w:cs="Arial" w:eastAsia="Arial" w:hAnsi="Arial"/>
                <w:sz w:val="18"/>
                <w:szCs w:val="18"/>
                <w:color w:val="0000FF"/>
              </w:rPr>
              <w:t>94301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440" w:type="dxa"/>
            <w:vAlign w:val="bottom"/>
            <w:gridSpan w:val="3"/>
          </w:tcPr>
          <w:p>
            <w:pPr>
              <w:ind w:left="12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Freund John Gordon</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525 UNIVERSITY AVENUE, SUITE 1350</w:t>
            </w: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PALO ALTO</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94301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KANEKO YASUNORI</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525 UNIVERSITY AVENUE, SUITE 1350</w:t>
            </w: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PALO ALTO</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94301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825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28257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Issuer's Series 4 Preferred Stock, Series 5 Preferred Stock and Series 7 Preferred Stock will automatically convert into an equal number of shares of Issuer's common stock immediately upon the closing of the Issuer's initial public offering and has no expiration date.</w:t>
      </w:r>
    </w:p>
    <w:p>
      <w:pPr>
        <w:spacing w:after="0" w:line="30" w:lineRule="exact"/>
        <w:rPr>
          <w:rFonts w:ascii="Arial" w:cs="Arial" w:eastAsia="Arial" w:hAnsi="Arial"/>
          <w:sz w:val="14"/>
          <w:szCs w:val="14"/>
          <w:color w:val="008000"/>
        </w:rPr>
      </w:pPr>
    </w:p>
    <w:p>
      <w:pPr>
        <w:jc w:val="both"/>
        <w:ind w:left="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Skyline Venture Partners V, L.P. ("SVP V"). Skyline Venture Management V, LLC ("LLC") is the general partner of SVP V and as such may be deemed to have voting and investment power with respect to the securities of SVP V. John G. Freund, a member of the Issuer's board of directors, together with Yasunori Kaneko, are the managing directors of LLC and each may be deemed to have voting and investment power with respect to the securities held by SVP V. Dr. Freund and Mr. Kaneko disclaim beneficial ownership of such securities, except to the extent of their pecuniary interest therein.</w:t>
      </w:r>
    </w:p>
    <w:p>
      <w:pPr>
        <w:spacing w:after="0" w:line="2" w:lineRule="exact"/>
        <w:rPr>
          <w:rFonts w:ascii="Arial" w:cs="Arial" w:eastAsia="Arial" w:hAnsi="Arial"/>
          <w:sz w:val="12"/>
          <w:szCs w:val="12"/>
          <w:color w:val="008000"/>
        </w:rPr>
      </w:pPr>
    </w:p>
    <w:p>
      <w:pPr>
        <w:ind w:left="20" w:right="1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Issuer's Series 6 Preferred Stock will automatically convert into approximately 1.05878 shares of Issuer's common stock immediately upon the closing of the Issuer's initial public offering and has no expiration date.</w:t>
      </w:r>
    </w:p>
    <w:p>
      <w:pPr>
        <w:sectPr>
          <w:pgSz w:w="11900" w:h="16838" w:orient="portrait"/>
          <w:cols w:equalWidth="0" w:num="1">
            <w:col w:w="11280"/>
          </w:cols>
          <w:pgMar w:left="260" w:top="152" w:right="35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4. Shares subject to the warrant are immediately exercisable. The warrant will expire in connection with the closing of the Issuer's initial public offering.</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Skyline Venture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29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2999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 By: Skyline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33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33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Management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0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48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483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Kerensa Kenny,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6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960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1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Skyline Venture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252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V, LLC, By: /s/ Kerensa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75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756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Kenny,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47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94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0000FF"/>
        </w:rPr>
        <w:t>10/16/2018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940" w:space="200"/>
            <w:col w:w="2140"/>
          </w:cols>
          <w:pgMar w:left="260" w:top="152" w:right="359" w:bottom="1440" w:gutter="0" w:footer="0" w:header="0"/>
          <w:type w:val="continuous"/>
        </w:sectPr>
      </w:pPr>
    </w:p>
    <w:p>
      <w:pPr>
        <w:ind w:left="6840"/>
        <w:spacing w:after="0"/>
        <w:rPr>
          <w:sz w:val="20"/>
          <w:szCs w:val="20"/>
          <w:color w:val="auto"/>
        </w:rPr>
      </w:pPr>
      <w:r>
        <w:rPr>
          <w:rFonts w:ascii="Arial" w:cs="Arial" w:eastAsia="Arial" w:hAnsi="Arial"/>
          <w:sz w:val="16"/>
          <w:szCs w:val="16"/>
          <w:color w:val="0000FF"/>
        </w:rPr>
        <w:t>John G. Freund, /s/ Kerensa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446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Kenny,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4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9474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Yasunori Kaneko, /s/ Kerensa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6985</wp:posOffset>
            </wp:positionV>
            <wp:extent cx="13258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Kenny,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47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94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10/16/2018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10/16/2018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8940" w:space="200"/>
            <w:col w:w="2140"/>
          </w:cols>
          <w:pgMar w:left="260" w:top="152" w:right="35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15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1" Type="http://schemas.openxmlformats.org/officeDocument/2006/relationships/hyperlink" Target="http://www.sec.gov/cgi-bin/browse-edgar?action=getcompany&amp;CIK=0001419187" TargetMode="External"/><Relationship Id="rId12" Type="http://schemas.openxmlformats.org/officeDocument/2006/relationships/hyperlink" Target="http://www.sec.gov/cgi-bin/browse-edgar?action=getcompany&amp;CIK=0001459839" TargetMode="External"/><Relationship Id="rId13" Type="http://schemas.openxmlformats.org/officeDocument/2006/relationships/hyperlink" Target="http://www.sec.gov/cgi-bin/browse-edgar?action=getcompany&amp;CIK=0001434887" TargetMode="External"/><Relationship Id="rId14" Type="http://schemas.openxmlformats.org/officeDocument/2006/relationships/hyperlink" Target="http://www.sec.gov/cgi-bin/browse-edgar?action=getcompany&amp;CIK=0001296771" TargetMode="External"/><Relationship Id="rId15" Type="http://schemas.openxmlformats.org/officeDocument/2006/relationships/hyperlink" Target="http://www.sec.gov/cgi-bin/browse-edgar?action=getcompany&amp;CIK=00012775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2019-12-24T04:15:57Z</dcterms:created>
  <dcterms:modified xsi:type="dcterms:W3CDTF">2019-12-24T04:15:57Z</dcterms:modified>
</cp:coreProperties>
</file>