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38735</wp:posOffset>
            </wp:positionV>
            <wp:extent cx="198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217805</wp:posOffset>
            </wp:positionV>
            <wp:extent cx="198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(Mark one)</w:t>
      </w:r>
    </w:p>
    <w:p>
      <w:pPr>
        <w:spacing w:after="0" w:line="19" w:lineRule="exact"/>
        <w:rPr>
          <w:sz w:val="24"/>
          <w:szCs w:val="24"/>
          <w:color w:val="auto"/>
        </w:rPr>
      </w:pPr>
    </w:p>
    <w:p>
      <w:pPr>
        <w:ind w:left="1620" w:hanging="219"/>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 the quarterly period ended June 30, 2020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62" w:lineRule="exact"/>
        <w:rPr>
          <w:sz w:val="24"/>
          <w:szCs w:val="24"/>
          <w:color w:val="auto"/>
        </w:rPr>
      </w:pPr>
    </w:p>
    <w:p>
      <w:pPr>
        <w:ind w:left="1600" w:hanging="205"/>
        <w:spacing w:after="0"/>
        <w:tabs>
          <w:tab w:leader="none" w:pos="16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transition period from __________ to __________</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001-38701</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SI-BONE,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70485</wp:posOffset>
            </wp:positionV>
            <wp:extent cx="198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ectPr>
          <w:pgSz w:w="11900" w:h="16838" w:orient="portrait"/>
          <w:cols w:equalWidth="0" w:num="1">
            <w:col w:w="11200"/>
          </w:cols>
          <w:pgMar w:left="320" w:top="1273" w:right="37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jc w:val="center"/>
        <w:ind w:right="2720"/>
        <w:spacing w:after="0"/>
        <w:rPr>
          <w:sz w:val="20"/>
          <w:szCs w:val="20"/>
          <w:color w:val="auto"/>
        </w:rPr>
      </w:pPr>
      <w:r>
        <w:rPr>
          <w:rFonts w:ascii="Arial" w:cs="Arial" w:eastAsia="Arial" w:hAnsi="Arial"/>
          <w:sz w:val="16"/>
          <w:szCs w:val="16"/>
          <w:b w:val="1"/>
          <w:bCs w:val="1"/>
          <w:color w:val="auto"/>
        </w:rPr>
        <w:t>Delaware</w:t>
      </w:r>
    </w:p>
    <w:p>
      <w:pPr>
        <w:spacing w:after="0" w:line="50"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(State or Other Jurisdiction of</w:t>
      </w:r>
    </w:p>
    <w:p>
      <w:pPr>
        <w:spacing w:after="0" w:line="4" w:lineRule="exact"/>
        <w:rPr>
          <w:sz w:val="24"/>
          <w:szCs w:val="24"/>
          <w:color w:val="auto"/>
        </w:rPr>
      </w:pPr>
    </w:p>
    <w:p>
      <w:pPr>
        <w:ind w:left="1540"/>
        <w:spacing w:after="0"/>
        <w:rPr>
          <w:sz w:val="20"/>
          <w:szCs w:val="20"/>
          <w:color w:val="auto"/>
        </w:rPr>
      </w:pPr>
      <w:r>
        <w:rPr>
          <w:rFonts w:ascii="Arial" w:cs="Arial" w:eastAsia="Arial" w:hAnsi="Arial"/>
          <w:sz w:val="14"/>
          <w:szCs w:val="14"/>
          <w:b w:val="1"/>
          <w:bCs w:val="1"/>
          <w:color w:val="auto"/>
        </w:rPr>
        <w:t>Incorporation or Organization)</w:t>
      </w:r>
    </w:p>
    <w:p>
      <w:pPr>
        <w:spacing w:after="0" w:line="200" w:lineRule="exact"/>
        <w:rPr>
          <w:sz w:val="24"/>
          <w:szCs w:val="24"/>
          <w:color w:val="auto"/>
        </w:rPr>
      </w:pPr>
    </w:p>
    <w:p>
      <w:pPr>
        <w:spacing w:after="0" w:line="239" w:lineRule="exact"/>
        <w:rPr>
          <w:sz w:val="24"/>
          <w:szCs w:val="24"/>
          <w:color w:val="auto"/>
        </w:rPr>
      </w:pPr>
    </w:p>
    <w:p>
      <w:pPr>
        <w:jc w:val="center"/>
        <w:ind w:right="2720"/>
        <w:spacing w:after="0"/>
        <w:rPr>
          <w:sz w:val="20"/>
          <w:szCs w:val="20"/>
          <w:color w:val="auto"/>
        </w:rPr>
      </w:pPr>
      <w:r>
        <w:rPr>
          <w:rFonts w:ascii="Arial" w:cs="Arial" w:eastAsia="Arial" w:hAnsi="Arial"/>
          <w:sz w:val="16"/>
          <w:szCs w:val="16"/>
          <w:b w:val="1"/>
          <w:bCs w:val="1"/>
          <w:color w:val="auto"/>
        </w:rPr>
        <w:t>471 El Camino Real, Suite 101, Santa Clara, California</w:t>
      </w:r>
    </w:p>
    <w:p>
      <w:pPr>
        <w:spacing w:after="0" w:line="37" w:lineRule="exact"/>
        <w:rPr>
          <w:sz w:val="24"/>
          <w:szCs w:val="24"/>
          <w:color w:val="auto"/>
        </w:rPr>
      </w:pPr>
    </w:p>
    <w:p>
      <w:pPr>
        <w:ind w:left="13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0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Registrant's telephone number, including area code</w:t>
      </w:r>
      <w:r>
        <w:rPr>
          <w:rFonts w:ascii="Arial" w:cs="Arial" w:eastAsia="Arial" w:hAnsi="Arial"/>
          <w:sz w:val="14"/>
          <w:szCs w:val="14"/>
          <w:color w:val="auto"/>
        </w:rPr>
        <w:t>:</w:t>
      </w:r>
      <w:r>
        <w:rPr>
          <w:rFonts w:ascii="Arial" w:cs="Arial" w:eastAsia="Arial" w:hAnsi="Arial"/>
          <w:sz w:val="14"/>
          <w:szCs w:val="14"/>
          <w:b w:val="1"/>
          <w:bCs w:val="1"/>
          <w:color w:val="auto"/>
        </w:rPr>
        <w:t xml:space="preserve"> (408) 207-0700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49530</wp:posOffset>
            </wp:positionV>
            <wp:extent cx="19799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1714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ind w:left="280"/>
        <w:spacing w:after="0"/>
        <w:rPr>
          <w:sz w:val="20"/>
          <w:szCs w:val="20"/>
          <w:color w:val="auto"/>
        </w:rPr>
      </w:pPr>
      <w:r>
        <w:rPr>
          <w:rFonts w:ascii="Arial" w:cs="Arial" w:eastAsia="Arial" w:hAnsi="Arial"/>
          <w:sz w:val="16"/>
          <w:szCs w:val="16"/>
          <w:b w:val="1"/>
          <w:bCs w:val="1"/>
          <w:color w:val="auto"/>
        </w:rPr>
        <w:t>26-2216351</w:t>
      </w:r>
    </w:p>
    <w:p>
      <w:pPr>
        <w:spacing w:after="0" w:line="64" w:lineRule="exact"/>
        <w:rPr>
          <w:sz w:val="24"/>
          <w:szCs w:val="24"/>
          <w:color w:val="auto"/>
        </w:rPr>
      </w:pPr>
    </w:p>
    <w:p>
      <w:pPr>
        <w:jc w:val="center"/>
        <w:ind w:right="14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4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pacing w:after="0" w:line="224" w:lineRule="exact"/>
        <w:rPr>
          <w:sz w:val="24"/>
          <w:szCs w:val="24"/>
          <w:color w:val="auto"/>
        </w:rPr>
      </w:pPr>
    </w:p>
    <w:p>
      <w:pPr>
        <w:jc w:val="center"/>
        <w:ind w:right="1580"/>
        <w:spacing w:after="0"/>
        <w:rPr>
          <w:sz w:val="20"/>
          <w:szCs w:val="20"/>
          <w:color w:val="auto"/>
        </w:rPr>
      </w:pPr>
      <w:r>
        <w:rPr>
          <w:rFonts w:ascii="Arial" w:cs="Arial" w:eastAsia="Arial" w:hAnsi="Arial"/>
          <w:sz w:val="16"/>
          <w:szCs w:val="16"/>
          <w:b w:val="1"/>
          <w:bCs w:val="1"/>
          <w:color w:val="auto"/>
        </w:rPr>
        <w:t>95050</w:t>
      </w:r>
    </w:p>
    <w:p>
      <w:pPr>
        <w:spacing w:after="0" w:line="64" w:lineRule="exact"/>
        <w:rPr>
          <w:sz w:val="24"/>
          <w:szCs w:val="24"/>
          <w:color w:val="auto"/>
        </w:rPr>
      </w:pPr>
    </w:p>
    <w:p>
      <w:pPr>
        <w:ind w:left="300"/>
        <w:spacing w:after="0"/>
        <w:rPr>
          <w:sz w:val="20"/>
          <w:szCs w:val="20"/>
          <w:color w:val="auto"/>
        </w:rPr>
      </w:pPr>
      <w:r>
        <w:rPr>
          <w:rFonts w:ascii="Arial" w:cs="Arial" w:eastAsia="Arial" w:hAnsi="Arial"/>
          <w:sz w:val="14"/>
          <w:szCs w:val="14"/>
          <w:b w:val="1"/>
          <w:bCs w:val="1"/>
          <w:color w:val="auto"/>
        </w:rPr>
        <w:t>(Zip Code)</w:t>
      </w:r>
    </w:p>
    <w:p>
      <w:pPr>
        <w:spacing w:after="0" w:line="673" w:lineRule="exact"/>
        <w:rPr>
          <w:sz w:val="24"/>
          <w:szCs w:val="24"/>
          <w:color w:val="auto"/>
        </w:rPr>
      </w:pPr>
    </w:p>
    <w:p>
      <w:pPr>
        <w:sectPr>
          <w:pgSz w:w="11900" w:h="16838" w:orient="portrait"/>
          <w:cols w:equalWidth="0" w:num="2">
            <w:col w:w="7700" w:space="640"/>
            <w:col w:w="2860"/>
          </w:cols>
          <w:pgMar w:left="320" w:top="1273" w:right="379" w:bottom="1440" w:gutter="0" w:footer="0" w:header="0"/>
          <w:type w:val="continuous"/>
        </w:sectPr>
      </w:pPr>
    </w:p>
    <w:tbl>
      <w:tblPr>
        <w:tblLayout w:type="fixed"/>
        <w:tblInd w:w="158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300" w:type="dxa"/>
            <w:vAlign w:val="bottom"/>
          </w:tcPr>
          <w:p>
            <w:pPr>
              <w:spacing w:after="0"/>
              <w:rPr>
                <w:sz w:val="14"/>
                <w:szCs w:val="14"/>
                <w:color w:val="auto"/>
              </w:rPr>
            </w:pPr>
          </w:p>
        </w:tc>
        <w:tc>
          <w:tcPr>
            <w:tcW w:w="2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312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par value $0.0001 per share</w:t>
            </w:r>
          </w:p>
        </w:tc>
        <w:tc>
          <w:tcPr>
            <w:tcW w:w="580" w:type="dxa"/>
            <w:vAlign w:val="bottom"/>
          </w:tcPr>
          <w:p>
            <w:pPr>
              <w:spacing w:after="0"/>
              <w:rPr>
                <w:sz w:val="18"/>
                <w:szCs w:val="18"/>
                <w:color w:val="auto"/>
              </w:rPr>
            </w:pPr>
          </w:p>
        </w:tc>
        <w:tc>
          <w:tcPr>
            <w:tcW w:w="2000" w:type="dxa"/>
            <w:vAlign w:val="bottom"/>
            <w:gridSpan w:val="2"/>
          </w:tcPr>
          <w:p>
            <w:pPr>
              <w:jc w:val="center"/>
              <w:ind w:right="860"/>
              <w:spacing w:after="0"/>
              <w:rPr>
                <w:sz w:val="20"/>
                <w:szCs w:val="20"/>
                <w:color w:val="auto"/>
              </w:rPr>
            </w:pPr>
            <w:r>
              <w:rPr>
                <w:rFonts w:ascii="Arial" w:cs="Arial" w:eastAsia="Arial" w:hAnsi="Arial"/>
                <w:sz w:val="14"/>
                <w:szCs w:val="14"/>
                <w:color w:val="auto"/>
              </w:rPr>
              <w:t>SIBN</w:t>
            </w:r>
          </w:p>
        </w:tc>
        <w:tc>
          <w:tcPr>
            <w:tcW w:w="268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The Nasdaq Global Market</w:t>
            </w:r>
          </w:p>
        </w:tc>
      </w:tr>
    </w:tbl>
    <w:p>
      <w:pPr>
        <w:spacing w:after="0" w:line="200" w:lineRule="exact"/>
        <w:rPr>
          <w:sz w:val="24"/>
          <w:szCs w:val="24"/>
          <w:color w:val="auto"/>
        </w:rPr>
      </w:pPr>
    </w:p>
    <w:p>
      <w:pPr>
        <w:spacing w:after="0" w:line="252" w:lineRule="exact"/>
        <w:rPr>
          <w:sz w:val="24"/>
          <w:szCs w:val="24"/>
          <w:color w:val="auto"/>
        </w:rPr>
      </w:pPr>
    </w:p>
    <w:p>
      <w:pPr>
        <w:jc w:val="center"/>
        <w:ind w:left="60"/>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2" w:lineRule="exact"/>
        <w:rPr>
          <w:sz w:val="24"/>
          <w:szCs w:val="24"/>
          <w:color w:val="auto"/>
        </w:rPr>
      </w:pPr>
    </w:p>
    <w:p>
      <w:pPr>
        <w:jc w:val="center"/>
        <w:ind w:left="60"/>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2" w:lineRule="exact"/>
        <w:rPr>
          <w:sz w:val="24"/>
          <w:szCs w:val="24"/>
          <w:color w:val="auto"/>
        </w:rPr>
      </w:pPr>
    </w:p>
    <w:p>
      <w:pPr>
        <w:jc w:val="center"/>
        <w:ind w:left="60" w:right="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1700" w:type="dxa"/>
        <w:tblCellMar>
          <w:top w:w="0" w:type="dxa"/>
          <w:left w:w="0" w:type="dxa"/>
          <w:bottom w:w="0" w:type="dxa"/>
          <w:right w:w="0" w:type="dxa"/>
        </w:tblCellMar>
      </w:tblPr>
      <w:tr>
        <w:trPr>
          <w:trHeight w:val="226"/>
        </w:trPr>
        <w:tc>
          <w:tcPr>
            <w:tcW w:w="1760" w:type="dxa"/>
            <w:vAlign w:val="bottom"/>
          </w:tcPr>
          <w:p>
            <w:pPr>
              <w:jc w:val="center"/>
              <w:ind w:right="108"/>
              <w:spacing w:after="0"/>
              <w:rPr>
                <w:sz w:val="20"/>
                <w:szCs w:val="20"/>
                <w:color w:val="auto"/>
              </w:rPr>
            </w:pPr>
            <w:r>
              <w:rPr>
                <w:rFonts w:ascii="Arial" w:cs="Arial" w:eastAsia="Arial" w:hAnsi="Arial"/>
                <w:sz w:val="14"/>
                <w:szCs w:val="14"/>
                <w:color w:val="auto"/>
                <w:w w:val="93"/>
              </w:rPr>
              <w:t>Large accelerated filer</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00" w:type="dxa"/>
            <w:vAlign w:val="bottom"/>
          </w:tcPr>
          <w:p>
            <w:pPr>
              <w:jc w:val="center"/>
              <w:ind w:left="168"/>
              <w:spacing w:after="0"/>
              <w:rPr>
                <w:sz w:val="20"/>
                <w:szCs w:val="20"/>
                <w:color w:val="auto"/>
              </w:rPr>
            </w:pPr>
            <w:r>
              <w:rPr>
                <w:rFonts w:ascii="Arial" w:cs="Arial" w:eastAsia="Arial" w:hAnsi="Arial"/>
                <w:sz w:val="14"/>
                <w:szCs w:val="14"/>
                <w:color w:val="auto"/>
                <w:w w:val="95"/>
              </w:rPr>
              <w:t>Accelerated filer</w:t>
            </w:r>
          </w:p>
        </w:tc>
        <w:tc>
          <w:tcPr>
            <w:tcW w:w="8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540"/>
              <w:spacing w:after="0"/>
              <w:rPr>
                <w:sz w:val="20"/>
                <w:szCs w:val="20"/>
                <w:color w:val="auto"/>
              </w:rPr>
            </w:pPr>
            <w:r>
              <w:rPr>
                <w:rFonts w:ascii="Arial" w:cs="Arial" w:eastAsia="Arial" w:hAnsi="Arial"/>
                <w:sz w:val="14"/>
                <w:szCs w:val="14"/>
                <w:color w:val="auto"/>
              </w:rPr>
              <w:t>Non-accelerated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760" w:type="dxa"/>
            <w:vAlign w:val="bottom"/>
          </w:tcPr>
          <w:p>
            <w:pPr>
              <w:jc w:val="center"/>
              <w:ind w:right="108"/>
              <w:spacing w:after="0"/>
              <w:rPr>
                <w:sz w:val="20"/>
                <w:szCs w:val="20"/>
                <w:color w:val="auto"/>
              </w:rPr>
            </w:pPr>
            <w:r>
              <w:rPr>
                <w:rFonts w:ascii="Arial" w:cs="Arial" w:eastAsia="Arial" w:hAnsi="Arial"/>
                <w:sz w:val="14"/>
                <w:szCs w:val="14"/>
                <w:color w:val="auto"/>
                <w:w w:val="94"/>
              </w:rPr>
              <w:t>Smaller reporting company</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00" w:type="dxa"/>
            <w:vAlign w:val="bottom"/>
          </w:tcPr>
          <w:p>
            <w:pPr>
              <w:jc w:val="center"/>
              <w:ind w:left="188"/>
              <w:spacing w:after="0"/>
              <w:rPr>
                <w:sz w:val="20"/>
                <w:szCs w:val="20"/>
                <w:color w:val="auto"/>
              </w:rPr>
            </w:pPr>
            <w:r>
              <w:rPr>
                <w:rFonts w:ascii="Arial" w:cs="Arial" w:eastAsia="Arial" w:hAnsi="Arial"/>
                <w:sz w:val="14"/>
                <w:szCs w:val="14"/>
                <w:color w:val="auto"/>
                <w:w w:val="94"/>
              </w:rPr>
              <w:t>Emerging growth company</w:t>
            </w:r>
          </w:p>
        </w:tc>
        <w:tc>
          <w:tcPr>
            <w:tcW w:w="8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pacing w:after="0" w:line="99" w:lineRule="exact"/>
        <w:rPr>
          <w:sz w:val="24"/>
          <w:szCs w:val="24"/>
          <w:color w:val="auto"/>
        </w:rPr>
      </w:pPr>
    </w:p>
    <w:p>
      <w:pPr>
        <w:jc w:val="center"/>
        <w:ind w:left="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9" w:lineRule="exact"/>
        <w:rPr>
          <w:sz w:val="24"/>
          <w:szCs w:val="24"/>
          <w:color w:val="auto"/>
        </w:rPr>
      </w:pPr>
    </w:p>
    <w:p>
      <w:pPr>
        <w:jc w:val="center"/>
        <w:ind w:right="-59"/>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The number of shares outstanding of the registrant’s Common Stock was 28,629,991 as of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7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43"/>
        </w:trPr>
        <w:tc>
          <w:tcPr>
            <w:tcW w:w="1200" w:type="dxa"/>
            <w:vAlign w:val="bottom"/>
          </w:tcPr>
          <w:p>
            <w:pPr>
              <w:spacing w:after="0"/>
              <w:rPr>
                <w:sz w:val="21"/>
                <w:szCs w:val="21"/>
                <w:color w:val="auto"/>
              </w:rPr>
            </w:pPr>
          </w:p>
        </w:tc>
        <w:tc>
          <w:tcPr>
            <w:tcW w:w="9520" w:type="dxa"/>
            <w:vAlign w:val="bottom"/>
          </w:tcPr>
          <w:p>
            <w:pPr>
              <w:ind w:left="3280"/>
              <w:spacing w:after="0"/>
              <w:rPr>
                <w:sz w:val="20"/>
                <w:szCs w:val="20"/>
                <w:color w:val="auto"/>
              </w:rPr>
            </w:pPr>
            <w:r>
              <w:rPr>
                <w:rFonts w:ascii="Arial" w:cs="Arial" w:eastAsia="Arial" w:hAnsi="Arial"/>
                <w:sz w:val="18"/>
                <w:szCs w:val="18"/>
                <w:b w:val="1"/>
                <w:bCs w:val="1"/>
                <w:color w:val="auto"/>
              </w:rPr>
              <w:t>PART I-FINANCIAL INFORMATION</w:t>
            </w:r>
          </w:p>
        </w:tc>
        <w:tc>
          <w:tcPr>
            <w:tcW w:w="500" w:type="dxa"/>
            <w:vAlign w:val="bottom"/>
          </w:tcPr>
          <w:p>
            <w:pPr>
              <w:spacing w:after="0"/>
              <w:rPr>
                <w:sz w:val="21"/>
                <w:szCs w:val="21"/>
                <w:color w:val="auto"/>
              </w:rPr>
            </w:pPr>
          </w:p>
        </w:tc>
      </w:tr>
      <w:tr>
        <w:trPr>
          <w:trHeight w:val="256"/>
        </w:trPr>
        <w:tc>
          <w:tcPr>
            <w:tcW w:w="12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52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5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29"/>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29"/>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 and Comprehensive Loss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30"/>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Stockholders' Equity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29"/>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230"/>
        </w:trPr>
        <w:tc>
          <w:tcPr>
            <w:tcW w:w="1200" w:type="dxa"/>
            <w:vAlign w:val="bottom"/>
          </w:tcPr>
          <w:p>
            <w:pPr>
              <w:spacing w:after="0"/>
              <w:rPr>
                <w:sz w:val="19"/>
                <w:szCs w:val="19"/>
                <w:color w:val="auto"/>
              </w:rPr>
            </w:pPr>
          </w:p>
        </w:tc>
        <w:tc>
          <w:tcPr>
            <w:tcW w:w="9520" w:type="dxa"/>
            <w:vAlign w:val="bottom"/>
          </w:tcPr>
          <w:p>
            <w:pPr>
              <w:ind w:left="4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 (unaudited)</w:t>
              </w:r>
            </w:hyperlink>
          </w:p>
        </w:tc>
        <w:tc>
          <w:tcPr>
            <w:tcW w:w="50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w:t>
              </w:r>
            </w:hyperlink>
          </w:p>
        </w:tc>
        <w:tc>
          <w:tcPr>
            <w:tcW w:w="9520" w:type="dxa"/>
            <w:vAlign w:val="bottom"/>
          </w:tcPr>
          <w:p>
            <w:pPr>
              <w:ind w:left="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50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3.</w:t>
              </w:r>
            </w:hyperlink>
          </w:p>
        </w:tc>
        <w:tc>
          <w:tcPr>
            <w:tcW w:w="9520" w:type="dxa"/>
            <w:vAlign w:val="bottom"/>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Quantitative and Qualitative Disclosures About Market Risk</w:t>
              </w:r>
            </w:hyperlink>
          </w:p>
        </w:tc>
        <w:tc>
          <w:tcPr>
            <w:tcW w:w="50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35</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4.</w:t>
              </w:r>
            </w:hyperlink>
          </w:p>
        </w:tc>
        <w:tc>
          <w:tcPr>
            <w:tcW w:w="9520" w:type="dxa"/>
            <w:vAlign w:val="bottom"/>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Controls and Procedures</w:t>
              </w:r>
            </w:hyperlink>
          </w:p>
        </w:tc>
        <w:tc>
          <w:tcPr>
            <w:tcW w:w="50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35</w:t>
              </w:r>
            </w:hyperlink>
          </w:p>
        </w:tc>
      </w:tr>
      <w:tr>
        <w:trPr>
          <w:trHeight w:val="513"/>
        </w:trPr>
        <w:tc>
          <w:tcPr>
            <w:tcW w:w="1200" w:type="dxa"/>
            <w:vAlign w:val="bottom"/>
          </w:tcPr>
          <w:p>
            <w:pPr>
              <w:spacing w:after="0"/>
              <w:rPr>
                <w:sz w:val="24"/>
                <w:szCs w:val="24"/>
                <w:color w:val="auto"/>
              </w:rPr>
            </w:pPr>
          </w:p>
        </w:tc>
        <w:tc>
          <w:tcPr>
            <w:tcW w:w="9520" w:type="dxa"/>
            <w:vAlign w:val="bottom"/>
          </w:tcPr>
          <w:p>
            <w:pPr>
              <w:ind w:left="3420"/>
              <w:spacing w:after="0"/>
              <w:rPr>
                <w:sz w:val="20"/>
                <w:szCs w:val="20"/>
                <w:color w:val="auto"/>
              </w:rPr>
            </w:pPr>
            <w:r>
              <w:rPr>
                <w:rFonts w:ascii="Arial" w:cs="Arial" w:eastAsia="Arial" w:hAnsi="Arial"/>
                <w:sz w:val="18"/>
                <w:szCs w:val="18"/>
                <w:b w:val="1"/>
                <w:bCs w:val="1"/>
                <w:color w:val="auto"/>
              </w:rPr>
              <w:t>PART II-OTHER INFORMATION</w:t>
            </w:r>
          </w:p>
        </w:tc>
        <w:tc>
          <w:tcPr>
            <w:tcW w:w="500" w:type="dxa"/>
            <w:vAlign w:val="bottom"/>
          </w:tcPr>
          <w:p>
            <w:pPr>
              <w:spacing w:after="0"/>
              <w:rPr>
                <w:sz w:val="24"/>
                <w:szCs w:val="24"/>
                <w:color w:val="auto"/>
              </w:rPr>
            </w:pPr>
          </w:p>
        </w:tc>
      </w:tr>
      <w:tr>
        <w:trPr>
          <w:trHeight w:val="256"/>
        </w:trPr>
        <w:tc>
          <w:tcPr>
            <w:tcW w:w="120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w:t>
              </w:r>
            </w:hyperlink>
          </w:p>
        </w:tc>
        <w:tc>
          <w:tcPr>
            <w:tcW w:w="9520" w:type="dxa"/>
            <w:vAlign w:val="bottom"/>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Legal Proceedings</w:t>
              </w:r>
            </w:hyperlink>
          </w:p>
        </w:tc>
        <w:tc>
          <w:tcPr>
            <w:tcW w:w="50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1A.</w:t>
              </w:r>
            </w:hyperlink>
          </w:p>
        </w:tc>
        <w:tc>
          <w:tcPr>
            <w:tcW w:w="9520" w:type="dxa"/>
            <w:vAlign w:val="bottom"/>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Risk Factors</w:t>
              </w:r>
            </w:hyperlink>
          </w:p>
        </w:tc>
        <w:tc>
          <w:tcPr>
            <w:tcW w:w="50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Item 2.</w:t>
              </w:r>
            </w:hyperlink>
          </w:p>
        </w:tc>
        <w:tc>
          <w:tcPr>
            <w:tcW w:w="9520" w:type="dxa"/>
            <w:vAlign w:val="bottom"/>
          </w:tcPr>
          <w:p>
            <w:pPr>
              <w:ind w:left="8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Unregistered Sales of Equity Securities and Use of Proceeds</w:t>
              </w:r>
            </w:hyperlink>
          </w:p>
        </w:tc>
        <w:tc>
          <w:tcPr>
            <w:tcW w:w="50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70</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3.</w:t>
              </w:r>
            </w:hyperlink>
          </w:p>
        </w:tc>
        <w:tc>
          <w:tcPr>
            <w:tcW w:w="9520" w:type="dxa"/>
            <w:vAlign w:val="bottom"/>
          </w:tcPr>
          <w:p>
            <w:pPr>
              <w:ind w:left="8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Defaults Upon Senior Securities</w:t>
              </w:r>
            </w:hyperlink>
          </w:p>
        </w:tc>
        <w:tc>
          <w:tcPr>
            <w:tcW w:w="50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71</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4.</w:t>
              </w:r>
            </w:hyperlink>
          </w:p>
        </w:tc>
        <w:tc>
          <w:tcPr>
            <w:tcW w:w="9520" w:type="dxa"/>
            <w:vAlign w:val="bottom"/>
          </w:tcPr>
          <w:p>
            <w:pPr>
              <w:ind w:left="8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Mine Safety Disclosures</w:t>
              </w:r>
            </w:hyperlink>
          </w:p>
        </w:tc>
        <w:tc>
          <w:tcPr>
            <w:tcW w:w="50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71</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5.</w:t>
              </w:r>
            </w:hyperlink>
          </w:p>
        </w:tc>
        <w:tc>
          <w:tcPr>
            <w:tcW w:w="9520" w:type="dxa"/>
            <w:vAlign w:val="bottom"/>
          </w:tcPr>
          <w:p>
            <w:pPr>
              <w:ind w:left="8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Other Information</w:t>
              </w:r>
            </w:hyperlink>
          </w:p>
        </w:tc>
        <w:tc>
          <w:tcPr>
            <w:tcW w:w="50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71</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6.</w:t>
              </w:r>
            </w:hyperlink>
          </w:p>
        </w:tc>
        <w:tc>
          <w:tcPr>
            <w:tcW w:w="9520" w:type="dxa"/>
            <w:vAlign w:val="bottom"/>
          </w:tcPr>
          <w:p>
            <w:pPr>
              <w:ind w:left="8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Exhibits</w:t>
              </w:r>
            </w:hyperlink>
          </w:p>
        </w:tc>
        <w:tc>
          <w:tcPr>
            <w:tcW w:w="50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72</w:t>
              </w:r>
            </w:hyperlink>
          </w:p>
        </w:tc>
      </w:tr>
      <w:tr>
        <w:trPr>
          <w:trHeight w:val="486"/>
        </w:trPr>
        <w:tc>
          <w:tcPr>
            <w:tcW w:w="1200" w:type="dxa"/>
            <w:vAlign w:val="bottom"/>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SIGNATURES</w:t>
              </w:r>
            </w:hyperlink>
          </w:p>
        </w:tc>
        <w:tc>
          <w:tcPr>
            <w:tcW w:w="9520" w:type="dxa"/>
            <w:vAlign w:val="bottom"/>
          </w:tcPr>
          <w:p>
            <w:pPr>
              <w:spacing w:after="0"/>
              <w:rPr>
                <w:sz w:val="24"/>
                <w:szCs w:val="24"/>
                <w:color w:val="auto"/>
              </w:rPr>
            </w:pPr>
          </w:p>
        </w:tc>
        <w:tc>
          <w:tcPr>
            <w:tcW w:w="50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21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219" w:lineRule="exact"/>
        <w:rPr>
          <w:sz w:val="20"/>
          <w:szCs w:val="20"/>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the COVID-19 pandemic will have on our company, including our operations, financial results, liquidity and capital resources, the existence and duration of state and local orders temporarily prohibiting elective procedures including procedures using the iFuse Implant System, the ability and desire of patients and physicians to undergo and perform such procedures, the duration of the COVID-19 pandemic, and whether the COVID-19 pandemic will recur in the future;</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9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10,435</w:t>
            </w:r>
          </w:p>
        </w:tc>
        <w:tc>
          <w:tcPr>
            <w:tcW w:w="0" w:type="dxa"/>
            <w:vAlign w:val="bottom"/>
          </w:tcPr>
          <w:p>
            <w:pPr>
              <w:spacing w:after="0"/>
              <w:rPr>
                <w:sz w:val="1"/>
                <w:szCs w:val="1"/>
                <w:color w:val="auto"/>
              </w:rPr>
            </w:pPr>
          </w:p>
        </w:tc>
      </w:tr>
      <w:tr>
        <w:trPr>
          <w:trHeight w:val="243"/>
        </w:trPr>
        <w:tc>
          <w:tcPr>
            <w:tcW w:w="724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71,499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81,345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5"/>
              </w:rPr>
              <w:t>Accounts receivable, net of allowance for doubtful accounts of $263 and $238,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43"/>
        </w:trPr>
        <w:tc>
          <w:tcPr>
            <w:tcW w:w="724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37"/>
        </w:trPr>
        <w:tc>
          <w:tcPr>
            <w:tcW w:w="7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154,529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111,462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4,407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7"/>
        </w:trPr>
        <w:tc>
          <w:tcPr>
            <w:tcW w:w="72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159,248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117,009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liabilities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43"/>
        </w:trPr>
        <w:tc>
          <w:tcPr>
            <w:tcW w:w="7240" w:type="dxa"/>
            <w:vAlign w:val="bottom"/>
          </w:tcPr>
          <w:p>
            <w:pPr>
              <w:ind w:left="320"/>
              <w:spacing w:after="0"/>
              <w:rPr>
                <w:sz w:val="20"/>
                <w:szCs w:val="20"/>
                <w:color w:val="auto"/>
              </w:rPr>
            </w:pPr>
            <w:r>
              <w:rPr>
                <w:rFonts w:ascii="Arial" w:cs="Arial" w:eastAsia="Arial" w:hAnsi="Arial"/>
                <w:sz w:val="18"/>
                <w:szCs w:val="18"/>
                <w:color w:val="auto"/>
              </w:rPr>
              <w:t>Current portion of long-term borrowings</w:t>
            </w:r>
          </w:p>
        </w:tc>
        <w:tc>
          <w:tcPr>
            <w:tcW w:w="1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18,774</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1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39,264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34,865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7"/>
        </w:trPr>
        <w:tc>
          <w:tcPr>
            <w:tcW w:w="724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51,380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54,001</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Preferred stock, $0.0001 par value; 5,000,000 shares authorized; no shares issued and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24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stock, $0.0001 par value; 100,000,000 shares authorized; 28,612,451 and 25,163,803</w:t>
            </w:r>
          </w:p>
        </w:tc>
        <w:tc>
          <w:tcPr>
            <w:tcW w:w="14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240" w:type="dxa"/>
            <w:vAlign w:val="bottom"/>
          </w:tcPr>
          <w:p>
            <w:pPr>
              <w:ind w:left="34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328,079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258,121</w:t>
            </w:r>
          </w:p>
        </w:tc>
        <w:tc>
          <w:tcPr>
            <w:tcW w:w="0" w:type="dxa"/>
            <w:vAlign w:val="bottom"/>
          </w:tcPr>
          <w:p>
            <w:pPr>
              <w:spacing w:after="0"/>
              <w:rPr>
                <w:sz w:val="1"/>
                <w:szCs w:val="1"/>
                <w:color w:val="auto"/>
              </w:rPr>
            </w:pPr>
          </w:p>
        </w:tc>
      </w:tr>
      <w:tr>
        <w:trPr>
          <w:trHeight w:val="243"/>
        </w:trPr>
        <w:tc>
          <w:tcPr>
            <w:tcW w:w="7240" w:type="dxa"/>
            <w:vAlign w:val="bottom"/>
          </w:tcPr>
          <w:p>
            <w:pPr>
              <w:ind w:left="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(195,580)</w:t>
            </w:r>
          </w:p>
        </w:tc>
        <w:tc>
          <w:tcPr>
            <w:tcW w:w="0" w:type="dxa"/>
            <w:vAlign w:val="bottom"/>
          </w:tcPr>
          <w:p>
            <w:pPr>
              <w:spacing w:after="0"/>
              <w:rPr>
                <w:sz w:val="1"/>
                <w:szCs w:val="1"/>
                <w:color w:val="auto"/>
              </w:rPr>
            </w:pPr>
          </w:p>
        </w:tc>
      </w:tr>
      <w:tr>
        <w:trPr>
          <w:trHeight w:val="236"/>
        </w:trPr>
        <w:tc>
          <w:tcPr>
            <w:tcW w:w="724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107,868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63,008</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159,248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117,009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769" w:right="9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w w:val="97"/>
              </w:rPr>
              <w:t>Six months ended June 30,</w:t>
            </w: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16,317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31,308</w:t>
            </w:r>
          </w:p>
        </w:tc>
        <w:tc>
          <w:tcPr>
            <w:tcW w:w="0" w:type="dxa"/>
            <w:vAlign w:val="bottom"/>
          </w:tcPr>
          <w:p>
            <w:pPr>
              <w:spacing w:after="0"/>
              <w:rPr>
                <w:sz w:val="1"/>
                <w:szCs w:val="1"/>
                <w:color w:val="auto"/>
              </w:rPr>
            </w:pPr>
          </w:p>
        </w:tc>
      </w:tr>
      <w:tr>
        <w:trPr>
          <w:trHeight w:val="243"/>
        </w:trPr>
        <w:tc>
          <w:tcPr>
            <w:tcW w:w="4600" w:type="dxa"/>
            <w:vAlign w:val="bottom"/>
          </w:tcPr>
          <w:p>
            <w:pPr>
              <w:ind w:left="6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1,588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14,729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28,194</w:t>
            </w:r>
          </w:p>
        </w:tc>
        <w:tc>
          <w:tcPr>
            <w:tcW w:w="0" w:type="dxa"/>
            <w:vAlign w:val="bottom"/>
          </w:tcPr>
          <w:p>
            <w:pPr>
              <w:spacing w:after="0"/>
              <w:rPr>
                <w:sz w:val="1"/>
                <w:szCs w:val="1"/>
                <w:color w:val="auto"/>
              </w:rPr>
            </w:pPr>
          </w:p>
        </w:tc>
      </w:tr>
      <w:tr>
        <w:trPr>
          <w:trHeight w:val="209"/>
        </w:trPr>
        <w:tc>
          <w:tcPr>
            <w:tcW w:w="460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16,727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32,542</w:t>
            </w:r>
          </w:p>
        </w:tc>
        <w:tc>
          <w:tcPr>
            <w:tcW w:w="0" w:type="dxa"/>
            <w:vAlign w:val="bottom"/>
          </w:tcPr>
          <w:p>
            <w:pPr>
              <w:spacing w:after="0"/>
              <w:rPr>
                <w:sz w:val="1"/>
                <w:szCs w:val="1"/>
                <w:color w:val="auto"/>
              </w:rPr>
            </w:pPr>
          </w:p>
        </w:tc>
      </w:tr>
      <w:tr>
        <w:trPr>
          <w:trHeight w:val="243"/>
        </w:trPr>
        <w:tc>
          <w:tcPr>
            <w:tcW w:w="460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1,946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4,194</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8,960</w:t>
            </w:r>
          </w:p>
        </w:tc>
        <w:tc>
          <w:tcPr>
            <w:tcW w:w="0" w:type="dxa"/>
            <w:vAlign w:val="bottom"/>
          </w:tcPr>
          <w:p>
            <w:pPr>
              <w:spacing w:after="0"/>
              <w:rPr>
                <w:sz w:val="1"/>
                <w:szCs w:val="1"/>
                <w:color w:val="auto"/>
              </w:rPr>
            </w:pPr>
          </w:p>
        </w:tc>
      </w:tr>
      <w:tr>
        <w:trPr>
          <w:trHeight w:val="237"/>
        </w:trPr>
        <w:tc>
          <w:tcPr>
            <w:tcW w:w="460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22,071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22,867</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48,842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(16,937)</w:t>
            </w:r>
          </w:p>
        </w:tc>
        <w:tc>
          <w:tcPr>
            <w:tcW w:w="0" w:type="dxa"/>
            <w:vAlign w:val="bottom"/>
          </w:tcPr>
          <w:p>
            <w:pPr>
              <w:spacing w:after="0"/>
              <w:rPr>
                <w:sz w:val="1"/>
                <w:szCs w:val="1"/>
                <w:color w:val="auto"/>
              </w:rPr>
            </w:pPr>
          </w:p>
        </w:tc>
      </w:tr>
      <w:tr>
        <w:trPr>
          <w:trHeight w:val="230"/>
        </w:trPr>
        <w:tc>
          <w:tcPr>
            <w:tcW w:w="460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43"/>
        </w:trPr>
        <w:tc>
          <w:tcPr>
            <w:tcW w:w="460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(1,233)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4600" w:type="dxa"/>
            <w:vAlign w:val="bottom"/>
          </w:tcPr>
          <w:p>
            <w:pPr>
              <w:ind w:left="6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(8,654)</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(17,999)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500"/>
              <w:spacing w:after="0"/>
              <w:rPr>
                <w:sz w:val="20"/>
                <w:szCs w:val="20"/>
                <w:color w:val="auto"/>
              </w:rPr>
            </w:pPr>
            <w:r>
              <w:rPr>
                <w:rFonts w:ascii="Arial" w:cs="Arial" w:eastAsia="Arial" w:hAnsi="Arial"/>
                <w:sz w:val="18"/>
                <w:szCs w:val="18"/>
                <w:color w:val="auto"/>
              </w:rPr>
              <w:t>Changes in foreign currency translation</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 (loss) on marketable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4600" w:type="dxa"/>
            <w:vAlign w:val="bottom"/>
          </w:tcPr>
          <w:p>
            <w:pPr>
              <w:ind w:left="6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(8,583)</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(17,922)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60"/>
              <w:spacing w:after="0" w:line="176" w:lineRule="exact"/>
              <w:rPr>
                <w:sz w:val="20"/>
                <w:szCs w:val="20"/>
                <w:color w:val="auto"/>
              </w:rPr>
            </w:pPr>
            <w:r>
              <w:rPr>
                <w:rFonts w:ascii="Arial" w:cs="Arial" w:eastAsia="Arial" w:hAnsi="Arial"/>
                <w:sz w:val="18"/>
                <w:szCs w:val="18"/>
                <w:color w:val="auto"/>
                <w:w w:val="89"/>
              </w:rPr>
              <w:t>Weighted-average number of common shares used to compute</w:t>
            </w:r>
          </w:p>
        </w:tc>
        <w:tc>
          <w:tcPr>
            <w:tcW w:w="220" w:type="dxa"/>
            <w:vAlign w:val="bottom"/>
          </w:tcPr>
          <w:p>
            <w:pPr>
              <w:spacing w:after="0"/>
              <w:rPr>
                <w:sz w:val="15"/>
                <w:szCs w:val="15"/>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color w:val="auto"/>
              </w:rPr>
              <w:t>28,492,582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color w:val="auto"/>
                <w:w w:val="95"/>
              </w:rPr>
              <w:t>24,577,938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8"/>
                <w:szCs w:val="18"/>
                <w:color w:val="auto"/>
              </w:rPr>
              <w:t>27,872,505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8"/>
                <w:szCs w:val="18"/>
                <w:color w:val="auto"/>
              </w:rPr>
              <w:t>24,484,608</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basic and diluted net loss per share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800" w:top="769" w:right="799" w:bottom="1440" w:gutter="0" w:footer="0" w:header="0"/>
        </w:sectPr>
      </w:pPr>
    </w:p>
    <w:bookmarkStart w:id="6" w:name="page7"/>
    <w:bookmarkEnd w:id="6"/>
    <w:p>
      <w:pPr>
        <w:ind w:left="4940"/>
        <w:spacing w:after="0"/>
        <w:rPr>
          <w:sz w:val="20"/>
          <w:szCs w:val="20"/>
          <w:color w:val="auto"/>
        </w:rPr>
      </w:pPr>
      <w:r>
        <w:rPr>
          <w:rFonts w:ascii="Arial" w:cs="Arial" w:eastAsia="Arial" w:hAnsi="Arial"/>
          <w:sz w:val="18"/>
          <w:szCs w:val="18"/>
          <w:b w:val="1"/>
          <w:bCs w:val="1"/>
          <w:color w:val="auto"/>
        </w:rPr>
        <w:t>SI-BONE, INC.</w:t>
      </w:r>
    </w:p>
    <w:p>
      <w:pPr>
        <w:spacing w:after="0" w:line="104"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0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share amounts)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1960" w:type="dxa"/>
            <w:vAlign w:val="bottom"/>
            <w:gridSpan w:val="5"/>
            <w:vMerge w:val="restart"/>
          </w:tcPr>
          <w:p>
            <w:pPr>
              <w:ind w:left="400"/>
              <w:spacing w:after="0"/>
              <w:rPr>
                <w:sz w:val="20"/>
                <w:szCs w:val="20"/>
                <w:color w:val="auto"/>
              </w:rPr>
            </w:pPr>
            <w:r>
              <w:rPr>
                <w:rFonts w:ascii="Arial" w:cs="Arial" w:eastAsia="Arial" w:hAnsi="Arial"/>
                <w:sz w:val="16"/>
                <w:szCs w:val="16"/>
                <w:b w:val="1"/>
                <w:bCs w:val="1"/>
                <w:color w:val="auto"/>
              </w:rPr>
              <w:t>Common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960" w:type="dxa"/>
            <w:vAlign w:val="bottom"/>
            <w:gridSpan w:val="5"/>
            <w:vMerge w:val="continue"/>
          </w:tcPr>
          <w:p>
            <w:pPr>
              <w:spacing w:after="0"/>
              <w:rPr>
                <w:sz w:val="13"/>
                <w:szCs w:val="13"/>
                <w:color w:val="auto"/>
              </w:rPr>
            </w:pPr>
          </w:p>
        </w:tc>
        <w:tc>
          <w:tcPr>
            <w:tcW w:w="960" w:type="dxa"/>
            <w:vAlign w:val="bottom"/>
            <w:gridSpan w:val="2"/>
            <w:vMerge w:val="restart"/>
          </w:tcPr>
          <w:p>
            <w:pPr>
              <w:jc w:val="center"/>
              <w:ind w:right="100"/>
              <w:spacing w:after="0" w:line="183" w:lineRule="exact"/>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3"/>
                <w:szCs w:val="13"/>
                <w:color w:val="auto"/>
              </w:rPr>
            </w:pPr>
          </w:p>
        </w:tc>
        <w:tc>
          <w:tcPr>
            <w:tcW w:w="980" w:type="dxa"/>
            <w:vAlign w:val="bottom"/>
            <w:gridSpan w:val="2"/>
            <w:vMerge w:val="restart"/>
          </w:tcPr>
          <w:p>
            <w:pPr>
              <w:jc w:val="center"/>
              <w:ind w:right="280"/>
              <w:spacing w:after="0" w:line="183" w:lineRule="exact"/>
              <w:rPr>
                <w:sz w:val="20"/>
                <w:szCs w:val="20"/>
                <w:color w:val="auto"/>
              </w:rPr>
            </w:pPr>
            <w:r>
              <w:rPr>
                <w:rFonts w:ascii="Arial" w:cs="Arial" w:eastAsia="Arial" w:hAnsi="Arial"/>
                <w:sz w:val="16"/>
                <w:szCs w:val="16"/>
                <w:b w:val="1"/>
                <w:bCs w:val="1"/>
                <w:color w:val="auto"/>
                <w:w w:val="98"/>
              </w:rPr>
              <w:t>Other</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31"/>
              <w:spacing w:after="0" w:line="183"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line="183" w:lineRule="exact"/>
              <w:rPr>
                <w:sz w:val="20"/>
                <w:szCs w:val="20"/>
                <w:color w:val="auto"/>
              </w:rPr>
            </w:pPr>
            <w:r>
              <w:rPr>
                <w:rFonts w:ascii="Arial" w:cs="Arial" w:eastAsia="Arial" w:hAnsi="Arial"/>
                <w:sz w:val="16"/>
                <w:szCs w:val="16"/>
                <w:b w:val="1"/>
                <w:bCs w:val="1"/>
                <w:color w:val="auto"/>
                <w:w w:val="93"/>
              </w:rPr>
              <w:t>Paid-in</w:t>
            </w:r>
          </w:p>
        </w:tc>
        <w:tc>
          <w:tcPr>
            <w:tcW w:w="1180" w:type="dxa"/>
            <w:vAlign w:val="bottom"/>
            <w:gridSpan w:val="3"/>
          </w:tcPr>
          <w:p>
            <w:pPr>
              <w:jc w:val="center"/>
              <w:ind w:right="80"/>
              <w:spacing w:after="0" w:line="183" w:lineRule="exact"/>
              <w:rPr>
                <w:sz w:val="20"/>
                <w:szCs w:val="20"/>
                <w:color w:val="auto"/>
              </w:rPr>
            </w:pPr>
            <w:r>
              <w:rPr>
                <w:rFonts w:ascii="Arial" w:cs="Arial" w:eastAsia="Arial" w:hAnsi="Arial"/>
                <w:sz w:val="16"/>
                <w:szCs w:val="16"/>
                <w:b w:val="1"/>
                <w:bCs w:val="1"/>
                <w:color w:val="auto"/>
                <w:w w:val="88"/>
              </w:rPr>
              <w:t>Comprehensive</w:t>
            </w:r>
          </w:p>
        </w:tc>
        <w:tc>
          <w:tcPr>
            <w:tcW w:w="104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w w:val="99"/>
              </w:rPr>
              <w:t>Accumulated</w:t>
            </w:r>
          </w:p>
        </w:tc>
        <w:tc>
          <w:tcPr>
            <w:tcW w:w="10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10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9"/>
                <w:szCs w:val="19"/>
                <w:color w:val="auto"/>
              </w:rPr>
            </w:pPr>
          </w:p>
        </w:tc>
        <w:tc>
          <w:tcPr>
            <w:tcW w:w="820" w:type="dxa"/>
            <w:vAlign w:val="bottom"/>
          </w:tcPr>
          <w:p>
            <w:pPr>
              <w:jc w:val="right"/>
              <w:ind w:right="1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25,163,803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7"/>
              </w:rPr>
              <w:t>$ 258,121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464</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1"/>
              </w:rPr>
              <w:t>$ (195,580)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63,008</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Issuance of common stock from public offering, net of</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underwriting discounts, commissions and offering costs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w w:val="99"/>
              </w:rPr>
              <w:t>3,135,053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62,978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62,978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upon exercise of stock options, net of</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withheld</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43,334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w w:val="96"/>
              </w:rPr>
              <w:t>Issuance of common stock upon vesting of restricted stock units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63,938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Net unrealized gain on marketable securities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8"/>
              </w:rPr>
              <w:t>28,406,128</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323,922</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(208,352)</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8"/>
              </w:rPr>
              <w:t>116,270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upon exercise of stock options, net of</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withheld</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46,608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w w:val="97"/>
              </w:rPr>
              <w:t>Issuance of common stock related to employee stock purchase</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plan</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74,685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Issuance of common stock upon vesting of restricted stock units</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85,030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2,955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(12,472)</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28,612,451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87"/>
              </w:rPr>
              <w:t>$ 328,079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610</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1"/>
              </w:rPr>
              <w:t>$ (220,824)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107,868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823"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940" w:type="dxa"/>
            <w:vAlign w:val="bottom"/>
            <w:gridSpan w:val="5"/>
            <w:vMerge w:val="restart"/>
          </w:tcPr>
          <w:p>
            <w:pPr>
              <w:ind w:left="400"/>
              <w:spacing w:after="0"/>
              <w:rPr>
                <w:sz w:val="20"/>
                <w:szCs w:val="20"/>
                <w:color w:val="auto"/>
              </w:rPr>
            </w:pPr>
            <w:r>
              <w:rPr>
                <w:rFonts w:ascii="Arial" w:cs="Arial" w:eastAsia="Arial" w:hAnsi="Arial"/>
                <w:sz w:val="16"/>
                <w:szCs w:val="16"/>
                <w:b w:val="1"/>
                <w:bCs w:val="1"/>
                <w:color w:val="auto"/>
              </w:rPr>
              <w:t>Common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940" w:type="dxa"/>
            <w:vAlign w:val="bottom"/>
            <w:gridSpan w:val="5"/>
            <w:vMerge w:val="continue"/>
          </w:tcPr>
          <w:p>
            <w:pPr>
              <w:spacing w:after="0"/>
              <w:rPr>
                <w:sz w:val="13"/>
                <w:szCs w:val="13"/>
                <w:color w:val="auto"/>
              </w:rPr>
            </w:pPr>
          </w:p>
        </w:tc>
        <w:tc>
          <w:tcPr>
            <w:tcW w:w="960" w:type="dxa"/>
            <w:vAlign w:val="bottom"/>
            <w:gridSpan w:val="2"/>
            <w:vMerge w:val="restart"/>
          </w:tcPr>
          <w:p>
            <w:pPr>
              <w:jc w:val="center"/>
              <w:ind w:right="80"/>
              <w:spacing w:after="0" w:line="183" w:lineRule="exact"/>
              <w:rPr>
                <w:sz w:val="20"/>
                <w:szCs w:val="20"/>
                <w:color w:val="auto"/>
              </w:rPr>
            </w:pPr>
            <w:r>
              <w:rPr>
                <w:rFonts w:ascii="Arial" w:cs="Arial" w:eastAsia="Arial" w:hAnsi="Arial"/>
                <w:sz w:val="16"/>
                <w:szCs w:val="16"/>
                <w:b w:val="1"/>
                <w:bCs w:val="1"/>
                <w:color w:val="auto"/>
                <w:w w:val="91"/>
              </w:rPr>
              <w:t>Additional</w:t>
            </w:r>
          </w:p>
        </w:tc>
        <w:tc>
          <w:tcPr>
            <w:tcW w:w="200" w:type="dxa"/>
            <w:vAlign w:val="bottom"/>
          </w:tcPr>
          <w:p>
            <w:pPr>
              <w:spacing w:after="0"/>
              <w:rPr>
                <w:sz w:val="13"/>
                <w:szCs w:val="13"/>
                <w:color w:val="auto"/>
              </w:rPr>
            </w:pPr>
          </w:p>
        </w:tc>
        <w:tc>
          <w:tcPr>
            <w:tcW w:w="1000" w:type="dxa"/>
            <w:vAlign w:val="bottom"/>
            <w:gridSpan w:val="2"/>
            <w:vMerge w:val="restart"/>
          </w:tcPr>
          <w:p>
            <w:pPr>
              <w:jc w:val="center"/>
              <w:ind w:right="300"/>
              <w:spacing w:after="0" w:line="183" w:lineRule="exact"/>
              <w:rPr>
                <w:sz w:val="20"/>
                <w:szCs w:val="20"/>
                <w:color w:val="auto"/>
              </w:rPr>
            </w:pPr>
            <w:r>
              <w:rPr>
                <w:rFonts w:ascii="Arial" w:cs="Arial" w:eastAsia="Arial" w:hAnsi="Arial"/>
                <w:sz w:val="16"/>
                <w:szCs w:val="16"/>
                <w:b w:val="1"/>
                <w:bCs w:val="1"/>
                <w:color w:val="auto"/>
                <w:w w:val="98"/>
              </w:rPr>
              <w:t>Other</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31"/>
              <w:spacing w:after="0" w:line="183"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80"/>
              <w:spacing w:after="0" w:line="183"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83"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Accumulated</w:t>
            </w:r>
          </w:p>
        </w:tc>
        <w:tc>
          <w:tcPr>
            <w:tcW w:w="10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Income</w:t>
            </w: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9"/>
                <w:szCs w:val="19"/>
                <w:color w:val="auto"/>
              </w:rPr>
            </w:pPr>
          </w:p>
        </w:tc>
        <w:tc>
          <w:tcPr>
            <w:tcW w:w="820" w:type="dxa"/>
            <w:vAlign w:val="bottom"/>
          </w:tcPr>
          <w:p>
            <w:pPr>
              <w:jc w:val="right"/>
              <w:ind w:right="1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24,450,757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7"/>
              </w:rPr>
              <w:t>$ 246,927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 (157,177)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90,192</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w w:val="97"/>
              </w:rPr>
              <w:t>Issuance of common stock upon exercise of stock options, net of</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shares withheld</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46,809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Vesting of early exercised stock options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accrual of IPO related costs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 on marketable securities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(9,345)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8"/>
              </w:rPr>
              <w:t>24,497,566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248,829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82,755</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w w:val="97"/>
              </w:rPr>
              <w:t>Issuance of common stock upon exercise of stock options, net of</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shares withheld</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137,185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Issuance of common stock related to employee stock purchase plan</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99,086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w w:val="98"/>
              </w:rPr>
              <w:t>Issuance of common stock upon vesting of restricted stock units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27,320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Vesting of early exercised stock options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Net unrealized gain on marketable securities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88"/>
              </w:rPr>
              <w:t>24,761,157</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87"/>
              </w:rPr>
              <w:t>$ 252,404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 (175,176)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77,747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98"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7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4"/>
        </w:trPr>
        <w:tc>
          <w:tcPr>
            <w:tcW w:w="7600" w:type="dxa"/>
            <w:vAlign w:val="bottom"/>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(25,244)</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(17,999)</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7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760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5,577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3,685</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395</w:t>
            </w:r>
          </w:p>
        </w:tc>
      </w:tr>
      <w:tr>
        <w:trPr>
          <w:trHeight w:val="223"/>
        </w:trPr>
        <w:tc>
          <w:tcPr>
            <w:tcW w:w="7600" w:type="dxa"/>
            <w:vAlign w:val="bottom"/>
          </w:tcPr>
          <w:p>
            <w:pPr>
              <w:ind w:left="300"/>
              <w:spacing w:after="0"/>
              <w:rPr>
                <w:sz w:val="20"/>
                <w:szCs w:val="20"/>
                <w:color w:val="auto"/>
              </w:rPr>
            </w:pPr>
            <w:r>
              <w:rPr>
                <w:rFonts w:ascii="Arial" w:cs="Arial" w:eastAsia="Arial" w:hAnsi="Arial"/>
                <w:sz w:val="16"/>
                <w:szCs w:val="16"/>
                <w:color w:val="auto"/>
              </w:rPr>
              <w:t>Bad debt expense</w:t>
            </w:r>
          </w:p>
        </w:tc>
        <w:tc>
          <w:tcPr>
            <w:tcW w:w="2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Accretion on marketable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w:t>
            </w:r>
          </w:p>
        </w:tc>
      </w:tr>
      <w:tr>
        <w:trPr>
          <w:trHeight w:val="224"/>
        </w:trPr>
        <w:tc>
          <w:tcPr>
            <w:tcW w:w="7600" w:type="dxa"/>
            <w:vAlign w:val="bottom"/>
          </w:tcPr>
          <w:p>
            <w:pPr>
              <w:ind w:left="320"/>
              <w:spacing w:after="0"/>
              <w:rPr>
                <w:sz w:val="20"/>
                <w:szCs w:val="20"/>
                <w:color w:val="auto"/>
              </w:rPr>
            </w:pPr>
            <w:r>
              <w:rPr>
                <w:rFonts w:ascii="Arial" w:cs="Arial" w:eastAsia="Arial" w:hAnsi="Arial"/>
                <w:sz w:val="16"/>
                <w:szCs w:val="16"/>
                <w:color w:val="auto"/>
              </w:rPr>
              <w:t>Realized gain on marketable securities</w:t>
            </w:r>
          </w:p>
        </w:tc>
        <w:tc>
          <w:tcPr>
            <w:tcW w:w="2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w:t>
            </w:r>
          </w:p>
        </w:tc>
      </w:tr>
      <w:tr>
        <w:trPr>
          <w:trHeight w:val="223"/>
        </w:trPr>
        <w:tc>
          <w:tcPr>
            <w:tcW w:w="760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Loss on sale and disposal of property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w:t>
            </w:r>
          </w:p>
        </w:tc>
      </w:tr>
      <w:tr>
        <w:trPr>
          <w:trHeight w:val="213"/>
        </w:trPr>
        <w:tc>
          <w:tcPr>
            <w:tcW w:w="760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9"/>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r>
      <w:tr>
        <w:trPr>
          <w:trHeight w:val="224"/>
        </w:trPr>
        <w:tc>
          <w:tcPr>
            <w:tcW w:w="760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(1,092)</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w:t>
            </w:r>
          </w:p>
        </w:tc>
      </w:tr>
      <w:tr>
        <w:trPr>
          <w:trHeight w:val="223"/>
        </w:trPr>
        <w:tc>
          <w:tcPr>
            <w:tcW w:w="760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338</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7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liabilities and other</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725</w:t>
            </w:r>
          </w:p>
        </w:tc>
      </w:tr>
      <w:tr>
        <w:trPr>
          <w:trHeight w:val="217"/>
        </w:trPr>
        <w:tc>
          <w:tcPr>
            <w:tcW w:w="7600" w:type="dxa"/>
            <w:vAlign w:val="bottom"/>
          </w:tcPr>
          <w:p>
            <w:pPr>
              <w:ind w:left="6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(17,228)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(15,474)</w:t>
            </w:r>
          </w:p>
        </w:tc>
      </w:tr>
      <w:tr>
        <w:trPr>
          <w:trHeight w:val="33"/>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7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3"/>
        </w:trPr>
        <w:tc>
          <w:tcPr>
            <w:tcW w:w="7600" w:type="dxa"/>
            <w:vAlign w:val="bottom"/>
          </w:tcPr>
          <w:p>
            <w:pPr>
              <w:ind w:left="100"/>
              <w:spacing w:after="0"/>
              <w:rPr>
                <w:sz w:val="20"/>
                <w:szCs w:val="20"/>
                <w:color w:val="auto"/>
              </w:rPr>
            </w:pPr>
            <w:r>
              <w:rPr>
                <w:rFonts w:ascii="Arial" w:cs="Arial" w:eastAsia="Arial" w:hAnsi="Arial"/>
                <w:sz w:val="16"/>
                <w:szCs w:val="16"/>
                <w:color w:val="auto"/>
              </w:rPr>
              <w:t>Maturities of marketable securities</w:t>
            </w:r>
          </w:p>
        </w:tc>
        <w:tc>
          <w:tcPr>
            <w:tcW w:w="2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33,500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83,600</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Sales of marketable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12,592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600" w:type="dxa"/>
            <w:vAlign w:val="bottom"/>
          </w:tcPr>
          <w:p>
            <w:pPr>
              <w:ind w:left="100"/>
              <w:spacing w:after="0"/>
              <w:rPr>
                <w:sz w:val="20"/>
                <w:szCs w:val="20"/>
                <w:color w:val="auto"/>
              </w:rPr>
            </w:pPr>
            <w:r>
              <w:rPr>
                <w:rFonts w:ascii="Arial" w:cs="Arial" w:eastAsia="Arial" w:hAnsi="Arial"/>
                <w:sz w:val="16"/>
                <w:szCs w:val="16"/>
                <w:color w:val="auto"/>
              </w:rPr>
              <w:t>Purchases of marketable securities</w:t>
            </w:r>
          </w:p>
        </w:tc>
        <w:tc>
          <w:tcPr>
            <w:tcW w:w="2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(34,768)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(82,516)</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7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w:t>
            </w:r>
          </w:p>
        </w:tc>
      </w:tr>
      <w:tr>
        <w:trPr>
          <w:trHeight w:val="217"/>
        </w:trPr>
        <w:tc>
          <w:tcPr>
            <w:tcW w:w="7600" w:type="dxa"/>
            <w:vAlign w:val="bottom"/>
          </w:tcPr>
          <w:p>
            <w:pPr>
              <w:ind w:left="66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10,060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191</w:t>
            </w:r>
          </w:p>
        </w:tc>
      </w:tr>
      <w:tr>
        <w:trPr>
          <w:trHeight w:val="33"/>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7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3"/>
        </w:trPr>
        <w:tc>
          <w:tcPr>
            <w:tcW w:w="7600" w:type="dxa"/>
            <w:vAlign w:val="bottom"/>
          </w:tcPr>
          <w:p>
            <w:pPr>
              <w:ind w:left="100"/>
              <w:spacing w:after="0"/>
              <w:rPr>
                <w:sz w:val="20"/>
                <w:szCs w:val="20"/>
                <w:color w:val="auto"/>
              </w:rPr>
            </w:pPr>
            <w:r>
              <w:rPr>
                <w:rFonts w:ascii="Arial" w:cs="Arial" w:eastAsia="Arial" w:hAnsi="Arial"/>
                <w:sz w:val="16"/>
                <w:szCs w:val="16"/>
                <w:color w:val="auto"/>
              </w:rPr>
              <w:t>Proceeds from follow-on public offering, net of underwriting discounts, commissions and offering costs</w:t>
            </w:r>
          </w:p>
        </w:tc>
        <w:tc>
          <w:tcPr>
            <w:tcW w:w="2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62,978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debt financing</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45,297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600" w:type="dxa"/>
            <w:vAlign w:val="bottom"/>
          </w:tcPr>
          <w:p>
            <w:pPr>
              <w:ind w:left="100"/>
              <w:spacing w:after="0"/>
              <w:rPr>
                <w:sz w:val="20"/>
                <w:szCs w:val="20"/>
                <w:color w:val="auto"/>
              </w:rPr>
            </w:pPr>
            <w:r>
              <w:rPr>
                <w:rFonts w:ascii="Arial" w:cs="Arial" w:eastAsia="Arial" w:hAnsi="Arial"/>
                <w:sz w:val="16"/>
                <w:szCs w:val="16"/>
                <w:color w:val="auto"/>
              </w:rPr>
              <w:t>Principal repayments of debt financing</w:t>
            </w:r>
          </w:p>
        </w:tc>
        <w:tc>
          <w:tcPr>
            <w:tcW w:w="2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Payments of debt issuance costs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600" w:type="dxa"/>
            <w:vAlign w:val="bottom"/>
          </w:tcPr>
          <w:p>
            <w:pPr>
              <w:ind w:left="100"/>
              <w:spacing w:after="0"/>
              <w:rPr>
                <w:sz w:val="20"/>
                <w:szCs w:val="20"/>
                <w:color w:val="auto"/>
              </w:rPr>
            </w:pPr>
            <w:r>
              <w:rPr>
                <w:rFonts w:ascii="Arial" w:cs="Arial" w:eastAsia="Arial" w:hAnsi="Arial"/>
                <w:sz w:val="16"/>
                <w:szCs w:val="16"/>
                <w:color w:val="auto"/>
              </w:rPr>
              <w:t>Payments of prepayment penalty and lender fees</w:t>
            </w:r>
          </w:p>
        </w:tc>
        <w:tc>
          <w:tcPr>
            <w:tcW w:w="2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1,263</w:t>
            </w:r>
          </w:p>
        </w:tc>
      </w:tr>
      <w:tr>
        <w:trPr>
          <w:trHeight w:val="223"/>
        </w:trPr>
        <w:tc>
          <w:tcPr>
            <w:tcW w:w="7600" w:type="dxa"/>
            <w:vAlign w:val="bottom"/>
          </w:tcPr>
          <w:p>
            <w:pPr>
              <w:ind w:left="100"/>
              <w:spacing w:after="0"/>
              <w:rPr>
                <w:sz w:val="20"/>
                <w:szCs w:val="20"/>
                <w:color w:val="auto"/>
              </w:rPr>
            </w:pPr>
            <w:r>
              <w:rPr>
                <w:rFonts w:ascii="Arial" w:cs="Arial" w:eastAsia="Arial" w:hAnsi="Arial"/>
                <w:sz w:val="16"/>
                <w:szCs w:val="16"/>
                <w:color w:val="auto"/>
              </w:rPr>
              <w:t>Proceeds from the exercise of stock options</w:t>
            </w:r>
          </w:p>
        </w:tc>
        <w:tc>
          <w:tcPr>
            <w:tcW w:w="2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567</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Payments of additional initial public offering related costs</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r>
      <w:tr>
        <w:trPr>
          <w:trHeight w:val="217"/>
        </w:trPr>
        <w:tc>
          <w:tcPr>
            <w:tcW w:w="7600" w:type="dxa"/>
            <w:vAlign w:val="bottom"/>
          </w:tcPr>
          <w:p>
            <w:pPr>
              <w:ind w:left="64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62,896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1,663</w:t>
            </w:r>
          </w:p>
        </w:tc>
      </w:tr>
      <w:tr>
        <w:trPr>
          <w:trHeight w:val="33"/>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17"/>
        </w:trPr>
        <w:tc>
          <w:tcPr>
            <w:tcW w:w="7600" w:type="dxa"/>
            <w:vAlign w:val="bottom"/>
          </w:tcPr>
          <w:p>
            <w:pPr>
              <w:ind w:left="6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55,734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(13,624)</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7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7600" w:type="dxa"/>
            <w:vAlign w:val="bottom"/>
          </w:tcPr>
          <w:p>
            <w:pPr>
              <w:ind w:left="40"/>
              <w:spacing w:after="0"/>
              <w:rPr>
                <w:sz w:val="20"/>
                <w:szCs w:val="20"/>
                <w:color w:val="auto"/>
              </w:rPr>
            </w:pPr>
            <w:r>
              <w:rPr>
                <w:rFonts w:ascii="Arial" w:cs="Arial" w:eastAsia="Arial" w:hAnsi="Arial"/>
                <w:sz w:val="16"/>
                <w:szCs w:val="16"/>
                <w:color w:val="auto"/>
              </w:rPr>
              <w:t>Beginning of period</w:t>
            </w:r>
          </w:p>
        </w:tc>
        <w:tc>
          <w:tcPr>
            <w:tcW w:w="2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10,435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25,120</w:t>
            </w:r>
          </w:p>
        </w:tc>
      </w:tr>
      <w:tr>
        <w:trPr>
          <w:trHeight w:val="33"/>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5"/>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66,169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11,496</w:t>
            </w:r>
          </w:p>
        </w:tc>
      </w:tr>
      <w:tr>
        <w:trPr>
          <w:trHeight w:val="21"/>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7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7600" w:type="dxa"/>
            <w:vAlign w:val="bottom"/>
          </w:tcPr>
          <w:p>
            <w:pPr>
              <w:ind w:left="40"/>
              <w:spacing w:after="0"/>
              <w:rPr>
                <w:sz w:val="20"/>
                <w:szCs w:val="20"/>
                <w:color w:val="auto"/>
              </w:rPr>
            </w:pPr>
            <w:r>
              <w:rPr>
                <w:rFonts w:ascii="Arial" w:cs="Arial" w:eastAsia="Arial" w:hAnsi="Arial"/>
                <w:sz w:val="16"/>
                <w:szCs w:val="16"/>
                <w:color w:val="auto"/>
              </w:rPr>
              <w:t>Vesting of early exercised stock options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122</w:t>
            </w:r>
          </w:p>
        </w:tc>
      </w:tr>
      <w:tr>
        <w:trPr>
          <w:trHeight w:val="33"/>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Unpaid purchases of property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r>
      <w:tr>
        <w:trPr>
          <w:trHeight w:val="223"/>
        </w:trPr>
        <w:tc>
          <w:tcPr>
            <w:tcW w:w="7600" w:type="dxa"/>
            <w:vAlign w:val="bottom"/>
          </w:tcPr>
          <w:p>
            <w:pPr>
              <w:ind w:left="40"/>
              <w:spacing w:after="0"/>
              <w:rPr>
                <w:sz w:val="20"/>
                <w:szCs w:val="20"/>
                <w:color w:val="auto"/>
              </w:rPr>
            </w:pPr>
            <w:r>
              <w:rPr>
                <w:rFonts w:ascii="Arial" w:cs="Arial" w:eastAsia="Arial" w:hAnsi="Arial"/>
                <w:sz w:val="16"/>
                <w:szCs w:val="16"/>
                <w:color w:val="auto"/>
              </w:rPr>
              <w:t>Unpaid debt issuance costs</w:t>
            </w:r>
          </w:p>
        </w:tc>
        <w:tc>
          <w:tcPr>
            <w:tcW w:w="28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0340"/>
          </w:cols>
          <w:pgMar w:left="780" w:top="837" w:right="779" w:bottom="1440" w:gutter="0" w:footer="0" w:header="0"/>
        </w:sectPr>
      </w:pP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780" w:top="837" w:right="77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primary product, the iFuse Implant System, or iFuse, in 2009 in the U.S., in 2010 in certain countries in the European Union, and in 2015 in certain countries in the rest of the world.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October 2018, the Company completed its initial public offering (“IPO”), by issuing 8,280,000 shares of common stock, at an offering price of $15.00 per share, for net proceeds of $113.4 million after deducting underwriting discounts and commissions and offering costs.</w:t>
      </w:r>
    </w:p>
    <w:p>
      <w:pPr>
        <w:spacing w:after="0" w:line="170"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In January 2020, the Company received $50.3 million of net proceeds, after deducting the underwriting discounts and commissions, from its public offering of 4,300,000 shares of the Company's common stock at a public offering price of $21.50 per share, of which 2,490,053 shares were offered and sold by the Company. Further, in February 2020, the underwriters fully exercised their option to purchase 645,000 shares of the Company's common stock at a public offering price of $21.50 per share for an additional net proceeds of $13.0 million to the Company, after deducting underwriting discounts and commissions. The total public offering costs incurred in connection with the follow-on offering were allocated based on the gross proceeds received by the Company and the other selling shareholders on a pro-rated basis. Public offering cost of $0.4 million allocated to selling of shares by the Company was charged against the gross proceeds received from the follow-on offering. Public offering costs of $0.2 million allocated to selling of shares by the selling shareholders was recognized as transaction costs within general and administrative expenses on the unaudited condensed consolidated statements of operations in the first quarter of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2019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six months ended June 30, 2020 are not necessarily indicative of the results to be expected for the year ending December 31, 2020 or for any other interim period or for any other future year.</w:t>
      </w:r>
    </w:p>
    <w:p>
      <w:pPr>
        <w:spacing w:after="0" w:line="127"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accompanying condensed consolidated financial statements should be read in conjunction with the audited financial statements and related notes thereto for the year ended December 31, 2019 contained in the Company’s Annual Report on Form 10-K filed with the SEC on March 11, 2020.</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late 2019, SARS-CoV-2, a novel strain of coronavirus which causes the disease COVID-19, was reported in China, and in March 2020 the World Health Organization declared it a pandemic. The Company is subject to risks and uncertainties as a result of the COVID-19 pandemic. The extent of the impact of the COVID-19 pandemic on the Company's business is highly uncertain and difficult to predict, as the response to the pandemic and the information surrounding the pandemic is rapidly evolving. The Company's customers, which include hospitals and medical centers, diverted and may continue to divert resources to treat COVID-19 patients. As a result, the Company's customers deferred and may continue to defer elective surgical procedures. The actions of the Company's customers impacted and may continue to impact revenues as well as receivable collections and inventory obsolescence. Furthermore, capital markets and economies worldwide have also been negatively impacted by the COVID-19 pandemic, and it has caused a global recession. Such economic disruption could have a continued material adverse effect on the Company's business. Policymakers around the globe have responded with fiscal policy actions to support the healthcare industry and economy as a whole. The magnitude and overall effectiveness of these actions remains uncertain.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 The Company's future results of operations and liquidity could be adversely impacted by delays in payments of outstanding receivable amounts beyond normal payment terms, supply chain disruptions and uncertain demand, excess and obsolete inventory, and the impact of any initiatives and programs that the Company may undertake to address financial and operations challenges faced by its customers.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stock-based compensation; and useful lives of long lived assets. Estimates are based on historical experience, where applicable and other assumptions believed to be reasonable by the management. Actual results could differ from those estimates.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significant accounting policies are disclosed in the Company’s Annual Report on Form 10-K for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these accounting policies.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As an emerging growth company under the Jumpstart Our Business Startups Act of 2012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Those standards apply to companies until the earlier of the date that it is (i)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The Company continues to be an emerging growth company until December 31, 2023, unless one of the following occurs:</w:t>
      </w:r>
    </w:p>
    <w:p>
      <w:pPr>
        <w:spacing w:after="0" w:line="2" w:lineRule="exact"/>
        <w:rPr>
          <w:sz w:val="20"/>
          <w:szCs w:val="20"/>
          <w:color w:val="auto"/>
        </w:rPr>
      </w:pPr>
    </w:p>
    <w:p>
      <w:pPr>
        <w:ind w:firstLine="8"/>
        <w:spacing w:after="0" w:line="290" w:lineRule="auto"/>
        <w:tabs>
          <w:tab w:leader="none" w:pos="22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total annual gross revenues are $1.07 billion or more; (ii) the Company has issued more than $1.0 billion in non-convertible debt in the past three years; or (iii) the Company becomes a “large accelerated filer,” as defined in Rule 12b-2 of the Exchange Act.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 manages and operates as one reportable segment. The Company derives substantially all of its revenue from sales to customers in the U.S. Revenue by geography is based on billing address of the customer. No single country outside the U.S. accounts for more than 10% of the total revenue during the periods presented. Long-lived assets held outside the U.S. are immaterial. The table below summarizes the Company's revenue by geography: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17"/>
        </w:trPr>
        <w:tc>
          <w:tcPr>
            <w:tcW w:w="7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8"/>
                <w:szCs w:val="18"/>
                <w:color w:val="auto"/>
              </w:rPr>
            </w:pPr>
          </w:p>
        </w:tc>
      </w:tr>
      <w:tr>
        <w:trPr>
          <w:trHeight w:val="33"/>
        </w:trPr>
        <w:tc>
          <w:tcPr>
            <w:tcW w:w="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17"/>
        </w:trPr>
        <w:tc>
          <w:tcPr>
            <w:tcW w:w="7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28,518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28,469</w:t>
            </w:r>
          </w:p>
        </w:tc>
        <w:tc>
          <w:tcPr>
            <w:tcW w:w="74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2,839</w:t>
            </w:r>
          </w:p>
        </w:tc>
        <w:tc>
          <w:tcPr>
            <w:tcW w:w="740" w:type="dxa"/>
            <w:vAlign w:val="bottom"/>
          </w:tcPr>
          <w:p>
            <w:pPr>
              <w:spacing w:after="0"/>
              <w:rPr>
                <w:sz w:val="21"/>
                <w:szCs w:val="21"/>
                <w:color w:val="auto"/>
              </w:rPr>
            </w:pPr>
          </w:p>
        </w:tc>
      </w:tr>
      <w:tr>
        <w:trPr>
          <w:trHeight w:val="27"/>
        </w:trPr>
        <w:tc>
          <w:tcPr>
            <w:tcW w:w="760" w:type="dxa"/>
            <w:vAlign w:val="bottom"/>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89"/>
        </w:trPr>
        <w:tc>
          <w:tcPr>
            <w:tcW w:w="760" w:type="dxa"/>
            <w:vAlign w:val="bottom"/>
          </w:tcPr>
          <w:p>
            <w:pPr>
              <w:spacing w:after="0"/>
              <w:rPr>
                <w:sz w:val="24"/>
                <w:szCs w:val="24"/>
                <w:color w:val="auto"/>
              </w:rPr>
            </w:pPr>
          </w:p>
        </w:tc>
        <w:tc>
          <w:tcPr>
            <w:tcW w:w="4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14,049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16,317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30,870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31,308</w:t>
            </w:r>
          </w:p>
        </w:tc>
        <w:tc>
          <w:tcPr>
            <w:tcW w:w="7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87"/>
        </w:trPr>
        <w:tc>
          <w:tcPr>
            <w:tcW w:w="7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7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Adoption of New Revenue Recognition Standard</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Company adopted the new revenue recognition standards (“ASC 606”) using the modified retrospective method effective for the year ended December 31, 2019. This approach was applied to all contracts that were not completed as of January 1, 2019. As an emerging growth company that elected to take advantage of the JOBS Act accounting election, the Company was not required to adopt the new revenue standard in the interim reporting periods on the year of adoption and is not required, and intends not, to revise its 2019 interim periods which were reported under previous revenue recognition standards (“ASC 605”). The adoption of ASC 606 did not result in a material impact on the Company’s condensed consolidated financial statements and no adjustment was made to the opening balance of accumulated deficit at January 1, 2019. ASC 606's core principle is that a reporting entity will recognize revenue when it transfers promised goods or services to customers in an amount that reflects the consideration to which the entity expects to be entitled in exchange for those goods or services. As it relates to product sales where the Company's sales representative delivers the product at the point of implantation at hospital or medical facilities, which represents majority of the Company's revenue, the Company continues to recognize the revenue upon completion of the procedure and authorization by the customer, net of rebates and price discounts. As it relates to sale of products through distributors and hospitals where product is ordered in advance of the procedure, the Company continues to recognize the revenue upon shipments to the customers, net of rebates and price discounts. Additionally, ASC 606 requires the capitalization of costs to obtain a contract, primarily sales commissions, and amortization of these costs over the contract period or estimated customer life. The Company’s sales commissions paid to its sales representatives is generally based on the surgeries performed. The Company applied the practical expedient that permits an entity to expense the cost to obtain a contract as incurred when the expected amortization is one year or less. As such, the Company recognize sales commission as expense when incurred.</w:t>
      </w:r>
    </w:p>
    <w:p>
      <w:pPr>
        <w:spacing w:after="0" w:line="1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disaggregates revenues from contracts with customers into geographical regions. The Company determined that disaggregating revenue into these categories depicts how the nature, amount, timing and uncertainty of revenue and cash flows are affected by regional economic factors. For information regarding revenue by geography, refer to Segments in “Note 2 - Summary of Significant Accounting Policies” in the accompanying Notes to Condensed Consolidated Financial Statements.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Standards Not Yet Effective</w:t>
      </w:r>
    </w:p>
    <w:p>
      <w:pPr>
        <w:spacing w:after="0" w:line="171"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leases standard must be adopted using a modified retrospective transition method and allows for the application of the new guidance at the beginning of the earliest comparative period presented or at the adoption date. In November 2019, the FASB issued ASU 2019-10, which revised the mandatory effective dates of the new leases standard. Further, due to the impact of the COVID-19, in June 2020, the FASB issued ASU 2020-05 to further defer the effective date for one year for entities in the “all other” categories. For public companies, the new guidance became effective for fiscal years, and for interim periods within those fiscal years, beginning after December 15, 2018. For all other entities, the new guidance is now effective for fiscal years beginning after December 15, 2021 and interim periods within fiscal years beginning after December 15, 2022. Early adoption is still permitted for any interim or annual financial statements not yet issued.</w:t>
      </w:r>
    </w:p>
    <w:p>
      <w:pPr>
        <w:spacing w:after="0" w:line="19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an emerging growth company, the new leases standard is now effective for the Company for the fiscal year ending December 31, 2022 and interim periods within fiscal year ending December 31, 2023. The Company is currently evaluating the impact of this standard on its consolidated financial statements including the timing of its adoption. The Company anticipates electing several practical expedients that permit the Company not to reassess (1) whether a contract is or contains a lease, (2) the classification of existing leases, and (3) whether previously capitalized initial direct costs would qualify for capitalization under ASC 842. The Company expects that the adoption of this new standard will have a material impact on its balance sheet. The most significant impact would be the recognition of operating lease right-of-use assets and liability. The standard is not expected to have a material impact to the Company's consolidated statements of income and cash flows.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FASB issued ASU 2019-05 in May 2019 and ASU 2019-08 in November 2019 for codification improvements of Topic 326. The new standard revises the accounting requirements related to the measurement of credit losses and will require organizations to measure all expected credit losses for financial assets based on historical experience, current conditions and reasonable and supportable forecasts about collectability. Assets must be presented in the financial statements at the net amount expected to be collected. In November 2019, the FASB issued ASU 2019-10, which defers the effective date of ASU 2016-13 for public companies that are eligible to be smaller reporting companies and all other companies, to fiscal years beginning after December 15, 2022, including interim periods within those fiscal years. In February 2020, the FASB issued ASU 2020-02, which provides guidance regarding methodologies, documentation, and internal controls related to expected credit losses. The Company is currently evaluating the impact of this standard on its consolidated financial statements but does not expect the standard will have a material impact on the Company's consolidated financial statements.</w:t>
      </w:r>
    </w:p>
    <w:p>
      <w:pPr>
        <w:spacing w:after="0" w:line="166"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w:t>
      </w:r>
    </w:p>
    <w:p>
      <w:pPr>
        <w:spacing w:after="0" w:line="4" w:lineRule="exact"/>
        <w:rPr>
          <w:sz w:val="20"/>
          <w:szCs w:val="20"/>
          <w:color w:val="auto"/>
        </w:rPr>
      </w:pPr>
    </w:p>
    <w:p>
      <w:pPr>
        <w:ind w:firstLine="8"/>
        <w:spacing w:after="0" w:line="260" w:lineRule="auto"/>
        <w:tabs>
          <w:tab w:leader="none" w:pos="37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currently assessing the impact of this new guidance but does not expect it to have a material impact on its consolidated financial statements, and anticipates adopting the standard for the fiscal year ending December 31, 2020.</w:t>
      </w:r>
    </w:p>
    <w:p>
      <w:pPr>
        <w:spacing w:after="0" w:line="13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August 2018, the FASB issued ASU 2018-13, Fair Value Measurements, which eliminates, adds or modifies certain disclosure requirements for fair value measurements.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This update is effective for fiscal years beginning after December 15, 2019, including interim periods within that fiscal year, with early adoption permitted to adopt either the entire standard or only the provisions that eliminate or modify the requirements. The Company is currently assessing the impact of this new guidance but does not expect it to have a material impact on its consolidated financial statements, and anticipates adopting the standard for the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All of the Company's marketable securities were available-for-sale and were classified based on their maturities. Marketable securities with remaining maturities at the date of purchase of three months or less are classified as cash equivalents. Short 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the marketable securities:</w:t>
      </w:r>
    </w:p>
    <w:p>
      <w:pPr>
        <w:spacing w:after="0" w:line="280"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3"/>
          </w:tcPr>
          <w:p>
            <w:pPr>
              <w:jc w:val="center"/>
              <w:ind w:left="372"/>
              <w:spacing w:after="0"/>
              <w:rPr>
                <w:sz w:val="20"/>
                <w:szCs w:val="20"/>
                <w:color w:val="auto"/>
              </w:rPr>
            </w:pPr>
            <w:r>
              <w:rPr>
                <w:rFonts w:ascii="Arial" w:cs="Arial" w:eastAsia="Arial" w:hAnsi="Arial"/>
                <w:sz w:val="16"/>
                <w:szCs w:val="16"/>
                <w:b w:val="1"/>
                <w:bCs w:val="1"/>
                <w:color w:val="auto"/>
                <w:w w:val="90"/>
              </w:rPr>
              <w:t>June 30, 2020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Aggregate Fair</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Unrealized 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3"/>
          </w:tcPr>
          <w:p>
            <w:pPr>
              <w:jc w:val="center"/>
              <w:ind w:left="372"/>
              <w:spacing w:after="0"/>
              <w:rPr>
                <w:sz w:val="20"/>
                <w:szCs w:val="20"/>
                <w:color w:val="auto"/>
              </w:rPr>
            </w:pPr>
            <w:r>
              <w:rPr>
                <w:rFonts w:ascii="Arial" w:cs="Arial" w:eastAsia="Arial" w:hAnsi="Arial"/>
                <w:sz w:val="16"/>
                <w:szCs w:val="16"/>
                <w:b w:val="1"/>
                <w:bCs w:val="1"/>
                <w:color w:val="auto"/>
                <w:w w:val="88"/>
              </w:rPr>
              <w:t>(in thousands)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56,750</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56,750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56,750</w:t>
            </w: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56,750</w:t>
            </w:r>
          </w:p>
        </w:tc>
        <w:tc>
          <w:tcPr>
            <w:tcW w:w="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60,010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60,143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8,604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8,662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2,694</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71,308</w:t>
            </w: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71,499</w:t>
            </w:r>
          </w:p>
        </w:tc>
        <w:tc>
          <w:tcPr>
            <w:tcW w:w="20" w:type="dxa"/>
            <w:vAlign w:val="bottom"/>
            <w:tcBorders>
              <w:top w:val="single" w:sz="8" w:color="auto"/>
            </w:tcBorders>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3"/>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128,058</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128,249</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3"/>
          </w:tcPr>
          <w:p>
            <w:pPr>
              <w:jc w:val="center"/>
              <w:ind w:left="372"/>
              <w:spacing w:after="0"/>
              <w:rPr>
                <w:sz w:val="20"/>
                <w:szCs w:val="20"/>
                <w:color w:val="auto"/>
              </w:rPr>
            </w:pPr>
            <w:r>
              <w:rPr>
                <w:rFonts w:ascii="Arial" w:cs="Arial" w:eastAsia="Arial" w:hAnsi="Arial"/>
                <w:sz w:val="16"/>
                <w:szCs w:val="16"/>
                <w:b w:val="1"/>
                <w:bCs w:val="1"/>
                <w:color w:val="auto"/>
                <w:w w:val="90"/>
              </w:rPr>
              <w:t>December 31, 2019</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Aggregate Fair</w:t>
            </w:r>
          </w:p>
        </w:tc>
      </w:tr>
      <w:tr>
        <w:trPr>
          <w:trHeight w:val="210"/>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3"/>
          </w:tcPr>
          <w:p>
            <w:pPr>
              <w:jc w:val="center"/>
              <w:ind w:left="372"/>
              <w:spacing w:after="0"/>
              <w:rPr>
                <w:sz w:val="20"/>
                <w:szCs w:val="20"/>
                <w:color w:val="auto"/>
              </w:rPr>
            </w:pPr>
            <w:r>
              <w:rPr>
                <w:rFonts w:ascii="Arial" w:cs="Arial" w:eastAsia="Arial" w:hAnsi="Arial"/>
                <w:sz w:val="16"/>
                <w:szCs w:val="16"/>
                <w:b w:val="1"/>
                <w:bCs w:val="1"/>
                <w:color w:val="auto"/>
                <w:w w:val="88"/>
              </w:rPr>
              <w:t>(in thousands)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3,068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3,068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2,495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5,563</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5,563</w:t>
            </w:r>
          </w:p>
        </w:tc>
        <w:tc>
          <w:tcPr>
            <w:tcW w:w="20" w:type="dxa"/>
            <w:vAlign w:val="bottom"/>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67,051</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67,083</w:t>
            </w: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9,075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9,097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5,165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5,165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81,291</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81,345</w:t>
            </w:r>
          </w:p>
        </w:tc>
        <w:tc>
          <w:tcPr>
            <w:tcW w:w="20" w:type="dxa"/>
            <w:vAlign w:val="bottom"/>
          </w:tcPr>
          <w:p>
            <w:pPr>
              <w:spacing w:after="0"/>
              <w:rPr>
                <w:sz w:val="22"/>
                <w:szCs w:val="22"/>
                <w:color w:val="auto"/>
              </w:rPr>
            </w:pPr>
          </w:p>
        </w:tc>
      </w:tr>
      <w:tr>
        <w:trPr>
          <w:trHeight w:val="493"/>
        </w:trPr>
        <w:tc>
          <w:tcPr>
            <w:tcW w:w="2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1,278</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88,132</w:t>
            </w:r>
          </w:p>
        </w:tc>
        <w:tc>
          <w:tcPr>
            <w:tcW w:w="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88,186</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long-term investments outstanding as of December 31, 2019 mature in April 2021.</w:t>
      </w:r>
    </w:p>
    <w:p>
      <w:pPr>
        <w:spacing w:after="0" w:line="2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Unrealized gains and losses on available-for-sale securities are recorded in accumulated other comprehensive income (loss) on the condensed consolidated balance sheets. The Company evaluates its investments to assess whether those in unrealized loss positions are other-than-temporarily impaired. The Company considers impairments to be other-than-temporary if it is related to deterioration in credit risk or if it is likely the Company will sell the securities before the recovery of their cost basis. The Company did not identify any of its marketable securities as other-than-temporarily impaired as of June 30, 2020 and December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or liabilities that required fair value hierarchy measurements and disclosures for the periods presented.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2"/>
              </w:rPr>
              <w:t>June 30, 2020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6"/>
                <w:szCs w:val="16"/>
                <w:b w:val="1"/>
                <w:bCs w:val="1"/>
                <w:color w:val="auto"/>
                <w:w w:val="99"/>
              </w:rPr>
              <w:t>Level 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ind w:left="4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 w:type="dxa"/>
            <w:vAlign w:val="bottom"/>
          </w:tcPr>
          <w:p>
            <w:pPr>
              <w:spacing w:after="0"/>
              <w:rPr>
                <w:sz w:val="19"/>
                <w:szCs w:val="19"/>
                <w:color w:val="auto"/>
              </w:rPr>
            </w:pPr>
          </w:p>
        </w:tc>
        <w:tc>
          <w:tcPr>
            <w:tcW w:w="5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56,750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56,750</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60,143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60,143</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8,662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5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5"/>
              </w:rPr>
              <w:t>116,893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11,356</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128,249</w:t>
            </w: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1"/>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1"/>
              </w:rPr>
              <w:t>December 31, 2019</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6"/>
                <w:szCs w:val="16"/>
                <w:b w:val="1"/>
                <w:bCs w:val="1"/>
                <w:color w:val="auto"/>
                <w:w w:val="99"/>
              </w:rPr>
              <w:t>Level 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ind w:left="4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tcPr>
          <w:p>
            <w:pPr>
              <w:spacing w:after="0"/>
              <w:rPr>
                <w:sz w:val="19"/>
                <w:szCs w:val="19"/>
                <w:color w:val="auto"/>
              </w:rPr>
            </w:pPr>
          </w:p>
        </w:tc>
        <w:tc>
          <w:tcPr>
            <w:tcW w:w="5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67,083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67,083</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5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70,151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18,035</w:t>
            </w: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88,186</w:t>
            </w: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Balance Sheet Components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64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gridSpan w:val="3"/>
          </w:tcPr>
          <w:p>
            <w:pPr>
              <w:ind w:left="460"/>
              <w:spacing w:after="0"/>
              <w:rPr>
                <w:sz w:val="20"/>
                <w:szCs w:val="20"/>
                <w:color w:val="auto"/>
              </w:rPr>
            </w:pPr>
            <w:r>
              <w:rPr>
                <w:rFonts w:ascii="Arial" w:cs="Arial" w:eastAsia="Arial" w:hAnsi="Arial"/>
                <w:sz w:val="18"/>
                <w:szCs w:val="18"/>
                <w:b w:val="1"/>
                <w:bCs w:val="1"/>
                <w:i w:val="1"/>
                <w:iCs w:val="1"/>
                <w:color w:val="auto"/>
              </w:rPr>
              <w:t>Inventory</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60" w:type="dxa"/>
            <w:vAlign w:val="bottom"/>
            <w:gridSpan w:val="7"/>
          </w:tcPr>
          <w:p>
            <w:pPr>
              <w:ind w:left="460"/>
              <w:spacing w:after="0"/>
              <w:rPr>
                <w:sz w:val="20"/>
                <w:szCs w:val="20"/>
                <w:color w:val="auto"/>
              </w:rPr>
            </w:pPr>
            <w:r>
              <w:rPr>
                <w:rFonts w:ascii="Arial" w:cs="Arial" w:eastAsia="Arial" w:hAnsi="Arial"/>
                <w:sz w:val="18"/>
                <w:szCs w:val="18"/>
                <w:color w:val="auto"/>
                <w:w w:val="96"/>
              </w:rPr>
              <w:t>As of June 30, 2020 and December 31, 2019, inventory consisted entirely of finished goods.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80" w:type="dxa"/>
            <w:vAlign w:val="bottom"/>
            <w:gridSpan w:val="3"/>
          </w:tcPr>
          <w:p>
            <w:pPr>
              <w:ind w:left="460"/>
              <w:spacing w:after="0"/>
              <w:rPr>
                <w:sz w:val="20"/>
                <w:szCs w:val="20"/>
                <w:color w:val="auto"/>
              </w:rPr>
            </w:pP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5"/>
          </w:tcPr>
          <w:p>
            <w:pPr>
              <w:jc w:val="right"/>
              <w:ind w:right="170"/>
              <w:spacing w:after="0"/>
              <w:rPr>
                <w:sz w:val="20"/>
                <w:szCs w:val="20"/>
                <w:color w:val="auto"/>
              </w:rPr>
            </w:pPr>
            <w:r>
              <w:rPr>
                <w:rFonts w:ascii="Arial" w:cs="Arial" w:eastAsia="Arial" w:hAnsi="Arial"/>
                <w:sz w:val="16"/>
                <w:szCs w:val="16"/>
                <w:b w:val="1"/>
                <w:bCs w:val="1"/>
                <w:color w:val="auto"/>
                <w:w w:val="92"/>
              </w:rPr>
              <w:t>June 30, 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7"/>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7"/>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780" w:type="dxa"/>
            <w:vAlign w:val="bottom"/>
            <w:tcBorders>
              <w:bottom w:val="single" w:sz="8" w:color="CCEEFF"/>
            </w:tcBorders>
            <w:gridSpan w:val="3"/>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2,193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1,854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8,685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7,749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(3,795)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4,407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Construction in progress pertains to cost of individual components of a custom instrument set used for surgical placement of iFuse implants that have not yet been placed into service. Depreciation expense was $0.3 million and $0.2 million for the three months ended June 30, 2020 and 2019, respectively, and $0.5 million and $0.4 million for the six months ended June 30, 2020 and 2019, respectively.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Liabilities and Other</w:t>
      </w:r>
      <w:r>
        <w:rPr>
          <w:rFonts w:ascii="Arial" w:cs="Arial" w:eastAsia="Arial" w:hAnsi="Arial"/>
          <w:sz w:val="18"/>
          <w:szCs w:val="18"/>
          <w:color w:val="auto"/>
        </w:rPr>
        <w:t>:</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tcPr>
          <w:p>
            <w:pPr>
              <w:jc w:val="right"/>
              <w:ind w:right="113"/>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r>
      <w:tr>
        <w:trPr>
          <w:trHeight w:val="33"/>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5,510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7,274</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Accrued litigation expense</w:t>
            </w:r>
          </w:p>
        </w:tc>
        <w:tc>
          <w:tcPr>
            <w:tcW w:w="2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3,200</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392</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Others</w:t>
            </w:r>
          </w:p>
        </w:tc>
        <w:tc>
          <w:tcPr>
            <w:tcW w:w="2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739</w:t>
            </w:r>
          </w:p>
        </w:tc>
      </w:tr>
      <w:tr>
        <w:trPr>
          <w:trHeight w:val="27"/>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65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9,272</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11,605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has a non-cancelable operating lease for an office building space, located in Santa Clara, California which expires in May 2025. The Company also has non-cancelable operating leases for its office building spaces in Gallarate, Italy and Mannheim, Germany which both expire in November 2024, and in Knaresborough, United Kingdom, which expires in December 2025. Further, the Company also leases vehicles under operating lease arrangements for certain of its sales personnel in Europe which expire various times in 2020 to 2023.</w:t>
      </w:r>
    </w:p>
    <w:p>
      <w:pPr>
        <w:spacing w:after="0" w:line="13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was $0.3 million and $0.3 million for three months ended June 30, 2020 and 2019, respectively, and $0.6 million and $0.6 million for the six months ended June 30, 2020 and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aggregate future minimum lease payments under all leases as of June 30, 2020:</w:t>
      </w:r>
    </w:p>
    <w:p>
      <w:pPr>
        <w:spacing w:after="0" w:line="221"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(in thousands)</w:t>
            </w: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(remaining six months)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1,030</w:t>
            </w: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867</w:t>
            </w:r>
          </w:p>
        </w:tc>
      </w:tr>
      <w:tr>
        <w:trPr>
          <w:trHeight w:val="27"/>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w:t>
            </w: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363</w:t>
            </w:r>
          </w:p>
        </w:tc>
      </w:tr>
      <w:tr>
        <w:trPr>
          <w:trHeight w:val="27"/>
        </w:trPr>
        <w:tc>
          <w:tcPr>
            <w:tcW w:w="5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225"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$0.3 million and $0.4 million as of June 30, 2020 and December 31, 2019, respectively.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February 6, 2019, a putative class action captioned Eric B. Fromer Chiropractic, Inc. (“Plaintiff”) v. SI-BONE, Inc. (Civil Action No. 5:19-cv-633-SVK), was filed in the U.S. District Court, Northern District of California (the “California Action”). The complaint alleges violations of the Telephone Consumer Protection Act (the “TCPA”) on behalf of an individual and a putative class of persons alleged to be similarly situated. The complaint alleges that the Company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The plaintiff sought various forms of relief, including statutory damages of $500 for each violation of the TCPA or, in the alternative, treble damages of up to $1,500 for each knowing and willful violation of the TCPA and a permanent injunction prohibiting the Company from sending or having sent advertisements by way of facsimile transmission. Subsequently on December 20, 2019, Plaintiff the filed a putative class action captioned Eric B. Fromer Chiropractic, Inc. v. SI-BONE, Inc. (Case No. 1922-CC12323), in the Circuit Court of the City of St. Louis, State of Missouri (the “Missouri Action”). The Missouri Action alleges the same TCPA violations as the California Action. On December 23, 2019 the parties filed a joint stipulation of dismissal of the California Action and on January 14, 2020, the parties executed a definitive settlement agreement (the “Settlement Agreement”) pursuant to which, the Company agreed to settle all disputes regarding the advertising faxes to the settlement class.</w:t>
      </w:r>
    </w:p>
    <w:p>
      <w:pPr>
        <w:spacing w:after="0" w:line="19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accrued litigation expense of $3.2 million during the year ended December 31, 2019 within general and administrative expenses in the condensed consolidated financial statements, which was the Company's estimated cost to resolve the matter pursuant to the Settlement Agreement and based on the estimated class members' claim submission rate. Following the notice and claims submission process, on June 22, 2020, the Circuit Court of the City of St. Louis, State of Missouri, approved a final order to pay the approved claims submitted by class members, fees, expenses and incentive awards totaling $2.6 million as final settlement. Accordingly, the Company recorded a reversal of accrued litigation expense of $0.6 million in the three and six months ended June 30, 2020 within general and administrative expenses in the condensed consolidated financial statements. The Company made the final settlement payment on July 1, 2020.</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0" w:right="10000" w:hanging="412"/>
        <w:spacing w:after="0" w:line="495" w:lineRule="auto"/>
        <w:tabs>
          <w:tab w:leader="none" w:pos="19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b w:val="1"/>
          <w:bCs w:val="1"/>
          <w:i w:val="1"/>
          <w:iCs w:val="1"/>
          <w:color w:val="auto"/>
        </w:rPr>
        <w:t>Term Loan</w:t>
      </w:r>
    </w:p>
    <w:p>
      <w:pPr>
        <w:spacing w:after="0" w:line="1" w:lineRule="exact"/>
        <w:rPr>
          <w:rFonts w:ascii="Arial" w:cs="Arial" w:eastAsia="Arial" w:hAnsi="Arial"/>
          <w:sz w:val="16"/>
          <w:szCs w:val="16"/>
          <w:b w:val="1"/>
          <w:bCs w:val="1"/>
          <w:color w:val="auto"/>
        </w:rPr>
      </w:pPr>
    </w:p>
    <w:p>
      <w:pPr>
        <w:ind w:left="42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outstanding borrowings from the term loan described below, as of the dates presented:</w:t>
      </w:r>
    </w:p>
    <w:p>
      <w:pPr>
        <w:spacing w:after="0" w:line="280"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3"/>
          </w:tcPr>
          <w:p>
            <w:pPr>
              <w:jc w:val="right"/>
              <w:ind w:right="112"/>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r>
      <w:tr>
        <w:trPr>
          <w:trHeight w:val="33"/>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and final fee payments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w:t>
            </w:r>
          </w:p>
        </w:tc>
      </w:tr>
      <w:tr>
        <w:trPr>
          <w:trHeight w:val="243"/>
        </w:trPr>
        <w:tc>
          <w:tcPr>
            <w:tcW w:w="656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(777)</w:t>
            </w:r>
          </w:p>
        </w:tc>
      </w:tr>
      <w:tr>
        <w:trPr>
          <w:trHeight w:val="27"/>
        </w:trPr>
        <w:tc>
          <w:tcPr>
            <w:tcW w:w="6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Unaccreted value of final fee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560" w:type="dxa"/>
            <w:vAlign w:val="bottom"/>
          </w:tcPr>
          <w:p>
            <w:pPr>
              <w:spacing w:after="0"/>
              <w:rPr>
                <w:sz w:val="20"/>
                <w:szCs w:val="20"/>
                <w:color w:val="auto"/>
              </w:rPr>
            </w:pPr>
            <w:r>
              <w:rPr>
                <w:rFonts w:ascii="Arial" w:cs="Arial" w:eastAsia="Arial" w:hAnsi="Arial"/>
                <w:sz w:val="18"/>
                <w:szCs w:val="18"/>
                <w:color w:val="auto"/>
              </w:rPr>
              <w:t>Outstanding debt, net of debt issuance costs and unaccreted value of final fee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39,264</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39,223</w:t>
            </w:r>
          </w:p>
        </w:tc>
      </w:tr>
      <w:tr>
        <w:trPr>
          <w:trHeight w:val="27"/>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7"/>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Classified as: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43"/>
        </w:trPr>
        <w:tc>
          <w:tcPr>
            <w:tcW w:w="6560" w:type="dxa"/>
            <w:vAlign w:val="bottom"/>
          </w:tcPr>
          <w:p>
            <w:pPr>
              <w:ind w:left="200"/>
              <w:spacing w:after="0"/>
              <w:rPr>
                <w:sz w:val="20"/>
                <w:szCs w:val="20"/>
                <w:color w:val="auto"/>
              </w:rPr>
            </w:pPr>
            <w:r>
              <w:rPr>
                <w:rFonts w:ascii="Arial" w:cs="Arial" w:eastAsia="Arial" w:hAnsi="Arial"/>
                <w:sz w:val="18"/>
                <w:szCs w:val="18"/>
                <w:color w:val="auto"/>
              </w:rPr>
              <w:t>Current portion of long-term borrowings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4,358</w:t>
            </w:r>
          </w:p>
        </w:tc>
      </w:tr>
      <w:tr>
        <w:trPr>
          <w:trHeight w:val="27"/>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9"/>
        </w:trPr>
        <w:tc>
          <w:tcPr>
            <w:tcW w:w="6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39,264</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34,865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outstanding debt as of December 31, 2019 was related to a term loan entered by the Company with Biopharma Credit Investments IV Sub LP (“Pharmakon”) in October 2017 for total loan proceeds of $40.0 million (the “Pharmakon Term Loan”). The Pharmakon Term Loan included an interest-only period for 35 months through September 2020 and then equal quarterly principal payments plus interest through December 2022. The Pharmakon Term Loan carried a fixed interest rate of 11.5% and allowed for early prepayment. The prepayment penalty fee was equal to the remaining interest due if prepaid within the first 30 months, a 2% penalty for months 31-48, and a 1% penalty for months 49-60.</w:t>
      </w:r>
    </w:p>
    <w:p>
      <w:pPr>
        <w:spacing w:after="0" w:line="20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On May 29, 2020, the Company entered into a Loan and Security Agreement with Solar Capital Partners (“Solar”) providing for a term loan of an aggregate principal amount of $40.0 million to the Company (the “Solar Term Loan”). In accordance with the Loan and Security Agreement, the Company paid in full and terminated the Pharmakon Term Loan, which was accounted for as debt extinguishment in accordance with the accounting standards. The Company recognized the unamortized debt issuance costs of $0.7 million and the prepayment penalty and lender fees of $0.8 million related to Pharmakon Term Loan as a loss on debt extinguishment. The costs and fees are reflected as interest expense in the condensed consolidated statement of operations for the three and six months ended June 30, 2020. The total debt issuance costs of $0.8 million associated with the Solar Term Loan were recorded in the condensed consolidated balance sheet as a direct deduction from the carrying amount of the loan, and are amortized as a component of interest expense using straight-line method over the life of the term loan.</w:t>
      </w:r>
    </w:p>
    <w:p>
      <w:pPr>
        <w:spacing w:after="0" w:line="208"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7"/>
          <w:szCs w:val="17"/>
          <w:color w:val="auto"/>
        </w:rPr>
        <w:t>The Solar Term Loan bears interest at a rate per annum equal to 9.40% plus the greater of (i) London Interbank Offered Rate (“LIBOR”) or (ii) 0.33%, payable monthly in arrears. LIBOR means the greater of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the Company may voluntarily prepay the Solar Term Loan, in full or in part, but only in increments of $10.0 million, for a prepayment premium in an amount equal to 3.0% of the principal if prepaid in year one, 1.25% of the principal if prepaid in year two, and 0.50% of the principal if prepaid in year three or later. The prepayment premium will be waived if the Company voluntarily prepays and refinances the outstanding balance with Solar. The Solar Term Loan is secured by substantially all of the Company’s assets.</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6"/>
          <w:szCs w:val="16"/>
          <w:color w:val="auto"/>
        </w:rPr>
        <w:t>The Company is also obligated to pay a final fee equal to $1.0 million or 2.5% of the aggregate principal amount of the Solar Term Loan, which was fully earned by Solar on the effective date of the Loan and Security Agreement. With respect to the Solar Term Loan, this final fee shall be due and payable on the earliest of (i) the maturity date, (ii) the acceleration of the loan balance or (iii) its full prepayment, refinancing, substitution or replacement. The final fee was included within the long-term borrowings and is accreted to interest expense using straight-line method over the life of the term loan.</w:t>
      </w:r>
    </w:p>
    <w:p>
      <w:pPr>
        <w:spacing w:after="0" w:line="18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effective interest rate related to the Solar Term Loan and Pharmakon Term Loan (excluding the write-down of unamortized debt issuance costs and prepayment penalty related to the Pharmakon Term Loan) was 11.8% and 12.3% for the three months ended June 30, 2020 and 2019, respectively, and 12.0% and 12.2% for the six months ended June 30, 2020 and 2019,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future principal and final fee payments under the Solar Term Loan as of June 30, 2020:</w:t>
      </w:r>
    </w:p>
    <w:p>
      <w:pPr>
        <w:spacing w:after="0" w:line="275"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(in thousands)</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(remaining six months)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11,667</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20,000</w:t>
            </w:r>
          </w:p>
        </w:tc>
      </w:tr>
      <w:tr>
        <w:trPr>
          <w:trHeight w:val="243"/>
        </w:trPr>
        <w:tc>
          <w:tcPr>
            <w:tcW w:w="830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9,333</w:t>
            </w:r>
          </w:p>
        </w:tc>
      </w:tr>
      <w:tr>
        <w:trPr>
          <w:trHeight w:val="27"/>
        </w:trPr>
        <w:tc>
          <w:tcPr>
            <w:tcW w:w="8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and final fee payments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41,000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Subject to other customary covenants set forth in the Loan and Security Agreement with Solar, the Company is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The Company is not subject to minimum liquidity requirement when trailing twelve-month net product revenues exceeds $100.0 million. Upon the occurrence of an event of default of certain customary covenants, including the minimum liquidity requirements, as specified in the Loan and Security Agreement, subject to specified cure periods, all amounts owed by the Company would begin to bear interest at a rate that is 5.0% above the rate effective immediately before the event of default and may be declared immediately due and payable by Solar. As of June 30, 2020, the Company was in compliance with all debt covenants. Though there are uncertainties surrounding the impact of the COVID-19 pandemic that may impact our future revenue, the Company believes that it has sufficient cash and cash equivalents to meet the minimum liquidity requirements in the foreseeable succeeding periods.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PPP Loan</w:t>
      </w:r>
    </w:p>
    <w:p>
      <w:pPr>
        <w:spacing w:after="0" w:line="21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6"/>
          <w:szCs w:val="16"/>
          <w:color w:val="auto"/>
        </w:rPr>
        <w:t>On March 27, 2020, the U.S. federal government enacted the “Coronavirus Aid, Relief and Economic Security (CARES) Act,” and among other things, established the Paycheck Protection Program (“PPP”), administered by the Small Business Administration (“SBA”), whereby certain small businesses were eligible for a loan to fund payroll expenses, rent, and related costs. The loan may be forgiven if the funds are used for payroll and other qualified expenses. The Company met the requirements to apply for the PPP loan given that the Company has less than 500 employees and the business was negatively impacted by COVID-19. The Company submitted its application and was approved for the SBA program and received the proceeds from the PPP loan amounting to $5.3 million on April 21, 2020, pursuant to a Promissory Note with Silicon Valley Bank (“SVB”). In light of the subsequent clarifications from the U.S. government on the eligibility criteria, the Company determined it was appropriate to repay the entire amount of the PPP loan. Accordingly, on April 29, 2020, the Company repaid in full the PPP loan and correspondingly terminated the Promissory Note.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 w:right="7720" w:hanging="452"/>
        <w:spacing w:after="0" w:line="518" w:lineRule="auto"/>
        <w:tabs>
          <w:tab w:leader="none" w:pos="19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Incentive Compensation Plans </w:t>
      </w:r>
      <w:r>
        <w:rPr>
          <w:rFonts w:ascii="Arial" w:cs="Arial" w:eastAsia="Arial" w:hAnsi="Arial"/>
          <w:sz w:val="18"/>
          <w:szCs w:val="18"/>
          <w:b w:val="1"/>
          <w:bCs w:val="1"/>
          <w:i w:val="1"/>
          <w:iCs w:val="1"/>
          <w:color w:val="auto"/>
        </w:rPr>
        <w:t>Stock Options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table below summarizes the stock option activity for the six months ended June 30, 2020:</w:t>
      </w:r>
    </w:p>
    <w:p>
      <w:pPr>
        <w:spacing w:after="0" w:line="226" w:lineRule="exact"/>
        <w:rPr>
          <w:sz w:val="20"/>
          <w:szCs w:val="20"/>
          <w:color w:val="auto"/>
        </w:rPr>
      </w:pPr>
    </w:p>
    <w:tbl>
      <w:tblPr>
        <w:tblLayout w:type="fixed"/>
        <w:tblInd w:w="174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5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5080" w:type="dxa"/>
            <w:vAlign w:val="bottom"/>
          </w:tcPr>
          <w:p>
            <w:pPr>
              <w:spacing w:after="0"/>
              <w:rPr>
                <w:sz w:val="17"/>
                <w:szCs w:val="17"/>
                <w:color w:val="auto"/>
              </w:rPr>
            </w:pPr>
          </w:p>
        </w:tc>
        <w:tc>
          <w:tcPr>
            <w:tcW w:w="1300" w:type="dxa"/>
            <w:vAlign w:val="bottom"/>
          </w:tcPr>
          <w:p>
            <w:pPr>
              <w:jc w:val="right"/>
              <w:ind w:right="21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5080" w:type="dxa"/>
            <w:vAlign w:val="bottom"/>
          </w:tcPr>
          <w:p>
            <w:pPr>
              <w:spacing w:after="0"/>
              <w:rPr>
                <w:sz w:val="18"/>
                <w:szCs w:val="18"/>
                <w:color w:val="auto"/>
              </w:rPr>
            </w:pPr>
          </w:p>
        </w:tc>
        <w:tc>
          <w:tcPr>
            <w:tcW w:w="1300" w:type="dxa"/>
            <w:vAlign w:val="bottom"/>
          </w:tcPr>
          <w:p>
            <w:pPr>
              <w:jc w:val="right"/>
              <w:ind w:right="33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Price</w:t>
            </w:r>
          </w:p>
        </w:tc>
      </w:tr>
      <w:tr>
        <w:trPr>
          <w:trHeight w:val="33"/>
        </w:trPr>
        <w:tc>
          <w:tcPr>
            <w:tcW w:w="5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2,718,971</w:t>
            </w:r>
          </w:p>
        </w:tc>
        <w:tc>
          <w:tcPr>
            <w:tcW w:w="14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$8.02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26,236</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17.31</w:t>
            </w:r>
          </w:p>
        </w:tc>
      </w:tr>
      <w:tr>
        <w:trPr>
          <w:trHeight w:val="27"/>
        </w:trPr>
        <w:tc>
          <w:tcPr>
            <w:tcW w:w="5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(89,942)</w:t>
            </w:r>
          </w:p>
        </w:tc>
        <w:tc>
          <w:tcPr>
            <w:tcW w:w="14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4.00</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Canceled and 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(2,582)</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14.75</w:t>
            </w:r>
          </w:p>
        </w:tc>
      </w:tr>
      <w:tr>
        <w:trPr>
          <w:trHeight w:val="27"/>
        </w:trPr>
        <w:tc>
          <w:tcPr>
            <w:tcW w:w="5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2020</w:t>
            </w: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2,652,683</w:t>
            </w:r>
          </w:p>
        </w:tc>
        <w:tc>
          <w:tcPr>
            <w:tcW w:w="14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8.24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June 30, 2020, the unrecognized compensation cost related to stock options was $4.3 million, which is expected to be recognized over a period of approximately 2.3 years.</w:t>
      </w:r>
    </w:p>
    <w:p>
      <w:pPr>
        <w:spacing w:after="0" w:line="1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stock options granted during the three months ended June 30, 2020. The table below summarizes the weighted average grant date fair value per share and the assumptions used to estimate the grant date fair value using the Black-Scholes option-pricing model of the stock options granted during the periods presented:</w:t>
      </w:r>
    </w:p>
    <w:p>
      <w:pPr>
        <w:spacing w:after="0" w:line="23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3180" w:type="dxa"/>
            <w:vAlign w:val="bottom"/>
            <w:gridSpan w:val="4"/>
          </w:tcPr>
          <w:p>
            <w:pPr>
              <w:ind w:left="880"/>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40" w:type="dxa"/>
            <w:vAlign w:val="bottom"/>
            <w:gridSpan w:val="5"/>
          </w:tcPr>
          <w:p>
            <w:pPr>
              <w:ind w:left="380"/>
              <w:spacing w:after="0"/>
              <w:rPr>
                <w:sz w:val="20"/>
                <w:szCs w:val="20"/>
                <w:color w:val="auto"/>
              </w:rPr>
            </w:pPr>
            <w:r>
              <w:rPr>
                <w:rFonts w:ascii="Arial" w:cs="Arial" w:eastAsia="Arial" w:hAnsi="Arial"/>
                <w:sz w:val="16"/>
                <w:szCs w:val="16"/>
                <w:b w:val="1"/>
                <w:bCs w:val="1"/>
                <w:color w:val="auto"/>
              </w:rPr>
              <w:t>Six Months Ended June 30,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ind w:left="60"/>
              <w:spacing w:after="0" w:line="156" w:lineRule="exact"/>
              <w:rPr>
                <w:sz w:val="20"/>
                <w:szCs w:val="20"/>
                <w:color w:val="auto"/>
              </w:rPr>
            </w:pPr>
            <w:r>
              <w:rPr>
                <w:rFonts w:ascii="Arial" w:cs="Arial" w:eastAsia="Arial" w:hAnsi="Arial"/>
                <w:sz w:val="18"/>
                <w:szCs w:val="18"/>
                <w:color w:val="auto"/>
                <w:w w:val="95"/>
              </w:rPr>
              <w:t>Weighted average grant date fair value</w:t>
            </w:r>
          </w:p>
        </w:tc>
        <w:tc>
          <w:tcPr>
            <w:tcW w:w="20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$8.00</w:t>
            </w: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$8.37</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$9.79</w:t>
            </w: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share</w:t>
            </w:r>
          </w:p>
        </w:tc>
        <w:tc>
          <w:tcPr>
            <w:tcW w:w="2000" w:type="dxa"/>
            <w:vAlign w:val="bottom"/>
            <w:gridSpan w:val="2"/>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60"/>
              <w:spacing w:after="0"/>
              <w:rPr>
                <w:sz w:val="20"/>
                <w:szCs w:val="20"/>
                <w:color w:val="auto"/>
              </w:rPr>
            </w:pPr>
            <w:r>
              <w:rPr>
                <w:rFonts w:ascii="Arial" w:cs="Arial" w:eastAsia="Arial" w:hAnsi="Arial"/>
                <w:sz w:val="18"/>
                <w:szCs w:val="18"/>
                <w:color w:val="auto"/>
              </w:rPr>
              <w:t>Expected term (years)</w:t>
            </w: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520" w:type="dxa"/>
            <w:vAlign w:val="bottom"/>
          </w:tcPr>
          <w:p>
            <w:pPr>
              <w:ind w:left="200"/>
              <w:spacing w:after="0"/>
              <w:rPr>
                <w:sz w:val="20"/>
                <w:szCs w:val="20"/>
                <w:color w:val="auto"/>
              </w:rPr>
            </w:pPr>
            <w:r>
              <w:rPr>
                <w:rFonts w:ascii="Arial" w:cs="Arial" w:eastAsia="Arial" w:hAnsi="Arial"/>
                <w:sz w:val="18"/>
                <w:szCs w:val="18"/>
                <w:color w:val="auto"/>
              </w:rPr>
              <w:t>to</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87"/>
              </w:rPr>
              <w:t>7.0</w:t>
            </w:r>
          </w:p>
        </w:tc>
        <w:tc>
          <w:tcPr>
            <w:tcW w:w="2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5.5</w:t>
            </w:r>
          </w:p>
        </w:tc>
        <w:tc>
          <w:tcPr>
            <w:tcW w:w="500" w:type="dxa"/>
            <w:vAlign w:val="bottom"/>
          </w:tcPr>
          <w:p>
            <w:pPr>
              <w:ind w:left="200"/>
              <w:spacing w:after="0"/>
              <w:rPr>
                <w:sz w:val="20"/>
                <w:szCs w:val="20"/>
                <w:color w:val="auto"/>
              </w:rPr>
            </w:pPr>
            <w:r>
              <w:rPr>
                <w:rFonts w:ascii="Arial" w:cs="Arial" w:eastAsia="Arial" w:hAnsi="Arial"/>
                <w:sz w:val="18"/>
                <w:szCs w:val="18"/>
                <w:color w:val="auto"/>
              </w:rPr>
              <w:t>to</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600" w:type="dxa"/>
            <w:vAlign w:val="bottom"/>
          </w:tcPr>
          <w:p>
            <w:pPr>
              <w:ind w:left="200"/>
              <w:spacing w:after="0"/>
              <w:rPr>
                <w:sz w:val="20"/>
                <w:szCs w:val="20"/>
                <w:color w:val="auto"/>
              </w:rPr>
            </w:pPr>
            <w:r>
              <w:rPr>
                <w:rFonts w:ascii="Arial" w:cs="Arial" w:eastAsia="Arial" w:hAnsi="Arial"/>
                <w:sz w:val="18"/>
                <w:szCs w:val="18"/>
                <w:color w:val="auto"/>
              </w:rPr>
              <w:t>to</w:t>
            </w: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5"/>
              </w:rPr>
              <w:t>7.0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Expected volatility</w:t>
            </w:r>
          </w:p>
        </w:tc>
        <w:tc>
          <w:tcPr>
            <w:tcW w:w="20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46.6%</w:t>
            </w:r>
          </w:p>
        </w:tc>
        <w:tc>
          <w:tcPr>
            <w:tcW w:w="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47.2%</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46.7%</w:t>
            </w:r>
          </w:p>
        </w:tc>
        <w:tc>
          <w:tcPr>
            <w:tcW w:w="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47.2%</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41.7%</w:t>
            </w: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7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47.2%</w:t>
            </w:r>
          </w:p>
        </w:tc>
        <w:tc>
          <w:tcPr>
            <w:tcW w:w="0" w:type="dxa"/>
            <w:vAlign w:val="bottom"/>
          </w:tcPr>
          <w:p>
            <w:pPr>
              <w:spacing w:after="0"/>
              <w:rPr>
                <w:sz w:val="1"/>
                <w:szCs w:val="1"/>
                <w:color w:val="auto"/>
              </w:rPr>
            </w:pPr>
          </w:p>
        </w:tc>
      </w:tr>
      <w:tr>
        <w:trPr>
          <w:trHeight w:val="243"/>
        </w:trPr>
        <w:tc>
          <w:tcPr>
            <w:tcW w:w="30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1.83%</w:t>
            </w:r>
          </w:p>
        </w:tc>
        <w:tc>
          <w:tcPr>
            <w:tcW w:w="520" w:type="dxa"/>
            <w:vAlign w:val="bottom"/>
          </w:tcPr>
          <w:p>
            <w:pPr>
              <w:ind w:left="200"/>
              <w:spacing w:after="0"/>
              <w:rPr>
                <w:sz w:val="20"/>
                <w:szCs w:val="20"/>
                <w:color w:val="auto"/>
              </w:rPr>
            </w:pPr>
            <w:r>
              <w:rPr>
                <w:rFonts w:ascii="Arial" w:cs="Arial" w:eastAsia="Arial" w:hAnsi="Arial"/>
                <w:sz w:val="18"/>
                <w:szCs w:val="18"/>
                <w:color w:val="auto"/>
              </w:rPr>
              <w:t>to</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0"/>
              </w:rPr>
              <w:t>2.41%</w:t>
            </w:r>
          </w:p>
        </w:tc>
        <w:tc>
          <w:tcPr>
            <w:tcW w:w="2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1.56%</w:t>
            </w:r>
          </w:p>
        </w:tc>
        <w:tc>
          <w:tcPr>
            <w:tcW w:w="500" w:type="dxa"/>
            <w:vAlign w:val="bottom"/>
          </w:tcPr>
          <w:p>
            <w:pPr>
              <w:ind w:left="200"/>
              <w:spacing w:after="0"/>
              <w:rPr>
                <w:sz w:val="20"/>
                <w:szCs w:val="20"/>
                <w:color w:val="auto"/>
              </w:rPr>
            </w:pPr>
            <w:r>
              <w:rPr>
                <w:rFonts w:ascii="Arial" w:cs="Arial" w:eastAsia="Arial" w:hAnsi="Arial"/>
                <w:sz w:val="18"/>
                <w:szCs w:val="18"/>
                <w:color w:val="auto"/>
              </w:rPr>
              <w:t>to</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1.64%</w:t>
            </w: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1.83%</w:t>
            </w:r>
          </w:p>
        </w:tc>
        <w:tc>
          <w:tcPr>
            <w:tcW w:w="600" w:type="dxa"/>
            <w:vAlign w:val="bottom"/>
          </w:tcPr>
          <w:p>
            <w:pPr>
              <w:ind w:left="200"/>
              <w:spacing w:after="0"/>
              <w:rPr>
                <w:sz w:val="20"/>
                <w:szCs w:val="20"/>
                <w:color w:val="auto"/>
              </w:rPr>
            </w:pPr>
            <w:r>
              <w:rPr>
                <w:rFonts w:ascii="Arial" w:cs="Arial" w:eastAsia="Arial" w:hAnsi="Arial"/>
                <w:sz w:val="18"/>
                <w:szCs w:val="18"/>
                <w:color w:val="auto"/>
              </w:rPr>
              <w:t>to</w:t>
            </w: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3"/>
              </w:rPr>
              <w:t>2.59%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Dividend yield</w:t>
            </w:r>
          </w:p>
        </w:tc>
        <w:tc>
          <w:tcPr>
            <w:tcW w:w="2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Early exercises of stock options under the Company's 2008 Stock Option Plan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June 30, 2020 and December 31, 2019, the Company had a total of 9,732 shares and 21,404 shares of common stock, respectively, subject to repurchase under the Company's 2008 Stock Option Plan.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restricted stock units activity for the six months ended June 30, 2020:</w:t>
      </w:r>
    </w:p>
    <w:p>
      <w:pPr>
        <w:spacing w:after="0" w:line="280" w:lineRule="exact"/>
        <w:rPr>
          <w:sz w:val="20"/>
          <w:szCs w:val="20"/>
          <w:color w:val="auto"/>
        </w:rPr>
      </w:pPr>
    </w:p>
    <w:tbl>
      <w:tblPr>
        <w:tblLayout w:type="fixed"/>
        <w:tblInd w:w="160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5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8"/>
              </w:rPr>
              <w:t>Grant Date Fair</w:t>
            </w:r>
          </w:p>
        </w:tc>
      </w:tr>
      <w:tr>
        <w:trPr>
          <w:trHeight w:val="210"/>
        </w:trPr>
        <w:tc>
          <w:tcPr>
            <w:tcW w:w="5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5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543,041</w:t>
            </w:r>
          </w:p>
        </w:tc>
        <w:tc>
          <w:tcPr>
            <w:tcW w:w="15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$19.72</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945,682</w:t>
            </w:r>
          </w:p>
        </w:tc>
        <w:tc>
          <w:tcPr>
            <w:tcW w:w="15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20.07</w:t>
            </w:r>
          </w:p>
        </w:tc>
      </w:tr>
      <w:tr>
        <w:trPr>
          <w:trHeight w:val="27"/>
        </w:trPr>
        <w:tc>
          <w:tcPr>
            <w:tcW w:w="5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(148,968)</w:t>
            </w:r>
          </w:p>
        </w:tc>
        <w:tc>
          <w:tcPr>
            <w:tcW w:w="15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20.84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Canceled and 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(6,254)</w:t>
            </w:r>
          </w:p>
        </w:tc>
        <w:tc>
          <w:tcPr>
            <w:tcW w:w="150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18.51</w:t>
            </w:r>
          </w:p>
        </w:tc>
      </w:tr>
      <w:tr>
        <w:trPr>
          <w:trHeight w:val="27"/>
        </w:trPr>
        <w:tc>
          <w:tcPr>
            <w:tcW w:w="5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June 30,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1,333,501</w:t>
            </w:r>
          </w:p>
        </w:tc>
        <w:tc>
          <w:tcPr>
            <w:tcW w:w="15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19.85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30, 2020, the unrecognized compensation cost related to the restricted stock units was $22.9 million, which is expected to be recognized over a period of approximately 3.2 years.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 The fair value of the ESPP shares is estimated using the Black-Scholes option pricing model, which is being amortized over the requisite service period. The Company issued 74,685 shares and 99,086 shares under the ESPP, representing approximately $1.0 million and $1.3 million in employee contributions for six months ended June 30, 2020 and June 30, 2019, respectively. As of June 30, 2020 and December 31, 2019, total accumulated ESPP related employee payroll deductions amounted to $0.2 million and $0.2 million, respectively, which were included within accrued compensation and related expenses in the condensed consolidated balance sheets.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presents the detail of stock-based compensation expense amounts included in the condensed consolidated statements of operations:</w:t>
      </w: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23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433"/>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w:t>
            </w:r>
          </w:p>
        </w:tc>
      </w:tr>
      <w:tr>
        <w:trPr>
          <w:trHeight w:val="243"/>
        </w:trPr>
        <w:tc>
          <w:tcPr>
            <w:tcW w:w="5160" w:type="dxa"/>
            <w:vAlign w:val="bottom"/>
          </w:tcPr>
          <w:p>
            <w:pPr>
              <w:ind w:left="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1,674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w:t>
            </w:r>
          </w:p>
        </w:tc>
      </w:tr>
      <w:tr>
        <w:trPr>
          <w:trHeight w:val="243"/>
        </w:trPr>
        <w:tc>
          <w:tcPr>
            <w:tcW w:w="5160" w:type="dxa"/>
            <w:vAlign w:val="bottom"/>
          </w:tcPr>
          <w:p>
            <w:pPr>
              <w:ind w:left="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1,685</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5,577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3,685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of Common Stock</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the computation of basic and diluted net loss per share:</w:t>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700" w:type="dxa"/>
            <w:vAlign w:val="bottom"/>
            <w:gridSpan w:val="5"/>
          </w:tcPr>
          <w:p>
            <w:pPr>
              <w:jc w:val="right"/>
              <w:ind w:right="45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9"/>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00" w:type="dxa"/>
            <w:vAlign w:val="bottom"/>
            <w:gridSpan w:val="9"/>
          </w:tcPr>
          <w:p>
            <w:pPr>
              <w:ind w:left="40"/>
              <w:spacing w:after="0"/>
              <w:rPr>
                <w:sz w:val="20"/>
                <w:szCs w:val="20"/>
                <w:color w:val="auto"/>
              </w:rPr>
            </w:pPr>
            <w:r>
              <w:rPr>
                <w:rFonts w:ascii="Arial" w:cs="Arial" w:eastAsia="Arial" w:hAnsi="Arial"/>
                <w:sz w:val="16"/>
                <w:szCs w:val="16"/>
                <w:b w:val="1"/>
                <w:bCs w:val="1"/>
                <w:color w:val="auto"/>
                <w:w w:val="89"/>
              </w:rPr>
              <w:t>(in thousands, except share and per share data)</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(25,244)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(17,999)</w:t>
            </w:r>
          </w:p>
        </w:tc>
        <w:tc>
          <w:tcPr>
            <w:tcW w:w="0" w:type="dxa"/>
            <w:vAlign w:val="bottom"/>
          </w:tcPr>
          <w:p>
            <w:pPr>
              <w:spacing w:after="0"/>
              <w:rPr>
                <w:sz w:val="1"/>
                <w:szCs w:val="1"/>
                <w:color w:val="auto"/>
              </w:rPr>
            </w:pPr>
          </w:p>
        </w:tc>
      </w:tr>
      <w:tr>
        <w:trPr>
          <w:trHeight w:val="263"/>
        </w:trPr>
        <w:tc>
          <w:tcPr>
            <w:tcW w:w="4800" w:type="dxa"/>
            <w:vAlign w:val="bottom"/>
          </w:tcPr>
          <w:p>
            <w:pPr>
              <w:ind w:left="60"/>
              <w:spacing w:after="0"/>
              <w:rPr>
                <w:sz w:val="20"/>
                <w:szCs w:val="20"/>
                <w:color w:val="auto"/>
              </w:rPr>
            </w:pPr>
            <w:r>
              <w:rPr>
                <w:rFonts w:ascii="Arial" w:cs="Arial" w:eastAsia="Arial" w:hAnsi="Arial"/>
                <w:sz w:val="18"/>
                <w:szCs w:val="18"/>
                <w:color w:val="auto"/>
                <w:w w:val="91"/>
              </w:rPr>
              <w:t>Weighted-average shares used to compute basic and diluted net</w:t>
            </w: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28,492,582</w:t>
            </w: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24,577,938</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rPr>
              <w:t>27,872,505</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24,484,608</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loss per share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4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4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280" w:type="dxa"/>
            <w:vAlign w:val="bottom"/>
            <w:gridSpan w:val="4"/>
          </w:tcPr>
          <w:p>
            <w:pPr>
              <w:ind w:left="500"/>
              <w:spacing w:after="0"/>
              <w:rPr>
                <w:sz w:val="20"/>
                <w:szCs w:val="20"/>
                <w:color w:val="auto"/>
              </w:rPr>
            </w:pPr>
            <w:r>
              <w:rPr>
                <w:rFonts w:ascii="Arial" w:cs="Arial" w:eastAsia="Arial" w:hAnsi="Arial"/>
                <w:sz w:val="16"/>
                <w:szCs w:val="16"/>
                <w:b w:val="1"/>
                <w:bCs w:val="1"/>
                <w:color w:val="auto"/>
              </w:rPr>
              <w:t>Three Months Ended June 30,</w:t>
            </w:r>
          </w:p>
        </w:tc>
        <w:tc>
          <w:tcPr>
            <w:tcW w:w="2980" w:type="dxa"/>
            <w:vAlign w:val="bottom"/>
            <w:gridSpan w:val="3"/>
          </w:tcPr>
          <w:p>
            <w:pPr>
              <w:jc w:val="right"/>
              <w:ind w:right="45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9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498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44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33"/>
        </w:trPr>
        <w:tc>
          <w:tcPr>
            <w:tcW w:w="4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2,652,683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3,024,743</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2,652,683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3,024,743</w:t>
            </w:r>
          </w:p>
        </w:tc>
      </w:tr>
      <w:tr>
        <w:trPr>
          <w:trHeight w:val="243"/>
        </w:trPr>
        <w:tc>
          <w:tcPr>
            <w:tcW w:w="4980" w:type="dxa"/>
            <w:vAlign w:val="bottom"/>
          </w:tcPr>
          <w:p>
            <w:pPr>
              <w:ind w:left="6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1,333,501</w:t>
            </w:r>
          </w:p>
        </w:tc>
        <w:tc>
          <w:tcPr>
            <w:tcW w:w="1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564,638</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1,333,501</w:t>
            </w:r>
          </w:p>
        </w:tc>
        <w:tc>
          <w:tcPr>
            <w:tcW w:w="10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564,638</w:t>
            </w:r>
          </w:p>
        </w:tc>
      </w:tr>
      <w:tr>
        <w:trPr>
          <w:trHeight w:val="27"/>
        </w:trPr>
        <w:tc>
          <w:tcPr>
            <w:tcW w:w="4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Shares subject to repurchase</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46,811</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46,811</w:t>
            </w:r>
          </w:p>
        </w:tc>
      </w:tr>
      <w:tr>
        <w:trPr>
          <w:trHeight w:val="243"/>
        </w:trPr>
        <w:tc>
          <w:tcPr>
            <w:tcW w:w="4980" w:type="dxa"/>
            <w:vAlign w:val="bottom"/>
          </w:tcPr>
          <w:p>
            <w:pPr>
              <w:ind w:left="60"/>
              <w:spacing w:after="0"/>
              <w:rPr>
                <w:sz w:val="20"/>
                <w:szCs w:val="20"/>
                <w:color w:val="auto"/>
              </w:rPr>
            </w:pPr>
            <w:r>
              <w:rPr>
                <w:rFonts w:ascii="Arial" w:cs="Arial" w:eastAsia="Arial" w:hAnsi="Arial"/>
                <w:sz w:val="18"/>
                <w:szCs w:val="18"/>
                <w:color w:val="auto"/>
              </w:rPr>
              <w:t>ESPP purchase rights</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124,266</w:t>
            </w:r>
          </w:p>
        </w:tc>
        <w:tc>
          <w:tcPr>
            <w:tcW w:w="1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84,321</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124,266</w:t>
            </w:r>
          </w:p>
        </w:tc>
        <w:tc>
          <w:tcPr>
            <w:tcW w:w="10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84,321</w:t>
            </w:r>
          </w:p>
        </w:tc>
      </w:tr>
      <w:tr>
        <w:trPr>
          <w:trHeight w:val="27"/>
        </w:trPr>
        <w:tc>
          <w:tcPr>
            <w:tcW w:w="4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Common stock warrants</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118,122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118,122</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118,122</w:t>
            </w:r>
          </w:p>
        </w:tc>
      </w:tr>
      <w:tr>
        <w:trPr>
          <w:trHeight w:val="237"/>
        </w:trPr>
        <w:tc>
          <w:tcPr>
            <w:tcW w:w="4980" w:type="dxa"/>
            <w:vAlign w:val="bottom"/>
          </w:tcPr>
          <w:p>
            <w:pPr>
              <w:spacing w:after="0"/>
              <w:rPr>
                <w:sz w:val="20"/>
                <w:szCs w:val="20"/>
                <w:color w:val="auto"/>
              </w:rPr>
            </w:pPr>
          </w:p>
        </w:tc>
        <w:tc>
          <w:tcPr>
            <w:tcW w:w="15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4,238,304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3,838,635</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4,238,304</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3,838,635</w:t>
            </w:r>
          </w:p>
        </w:tc>
      </w:tr>
      <w:tr>
        <w:trPr>
          <w:trHeight w:val="27"/>
        </w:trPr>
        <w:tc>
          <w:tcPr>
            <w:tcW w:w="49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w:t>
      </w:r>
    </w:p>
    <w:p>
      <w:pPr>
        <w:spacing w:after="0" w:line="14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and six months ended June 30, 2020, the Company expensed $22,000 and $44,000, respectively, of the reimbursement charges from SeaSpine, which was recorded within research and development expense in the condensed consolidated statement of operations. The outstanding liability to SeaSpine as of June 30, 2020 amounted to $10,000, recorded within accrued liabilities and other in the condensed consolidated balance sheet.</w:t>
      </w:r>
    </w:p>
    <w:p>
      <w:pPr>
        <w:spacing w:after="0" w:line="16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six months ended June 30, 2020 and 2019. The Company continues to maintain a full valuation allowance against its net deferred tax assets due to the uncertainty surrounding realization of such assets.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2019.</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CARES Act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evaluated its impact of the CARES Act as part of ASC 740 consideration and does not expect the provisions of the CARES Act would result in a material impact to the consolidated financial statements. The Company continues to monitor the impact this CARES Act may have on its business.</w:t>
      </w:r>
    </w:p>
    <w:p>
      <w:pPr>
        <w:spacing w:after="0" w:line="188"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On June 29, 2020, Governor Gavin Newsom signed California Assembly Bill 85 (AB 85) into law. The legislation suspends the California net operating loss deductions for 2020, 2021, and 2022 for certain taxpayers and imposes a limitation of certain California Tax Credits for 2020, 2021, and 2022. The legislation disallows the use of California net operating loss deductions if the taxpayer recognizes business income and its adjusted gross income is greater than $1.0 million. The carryover periods for net operating loss deductions disallowed by this provision will be extended. Additionally, any business credit will only offset a maximum of $5.0 million of California tax. Given the Company’s expected loss position in the current year, the new legislation will not impact the current year provision. The Company will continue to monitor the possible California net operating loss and credit limitations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Impact of COVID-19 Outbreak</w:t>
      </w:r>
    </w:p>
    <w:p>
      <w:pPr>
        <w:spacing w:after="0" w:line="22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As discussed in Note 2 - “Risk and Uncertainties” in the accompanying Notes to Condensed Consolidated Financial Statements, the extent of the impact of the COVID-19 pandemic on the Company's business is highly uncertain and difficult to predict, as the response to the pandemic is in its incipient stages and information is rapidly evolving. As of the date of issuance of the unaudited condensed consolidated financial statements,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580"/>
        <w:spacing w:after="0" w:line="255"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11, 2020.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of this Quarterly Report on Form 10-Q, our actual results could differ materially from the results described in, or implied, by these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to treat sacroiliac joint dysfunction, which often causes severe lower back pain. Since we introduced iFuse in 2009, as of June 30, 2020, more than 48,000 procedures have been performed by over 2,100 surgeons in the U.S. and 35 other countries.</w:t>
      </w:r>
    </w:p>
    <w:p>
      <w:pPr>
        <w:spacing w:after="0" w:line="188"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our first-generation iFuse Implant with a proprietary 3D-printed porous surface and fenestrated design.</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In April 2019, we received clearance from the U.S. Food and Drug Administration (“FDA”), to promote the use of our iFuse system with the iFuse Bedrock technique for fusion of the sacroiliac joint in conjunction with multi-level spinal fusion procedures to provide further stabilization and immobilization of the sacroiliac joint. We received CE marking and began marketing our iFuse system for the same indication in Europe in December 2019. In March 2020, we received FDA 510(k) clearance for an expanded indication for the iFuse Implant System to support our trauma program.</w:t>
      </w:r>
    </w:p>
    <w:p>
      <w:pPr>
        <w:spacing w:after="0" w:line="11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117"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costs, from our follow-on public offering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5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COVID-19 pandemic and the resulting economic downturn are affecting business conditions in our industry. The overall demand for our products decreased as a result of the pandemic, which impacted our operating results for the three and six months ended June 30, 2020. Many state and local governments in the U.S. and foreign governments issued orders that temporarily precluded elective procedures in order to conserve scarce health system resources in view of the pandemic. The decrease in hospital admission rates and elective surgeries decreases the demand for elective procedures using our iFuse implants. Prior to the spread of COVID-19, we experienced case growth trends consistent with those experienced in the fourth quarter of 2019. Beginning at the end of February 2020, we began to see an impact on case volumes in Northern Italy due to the spread of the virus in the Lombardy region, the location of our operation in Gallarate, Italy. Overall, the disruption was not significant through the middle of March 2020, as Italy represents a small portion of our worldwide sales. Beginning in mid-March 2020 through April 2020, we saw a substantial worldwide reduction in global case volumes due to deferral of elective surgeries as a result of the spread of COVID-19 in the U.S. and across Europe. In May and June 2020, case volumes began to recover as hospitals and medical centers across the U.S. and Europe resumed performance of elective surgery procedures.</w:t>
      </w:r>
    </w:p>
    <w:p>
      <w:pPr>
        <w:spacing w:after="0" w:line="11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We have taken what we believe are all necessary precautions to safeguard our employees, patients, customers, and other stakeholders from COVID-19 pandemic. We are following the Centers for Disease Control and Prevention’s guidance and local restrictions. We took actions to support patients, customers, and employees, while maintaining business continuity in response to the COVID-19 pandemic. The majority of our employees who are not related to manufacturing and order fulfillment are currently on a telecommunication work arrangement and have generally been able to successfully work remotely. We restricted non-essential travel to protect the health and safety of our employees, patients, and customers. We modified operations and clinical support starting in March 2020, maintaining streamlined assembly, distribution and related processes in order to continue providing products to our customers. Specific protocols were designed and implemented to minimize contact time among employees working on site. Where healthcare operations were impacted, we supported healthcare providers via telephone and online technologies. Starting in May 2020, we began to return to more normalized operations and clinical support as local restrictions were reduced. We also continue to focus on increasing surgeon activity by utilizing a virtual education series for surgeons and mid-level practitioners to continue our training activities.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jc w:val="both"/>
        <w:ind w:firstLine="405"/>
        <w:spacing w:after="0"/>
        <w:rPr>
          <w:sz w:val="20"/>
          <w:szCs w:val="20"/>
          <w:color w:val="auto"/>
        </w:rPr>
      </w:pPr>
      <w:r>
        <w:rPr>
          <w:rFonts w:ascii="Arial" w:cs="Arial" w:eastAsia="Arial" w:hAnsi="Arial"/>
          <w:sz w:val="18"/>
          <w:szCs w:val="18"/>
          <w:color w:val="auto"/>
        </w:rPr>
        <w:t>During the quarter, our primary goal was to retain our employees and continue forward with major new product initiatives to protect the long-term prospects of our business. However, we curtailed operating expense in other areas due to limited visibility on the extent and duration of the impact from COVID-19. We took preemptive steps to manage spending, including implementing hiring restrictions, eliminating discretionary spending, reducing executive salaries, reducing capital expenditures, reducing non-essential marketing expenses, and delaying clinical research projects. We will continue to take a thoughtful approach to spending that will help align any return to investments in our business with a return to revenue growth, while managing our net loss and protecting our cash.</w:t>
      </w:r>
    </w:p>
    <w:p>
      <w:pPr>
        <w:spacing w:after="0" w:line="18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The extent to which the COVID-19 pandemic impacts our operations is dependent on future developments, which are still highly uncertain and cannot be fully predicted at this time, and include the duration, severity and scope of the outbreak and the actions taken to contain or treat the COVID-19 pandemic. In particular, the spread of the COVID-19 globally is adversely affecting global economies and financial markets which could materially and adversely impact our operations. The existence and further duration of the COVID-19 pandemic may also further exacerbate certain risks as described in “Item 1A - Risk Factors”. Recently, certain U.S. states are experiencing increasing trends of COVID-19 infections and hospitalizations. This could result in governments reissuing orders that temporarily preclude elective procedures which may significantly reduce our future revenue and significantly impact our results of operations. We continue to monitor the rapidly evolving situation and guidance from authorities, including federal, state and local public health authorities and may take additional actions based on their recommendations. In these dynamic circumstances, there may be developments outside our control requiring us to adjust our operating plan. We intend to continue to execute on our strategic plans and operational initiatives during the COVID-19 outbreak. However, the uncertainties discussed above may result in delays or modifications to these plans and initiatives.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 and Key Performance Indicators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engage key opinion leaders and influence coverage and reimbursements.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our sales force</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made significant investments in our sales force since our initial public offering in 2018. We have built a valuable sales team, and we believe they are the key to the recovery that follows the pandemic. As such, we have made it a top priority to support and retain our sales force through this challenging period. However, we have also limited new sales force hiring in the second quarter of 2020 given current uncertainties and are focusing on sales force productivity during this period. As of June 30, 2020, our U.S. sales force consisted of 62 territory sales managers and 54 clinical support specialists directly employed by us and 37 third-party distributors, compared to 50 territory sales managers and 37 clinical support specialists directly employed by us and 33 third-party distributors as of June 30, 2019. As of June 30, 2020, our international sales force consisted of 20 sales representatives directly employed by us and 31 third-party distributors, compared to 16 sales representatives directly employed by us and 28 third-party distributors as of June 30, 2019.</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 surgeon activity</w:t>
      </w:r>
    </w:p>
    <w:p>
      <w:pPr>
        <w:spacing w:after="0" w:line="2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continue to focus on increasing surgeon activity. Surgeon activity includes both the number of surgeons performing iFuse procedures as well as the number of procedures performed per surgeon. As of June 30, 2020 and 2019, in the U.S., more than 1,500 surgeons and 1,300 surgeons, respectively, have been trained on iFuse and have treated at least one patient. Outside the U.S., as of June 30, 2020 and 2019, more than 600 surgeons and 500 surgeons, respectively, have been trained on iFuse and have treated at least one patient. We will continue to pursue the remainder of the approximately 7,500 target surgeons in the U.S., as well as international surgeons for training in the future. However, this process has been and will continue to be hampered during the duration of the COVID-19 outbreak. We are utilizing a virtual education series for surgeons and mid-level practitioners to continue our training activities. As restrictions are lifted, we will focus on increasing the number of procedures performed by our active surgeons, converting recently trained surgeons to first case, and converting inactive surgeons to active surgeons.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ind w:left="420"/>
        <w:spacing w:after="0"/>
        <w:rPr>
          <w:sz w:val="20"/>
          <w:szCs w:val="20"/>
          <w:color w:val="auto"/>
        </w:rPr>
      </w:pPr>
      <w:r>
        <w:rPr>
          <w:rFonts w:ascii="Arial" w:cs="Arial" w:eastAsia="Arial" w:hAnsi="Arial"/>
          <w:sz w:val="18"/>
          <w:szCs w:val="18"/>
          <w:b w:val="1"/>
          <w:bCs w:val="1"/>
          <w:i w:val="1"/>
          <w:iCs w:val="1"/>
          <w:color w:val="auto"/>
        </w:rPr>
        <w:t>Engage key opinion leaders</w:t>
      </w:r>
    </w:p>
    <w:p>
      <w:pPr>
        <w:spacing w:after="0" w:line="25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conduct training courses in several academic centers in the U.S. We are seeing interest from key opinion leaders at academic centers in our Bedrock technique. We introduced this technique in June 2019 for use in the fusion of the sacroiliac joints in conjunction with a multi-segment spinal fusion, or long construct, procedure. The Bedrock technique is based on our proprietary implants, with one implant placed in each sacroiliac joint (for a total of two implants per case) using a posterior approach, through the sacrum, across the sacroiliac joint, and into the ilium. The Bedrock technique is in contrast to placement with our traditional iFuse procedure, whereby three iFuse implants are placed into one sacroiliac joint via a lateral approach through the ilium and into the sacrum. The Bedrock technique is used to increase stability at the base of a long construct, and biomechanical testing has shown iFuse implants in this position reduce sacroiliac joint motion by approximately 30% in conjunction with a long construct. Interest in the Bedrock technique has enabled our field sales representatives to access leading spine surgeons at important academic medical centers in the U.S. Our representatives are often then able to train a broader group of spine surgeons, including residents and fellows in training at the centers, on both the Bedrock technique and minimally invasive sacroiliac fusion. Since the launch of Bedrock, we have conducted more than 45 training courses at academic centers in the U.S., and more than 200 surgical residents and fellows have been trained. We received CE mark clearance for the promotion of the Bedrock technique in Europe and we launched the promotion of this technique in select European markets. We believe that acceptance of the sacroiliac joint as a pain generator by leading spine surgeons may result in more widespread awareness of sacroiliac joint dysfunction and its role in causing certain types of chronic low back pain. Our ability to engage with key opinion leaders has been impeded by COVID-19. However, we are continuing our activities with key opinion leaders through our virtual education series.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Influence coverage and reimbursement</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made significant progress in both the number of covered lives and the Medicare physician fee for surgeons performing minimally invasive sacroiliac fusion in the U.S.</w:t>
      </w:r>
    </w:p>
    <w:p>
      <w:pPr>
        <w:spacing w:after="0" w:line="197" w:lineRule="exact"/>
        <w:rPr>
          <w:sz w:val="20"/>
          <w:szCs w:val="20"/>
          <w:color w:val="auto"/>
        </w:rPr>
      </w:pPr>
    </w:p>
    <w:p>
      <w:pPr>
        <w:jc w:val="both"/>
        <w:ind w:left="660" w:hanging="328"/>
        <w:spacing w:after="0" w:line="26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Covered lives </w:t>
      </w:r>
      <w:r>
        <w:rPr>
          <w:rFonts w:ascii="Arial" w:cs="Arial" w:eastAsia="Arial" w:hAnsi="Arial"/>
          <w:sz w:val="17"/>
          <w:szCs w:val="17"/>
          <w:color w:val="auto"/>
        </w:rPr>
        <w:t>- As of June 30, 2020, of the U.S. payors covering 297.8 million lives that reimburse for iFuse, 182.0 million lives are covered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payors. This includes covered lives by Aetna, which adopted a new new coverage for minimally invasive arthrodesis of the sacroiliac joint for sacroiliac joint syndrome and sacroiliac joint pain, effective May 28, 2020. Aetna is the third largest commercial health plan in the U.S. with over 22 million members. Currently, the covered lives counts do not include Anthem, which announced in December 2019 that they would cover minimally invasive sacroiliac fusion procedures in the event of pelvic girdle trauma only. As of June 30, 2019, U.S. payors covering 266.0 million lives reimbursed for iFuse, of which 131.0 million were covered by private payors. We track the number of U.S. covered lives, or individuals whose healthcare is paid for by a private commercial or governmental payor that routinely reimburses for minimally invasive sacroiliac fusion, as a proxy for availability of the procedure within the U.S. healthcare payment system. As of June 30, 2020, 35 U.S. payors have issued positive coverage policies exclusive to iFuse for sacroiliac joint fusion because of the clinical evidence, compared to 33 exclusive coverage policies as of June 30, 2019. These payors have based their exclusive coverage decisions on the quality of our data. Further, as of June 30, 2020 and 2019, there were 21 and 18, respectively, U.S. payors that are covering iFuse and other products for sacroiliac joint fusion. We believe that the full impact of each coverage decision grows over time as surgeons gain confidence that they will receive reimbursement for the majority of their diagnosed patients.</w:t>
      </w:r>
    </w:p>
    <w:p>
      <w:pPr>
        <w:spacing w:after="0" w:line="213"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Surgeon payment </w:t>
      </w:r>
      <w:r>
        <w:rPr>
          <w:rFonts w:ascii="Arial" w:cs="Arial" w:eastAsia="Arial" w:hAnsi="Arial"/>
          <w:sz w:val="18"/>
          <w:szCs w:val="18"/>
          <w:color w:val="auto"/>
        </w:rPr>
        <w:t>- The Center for Medicare &amp; Medicaid Services announced in November 2019 that the U.S. national average physician fee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for minimally invasive sacroiliac joint fusion increased from $720, effective January 1, 2019 to $915, effective January 1, 2020. Many private payors set their payment amounts with reference to the Medicare payment, often approximately 10% to 33% higher than the Medicare payment for a procedure. We believe that expanded coverage for minimally invasive sacroiliac fusion and the increase in physician reimbursement for the procedure may enable surgeons to treat more patients diagnosed with sacroiliac joint dysfunction and degeneration with iFuse.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generate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66"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 COVID-19 pandemic reduced our expected number of cases in the first and second quarters of 2020 due to local restrictions on elective surgeries. As the pandemic continued in the U.S. and Europe, it had a significant impact on our case volumes beginning mid-March 2020. The largest impact was felt in April 2020, where revenue declined by 84% from the prior year. Given the situation, a considerable number of cases were deferred from mid-March through the end of April 2020. In May 2020, case volumes began to recover as hospitals and medical centers across the U.S. and Europe resumed performance of elective surgery procedures, with revenue growth of 6% in May 2020 compared to the prior year. Case volumes continued to improve in June 2020 with revenue growth of 42% compared to the prior year. We believe a considerable number of cases performed in May 2020 and June 2020 were rescheduled surgeries cancelled in the second half of March through the end of April 2020. As rescheduled procedures diminish, in addition to the heightened risk of further shutdowns in elective procedures and geographic uncertainty, we do not view second quarter 2020 revenue performance as an indicator of future growth.</w:t>
      </w:r>
    </w:p>
    <w:p>
      <w:pPr>
        <w:spacing w:after="0" w:line="19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COVID-19 pandemic significantly disrupted and may continue to disrupt capital markets as well as worldwide economies, leading to a prolonged global economic recession. This could pressure hospital spending, impacting our pricing. Further, the government restrictions to temporarily preclude elective procedures may continue to disrupt scheduled procedures. As a result of these factors, it has made it difficult for us to forecast future iFuse sales. Therefore, we believe that historical revenue trends are not a good indicator of future growth.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utilize third-party manufacturers for production of iFuse implants and instrument sets. Cost of goods sold consists primarily of costs of the components of iFuse implants and instruments, instrument set depreciation, scrap and inventory obsolescence, as well as distribution-related expenses such as logistics and shipping costs. Our cost of goods sold has historically increased as case levels increase.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operations ran at suboptimal capacity as a result of decreased iFuse demand from worldwide restrictions on elective procedures. Accordingly, certain labor and overhead costs were expensed as incurred which impacted our gross profit and gross margin in the second quarter of 2020. We may experience similar issues in future quarters due to the COVID-19 pandemic. As such, we cannot reliably estimate the extent to which the COVID-19 pandemic will impact our overall cost of goods sold, gross profit, and gross margin in the near-term.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anticipate operating expenses will continue to increase to support our employees. However, we are currently limiting hiring of staff at this time due to the COVID-19 pandemic. In addition, we have taken steps to reduce variable expenses that are ineffective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i w:val="1"/>
          <w:iCs w:val="1"/>
          <w:color w:val="auto"/>
        </w:rPr>
        <w:t>Sales and Marketing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senior sales management, direct territory sales managers, territory associate representatives and third-party distributors.</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sales and marketing spending reflected normal business activities into mid-March 2020. Due to the COVID-19 pandemic, we focused on protecting key investments in our field force while curtailing most other areas of sales and marketing spend during the second quarter of 2020. For example, we guaranteed certain levels of incentive compensation to members of our field sales organization for the second quarter 2020 in order to retain these employees and partially mitigate the impact of the pandemic to their compensation. In contrast, we reduced certain other spending during the COVID-19 pandemic, such as travel and related expenses, regional surgeon training, trade shows, and discretionary marketing. We expect these expenditures will resume as the acuity of the pandemic recedes.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Clinical study expenses declined during mid-March through April due to hospital postponement of trials as a result of the COVID-19 pandemic. However, most hospitals allowed the resumption of clinical trials starting in May and June 2020. As such, we anticipate that research and development expenses will continue to increase in the future.</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General and administrative expenses primarily consist of salaries, stock-based compensation expense, and other costs for finance, accounting, legal, compliance, and administrative matters. We have taken measures to control discretionary items classified as general and administrative expenses, but expect our general and administrative expenses to return to normal levels as the acuity of the COVID-19 pandemic recedes. General and administrative activities that sustain our business and support our operations as a public company, include but are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income is primarily related to our investments of excess cash in money market funds and marketable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expense is primarily related to borrowings, amortization of debt issuance costs and accretion of final fee on our Solar Term Loan. Following the refinancing of our term loan, interest expense also includes the loss on debt extinguishment.</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6"/>
          </w:tcPr>
          <w:p>
            <w:pPr>
              <w:jc w:val="right"/>
              <w:ind w:right="232"/>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6"/>
          </w:tcPr>
          <w:p>
            <w:pPr>
              <w:jc w:val="right"/>
              <w:ind w:right="331"/>
              <w:spacing w:after="0"/>
              <w:rPr>
                <w:sz w:val="20"/>
                <w:szCs w:val="20"/>
                <w:color w:val="auto"/>
              </w:rPr>
            </w:pPr>
            <w:r>
              <w:rPr>
                <w:rFonts w:ascii="Arial" w:cs="Arial" w:eastAsia="Arial" w:hAnsi="Arial"/>
                <w:sz w:val="16"/>
                <w:szCs w:val="16"/>
                <w:b w:val="1"/>
                <w:bCs w:val="1"/>
                <w:color w:val="auto"/>
              </w:rPr>
              <w:t>Six Months Ended June 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91"/>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w w:val="89"/>
              </w:rPr>
              <w:t>Amount</w:t>
            </w:r>
          </w:p>
        </w:tc>
        <w:tc>
          <w:tcPr>
            <w:tcW w:w="460" w:type="dxa"/>
            <w:vAlign w:val="bottom"/>
          </w:tcPr>
          <w:p>
            <w:pPr>
              <w:jc w:val="right"/>
              <w:ind w:right="3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432"/>
              <w:spacing w:after="0"/>
              <w:rPr>
                <w:sz w:val="20"/>
                <w:szCs w:val="20"/>
                <w:color w:val="auto"/>
              </w:rPr>
            </w:pPr>
            <w:r>
              <w:rPr>
                <w:rFonts w:ascii="Arial" w:cs="Arial" w:eastAsia="Arial" w:hAnsi="Arial"/>
                <w:sz w:val="16"/>
                <w:szCs w:val="16"/>
                <w:b w:val="1"/>
                <w:bCs w:val="1"/>
                <w:color w:val="auto"/>
                <w:w w:val="99"/>
              </w:rPr>
              <w:t>Amount</w:t>
            </w:r>
          </w:p>
        </w:tc>
        <w:tc>
          <w:tcPr>
            <w:tcW w:w="460" w:type="dxa"/>
            <w:vAlign w:val="bottom"/>
          </w:tcPr>
          <w:p>
            <w:pPr>
              <w:jc w:val="right"/>
              <w:ind w:right="5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52"/>
              <w:spacing w:after="0"/>
              <w:rPr>
                <w:sz w:val="20"/>
                <w:szCs w:val="20"/>
                <w:color w:val="auto"/>
              </w:rPr>
            </w:pPr>
            <w:r>
              <w:rPr>
                <w:rFonts w:ascii="Arial" w:cs="Arial" w:eastAsia="Arial" w:hAnsi="Arial"/>
                <w:sz w:val="16"/>
                <w:szCs w:val="16"/>
                <w:b w:val="1"/>
                <w:bCs w:val="1"/>
                <w:color w:val="auto"/>
                <w:w w:val="99"/>
              </w:rPr>
              <w:t>Amount</w:t>
            </w:r>
          </w:p>
        </w:tc>
        <w:tc>
          <w:tcPr>
            <w:tcW w:w="400" w:type="dxa"/>
            <w:vAlign w:val="bottom"/>
          </w:tcPr>
          <w:p>
            <w:pPr>
              <w:jc w:val="right"/>
              <w:ind w:right="3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31"/>
              <w:spacing w:after="0"/>
              <w:rPr>
                <w:sz w:val="20"/>
                <w:szCs w:val="20"/>
                <w:color w:val="auto"/>
              </w:rPr>
            </w:pPr>
            <w:r>
              <w:rPr>
                <w:rFonts w:ascii="Arial" w:cs="Arial" w:eastAsia="Arial" w:hAnsi="Arial"/>
                <w:sz w:val="16"/>
                <w:szCs w:val="16"/>
                <w:b w:val="1"/>
                <w:bCs w:val="1"/>
                <w:color w:val="auto"/>
              </w:rPr>
              <w:t>Amount</w:t>
            </w:r>
          </w:p>
        </w:tc>
        <w:tc>
          <w:tcPr>
            <w:tcW w:w="460" w:type="dxa"/>
            <w:vAlign w:val="bottom"/>
          </w:tcPr>
          <w:p>
            <w:pPr>
              <w:jc w:val="right"/>
              <w:ind w:right="5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6"/>
          </w:tcPr>
          <w:p>
            <w:pPr>
              <w:jc w:val="right"/>
              <w:ind w:right="12"/>
              <w:spacing w:after="0"/>
              <w:rPr>
                <w:sz w:val="20"/>
                <w:szCs w:val="20"/>
                <w:color w:val="auto"/>
              </w:rPr>
            </w:pPr>
            <w:r>
              <w:rPr>
                <w:rFonts w:ascii="Arial" w:cs="Arial" w:eastAsia="Arial" w:hAnsi="Arial"/>
                <w:sz w:val="16"/>
                <w:szCs w:val="16"/>
                <w:b w:val="1"/>
                <w:bCs w:val="1"/>
                <w:color w:val="auto"/>
              </w:rPr>
              <w:t>(in thousands, except for percentages)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6"/>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14,049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16,317</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30,870</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31,308</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2,117</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1,588</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4,049</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3,114</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4"/>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11,932</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14,729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26,821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28,194</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15,755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16,727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35,036</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32,542</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2,165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1,946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4,255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3,629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4,151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4,194</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9,551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8,960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rPr>
              <w:t>22,071</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rPr>
              <w:t>22,867</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rPr>
              <w:t>48,842</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45,131</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r>
      <w:tr>
        <w:trPr>
          <w:trHeight w:val="243"/>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8"/>
              </w:rPr>
              <w:t>(10,139)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(8,138)</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(22,021)</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(16,937)</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2960" w:type="dxa"/>
            <w:vAlign w:val="bottom"/>
            <w:gridSpan w:val="2"/>
          </w:tcPr>
          <w:p>
            <w:pPr>
              <w:spacing w:after="0"/>
              <w:rPr>
                <w:sz w:val="20"/>
                <w:szCs w:val="20"/>
                <w:color w:val="auto"/>
              </w:rPr>
            </w:pPr>
            <w:r>
              <w:rPr>
                <w:rFonts w:ascii="Arial" w:cs="Arial" w:eastAsia="Arial" w:hAnsi="Arial"/>
                <w:sz w:val="18"/>
                <w:szCs w:val="18"/>
                <w:color w:val="auto"/>
                <w:w w:val="89"/>
              </w:rPr>
              <w:t>Interest and other income (expense), net:</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329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695</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827</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1,439</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2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(2,683)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(1,233)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(3,914)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(2,463)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21</w:t>
            </w: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22</w:t>
            </w: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(136)</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(38)</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4"/>
        </w:trPr>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8"/>
              </w:rPr>
              <w:t>(12,472)</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(8,654)</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(25,244)</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(17,999)</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derive the majority of our revenue from sales to customers in the U.S. Revenue by geography is based on billing address of the customer. No single country outside the U.S. accounts for more than 10% of the total revenue during the periods presented. The table below summarizes our revenue by geography:</w:t>
      </w:r>
    </w:p>
    <w:p>
      <w:pPr>
        <w:spacing w:after="0" w:line="238"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6"/>
          </w:tcPr>
          <w:p>
            <w:pPr>
              <w:jc w:val="right"/>
              <w:ind w:right="236"/>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6"/>
          </w:tcPr>
          <w:p>
            <w:pPr>
              <w:jc w:val="right"/>
              <w:ind w:right="315"/>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76"/>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96"/>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16"/>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36"/>
              <w:spacing w:after="0"/>
              <w:rPr>
                <w:sz w:val="20"/>
                <w:szCs w:val="20"/>
                <w:color w:val="auto"/>
              </w:rPr>
            </w:pPr>
            <w:r>
              <w:rPr>
                <w:rFonts w:ascii="Arial" w:cs="Arial" w:eastAsia="Arial" w:hAnsi="Arial"/>
                <w:sz w:val="16"/>
                <w:szCs w:val="16"/>
                <w:b w:val="1"/>
                <w:bCs w:val="1"/>
                <w:color w:val="auto"/>
                <w:w w:val="99"/>
              </w:rPr>
              <w:t>Amount</w:t>
            </w:r>
          </w:p>
        </w:tc>
        <w:tc>
          <w:tcPr>
            <w:tcW w:w="460" w:type="dxa"/>
            <w:vAlign w:val="bottom"/>
          </w:tcPr>
          <w:p>
            <w:pPr>
              <w:jc w:val="right"/>
              <w:ind w:right="55"/>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36"/>
              <w:spacing w:after="0"/>
              <w:rPr>
                <w:sz w:val="20"/>
                <w:szCs w:val="20"/>
                <w:color w:val="auto"/>
              </w:rPr>
            </w:pPr>
            <w:r>
              <w:rPr>
                <w:rFonts w:ascii="Arial" w:cs="Arial" w:eastAsia="Arial" w:hAnsi="Arial"/>
                <w:sz w:val="16"/>
                <w:szCs w:val="16"/>
                <w:b w:val="1"/>
                <w:bCs w:val="1"/>
                <w:color w:val="auto"/>
                <w:w w:val="99"/>
              </w:rPr>
              <w:t>Amount</w:t>
            </w:r>
          </w:p>
        </w:tc>
        <w:tc>
          <w:tcPr>
            <w:tcW w:w="460" w:type="dxa"/>
            <w:vAlign w:val="bottom"/>
          </w:tcPr>
          <w:p>
            <w:pPr>
              <w:jc w:val="right"/>
              <w:ind w:right="55"/>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56"/>
              <w:spacing w:after="0"/>
              <w:rPr>
                <w:sz w:val="20"/>
                <w:szCs w:val="20"/>
                <w:color w:val="auto"/>
              </w:rPr>
            </w:pPr>
            <w:r>
              <w:rPr>
                <w:rFonts w:ascii="Arial" w:cs="Arial" w:eastAsia="Arial" w:hAnsi="Arial"/>
                <w:sz w:val="16"/>
                <w:szCs w:val="16"/>
                <w:b w:val="1"/>
                <w:bCs w:val="1"/>
                <w:color w:val="auto"/>
                <w:w w:val="99"/>
              </w:rPr>
              <w:t>Amount</w:t>
            </w:r>
          </w:p>
        </w:tc>
        <w:tc>
          <w:tcPr>
            <w:tcW w:w="440" w:type="dxa"/>
            <w:vAlign w:val="bottom"/>
          </w:tcPr>
          <w:p>
            <w:pPr>
              <w:jc w:val="right"/>
              <w:ind w:right="55"/>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415"/>
              <w:spacing w:after="0"/>
              <w:rPr>
                <w:sz w:val="20"/>
                <w:szCs w:val="20"/>
                <w:color w:val="auto"/>
              </w:rPr>
            </w:pPr>
            <w:r>
              <w:rPr>
                <w:rFonts w:ascii="Arial" w:cs="Arial" w:eastAsia="Arial" w:hAnsi="Arial"/>
                <w:sz w:val="16"/>
                <w:szCs w:val="16"/>
                <w:b w:val="1"/>
                <w:bCs w:val="1"/>
                <w:color w:val="auto"/>
              </w:rPr>
              <w:t>Amount</w:t>
            </w:r>
          </w:p>
        </w:tc>
        <w:tc>
          <w:tcPr>
            <w:tcW w:w="480" w:type="dxa"/>
            <w:vAlign w:val="bottom"/>
          </w:tcPr>
          <w:p>
            <w:pPr>
              <w:jc w:val="right"/>
              <w:ind w:right="55"/>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6"/>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6"/>
          </w:tcPr>
          <w:p>
            <w:pPr>
              <w:jc w:val="right"/>
              <w:ind w:right="36"/>
              <w:spacing w:after="0"/>
              <w:rPr>
                <w:sz w:val="20"/>
                <w:szCs w:val="20"/>
                <w:color w:val="auto"/>
              </w:rPr>
            </w:pPr>
            <w:r>
              <w:rPr>
                <w:rFonts w:ascii="Arial" w:cs="Arial" w:eastAsia="Arial" w:hAnsi="Arial"/>
                <w:sz w:val="16"/>
                <w:szCs w:val="16"/>
                <w:b w:val="1"/>
                <w:bCs w:val="1"/>
                <w:color w:val="auto"/>
              </w:rPr>
              <w:t>(in thousands except for percentages)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13,221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15,019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28,518</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8"/>
                <w:szCs w:val="18"/>
                <w:color w:val="auto"/>
              </w:rPr>
              <w:t>28,469</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40" w:type="dxa"/>
            <w:vAlign w:val="bottom"/>
          </w:tcPr>
          <w:p>
            <w:pPr>
              <w:jc w:val="right"/>
              <w:ind w:right="356"/>
              <w:spacing w:after="0"/>
              <w:rPr>
                <w:sz w:val="20"/>
                <w:szCs w:val="20"/>
                <w:color w:val="auto"/>
              </w:rPr>
            </w:pPr>
            <w:r>
              <w:rPr>
                <w:rFonts w:ascii="Arial" w:cs="Arial" w:eastAsia="Arial" w:hAnsi="Arial"/>
                <w:sz w:val="18"/>
                <w:szCs w:val="18"/>
                <w:color w:val="auto"/>
              </w:rPr>
              <w:t>828</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56"/>
              <w:spacing w:after="0"/>
              <w:rPr>
                <w:sz w:val="20"/>
                <w:szCs w:val="20"/>
                <w:color w:val="auto"/>
              </w:rPr>
            </w:pPr>
            <w:r>
              <w:rPr>
                <w:rFonts w:ascii="Arial" w:cs="Arial" w:eastAsia="Arial" w:hAnsi="Arial"/>
                <w:sz w:val="18"/>
                <w:szCs w:val="18"/>
                <w:color w:val="auto"/>
              </w:rPr>
              <w:t>1,298</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2,352</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35"/>
              <w:spacing w:after="0"/>
              <w:rPr>
                <w:sz w:val="20"/>
                <w:szCs w:val="20"/>
                <w:color w:val="auto"/>
              </w:rPr>
            </w:pPr>
            <w:r>
              <w:rPr>
                <w:rFonts w:ascii="Arial" w:cs="Arial" w:eastAsia="Arial" w:hAnsi="Arial"/>
                <w:sz w:val="18"/>
                <w:szCs w:val="18"/>
                <w:color w:val="auto"/>
              </w:rPr>
              <w:t>2,839</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275"/>
        </w:trPr>
        <w:tc>
          <w:tcPr>
            <w:tcW w:w="2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6"/>
                <w:szCs w:val="16"/>
                <w:color w:val="auto"/>
              </w:rPr>
              <w:t>14,049</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6"/>
                <w:szCs w:val="16"/>
                <w:color w:val="auto"/>
              </w:rPr>
              <w:t>16,317</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6"/>
                <w:szCs w:val="16"/>
                <w:color w:val="auto"/>
              </w:rPr>
              <w:t>30,870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6"/>
                <w:szCs w:val="16"/>
                <w:color w:val="auto"/>
              </w:rPr>
              <w:t>31,308</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Comparison of the Three Months Ended June 30, 2020 and June 30, 2019</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r>
        <w:rPr>
          <w:rFonts w:ascii="Arial" w:cs="Arial" w:eastAsia="Arial" w:hAnsi="Arial"/>
          <w:sz w:val="18"/>
          <w:szCs w:val="18"/>
          <w:color w:val="auto"/>
        </w:rPr>
        <w:t>:</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32"/>
              <w:spacing w:after="0"/>
              <w:rPr>
                <w:sz w:val="20"/>
                <w:szCs w:val="20"/>
                <w:color w:val="auto"/>
              </w:rPr>
            </w:pPr>
            <w:r>
              <w:rPr>
                <w:rFonts w:ascii="Arial" w:cs="Arial" w:eastAsia="Arial" w:hAnsi="Arial"/>
                <w:sz w:val="16"/>
                <w:szCs w:val="16"/>
                <w:b w:val="1"/>
                <w:bCs w:val="1"/>
                <w:color w:val="auto"/>
              </w:rPr>
              <w:t>$ Change</w:t>
            </w:r>
          </w:p>
        </w:tc>
        <w:tc>
          <w:tcPr>
            <w:tcW w:w="1580" w:type="dxa"/>
            <w:vAlign w:val="bottom"/>
          </w:tcPr>
          <w:p>
            <w:pPr>
              <w:jc w:val="right"/>
              <w:ind w:right="292"/>
              <w:spacing w:after="0"/>
              <w:rPr>
                <w:sz w:val="20"/>
                <w:szCs w:val="20"/>
                <w:color w:val="auto"/>
              </w:rPr>
            </w:pPr>
            <w:r>
              <w:rPr>
                <w:rFonts w:ascii="Arial" w:cs="Arial" w:eastAsia="Arial" w:hAnsi="Arial"/>
                <w:sz w:val="16"/>
                <w:szCs w:val="16"/>
                <w:b w:val="1"/>
                <w:bCs w:val="1"/>
                <w:color w:val="auto"/>
              </w:rPr>
              <w:t>% Change</w:t>
            </w:r>
          </w:p>
        </w:tc>
      </w:tr>
      <w:tr>
        <w:trPr>
          <w:trHeight w:val="33"/>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5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(2,268)</w:t>
            </w:r>
          </w:p>
        </w:tc>
        <w:tc>
          <w:tcPr>
            <w:tcW w:w="158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(14)%</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529</w:t>
            </w:r>
          </w:p>
        </w:tc>
        <w:tc>
          <w:tcPr>
            <w:tcW w:w="1580" w:type="dxa"/>
            <w:vAlign w:val="bottom"/>
          </w:tcPr>
          <w:p>
            <w:pPr>
              <w:jc w:val="right"/>
              <w:ind w:right="492"/>
              <w:spacing w:after="0"/>
              <w:rPr>
                <w:sz w:val="20"/>
                <w:szCs w:val="20"/>
                <w:color w:val="auto"/>
              </w:rPr>
            </w:pPr>
            <w:r>
              <w:rPr>
                <w:rFonts w:ascii="Arial" w:cs="Arial" w:eastAsia="Arial" w:hAnsi="Arial"/>
                <w:sz w:val="18"/>
                <w:szCs w:val="18"/>
                <w:color w:val="auto"/>
              </w:rPr>
              <w:t>33%</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14,729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(2,797)</w:t>
            </w:r>
          </w:p>
        </w:tc>
        <w:tc>
          <w:tcPr>
            <w:tcW w:w="158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8"/>
                <w:szCs w:val="18"/>
                <w:color w:val="auto"/>
              </w:rPr>
              <w:t>(19)%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47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36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The decrease in revenue for the three months ended June 30, 2020 as compared to the three months ended June 30, 2019 comprised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$1.8 million in our U.S. revenue and a decrease of $0.5 million in our international revenue. The decline in revenue is attributed to a reduction in U.S. and international case volumes due to restrictions on elective surgeries put in place by governments to address the COVID-19 pandemic.</w:t>
      </w:r>
    </w:p>
    <w:p>
      <w:pPr>
        <w:spacing w:after="0" w:line="1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Gross profit decreased $2.8 million for the three months ended June 30, 2020 as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2019, driven both by lower revenue and higher cost of goods sold. The gross margin decreased to 85% for the three months ended June 30, 2020 as compared to 90% for the three months ended June 30, 2019 primarily due to certain period costs charged directly to cost of operations of $0.2 million and increases in inventory write-downs of $0.2 million. Certain period costs were expensed as incurred during the second quarter of 2020 because our operations ran at suboptimal capacity due to lower case volumes as a result of the COVID-19 pandemic.</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7"/>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Arial" w:cs="Arial" w:eastAsia="Arial" w:hAnsi="Arial"/>
                <w:sz w:val="16"/>
                <w:szCs w:val="16"/>
                <w:b w:val="1"/>
                <w:bCs w:val="1"/>
                <w:color w:val="auto"/>
              </w:rPr>
              <w:t>$ Change</w:t>
            </w:r>
          </w:p>
        </w:tc>
        <w:tc>
          <w:tcPr>
            <w:tcW w:w="1600" w:type="dxa"/>
            <w:vAlign w:val="bottom"/>
          </w:tcPr>
          <w:p>
            <w:pPr>
              <w:ind w:left="4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4"/>
          </w:tcPr>
          <w:p>
            <w:pPr>
              <w:jc w:val="right"/>
              <w:ind w:right="152"/>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00" w:type="dxa"/>
            <w:vAlign w:val="bottom"/>
          </w:tcPr>
          <w:p>
            <w:pPr>
              <w:spacing w:after="0"/>
              <w:rPr>
                <w:sz w:val="17"/>
                <w:szCs w:val="17"/>
                <w:color w:val="auto"/>
              </w:rPr>
            </w:pPr>
          </w:p>
        </w:tc>
      </w:tr>
      <w:tr>
        <w:trPr>
          <w:trHeight w:val="253"/>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r>
      <w:tr>
        <w:trPr>
          <w:trHeight w:val="243"/>
        </w:trPr>
        <w:tc>
          <w:tcPr>
            <w:tcW w:w="47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219</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11%</w:t>
            </w: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264"/>
        </w:trPr>
        <w:tc>
          <w:tcPr>
            <w:tcW w:w="478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22,071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22,867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(796)</w:t>
            </w: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(3)%</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The decrease in sales and marketing expenses for the three months ended June 30, 2020 as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2019 was primarily due to decreases in travel and other sales and marketing related expenses of $2.7 million as a result of the actions taken to curtail discretionary spending in response to the COVID-19 pandemic. These decreases were partly offset by an increase of $1.8 million in employee related costs and stock-based compensation expense driven by increased headcount.</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for the three months ended June 30,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2019 was primarily due to an increase of $0.4 million in employee related costs and stock-based compensation expense driven by increased headcount. The increase was partly offset by a decrease of $0.2 million mainly due to the decline in clinical study activities while elective procedures were restricted.</w:t>
      </w:r>
    </w:p>
    <w:p>
      <w:pPr>
        <w:spacing w:after="0" w:line="187"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for the three months ended June 30, 2020 was relatively flat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June 30, 2019. An increase of $0.8 million in employee related costs and stock-based compensation expense driven by increased headcount was offset by the reversal of accrued litigation expense of $0.6 million following the final settlement of the TCPA class action lawsuit as well as decreases in other general and administrative expenses of $0.2 million as a result of curtailment of discretionary spending in response to the COVID-19 pandemic.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280"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37465</wp:posOffset>
            </wp:positionV>
            <wp:extent cx="19716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6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4"/>
          </w:tcPr>
          <w:p>
            <w:pPr>
              <w:jc w:val="right"/>
              <w:ind w:right="174"/>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00" w:type="dxa"/>
            <w:vAlign w:val="bottom"/>
          </w:tcPr>
          <w:p>
            <w:pPr>
              <w:spacing w:after="0"/>
              <w:rPr>
                <w:sz w:val="19"/>
                <w:szCs w:val="19"/>
                <w:color w:val="auto"/>
              </w:rPr>
            </w:pPr>
          </w:p>
        </w:tc>
      </w:tr>
      <w:tr>
        <w:trPr>
          <w:trHeight w:val="33"/>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(53)%</w:t>
            </w:r>
          </w:p>
        </w:tc>
      </w:tr>
      <w:tr>
        <w:trPr>
          <w:trHeight w:val="243"/>
        </w:trPr>
        <w:tc>
          <w:tcPr>
            <w:tcW w:w="478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(1,450)</w:t>
            </w: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118%</w:t>
            </w:r>
          </w:p>
        </w:tc>
      </w:tr>
      <w:tr>
        <w:trPr>
          <w:trHeight w:val="27"/>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interest and other expense, net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(1,817)</w:t>
            </w:r>
          </w:p>
        </w:tc>
        <w:tc>
          <w:tcPr>
            <w:tcW w:w="1600" w:type="dxa"/>
            <w:vAlign w:val="bottom"/>
          </w:tcPr>
          <w:p>
            <w:pPr>
              <w:jc w:val="center"/>
              <w:ind w:left="14"/>
              <w:spacing w:after="0"/>
              <w:rPr>
                <w:sz w:val="20"/>
                <w:szCs w:val="20"/>
                <w:color w:val="auto"/>
              </w:rPr>
            </w:pPr>
            <w:r>
              <w:rPr>
                <w:rFonts w:ascii="Arial" w:cs="Arial" w:eastAsia="Arial" w:hAnsi="Arial"/>
                <w:sz w:val="18"/>
                <w:szCs w:val="18"/>
                <w:color w:val="auto"/>
                <w:w w:val="91"/>
              </w:rPr>
              <w:t>352%</w:t>
            </w:r>
          </w:p>
        </w:tc>
      </w:tr>
      <w:tr>
        <w:trPr>
          <w:trHeight w:val="21"/>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The decrease in interest income for the three months ended June 30, 2020 as compared to the three months ended June 30, 2019 was</w:t>
      </w:r>
      <w:r>
        <w:rPr>
          <w:rFonts w:ascii="Arial" w:cs="Arial" w:eastAsia="Arial" w:hAnsi="Arial"/>
          <w:sz w:val="17"/>
          <w:szCs w:val="17"/>
          <w:i w:val="1"/>
          <w:iCs w:val="1"/>
          <w:color w:val="auto"/>
        </w:rPr>
        <w:t xml:space="preserve"> </w:t>
      </w:r>
      <w:r>
        <w:rPr>
          <w:rFonts w:ascii="Arial" w:cs="Arial" w:eastAsia="Arial" w:hAnsi="Arial"/>
          <w:sz w:val="17"/>
          <w:szCs w:val="17"/>
          <w:color w:val="auto"/>
        </w:rPr>
        <w:t>mainly due to lower interest earned on our investments in marketable securities, primarily as a result of lower interest rates.</w:t>
      </w:r>
    </w:p>
    <w:p>
      <w:pPr>
        <w:spacing w:after="0" w:line="14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increase in interest expense for the three months ended June 30, 2020 as compared to the three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was mainly due to the loss on extinguishment of the Pharmakon Term Loan of $1.5 million, partly offset by lower interest associated with the Solar Term Loan.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Other income, net was relatively flat for the three months ended June 30, 2020 as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the Six Months Ended June 30, 2020 and June 30, 2019</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r>
        <w:rPr>
          <w:rFonts w:ascii="Arial" w:cs="Arial" w:eastAsia="Arial" w:hAnsi="Arial"/>
          <w:sz w:val="18"/>
          <w:szCs w:val="18"/>
          <w:color w:val="auto"/>
        </w:rPr>
        <w:t>:</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32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32"/>
              <w:spacing w:after="0"/>
              <w:rPr>
                <w:sz w:val="20"/>
                <w:szCs w:val="20"/>
                <w:color w:val="auto"/>
              </w:rPr>
            </w:pPr>
            <w:r>
              <w:rPr>
                <w:rFonts w:ascii="Arial" w:cs="Arial" w:eastAsia="Arial" w:hAnsi="Arial"/>
                <w:sz w:val="16"/>
                <w:szCs w:val="16"/>
                <w:b w:val="1"/>
                <w:bCs w:val="1"/>
                <w:color w:val="auto"/>
              </w:rPr>
              <w:t>$ Change</w:t>
            </w:r>
          </w:p>
        </w:tc>
        <w:tc>
          <w:tcPr>
            <w:tcW w:w="1580" w:type="dxa"/>
            <w:vAlign w:val="bottom"/>
          </w:tcPr>
          <w:p>
            <w:pPr>
              <w:ind w:left="4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5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30,870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31,308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935</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26,821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28,194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(1,373)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47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36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The decrease in revenue for the six months ended June 30, 2020 as compared to the six months ended June 30, 2019 was primarily due to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$0.5 million in our international sales due to the effects of COVID-19 pandemic. Our U.S. revenue was flat for the six months ended June 30, 2020 as compared to the six months ended June 30, 2019. The increasing growth trend of our U.S. case count prior to the impact of COVID-19 was offset by the decline in U.S. case volumes due to COVID-19. Prior to the impact of COVID-19, we experienced case growth trends consistent with those experienced in the fourth quarter of 2019. The case growth we experienced prior to impact of COVID-19 can be attributed to higher sales force productivity, higher numbers of sales personnel, and increased active surgeons due to improving U.S. reimbursement coverage.</w:t>
      </w:r>
    </w:p>
    <w:p>
      <w:pPr>
        <w:spacing w:after="0" w:line="20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auto"/>
        </w:rPr>
        <w:t xml:space="preserve">Gross Profit and Gross Margin. </w:t>
      </w:r>
      <w:r>
        <w:rPr>
          <w:rFonts w:ascii="Arial" w:cs="Arial" w:eastAsia="Arial" w:hAnsi="Arial"/>
          <w:sz w:val="17"/>
          <w:szCs w:val="17"/>
          <w:color w:val="auto"/>
        </w:rPr>
        <w:t>Gross profit decreased $1.4 million for the six months ended June 30, 2020 as compared to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2019 primarily driven by lower revenue and lower gross margin. The gross margin decreased to 87% for the six months ended June 30, 2020 as compared to 90% for the six months ended June 30, 2019 primarily due to certain period costs charged directly to cost of operations of $0.2 million and increases in inventory write-downs of $0.2 million. Certain period costs were expensed as incurred during the second quarter of 2020 because our operations ran at suboptimal capacity due to lower case volumes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26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7"/>
        </w:trPr>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52"/>
              <w:spacing w:after="0"/>
              <w:rPr>
                <w:sz w:val="20"/>
                <w:szCs w:val="20"/>
                <w:color w:val="auto"/>
              </w:rPr>
            </w:pPr>
            <w:r>
              <w:rPr>
                <w:rFonts w:ascii="Arial" w:cs="Arial" w:eastAsia="Arial" w:hAnsi="Arial"/>
                <w:sz w:val="16"/>
                <w:szCs w:val="16"/>
                <w:b w:val="1"/>
                <w:bCs w:val="1"/>
                <w:color w:val="auto"/>
              </w:rPr>
              <w:t>$ Change</w:t>
            </w:r>
          </w:p>
        </w:tc>
        <w:tc>
          <w:tcPr>
            <w:tcW w:w="1600" w:type="dxa"/>
            <w:vAlign w:val="bottom"/>
          </w:tcPr>
          <w:p>
            <w:pPr>
              <w:ind w:left="4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4"/>
          </w:tcPr>
          <w:p>
            <w:pPr>
              <w:jc w:val="right"/>
              <w:ind w:right="152"/>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00" w:type="dxa"/>
            <w:vAlign w:val="bottom"/>
          </w:tcPr>
          <w:p>
            <w:pPr>
              <w:spacing w:after="0"/>
              <w:rPr>
                <w:sz w:val="17"/>
                <w:szCs w:val="17"/>
                <w:color w:val="auto"/>
              </w:rPr>
            </w:pPr>
          </w:p>
        </w:tc>
      </w:tr>
      <w:tr>
        <w:trPr>
          <w:trHeight w:val="253"/>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2,494</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43"/>
        </w:trPr>
        <w:tc>
          <w:tcPr>
            <w:tcW w:w="47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626</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17%</w:t>
            </w:r>
          </w:p>
        </w:tc>
      </w:tr>
      <w:tr>
        <w:trPr>
          <w:trHeight w:val="27"/>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8,960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591</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48,842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45,131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3,711</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8%</w:t>
            </w: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increase in sales and marketing expenses for the six months ended June 30, 2020 as compared to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was primarily due to an increase of $5.0 million in employee related costs and stock-based compensation expense driven by increased headcount. The increase was partly offset by decreases in travel and other sales and marketing related expenses of $2.5 million as a result of the actions taken to curtail discretionary spending in response to the COVID-19 pandemic.</w:t>
      </w:r>
    </w:p>
    <w:p>
      <w:pPr>
        <w:spacing w:after="0" w:line="18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for the six months ended June 30,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2019 was primarily due to increases in employee related costs and stock-based compensation expense of $0.8 million driven by increased headcount. The increase was partly offset by a decrease of $0.2 million mainly due to the decline in clinical study activities while elective procedures were restricted.</w:t>
      </w:r>
    </w:p>
    <w:p>
      <w:pPr>
        <w:spacing w:after="0" w:line="18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 increase in general and administrative expenses for the six months ended June 30,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2019 was primarily due to an increase of $1.1 million in employee related costs and stock-based compensation expense driven by increased headcount and $0.2 million public offering costs allocated to sale of common stock by selling shareholders. The increase was partly offset by the reversal of accrued litigation expense of $0.6 million in the second quarter of 2020 following the final settlement of the TCPA class action lawsuit, and a decrease of $0.1 million in other general and administrative expenses as a result of curtailed discretionary spending in response to the COVID-19 pandemic.</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280"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37465</wp:posOffset>
            </wp:positionV>
            <wp:extent cx="19716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6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4"/>
          </w:tcPr>
          <w:p>
            <w:pPr>
              <w:jc w:val="right"/>
              <w:ind w:right="174"/>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00" w:type="dxa"/>
            <w:vAlign w:val="bottom"/>
          </w:tcPr>
          <w:p>
            <w:pPr>
              <w:spacing w:after="0"/>
              <w:rPr>
                <w:sz w:val="19"/>
                <w:szCs w:val="19"/>
                <w:color w:val="auto"/>
              </w:rPr>
            </w:pPr>
          </w:p>
        </w:tc>
      </w:tr>
      <w:tr>
        <w:trPr>
          <w:trHeight w:val="33"/>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(43)%</w:t>
            </w:r>
          </w:p>
        </w:tc>
      </w:tr>
      <w:tr>
        <w:trPr>
          <w:trHeight w:val="243"/>
        </w:trPr>
        <w:tc>
          <w:tcPr>
            <w:tcW w:w="478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(1,451)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59%</w:t>
            </w:r>
          </w:p>
        </w:tc>
      </w:tr>
      <w:tr>
        <w:trPr>
          <w:trHeight w:val="27"/>
        </w:trPr>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6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258%</w:t>
            </w: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interest and other expense, net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(2,161)</w:t>
            </w:r>
          </w:p>
        </w:tc>
        <w:tc>
          <w:tcPr>
            <w:tcW w:w="1600" w:type="dxa"/>
            <w:vAlign w:val="bottom"/>
          </w:tcPr>
          <w:p>
            <w:pPr>
              <w:jc w:val="center"/>
              <w:ind w:left="14"/>
              <w:spacing w:after="0"/>
              <w:rPr>
                <w:sz w:val="20"/>
                <w:szCs w:val="20"/>
                <w:color w:val="auto"/>
              </w:rPr>
            </w:pPr>
            <w:r>
              <w:rPr>
                <w:rFonts w:ascii="Arial" w:cs="Arial" w:eastAsia="Arial" w:hAnsi="Arial"/>
                <w:sz w:val="18"/>
                <w:szCs w:val="18"/>
                <w:color w:val="auto"/>
                <w:w w:val="91"/>
              </w:rPr>
              <w:t>203%</w:t>
            </w:r>
          </w:p>
        </w:tc>
      </w:tr>
      <w:tr>
        <w:trPr>
          <w:trHeight w:val="21"/>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The decrease in interest income for the six months ended June 30, 2020 as compared to the six months ended June 30,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lower interest earned on our investments in marketable securities, primarily as a result of lower interest rates.</w:t>
      </w:r>
    </w:p>
    <w:p>
      <w:pPr>
        <w:spacing w:after="0" w:line="170"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The increase in interest expense for the six months ended June 30, 2020 as compared to the six months ended June 30, 2019 was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due to the loss on extinguishment of Pharmakon Term Loan of $1.5 million, partly offset by lower interest associated with the Solar Term Loan.</w:t>
      </w:r>
    </w:p>
    <w:p>
      <w:pPr>
        <w:spacing w:after="0" w:line="124"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The increase in other expense, net, for the six months ended June 30, 2020 as compared to the six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was mainly due to higher foreign exchange losses.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June 30, 2020, we had cash and marketable securities of $137.7 million compared to $93.1 million as of December 31, 2019. We have financed our operations through our public offerings, debt financing arrangements, and the sale of our products. As of June 30, 2020 and December 31, 2019, we had $39.3 million and $39.2 million outstanding debt, respectively.</w:t>
      </w:r>
    </w:p>
    <w:p>
      <w:pPr>
        <w:spacing w:after="0" w:line="1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June 30, 2020, we had an accumulated deficit of $220.8 million. During the six months ended June 30, 2020, we incurred a net loss of $25.2 million. During the years ended December 31, 2019 and 2018, we incurred a net loss of $38.4 million and $17.5 million, respectively, and expect to incur additional losses in the future. We have not achieved positive cash flow from operations to date.</w:t>
      </w:r>
    </w:p>
    <w:p>
      <w:pPr>
        <w:spacing w:after="0" w:line="18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Based upon our current operating plan, we believe that our existing cash and marketable securities will enable us to fund our operating expenses and capital expenditure requirements through at least the next 12 months. However, the economic impact of the duration and severity of the COVID-19 pandemic, and our responses thereto (including such actions we have taken or may take in the future as disclosed elsewhere in this Report) pose risk and uncertainties in our future available capital resources. Further, we may face challenges and uncertainties and, as a result, our available capital resources may be consumed more rapidly than currently expected due to, but not limited to, the following as a result of the COVID-19 pandemic or otherwise:</w:t>
      </w:r>
    </w:p>
    <w:p>
      <w:pPr>
        <w:spacing w:after="0" w:line="2" w:lineRule="exact"/>
        <w:rPr>
          <w:sz w:val="20"/>
          <w:szCs w:val="20"/>
          <w:color w:val="auto"/>
        </w:rPr>
      </w:pPr>
    </w:p>
    <w:p>
      <w:pPr>
        <w:jc w:val="both"/>
        <w:ind w:firstLine="8"/>
        <w:spacing w:after="0" w:line="302" w:lineRule="auto"/>
        <w:tabs>
          <w:tab w:leader="none" w:pos="266"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outstanding debt as of June 30, 2020 is related to a term loan pursuant to the Loan and Security Agreement dated May 29, 2020, entered into by us with Solar Capital Partners (“Solar”). Pursuant to the Loan and Security Agreement, Solar provided an aggregate principal amount of $40.0 million term loan to us (the “Solar Term Loan”). Prior to Solar Term Loan, our outstanding debt was related to a $40.0 million Term Loan with Biopharma Credit Investments IV Sub LP (“Pharmakon”) entered in October 2017 (the “Pharmakon Term Loan”). In accordance with the Loan and Security Agreement, we paid in full and terminated the Pharmakon Term Loan, which we accounted for as debt extinguishment in accordance with the accounting standards. As of June 30, 2020 and December 31, 2019, there was no amount available that could be borrowed under the credit facilities.</w:t>
      </w:r>
    </w:p>
    <w:p>
      <w:pPr>
        <w:spacing w:after="0" w:line="164" w:lineRule="exact"/>
        <w:rPr>
          <w:sz w:val="20"/>
          <w:szCs w:val="20"/>
          <w:color w:val="auto"/>
        </w:rPr>
      </w:pPr>
    </w:p>
    <w:p>
      <w:pPr>
        <w:jc w:val="both"/>
        <w:ind w:right="20" w:firstLine="486"/>
        <w:spacing w:after="0" w:line="294" w:lineRule="auto"/>
        <w:rPr>
          <w:sz w:val="20"/>
          <w:szCs w:val="20"/>
          <w:color w:val="auto"/>
        </w:rPr>
      </w:pPr>
      <w:r>
        <w:rPr>
          <w:rFonts w:ascii="Arial" w:cs="Arial" w:eastAsia="Arial" w:hAnsi="Arial"/>
          <w:sz w:val="16"/>
          <w:szCs w:val="16"/>
          <w:color w:val="auto"/>
        </w:rPr>
        <w:t>The Pharmakon Term Loan included an interest-only period for 35 months through September 2020 and equal quarterly principal payments plus interest through December 2022. The Pharmakon Term Loan carried a fixed interest rate of 11.5% and allowed for early prepayment. The prepayment penalty was equal to the remaining interest due if prepaid within the first 30 months, a 2% penalty for months 31-48, and a 1% penalty for months 49-60.</w:t>
      </w:r>
    </w:p>
    <w:p>
      <w:pPr>
        <w:spacing w:after="0" w:line="14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Solar Term Loan bears interest at a rate per annum equal to 9.40% plus the greater of (i) the London Interbank Offered Rate (“LIBOR”) or (ii) 0.33%, payable monthly in arrears. LIBOR means the greater of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we may voluntarily prepay the Solar Term Loan, in full or in part, in increments of $10.0 million, for a prepayment premium in an amount equal to 3.0% of the principal if prepaid in year one, 1.25% of the principal if prepaid in year two, and 0.50% of the principal if prepaid if prepaid in year three or later. The prepayment premium will be waived if we voluntarily prepay and refinance the outstanding balance with Solar. The Solar Term Loan is secured by substantially all of our assets. We are also obligated to pay a final fee equal to $1.0 million or 2.5% of the aggregate principal amount of the Solar Term Loan. This final fee shall be due and payable on the earliest of (i) the maturity date, (ii) the acceleration of the loan balance, or (iii) the full prepayment, refinancing, substitution or replacement of Solar Term Loan. The final fee was included within the long-term borrowings and is accreted to interest expense using straight-line method over the life of the term loan.</w:t>
      </w:r>
    </w:p>
    <w:p>
      <w:pPr>
        <w:spacing w:after="0" w:line="199"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In July 2017, the head of the United Kingdom Financial Conduct Authority announced the desire to phase out the use of LIBOR by the end of 2021. In addition, the U.S. Federal Reserve, in conjunction with the Alternative Reference Rates Committee, a steering committee composed of large U.S. financial institutions, is considering replacing U.S. dollar LIBOR with the Secured Overnight Financing Rate (“SOFR”), a new index calculated by short-term repurchase agreements, backed by Treasury securities. Although there have been a few issuances utilizing SOFR or the Sterling Over Night Index Average, an alternative reference rate that is based on transactions, it is unknown whether these alternative reference rates will attain market acceptance as replacements for LIBOR. There is currently no definitive information regarding the future utilization of LIBOR or of any particular replacement rate. As such, the potential effect of any replacement of the LIBOR could have on our business and financial condition cannot yet be determined.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ind w:firstLine="445"/>
        <w:spacing w:after="0" w:line="271" w:lineRule="auto"/>
        <w:rPr>
          <w:sz w:val="20"/>
          <w:szCs w:val="20"/>
          <w:color w:val="auto"/>
        </w:rPr>
      </w:pPr>
      <w:r>
        <w:rPr>
          <w:rFonts w:ascii="Arial" w:cs="Arial" w:eastAsia="Arial" w:hAnsi="Arial"/>
          <w:sz w:val="16"/>
          <w:szCs w:val="16"/>
          <w:color w:val="auto"/>
        </w:rPr>
        <w:t>Subject to other customary covenants set forth in the Loan and Security Agreement, we are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We are not subject to minimum liquidity requirement when trailing twelve-month net product revenues exceed $100.0 million. Upon the occurrence of an event of default of certain customary covenants, including the minimum liquidity requirement, as specified in the Loan and Security Agreement, subject to specified cure periods, all amounts owed by us would begin to bear interest at a rate that is 5.0% above the rate effective immediately before the event of default and may be declared immediately due and payable by Solar. As of June 30, 2020, we were in compliance with all debt covenants. Though there are uncertainties surrounding the impact of the COVID-19 pandemic that may impact our future revenue, we believe that we have sufficient cash and cash equivalents to meet the minimum liquidity requirements in the foreseeable succeeding periods.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obligations as of June 30, 2020:</w:t>
      </w:r>
    </w:p>
    <w:p>
      <w:pPr>
        <w:spacing w:after="0" w:line="200" w:lineRule="exact"/>
        <w:rPr>
          <w:sz w:val="20"/>
          <w:szCs w:val="20"/>
          <w:color w:val="auto"/>
        </w:rPr>
      </w:pP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Less than 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6"/>
                <w:szCs w:val="16"/>
                <w:b w:val="1"/>
                <w:bCs w:val="1"/>
                <w:color w:val="auto"/>
                <w:w w:val="95"/>
              </w:rPr>
              <w:t>More than 5</w:t>
            </w:r>
          </w:p>
        </w:tc>
      </w:tr>
      <w:tr>
        <w:trPr>
          <w:trHeight w:val="210"/>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year</w:t>
            </w:r>
          </w:p>
        </w:tc>
        <w:tc>
          <w:tcPr>
            <w:tcW w:w="2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1-3 years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4-5 years</w:t>
            </w:r>
          </w:p>
        </w:tc>
        <w:tc>
          <w:tcPr>
            <w:tcW w:w="14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Arial" w:cs="Arial" w:eastAsia="Arial" w:hAnsi="Arial"/>
                <w:sz w:val="16"/>
                <w:szCs w:val="16"/>
                <w:b w:val="1"/>
                <w:bCs w:val="1"/>
                <w:color w:val="auto"/>
              </w:rPr>
              <w:t>years</w:t>
            </w:r>
          </w:p>
        </w:tc>
      </w:tr>
      <w:tr>
        <w:trPr>
          <w:trHeight w:val="33"/>
        </w:trPr>
        <w:tc>
          <w:tcPr>
            <w:tcW w:w="4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Principal obligations and final fee on long-term debt </w:t>
            </w:r>
            <w:r>
              <w:rPr>
                <w:rFonts w:ascii="Arial" w:cs="Arial" w:eastAsia="Arial" w:hAnsi="Arial"/>
                <w:sz w:val="14"/>
                <w:szCs w:val="14"/>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31,667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9,333</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(2)</w:t>
            </w:r>
          </w:p>
        </w:tc>
        <w:tc>
          <w:tcPr>
            <w:tcW w:w="24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15,990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2,346</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7,892</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5,550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202</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1,985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61,926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3,196</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9,877</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38,955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9,898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7316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principal obligations and the final fee at maturities of our Solar Term Loan.</w:t>
      </w:r>
    </w:p>
    <w:p>
      <w:pPr>
        <w:spacing w:after="0" w:line="13" w:lineRule="exact"/>
        <w:rPr>
          <w:rFonts w:ascii="Arial" w:cs="Arial" w:eastAsia="Arial" w:hAnsi="Arial"/>
          <w:sz w:val="14"/>
          <w:szCs w:val="14"/>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future interest obligations on our Solar Term Loan estimated using the fixed interest rate of 9.40% plus LIBOR held constant as of June 30, 2020.</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compared to $54.9 million of contractual obligations as of December 31,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4" w:name="page35"/>
    <w:bookmarkEnd w:id="34"/>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26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61,233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Effects of exchange rate changes on cash and cash equivalents</w:t>
            </w:r>
          </w:p>
        </w:tc>
        <w:tc>
          <w:tcPr>
            <w:tcW w:w="3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55,734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69,358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1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Net cash used in operating activities for the six months ended June 30, 2020 of $17.2 million resulted from cash outflows due to a net loss of $25.2 million, adjusted for $7.9 million of non-cash items, partly offset by cash inflows from changes in operating assets and liabilities of $0.1 million. Net cash used in operating activities for the six months ended June 30, 2019 of $15.5 million resulted from cash outflows due to a net loss of $18.0 million, adjusted for $3.4 million of non-cash items, and cash outflows from changes in operating assets and liabilities of $0.8 million. The increase in net loss, net of non-cash items for the six months ended June 30, 2020 compared to the six months ended June 30, 2019 was mainly due to lower revenue due to the effects of COVID-19 and higher operating expenses from the growth of the business, partly offset by reduction of certain expenses as a result of the actions taken to curtail discretionary spending in response to COVID-19. Cash inflows from changes in operating assets and liabilities for the six months ended June 30, 2020 were primarily due to lower accounts receivable balance resulting from lower revenue and timing of collections and lower inventory mainly due to the timing of inventory build-up, partly offset by cash outflows due to decreases in operating liabilities resulting from timing of payments. Cash outflows from changes in operating assets and liabilities for the six months ended June 30, 2019 were primarily due to increases in inventory and accounts receivable from increased case volumes, partly offset by increased operating liabilities due to timing of payments.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Net cash provided by investing activities in the six months ended June 30, 2020 was $10.1 million compared to $0.2 million in the six months ended June 30, 2019. Net cash provided by investing activities for the six months ended June 30, 2020 consisted of maturities and sales of our marketable securities, net of purchases of $11.3 million, partially offset by purchases of property and equipment of $1.3 million. Net cash provided by investing activities for the six months ended June 30, 2019 consisted of maturities of our marketable securities, net of purchases of $1.1 million, partially offset by purchases of property and equipment of $0.9 million.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Cash provided by financing activities in the six months ended June 30, 2020 was $62.9 million compared to $1.7 million in the six months ended June 30, 2019. The difference was primarily due to the receipt of the proceeds, net of underwriting discounts, commissions and offering costs of $63.0 million from our follow-on public offering during the first quarter of 2020. Cash provided by financing activities in the six months ended June 30, 2020 also include proceeds from the issuance of common stock under our stock-based incentive compensation plans of $1.4 million, offset by payments associated with refinancing of our debt of $1.4 million. This compares to the cash provided by financing activities for the six months ended June 30, 2019 which consisted of proceeds from the issuance of common stock under our stock-based incentive compensation plans of $1.8 million, partly offset by payments of additional IPO related costs of $0.2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64"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Our critical accounting policies and estimates are described in “Management's Discussion and Analysis of Financial Condition and Results of Operations - Critical Accounting Policies and Estimates” in our Annual Report on Form 10-K filed with the SEC on March 11, 2020. There had been no material changes to these accounting policies. See Note 2 of Notes to Condensed Consolidated Financial Statements (Unaudited) for related discussions on updates on recently issued accounting pronouncements.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are not be subject to the same new or revised accounting standards as other public companies that are not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See Note 2 of Notes to Condensed Consolidated Financial Statements (Unaudited) for related discussions on updates on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Securities and Exchange Commission, and that such information is accumulated and communicated to our management, including our Chief Executive Officer (“CEO”) and Chief Operating Officer and Chief Financial Officer (“COO/CFO”),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both"/>
        <w:ind w:firstLine="486"/>
        <w:spacing w:after="0" w:line="254"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1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Management, with the participation of the CEO and COO/CFO, evaluated the effectiveness of the design and operation of our disclosure controls and procedures as defined in Rules 13a-15(e) and 15d-15(e) of the Exchange Act as of the end of the period covered by this report. Based on this evaluation, our CEO and COO/CFO have concluded that, as of June 30, 2020, our disclosure controls and procedures were effective at the reasonable assurances level.</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2020, that have materially affected, or are reasonably likely to materially affect, our internal control over financial reporting. In response to the COVID-19 pandemic, certain of our employees still continued to work from home during the quarter. Management took measures to ensure that our internal control over financial reporting remained unchanged during this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 xml:space="preserve">For information regarding legal proceedings, refer to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“Note 6 </w:t>
      </w:r>
      <w:r>
        <w:rPr>
          <w:rFonts w:ascii="Arial" w:cs="Arial" w:eastAsia="Arial" w:hAnsi="Arial"/>
          <w:sz w:val="18"/>
          <w:szCs w:val="18"/>
          <w:i w:val="1"/>
          <w:iCs w:val="1"/>
          <w:color w:val="auto"/>
        </w:rPr>
        <w:t>-</w:t>
      </w:r>
      <w:r>
        <w:rPr>
          <w:rFonts w:ascii="Arial" w:cs="Arial" w:eastAsia="Arial" w:hAnsi="Arial"/>
          <w:sz w:val="18"/>
          <w:szCs w:val="18"/>
          <w:color w:val="auto"/>
        </w:rPr>
        <w:t xml:space="preserve"> Commitments and Contingencies” in the accompanying Notes to Condensed Consolidated Financial Statements (Unaudited), which information is incorporated by reference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We have incurred net losses since our inception in 2008. For the six months ended June 30, 2020, we had a net loss of $25.2 million. For the years ended December 31, 2019 and 2018, we had net losses of $38.4 million and $17.5 million, respectively. As of June 30, 2020, we had an accumulated deficit of $220.8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Once restrictive measures put in place to deal with the COVID-19 outbreak are lifted and we determine that we are able to resume normal operations,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3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ind w:firstLine="405"/>
        <w:spacing w:after="0" w:line="308" w:lineRule="auto"/>
        <w:rPr>
          <w:sz w:val="20"/>
          <w:szCs w:val="20"/>
          <w:color w:val="auto"/>
        </w:rPr>
      </w:pPr>
      <w:r>
        <w:rPr>
          <w:rFonts w:ascii="Arial" w:cs="Arial" w:eastAsia="Arial" w:hAnsi="Arial"/>
          <w:sz w:val="17"/>
          <w:szCs w:val="17"/>
          <w:b w:val="1"/>
          <w:bCs w:val="1"/>
          <w:i w:val="1"/>
          <w:iCs w:val="1"/>
          <w:color w:val="auto"/>
        </w:rPr>
        <w:t>Epidemic diseases, or the perception of their effects, have had and could have (or, in the case of the COVID-19 pandemic, will continue to have during its duration) a material adverse effect on our business, financial condition, results of operations, or cash flows.</w:t>
      </w:r>
    </w:p>
    <w:p>
      <w:pPr>
        <w:spacing w:after="0" w:line="14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outbreak of COVID-19 could also negatively affect hospital admission rates and the decision by patients to undergo elective surgery, which could decrease demand for procedures using our iFuse implants and cause other disruptions to our business. Business disruptions could include disruptions or restrictions on our ability to travel or to distribute our products, government orders suspending the performance of elective surgical procedures such as the iFuse procedure,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iFuse implants that are performed and have a material adverse effect on our business, financial condition, results of operations, or cash flows.</w:t>
      </w:r>
    </w:p>
    <w:p>
      <w:pPr>
        <w:spacing w:after="0" w:line="16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To date, COVID-19 has had, and we expect will continue to have, an adverse impact on our operations as a result of preventive and precautionary measures that we, other businesses, health systems and governments are taking. Due to these impacts and measures, we have experienced and expect to continue to experience significant and unpredictable reductions in the demand for our products, negatively impacted hospital admission rates and the decision by patients to undergo elective surgery, each of which has decreased and may continue to impact the demand for procedures using our iFuse implants. These developments and effects are expected to continue and may also significantly affect our business across the U.S. and other countries where COVID-19 has spread and may continue to spread. There are numerous uncertainties associated with this COVID-19 outbreak, including the number of individuals who will become infected, whether vaccines or one or more therapies that mitigate the effect of the virus will be developed, and, if so, when such vaccines and/or therapies will be ready to be used, the extent of the protective and preventative measures that have been put in place by both governmental entities and other businesses and those that may be put in place in the future, whether the virus's impact will be seasonal, the effect that testing for COVID-19 and antibodies will enable relaxation of protective measures for a subset of the population, and numerous other uncertainties. We intend to continue to execute on our strategic plans and operational initiatives during the COVID-19 outbreak. However, the aforementioned uncertainties may result in delays or modifications to these plans and initiatives.</w:t>
      </w:r>
    </w:p>
    <w:p>
      <w:pPr>
        <w:spacing w:after="0" w:line="19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Existing travel restrictions, and the risk that countries may continue to close borders, impose prolonged quarantines, and further restrict travel, limit our ability to reach surgeons with our goal of increasing surgeon activity by educating them to include the sacroiliac joint in their differential diagnosis of lower back pain and to regularly perform the iFuse procedure for patients for whom the procedure is indicated.</w:t>
      </w:r>
    </w:p>
    <w:p>
      <w:pPr>
        <w:spacing w:after="0" w:line="20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increased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impacts on our operations and financial results. As a result, we have withdrawn our full year 2020 revenue guidance.</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existence and further duration of the COVID-19 pandemic may also further exacerbate certain of the risks described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9" w:name="page40"/>
    <w:bookmarkEnd w:id="39"/>
    <w:p>
      <w:pPr>
        <w:jc w:val="both"/>
        <w:spacing w:after="0" w:line="342" w:lineRule="auto"/>
        <w:rPr>
          <w:sz w:val="20"/>
          <w:szCs w:val="20"/>
          <w:color w:val="auto"/>
        </w:rPr>
      </w:pPr>
      <w:r>
        <w:rPr>
          <w:rFonts w:ascii="Arial" w:cs="Arial" w:eastAsia="Arial" w:hAnsi="Arial"/>
          <w:sz w:val="16"/>
          <w:szCs w:val="16"/>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Adequate coverage and reimbursement for procedures performed with our products is central to the acceptance of our current and future products. We may be unable to sell our products on a profitable basis if third-party payors deny coverage or reduce their current levels of payment, or if reimbursement levels are insufficient to support use of our products or compensate surgeons for their time spent diagnosing patients and performing procedures using our products. For example, our sales decreased significantly after minimally invasive sacroiliac joint fusion was assigned to a Category III Current Procedural Terminology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4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Many private payors refer to coverage decisions and payment amounts determined by the Centers for Medicare and Medicaid Services (“CMS”), which administers the Medicare program, as guidelines for setting their coverage and reimbursement policies. By December 31,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20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healthcare industry in the U.S.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20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2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Effective January 1, 2020, the national average Medicare payment to hospital outpatient departments is $15,944 and the Medicare payment to an ambulatory surgery center for a sacroiliac joint fusion is $12,981.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0" w:name="page41"/>
    <w:bookmarkEnd w:id="40"/>
    <w:p>
      <w:pPr>
        <w:jc w:val="both"/>
        <w:ind w:firstLine="405"/>
        <w:spacing w:after="0" w:line="291" w:lineRule="auto"/>
        <w:rPr>
          <w:sz w:val="20"/>
          <w:szCs w:val="20"/>
          <w:color w:val="auto"/>
        </w:rPr>
      </w:pPr>
      <w:r>
        <w:rPr>
          <w:rFonts w:ascii="Arial" w:cs="Arial" w:eastAsia="Arial" w:hAnsi="Arial"/>
          <w:sz w:val="16"/>
          <w:szCs w:val="16"/>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U.S. Effective January 1, 2020, the average Medicare payment for the Category I CPT code for minimally invasive SI joint fusion is $915.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9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As of June 30, 2020, 35 of the largest 65 U.S.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17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Surgeons, in consultation with their patients, play the primary role in determining the course of treatment and, ultimately, any product that will be used in treatment. In order for us to sell our iFuse system successfully, we must convince surgeons through education and training that treatment with iFuse is beneficial, safe, and cost-effective for patients as compared to our competitors’ products. If we are not successful in convincing surgeons of the merits of iFuse, their use of our products may decline, adversely affecting our revenues and profitability.</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As a result, some patients with lower back pain resulting from sacroiliac joint dysfunction have been misdiagnosed.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17" w:lineRule="exact"/>
        <w:rPr>
          <w:sz w:val="20"/>
          <w:szCs w:val="20"/>
          <w:color w:val="auto"/>
        </w:rPr>
      </w:pPr>
    </w:p>
    <w:p>
      <w:pPr>
        <w:ind w:left="600" w:hanging="106"/>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ind w:left="500"/>
        <w:spacing w:after="0"/>
        <w:rPr>
          <w:sz w:val="20"/>
          <w:szCs w:val="20"/>
          <w:color w:val="auto"/>
        </w:rPr>
      </w:pPr>
      <w:r>
        <w:rPr>
          <w:rFonts w:ascii="Arial" w:cs="Arial" w:eastAsia="Arial" w:hAnsi="Arial"/>
          <w:sz w:val="18"/>
          <w:szCs w:val="18"/>
          <w:color w:val="auto"/>
        </w:rPr>
        <w:t>• time commitment that may be required for training.</w:t>
      </w:r>
    </w:p>
    <w:p>
      <w:pPr>
        <w:spacing w:after="0" w:line="22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If we are unable to convince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6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The products we currently market in the U.S. have either received premarket clearance under Section 510(k) of the U.S.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Additionally, to date, we have not been required to complete clinical studies in connection with the sale of our products outside the U.S.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U.S. and the EU as well.</w:t>
      </w: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increased pricing pressure.</w:t>
      </w:r>
    </w:p>
    <w:p>
      <w:pPr>
        <w:sectPr>
          <w:pgSz w:w="11900" w:h="16838" w:orient="portrait"/>
          <w:cols w:equalWidth="0" w:num="1">
            <w:col w:w="11240"/>
          </w:cols>
          <w:pgMar w:left="320" w:top="1097"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2" w:name="page43"/>
    <w:bookmarkEnd w:id="42"/>
    <w:p>
      <w:pPr>
        <w:jc w:val="both"/>
        <w:ind w:firstLine="445"/>
        <w:spacing w:after="0" w:line="269"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7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Physician-owned distributorships (“POD”), are medical device distributors that are owned, directly or indirectly, by physicians. These physicians profit from selling or arranging the sale of medical devices for use in procedures they perform on their own patients at hospitals that purchase the devices from the POD. We do not engage with PODs. The proliferation of PODs could result in increased pricing pressure on our products or harm our ability to sell our products to physicians who own or are affiliated with those distributorships and therefore choose to use competing products.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will likely cause procedures to be shifted from the hospital environment to ambulatory surgical centers, or ASCs, where pressure on the prices of our products is generally more acute.</w:t>
      </w:r>
    </w:p>
    <w:p>
      <w:pPr>
        <w:spacing w:after="0" w:line="6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Since patients do not stay overnight in ASCs and COVID-19 patients would not otherwise be treated in ASCs, it is likely that the ASC will be viewed as a safer site of service for patients and health care providers, where the risk of transmission of the novel coronavirus can be more effectively controlled. Because ASC facility fee reimbursement is typically less than facility fee reimbursement for hospitals, we typically experience more pressure on the pricing of our products by ASCs than by hospitals, and the average price for which we sell our products to ASCs is less than the average prices we charge to hospitals. An accelerated shift of procedures using our products to ASCs as a result of the COVID-19 pandemic could adversely impact the average selling prices of our products and our revenues could suffer as a result.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7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92"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number of competitors that we are aware of marketing sacroiliac joint fusion products in the U.S.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3" w:name="page44"/>
    <w:bookmarkEnd w:id="43"/>
    <w:p>
      <w:pPr>
        <w:jc w:val="both"/>
        <w:ind w:firstLine="445"/>
        <w:spacing w:after="0" w:line="254" w:lineRule="auto"/>
        <w:rPr>
          <w:sz w:val="20"/>
          <w:szCs w:val="20"/>
          <w:color w:val="auto"/>
        </w:rPr>
      </w:pPr>
      <w:r>
        <w:rPr>
          <w:rFonts w:ascii="Arial" w:cs="Arial" w:eastAsia="Arial" w:hAnsi="Arial"/>
          <w:sz w:val="18"/>
          <w:szCs w:val="18"/>
          <w:color w:val="auto"/>
        </w:rPr>
        <w:t>In the U.S., we believe that our primary competitors currently are Medtronic plc and Globus Medical, Inc.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5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Some of our competitors are considerably larger than us, or are subsidiaries of larger companies. These competitors may enjoy several competitive advantages over us, including:</w:t>
      </w:r>
    </w:p>
    <w:p>
      <w:pPr>
        <w:spacing w:after="0" w:line="62" w:lineRule="exact"/>
        <w:rPr>
          <w:sz w:val="20"/>
          <w:szCs w:val="20"/>
          <w:color w:val="auto"/>
        </w:rPr>
      </w:pPr>
    </w:p>
    <w:p>
      <w:pPr>
        <w:ind w:left="600" w:hanging="106"/>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17" w:lineRule="exact"/>
        <w:rPr>
          <w:rFonts w:ascii="Arial" w:cs="Arial" w:eastAsia="Arial" w:hAnsi="Arial"/>
          <w:sz w:val="18"/>
          <w:szCs w:val="18"/>
          <w:color w:val="auto"/>
        </w:rPr>
      </w:pPr>
    </w:p>
    <w:p>
      <w:pPr>
        <w:ind w:left="900" w:hanging="406"/>
        <w:spacing w:after="0" w:line="277" w:lineRule="auto"/>
        <w:tabs>
          <w:tab w:leader="none" w:pos="6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8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manufacture and sell a single family of products focused on procedures, the goal of which is to stabilize and fuse the sacroiliac joint, which could negatively affect our operations and financial condition.</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do not currently sell any product other than iFuse and related tools and instruments. Therefore, we are solely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38"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i w:val="1"/>
          <w:iCs w:val="1"/>
          <w:color w:val="auto"/>
        </w:rPr>
        <w:t>If we are unable to maintain our network of direct sales representatives and third-party distributors, we may not be able to generate anticipated sales.</w:t>
      </w:r>
    </w:p>
    <w:p>
      <w:pPr>
        <w:spacing w:after="0" w:line="1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June 30, 2020, our U.S. sales force consisted of 62 territory sales managers and 54 clinical support specialists directly employed by us, and 37 third-party distributors. As of June 30, 2020, our international sales force consisted of 20 sales representatives directly employed by us and 31 third-party distributors, which together have had sales in 35 countries through June 30, 2020. Our operating results are directly dependent upon the sales and marketing efforts of both our direct sales force and of our third-party distributors.</w:t>
      </w:r>
    </w:p>
    <w:p>
      <w:pPr>
        <w:spacing w:after="0" w:line="18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66"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17" w:lineRule="exact"/>
        <w:rPr>
          <w:sz w:val="20"/>
          <w:szCs w:val="20"/>
          <w:color w:val="auto"/>
        </w:rPr>
      </w:pPr>
    </w:p>
    <w:p>
      <w:pPr>
        <w:ind w:left="600" w:hanging="10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17" w:lineRule="exact"/>
        <w:rPr>
          <w:rFonts w:ascii="Arial" w:cs="Arial" w:eastAsia="Arial" w:hAnsi="Arial"/>
          <w:sz w:val="18"/>
          <w:szCs w:val="18"/>
          <w:color w:val="auto"/>
        </w:rPr>
      </w:pPr>
    </w:p>
    <w:p>
      <w:pPr>
        <w:ind w:left="900" w:right="20" w:hanging="406"/>
        <w:spacing w:after="0" w:line="277" w:lineRule="auto"/>
        <w:tabs>
          <w:tab w:leader="none" w:pos="6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5" w:name="page46"/>
    <w:bookmarkEnd w:id="45"/>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900" w:hanging="406"/>
        <w:spacing w:after="0" w:line="277" w:lineRule="auto"/>
        <w:tabs>
          <w:tab w:leader="none" w:pos="6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us to temporarily or permanently take our approved product off the market or to conduct other field safety corrective actions;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76" w:lineRule="exact"/>
        <w:rPr>
          <w:sz w:val="20"/>
          <w:szCs w:val="20"/>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large-scale epidemics of communicable diseases such as COVID-19;</w:t>
      </w:r>
    </w:p>
    <w:p>
      <w:pPr>
        <w:spacing w:after="0" w:line="117" w:lineRule="exact"/>
        <w:rPr>
          <w:rFonts w:ascii="Arial" w:cs="Arial" w:eastAsia="Arial" w:hAnsi="Arial"/>
          <w:sz w:val="18"/>
          <w:szCs w:val="18"/>
          <w:color w:val="auto"/>
        </w:rPr>
      </w:pPr>
    </w:p>
    <w:p>
      <w:pPr>
        <w:ind w:left="900" w:hanging="406"/>
        <w:spacing w:after="0" w:line="277" w:lineRule="auto"/>
        <w:tabs>
          <w:tab w:leader="none" w:pos="6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62" w:lineRule="exact"/>
        <w:rPr>
          <w:rFonts w:ascii="Arial" w:cs="Arial" w:eastAsia="Arial" w:hAnsi="Arial"/>
          <w:sz w:val="18"/>
          <w:szCs w:val="18"/>
          <w:color w:val="auto"/>
        </w:rPr>
      </w:pPr>
    </w:p>
    <w:p>
      <w:pPr>
        <w:ind w:left="900" w:right="480" w:hanging="406"/>
        <w:spacing w:after="0" w:line="277" w:lineRule="auto"/>
        <w:tabs>
          <w:tab w:leader="none" w:pos="6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or field safety corrective action with respect to such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could be adversely impacted.</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8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addition, future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generally use a small number of suppliers for our instruments and currently rely on RMS for iFuse 3D implants and Orchid for iFuse implants.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such a limited number of suppliers exposes us to risks, including, among other things:</w:t>
      </w:r>
    </w:p>
    <w:p>
      <w:pPr>
        <w:spacing w:after="0" w:line="103" w:lineRule="exact"/>
        <w:rPr>
          <w:sz w:val="20"/>
          <w:szCs w:val="20"/>
          <w:color w:val="auto"/>
        </w:rPr>
      </w:pPr>
    </w:p>
    <w:p>
      <w:pPr>
        <w:ind w:left="900" w:right="20" w:hanging="406"/>
        <w:spacing w:after="0" w:line="277" w:lineRule="auto"/>
        <w:tabs>
          <w:tab w:leader="none" w:pos="6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62" w:lineRule="exact"/>
        <w:rPr>
          <w:rFonts w:ascii="Arial" w:cs="Arial" w:eastAsia="Arial" w:hAnsi="Arial"/>
          <w:sz w:val="18"/>
          <w:szCs w:val="18"/>
          <w:color w:val="auto"/>
        </w:rPr>
      </w:pPr>
    </w:p>
    <w:p>
      <w:pPr>
        <w:ind w:left="900" w:hanging="406"/>
        <w:spacing w:after="0" w:line="308" w:lineRule="auto"/>
        <w:tabs>
          <w:tab w:leader="none" w:pos="60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6" w:name="page47"/>
    <w:bookmarkEnd w:id="46"/>
    <w:p>
      <w:pPr>
        <w:ind w:left="900" w:hanging="406"/>
        <w:spacing w:after="0" w:line="277" w:lineRule="auto"/>
        <w:tabs>
          <w:tab w:leader="none" w:pos="6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our key component suppliers may not currently be or may not continue to be in compliance with all applicable regulatory requirements;</w:t>
      </w:r>
    </w:p>
    <w:p>
      <w:pPr>
        <w:spacing w:after="0" w:line="128" w:lineRule="exact"/>
        <w:rPr>
          <w:rFonts w:ascii="Arial" w:cs="Arial" w:eastAsia="Arial" w:hAnsi="Arial"/>
          <w:sz w:val="17"/>
          <w:szCs w:val="17"/>
          <w:color w:val="auto"/>
        </w:rPr>
      </w:pPr>
    </w:p>
    <w:p>
      <w:pPr>
        <w:ind w:left="900" w:right="20" w:hanging="406"/>
        <w:spacing w:after="0" w:line="277" w:lineRule="auto"/>
        <w:tabs>
          <w:tab w:leader="none" w:pos="6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62" w:lineRule="exact"/>
        <w:rPr>
          <w:rFonts w:ascii="Arial" w:cs="Arial" w:eastAsia="Arial" w:hAnsi="Arial"/>
          <w:sz w:val="18"/>
          <w:szCs w:val="18"/>
          <w:color w:val="auto"/>
        </w:rPr>
      </w:pPr>
    </w:p>
    <w:p>
      <w:pPr>
        <w:ind w:left="900" w:hanging="406"/>
        <w:spacing w:after="0" w:line="277" w:lineRule="auto"/>
        <w:tabs>
          <w:tab w:leader="none" w:pos="6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62" w:lineRule="exact"/>
        <w:rPr>
          <w:rFonts w:ascii="Arial" w:cs="Arial" w:eastAsia="Arial" w:hAnsi="Arial"/>
          <w:sz w:val="18"/>
          <w:szCs w:val="18"/>
          <w:color w:val="auto"/>
        </w:rPr>
      </w:pPr>
    </w:p>
    <w:p>
      <w:pPr>
        <w:ind w:left="900" w:hanging="406"/>
        <w:spacing w:after="0" w:line="277" w:lineRule="auto"/>
        <w:tabs>
          <w:tab w:leader="none" w:pos="6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third-party manufacturers could experience plant closures do local epidemics of communicable diseases, such as COVID-19, or local outbreaks of such diseases among their workforce, thereby shuttering a plant in which our products are manufactured;</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140" w:lineRule="exact"/>
        <w:rPr>
          <w:rFonts w:ascii="Arial" w:cs="Arial" w:eastAsia="Arial" w:hAnsi="Arial"/>
          <w:sz w:val="16"/>
          <w:szCs w:val="16"/>
          <w:color w:val="auto"/>
        </w:rPr>
      </w:pPr>
    </w:p>
    <w:p>
      <w:pPr>
        <w:ind w:left="900" w:hanging="406"/>
        <w:spacing w:after="0" w:line="277" w:lineRule="auto"/>
        <w:tabs>
          <w:tab w:leader="none" w:pos="6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128" w:lineRule="exact"/>
        <w:rPr>
          <w:rFonts w:ascii="Arial" w:cs="Arial" w:eastAsia="Arial" w:hAnsi="Arial"/>
          <w:sz w:val="17"/>
          <w:szCs w:val="17"/>
          <w:color w:val="auto"/>
        </w:rPr>
      </w:pPr>
    </w:p>
    <w:p>
      <w:pPr>
        <w:ind w:left="900" w:hanging="406"/>
        <w:spacing w:after="0" w:line="277"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62" w:lineRule="exact"/>
        <w:rPr>
          <w:rFonts w:ascii="Arial" w:cs="Arial" w:eastAsia="Arial" w:hAnsi="Arial"/>
          <w:sz w:val="18"/>
          <w:szCs w:val="18"/>
          <w:color w:val="auto"/>
        </w:rPr>
      </w:pPr>
    </w:p>
    <w:p>
      <w:pPr>
        <w:ind w:left="900" w:hanging="406"/>
        <w:spacing w:after="0" w:line="277" w:lineRule="auto"/>
        <w:tabs>
          <w:tab w:leader="none" w:pos="6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4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7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7" w:name="page48"/>
    <w:bookmarkEnd w:id="47"/>
    <w:p>
      <w:pPr>
        <w:jc w:val="both"/>
        <w:ind w:firstLine="445"/>
        <w:spacing w:after="0" w:line="293"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our Notified Body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6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3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After the impacts of the COVID-19 pandemic subside, 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76" w:lineRule="exact"/>
        <w:rPr>
          <w:sz w:val="20"/>
          <w:szCs w:val="20"/>
          <w:color w:val="auto"/>
        </w:rPr>
      </w:pPr>
    </w:p>
    <w:p>
      <w:pPr>
        <w:ind w:left="600" w:hanging="106"/>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140"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8" w:lineRule="exact"/>
        <w:rPr>
          <w:sz w:val="20"/>
          <w:szCs w:val="20"/>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17" w:lineRule="exact"/>
        <w:rPr>
          <w:rFonts w:ascii="Arial" w:cs="Arial" w:eastAsia="Arial" w:hAnsi="Arial"/>
          <w:sz w:val="18"/>
          <w:szCs w:val="18"/>
          <w:color w:val="auto"/>
        </w:rPr>
      </w:pPr>
    </w:p>
    <w:p>
      <w:pPr>
        <w:ind w:left="900" w:right="20" w:hanging="406"/>
        <w:spacing w:after="0" w:line="277" w:lineRule="auto"/>
        <w:tabs>
          <w:tab w:leader="none" w:pos="6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8" w:name="page49"/>
    <w:bookmarkEnd w:id="48"/>
    <w:p>
      <w:pPr>
        <w:jc w:val="both"/>
        <w:ind w:firstLine="445"/>
        <w:spacing w:after="0" w:line="269" w:lineRule="auto"/>
        <w:rPr>
          <w:sz w:val="20"/>
          <w:szCs w:val="20"/>
          <w:color w:val="auto"/>
        </w:rPr>
      </w:pPr>
      <w:r>
        <w:rPr>
          <w:rFonts w:ascii="Arial" w:cs="Arial" w:eastAsia="Arial" w:hAnsi="Arial"/>
          <w:sz w:val="17"/>
          <w:szCs w:val="17"/>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70" w:lineRule="exact"/>
        <w:rPr>
          <w:sz w:val="20"/>
          <w:szCs w:val="20"/>
          <w:color w:val="auto"/>
        </w:rPr>
      </w:pPr>
    </w:p>
    <w:p>
      <w:pPr>
        <w:jc w:val="both"/>
        <w:ind w:firstLine="445"/>
        <w:spacing w:after="0" w:line="340" w:lineRule="auto"/>
        <w:rPr>
          <w:sz w:val="20"/>
          <w:szCs w:val="20"/>
          <w:color w:val="auto"/>
        </w:rPr>
      </w:pPr>
      <w:r>
        <w:rPr>
          <w:rFonts w:ascii="Arial" w:cs="Arial" w:eastAsia="Arial" w:hAnsi="Arial"/>
          <w:sz w:val="15"/>
          <w:szCs w:val="15"/>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2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international business effectively.</w:t>
      </w:r>
    </w:p>
    <w:p>
      <w:pPr>
        <w:spacing w:after="0" w:line="11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17" w:lineRule="exact"/>
        <w:rPr>
          <w:sz w:val="20"/>
          <w:szCs w:val="20"/>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17" w:lineRule="exact"/>
        <w:rPr>
          <w:rFonts w:ascii="Arial" w:cs="Arial" w:eastAsia="Arial" w:hAnsi="Arial"/>
          <w:sz w:val="18"/>
          <w:szCs w:val="18"/>
          <w:color w:val="auto"/>
        </w:rPr>
      </w:pPr>
    </w:p>
    <w:p>
      <w:pPr>
        <w:ind w:left="900" w:hanging="406"/>
        <w:spacing w:after="0" w:line="277"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62" w:lineRule="exact"/>
        <w:rPr>
          <w:sz w:val="20"/>
          <w:szCs w:val="20"/>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17" w:lineRule="exact"/>
        <w:rPr>
          <w:sz w:val="20"/>
          <w:szCs w:val="20"/>
          <w:color w:val="auto"/>
        </w:rPr>
      </w:pPr>
    </w:p>
    <w:p>
      <w:pPr>
        <w:ind w:left="600" w:hanging="10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 or breach of our cybersecurity;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50" w:name="page51"/>
    <w:bookmarkEnd w:id="50"/>
    <w:p>
      <w:pPr>
        <w:jc w:val="both"/>
        <w:ind w:firstLine="445"/>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93"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76" w:lineRule="exact"/>
        <w:rPr>
          <w:sz w:val="20"/>
          <w:szCs w:val="20"/>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1" w:name="page52"/>
    <w:bookmarkEnd w:id="51"/>
    <w:p>
      <w:pPr>
        <w:jc w:val="both"/>
        <w:ind w:firstLine="445"/>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62"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38" w:lineRule="exact"/>
        <w:rPr>
          <w:sz w:val="20"/>
          <w:szCs w:val="20"/>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17" w:lineRule="exact"/>
        <w:rPr>
          <w:rFonts w:ascii="Arial" w:cs="Arial" w:eastAsia="Arial" w:hAnsi="Arial"/>
          <w:sz w:val="18"/>
          <w:szCs w:val="18"/>
          <w:color w:val="auto"/>
        </w:rPr>
      </w:pPr>
    </w:p>
    <w:p>
      <w:pPr>
        <w:ind w:left="900" w:hanging="406"/>
        <w:spacing w:after="0" w:line="277" w:lineRule="auto"/>
        <w:tabs>
          <w:tab w:leader="none" w:pos="6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2" w:name="page53"/>
    <w:bookmarkEnd w:id="52"/>
    <w:p>
      <w:pPr>
        <w:jc w:val="both"/>
        <w:ind w:firstLine="445"/>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84"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17" w:lineRule="exact"/>
        <w:rPr>
          <w:sz w:val="20"/>
          <w:szCs w:val="20"/>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pacing w:after="0" w:line="187"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In the EEA, our medical devices must currently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including the clinical evaluation,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3" w:name="page54"/>
    <w:bookmarkEnd w:id="53"/>
    <w:p>
      <w:pPr>
        <w:jc w:val="both"/>
        <w:ind w:firstLine="445"/>
        <w:spacing w:after="0" w:line="269" w:lineRule="auto"/>
        <w:rPr>
          <w:sz w:val="20"/>
          <w:szCs w:val="20"/>
          <w:color w:val="auto"/>
        </w:rPr>
      </w:pPr>
      <w:r>
        <w:rPr>
          <w:rFonts w:ascii="Arial" w:cs="Arial" w:eastAsia="Arial" w:hAnsi="Arial"/>
          <w:sz w:val="17"/>
          <w:szCs w:val="17"/>
          <w:color w:val="auto"/>
        </w:rPr>
        <w:t>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20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May 2017, the EU Medical Device Regulation, (Regulation 2017/745) was adopted as described in “Item 1. Business - Regulation - International Regulation of Our Products” in our Annual Report on Form 10-K filed with the SEC on March 11, 2020. On April 24, 2020, the European Parliament adopted legislation deferring effectiveness of the EU Medical Device Regulation until May 2021.</w:t>
      </w:r>
    </w:p>
    <w:p>
      <w:pPr>
        <w:spacing w:after="0" w:line="1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17" w:lineRule="exact"/>
        <w:rPr>
          <w:sz w:val="20"/>
          <w:szCs w:val="20"/>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128" w:lineRule="exact"/>
        <w:rPr>
          <w:rFonts w:ascii="Arial" w:cs="Arial" w:eastAsia="Arial" w:hAnsi="Arial"/>
          <w:sz w:val="17"/>
          <w:szCs w:val="17"/>
          <w:color w:val="auto"/>
        </w:rPr>
      </w:pPr>
    </w:p>
    <w:p>
      <w:pPr>
        <w:ind w:left="900" w:hanging="406"/>
        <w:spacing w:after="0" w:line="277" w:lineRule="auto"/>
        <w:tabs>
          <w:tab w:leader="none" w:pos="6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withdrawals, variation, or suspensions of current clearances or approvals and CE Certificates of Conformity, resulting in prohibitions on sales of our products; and</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62"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9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11, 2020.</w:t>
      </w:r>
    </w:p>
    <w:p>
      <w:pPr>
        <w:spacing w:after="0" w:line="203"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Certain states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we or our employees are found to have violated any of the above laws we may be subject to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214"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6"/>
          <w:szCs w:val="16"/>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have previously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5" w:name="page56"/>
    <w:bookmarkEnd w:id="55"/>
    <w:p>
      <w:pPr>
        <w:jc w:val="both"/>
        <w:ind w:firstLine="450"/>
        <w:spacing w:after="0" w:line="290" w:lineRule="auto"/>
        <w:rPr>
          <w:sz w:val="20"/>
          <w:szCs w:val="20"/>
          <w:color w:val="auto"/>
        </w:rPr>
      </w:pPr>
      <w:r>
        <w:rPr>
          <w:rFonts w:ascii="Arial" w:cs="Arial" w:eastAsia="Arial" w:hAnsi="Arial"/>
          <w:sz w:val="16"/>
          <w:szCs w:val="16"/>
          <w:color w:val="auto"/>
        </w:rPr>
        <w:t>In certain cases, federal, state and foreign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state and foreign authorities also pursue actions for false claims based upon improper billing and coding advice or recommendations, as well as decisions related to the medical necessity of procedures, including the site-of-service where procedures are performed.</w:t>
      </w:r>
    </w:p>
    <w:p>
      <w:pPr>
        <w:spacing w:after="0" w:line="192" w:lineRule="exact"/>
        <w:rPr>
          <w:sz w:val="20"/>
          <w:szCs w:val="20"/>
          <w:color w:val="auto"/>
        </w:rPr>
      </w:pPr>
    </w:p>
    <w:p>
      <w:pPr>
        <w:jc w:val="both"/>
        <w:ind w:firstLine="450"/>
        <w:spacing w:after="0" w:line="308" w:lineRule="auto"/>
        <w:rPr>
          <w:sz w:val="20"/>
          <w:szCs w:val="20"/>
          <w:color w:val="auto"/>
        </w:rPr>
      </w:pPr>
      <w:r>
        <w:rPr>
          <w:rFonts w:ascii="Arial" w:cs="Arial" w:eastAsia="Arial" w:hAnsi="Arial"/>
          <w:sz w:val="16"/>
          <w:szCs w:val="16"/>
          <w:color w:val="auto"/>
        </w:rPr>
        <w:t>Various state and federal regulatory and enforcement agencies continue actively to investigate violations of health care laws and regulations, and the U.S. Congress continues to strengthen the arsenal of enforcement tools. The Bipartisan Budget Act of 2018 increased the criminal and civil penalties that</w:t>
      </w:r>
    </w:p>
    <w:p>
      <w:pPr>
        <w:jc w:val="both"/>
        <w:spacing w:after="0" w:line="270" w:lineRule="auto"/>
        <w:rPr>
          <w:sz w:val="20"/>
          <w:szCs w:val="20"/>
          <w:color w:val="auto"/>
        </w:rPr>
      </w:pPr>
      <w:r>
        <w:rPr>
          <w:rFonts w:ascii="Arial" w:cs="Arial" w:eastAsia="Arial" w:hAnsi="Arial"/>
          <w:sz w:val="17"/>
          <w:szCs w:val="17"/>
          <w:color w:val="auto"/>
        </w:rPr>
        <w:t>can be imposed for violating certain federal health care laws, including the federal Anti- Kickback Statute. 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208"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25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in connection with marketing and selling our products, helping enable surgeons and their patients to pursue claims for reimbursement for procedures using iFuse and servicing potential warranty claims.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11, 2020.</w:t>
      </w:r>
    </w:p>
    <w:p>
      <w:pPr>
        <w:spacing w:after="0" w:line="22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June 2018, California enacted the California Consumer Privacy Act (“CCPA”). The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 $750 per consumer per data breach. These remedies are expected to increase data breach litigation. The California Attorney General, who is charged with interpreting and enforcing the law, has not yet promulgated final implementing regulations, and considerable uncertainty as to how the law will be implemented and enforced remains. Although the CCPA includes exemptions for certain clinical trials data, and protected health information governed by HIPAA, the law may increase our compliance costs and potential liability with respect to other personal information we collect about California residents. The CCPA has prompted a number of proposals for new federal and state privacy legislation that, if passed, could increase our potential liability, increase our compliance costs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6" w:name="page57"/>
    <w:bookmarkEnd w:id="56"/>
    <w:p>
      <w:pPr>
        <w:jc w:val="both"/>
        <w:ind w:firstLine="450"/>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22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6"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4"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38" w:lineRule="exact"/>
        <w:rPr>
          <w:sz w:val="20"/>
          <w:szCs w:val="20"/>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7" w:name="page58"/>
    <w:bookmarkEnd w:id="57"/>
    <w:p>
      <w:pPr>
        <w:ind w:left="600" w:hanging="106"/>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140" w:lineRule="exact"/>
        <w:rPr>
          <w:rFonts w:ascii="Arial" w:cs="Arial" w:eastAsia="Arial" w:hAnsi="Arial"/>
          <w:sz w:val="16"/>
          <w:szCs w:val="16"/>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variation or withdrawal of CE Certificates of Conformity;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19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FDA inspected our facilities in May 2014. As a result, we received a Notice of Inspectional Observations, or Form 483, with three observations that have since been addressed with a corrective and preventative action plan. We responded to the FDA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1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253"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92" w:lineRule="exact"/>
        <w:rPr>
          <w:sz w:val="20"/>
          <w:szCs w:val="20"/>
          <w:color w:val="auto"/>
        </w:rPr>
      </w:pPr>
    </w:p>
    <w:p>
      <w:pPr>
        <w:ind w:right="20" w:firstLine="445"/>
        <w:spacing w:after="0" w:line="238" w:lineRule="auto"/>
        <w:rPr>
          <w:sz w:val="20"/>
          <w:szCs w:val="20"/>
          <w:color w:val="auto"/>
        </w:rPr>
      </w:pPr>
      <w:r>
        <w:rPr>
          <w:rFonts w:ascii="Arial" w:cs="Arial" w:eastAsia="Arial" w:hAnsi="Arial"/>
          <w:sz w:val="18"/>
          <w:szCs w:val="18"/>
          <w:color w:val="auto"/>
        </w:rPr>
        <w:t>In the EEA, we must comply with the EU Medical Device Vigilance System. Under this system, incidents must be reported to the relevant authorities of the Member States of the EEA, and manufacturers are required to take Field Safety Corrective Actions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 The entry into application in May 2021 of the Medical Device Regulation will increase the obligation that we must fulfill in relation to vigilance and post-market surveillance obligations.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9" w:name="page60"/>
    <w:bookmarkEnd w:id="59"/>
    <w:p>
      <w:pPr>
        <w:jc w:val="both"/>
        <w:ind w:firstLine="445"/>
        <w:spacing w:after="0" w:line="273" w:lineRule="auto"/>
        <w:rPr>
          <w:sz w:val="20"/>
          <w:szCs w:val="20"/>
          <w:color w:val="auto"/>
        </w:rPr>
      </w:pPr>
      <w:r>
        <w:rPr>
          <w:rFonts w:ascii="Arial" w:cs="Arial" w:eastAsia="Arial" w:hAnsi="Arial"/>
          <w:sz w:val="17"/>
          <w:szCs w:val="17"/>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7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3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192" w:lineRule="exact"/>
        <w:rPr>
          <w:sz w:val="20"/>
          <w:szCs w:val="20"/>
          <w:color w:val="auto"/>
        </w:rPr>
      </w:pPr>
    </w:p>
    <w:p>
      <w:pPr>
        <w:jc w:val="both"/>
        <w:ind w:right="20" w:firstLine="445"/>
        <w:spacing w:after="0" w:line="296" w:lineRule="auto"/>
        <w:rPr>
          <w:sz w:val="20"/>
          <w:szCs w:val="20"/>
          <w:color w:val="auto"/>
        </w:rPr>
      </w:pPr>
      <w:r>
        <w:rPr>
          <w:rFonts w:ascii="Arial" w:cs="Arial" w:eastAsia="Arial" w:hAnsi="Arial"/>
          <w:sz w:val="16"/>
          <w:szCs w:val="16"/>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12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0" w:name="page61"/>
    <w:bookmarkEnd w:id="60"/>
    <w:p>
      <w:pPr>
        <w:jc w:val="both"/>
        <w:ind w:firstLine="445"/>
        <w:spacing w:after="0" w:line="254"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3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7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6"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7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to support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1" w:name="page62"/>
    <w:bookmarkEnd w:id="61"/>
    <w:p>
      <w:pPr>
        <w:jc w:val="both"/>
        <w:ind w:firstLine="445"/>
        <w:spacing w:after="0" w:line="268"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will enter into application on May 26, 2021.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9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2" w:name="page63"/>
    <w:bookmarkEnd w:id="62"/>
    <w:p>
      <w:pPr>
        <w:jc w:val="both"/>
        <w:ind w:firstLine="445"/>
        <w:spacing w:after="0" w:line="296" w:lineRule="auto"/>
        <w:rPr>
          <w:sz w:val="20"/>
          <w:szCs w:val="20"/>
          <w:color w:val="auto"/>
        </w:rPr>
      </w:pPr>
      <w:r>
        <w:rPr>
          <w:rFonts w:ascii="Arial" w:cs="Arial" w:eastAsia="Arial" w:hAnsi="Arial"/>
          <w:sz w:val="16"/>
          <w:szCs w:val="16"/>
          <w:color w:val="auto"/>
        </w:rPr>
        <w:t>Leadership, personnel and structural changes within the FDA as well as recent and impending federal election outcomes, including the 2020 presidential election,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8"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Another example can be found in the EEA. The Medical Devices Regulation became effective on May 25, 2017. Following its entry into application on May 26, 2020, the Medical Devices Regulation will introduce substantial changes to the obligations with which medical device manufacturers must comply in the EEA. High risk medical devices will be subject to additional scrutiny during the conformity assessment procedure. Specifically, the Medical Devices Regulation repeals and replaces the EU Medical Devices Directive. Unlike directives, which must be implemented into the national laws of the EEA Member States, regulations are directly applicable, i.e., without the need for adoption of national legislation in EEA Member States implementing them. The purpose of regulations is to eliminate current differences in regulation of medical devices among EEA Member States. The Medical Devices Regulation, among other things, is intended to establish a uniform, transparent, predictable and sustainable regulatory framework across the EEA for</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medical devices to ensure a high level of safety and health while supporting innovation. These regulations will substantially impact medical devices manufacturers. Examples of the changes which will be introduced by these regulations include the following:</w:t>
      </w:r>
    </w:p>
    <w:p>
      <w:pPr>
        <w:spacing w:after="0" w:line="62" w:lineRule="exact"/>
        <w:rPr>
          <w:sz w:val="20"/>
          <w:szCs w:val="20"/>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17" w:lineRule="exact"/>
        <w:rPr>
          <w:rFonts w:ascii="Arial" w:cs="Arial" w:eastAsia="Arial" w:hAnsi="Arial"/>
          <w:sz w:val="18"/>
          <w:szCs w:val="18"/>
          <w:color w:val="auto"/>
        </w:rPr>
      </w:pPr>
    </w:p>
    <w:p>
      <w:pPr>
        <w:ind w:left="900" w:hanging="406"/>
        <w:spacing w:after="0" w:line="277" w:lineRule="auto"/>
        <w:tabs>
          <w:tab w:leader="none" w:pos="6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17" w:lineRule="exact"/>
        <w:rPr>
          <w:rFonts w:ascii="Arial" w:cs="Arial" w:eastAsia="Arial" w:hAnsi="Arial"/>
          <w:sz w:val="18"/>
          <w:szCs w:val="18"/>
          <w:color w:val="auto"/>
        </w:rPr>
      </w:pPr>
    </w:p>
    <w:p>
      <w:pPr>
        <w:ind w:left="900" w:hanging="406"/>
        <w:spacing w:after="0" w:line="263" w:lineRule="auto"/>
        <w:tabs>
          <w:tab w:leader="none" w:pos="6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21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Medical Device Regulation substantially augments the provisions of the Medical Device Directive governing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Transition from the regulation of our products under the current Medical Device Directive, and implementing legislation in each EU Member State,</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regulation under the Medical Devices Regulation may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 In addition, any changes to the membership of the European Union, such as the departure of the United Kingdom from the EU, may impact the regulatory requirements for the impacted countries and impair our business operations and our ability to market products in such countries.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3" w:name="page64"/>
    <w:bookmarkEnd w:id="63"/>
    <w:p>
      <w:pPr>
        <w:jc w:val="both"/>
        <w:ind w:firstLine="445"/>
        <w:spacing w:after="0" w:line="286"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in the 116th U.S.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The comprehensive tax reform bill adopted in 2017 could adversely affect our business and financial condition.</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UK’s withdrawal from the EU and uncertainty regarding tariffs affecting U.S. imports and exports may have a negative effect on global economic conditions, financial markets and our business.</w:t>
      </w:r>
    </w:p>
    <w:p>
      <w:pPr>
        <w:spacing w:after="0" w:line="19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January 31, 2020, the UK withdrew from the EU. Brexit has created significant uncertainty concerning the future relationship between the UK and the EU. In light of the fact that a significant portion of the regulatory framework in the UK is derived from EU laws, Brexit could materially impact the regulatory regime with respect to the development, manufacture, importation, approval and commercialization of our product in the UK or the EU. Any changes in our manufacturing or commercialization activities as a result of Brexit, could increase our costs and otherwise adversely affect our business. In addition, currency exchange rates for the British Pound and the euro with respect to each other and to the U.S. dollar have already been, and may continue to be, negatively affected by Brexit, which could cause volatility in our quarterly financial results.</w:t>
      </w:r>
    </w:p>
    <w:p>
      <w:pPr>
        <w:spacing w:after="0" w:line="20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6"/>
          <w:szCs w:val="16"/>
          <w:color w:val="auto"/>
        </w:rPr>
        <w:t>We do not know to what extent, or when, the UK’s withdrawal from the EU or any other future changes to membership in the EU will impact our business. The UK could lose the benefits of global trade agreements negotiated by the EU on behalf of its members, possibly resulting in increased trade</w:t>
      </w:r>
    </w:p>
    <w:p>
      <w:pPr>
        <w:jc w:val="both"/>
        <w:spacing w:after="0" w:line="334" w:lineRule="auto"/>
        <w:rPr>
          <w:sz w:val="20"/>
          <w:szCs w:val="20"/>
          <w:color w:val="auto"/>
        </w:rPr>
      </w:pPr>
      <w:r>
        <w:rPr>
          <w:rFonts w:ascii="Arial" w:cs="Arial" w:eastAsia="Arial" w:hAnsi="Arial"/>
          <w:sz w:val="16"/>
          <w:szCs w:val="16"/>
          <w:color w:val="auto"/>
        </w:rPr>
        <w:t>barriers, which could make doing business in the UK more difficult and/or costly. Moreover, in the U.S., tariffs on certain U.S. imports have recently been imposed, and the EU and other countries have responded with retaliatory tariffs on certain U.S. exports. We cannot predict what effects these and potential</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7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rely primarily on patent, copyright, trademark and trade secret laws, as well as confidentiality and nondisclosure agreements and other methods, to protect our proprietary technologies and know-how. As of June 30, 2020, we owned 40 issued U.S. patents and had 21 pending U.S. patent applications, and we owned 11 issued foreign patents and had 6 pending foreign patent applications. We have focused the majority of our foreign patent efforts in China, Europe, and Japan. Our current U.S. patents on iFuse, including the triangular shape, expire in August 2024. Competitors may market similar triangular shaped devices upon the expiration of the patents in 2024. Our current U.S. patents on iFuse 3D, including the fenestrated design, expire in September 2035. Our foreign patents will expire between August 2025 and October 2031.</w:t>
      </w:r>
    </w:p>
    <w:p>
      <w:pPr>
        <w:spacing w:after="0" w:line="20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As of June 30, 2020, we have 13 registered trademarks in the U.S. and have filed for 7 more. We have sought protection for at least 2 of these trademarks in 60 countries including the 28 European member countries of the Madrid Protocol.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5" w:name="page66"/>
    <w:bookmarkEnd w:id="65"/>
    <w:p>
      <w:pPr>
        <w:jc w:val="both"/>
        <w:ind w:firstLine="445"/>
        <w:spacing w:after="0" w:line="268"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9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78"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6" w:name="page67"/>
    <w:bookmarkEnd w:id="66"/>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93"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9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76" w:lineRule="exact"/>
        <w:rPr>
          <w:sz w:val="20"/>
          <w:szCs w:val="20"/>
          <w:color w:val="auto"/>
        </w:rPr>
      </w:pPr>
    </w:p>
    <w:p>
      <w:pPr>
        <w:ind w:left="600" w:hanging="10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67" w:name="page68"/>
    <w:bookmarkEnd w:id="67"/>
    <w:p>
      <w:pPr>
        <w:ind w:left="900" w:hanging="406"/>
        <w:spacing w:after="0" w:line="277" w:lineRule="auto"/>
        <w:tabs>
          <w:tab w:leader="none" w:pos="6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900" w:hanging="406"/>
        <w:spacing w:after="0" w:line="277" w:lineRule="auto"/>
        <w:tabs>
          <w:tab w:leader="none" w:pos="6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operating results may fluctuate over the course of the year, which could affect the price of our common stock.</w:t>
      </w:r>
    </w:p>
    <w:p>
      <w:pPr>
        <w:spacing w:after="0" w:line="264" w:lineRule="exact"/>
        <w:rPr>
          <w:sz w:val="20"/>
          <w:szCs w:val="20"/>
          <w:color w:val="auto"/>
        </w:rPr>
      </w:pPr>
    </w:p>
    <w:p>
      <w:pPr>
        <w:jc w:val="both"/>
        <w:ind w:firstLine="450"/>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359" w:lineRule="exact"/>
        <w:rPr>
          <w:sz w:val="20"/>
          <w:szCs w:val="20"/>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71" w:lineRule="exact"/>
        <w:rPr>
          <w:rFonts w:ascii="Arial" w:cs="Arial" w:eastAsia="Arial" w:hAnsi="Arial"/>
          <w:sz w:val="18"/>
          <w:szCs w:val="18"/>
          <w:color w:val="auto"/>
        </w:rPr>
      </w:pPr>
    </w:p>
    <w:p>
      <w:pPr>
        <w:ind w:left="900" w:right="20" w:hanging="406"/>
        <w:spacing w:after="0" w:line="277" w:lineRule="auto"/>
        <w:tabs>
          <w:tab w:leader="none" w:pos="8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116" w:lineRule="exact"/>
        <w:rPr>
          <w:rFonts w:ascii="Arial" w:cs="Arial" w:eastAsia="Arial" w:hAnsi="Arial"/>
          <w:sz w:val="18"/>
          <w:szCs w:val="18"/>
          <w:color w:val="auto"/>
        </w:rPr>
      </w:pPr>
    </w:p>
    <w:p>
      <w:pPr>
        <w:ind w:left="900" w:hanging="40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8" w:name="page69"/>
    <w:bookmarkEnd w:id="68"/>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71" w:lineRule="exact"/>
        <w:rPr>
          <w:rFonts w:ascii="Arial" w:cs="Arial" w:eastAsia="Arial" w:hAnsi="Arial"/>
          <w:sz w:val="18"/>
          <w:szCs w:val="18"/>
          <w:color w:val="auto"/>
        </w:rPr>
      </w:pPr>
    </w:p>
    <w:p>
      <w:pPr>
        <w:ind w:left="900" w:hanging="40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52"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utilize our federal and state net operating loss carryforwards to reduce our income taxes.</w:t>
      </w:r>
    </w:p>
    <w:p>
      <w:pPr>
        <w:spacing w:after="0" w:line="252"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6"/>
          <w:szCs w:val="16"/>
          <w:color w:val="auto"/>
        </w:rPr>
        <w:t>As of December 31, 2019, we had net operating loss (“NOL”) carryforwards of $164.4 million and $129.6 million available to reduce future taxable income, if any, for U.S. federal income tax and state income tax purposes, respectively. If not utilized, our federal and state NOLs carryforwards begin to expire in 2028 and 2020,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by legislation enacted in 2020, unused U.S. federal NOLs generated in tax years beginning after December 31, 2017</w:t>
      </w:r>
      <w:r>
        <w:rPr>
          <w:rFonts w:ascii="Arial" w:cs="Arial" w:eastAsia="Arial" w:hAnsi="Arial"/>
          <w:sz w:val="19"/>
          <w:szCs w:val="19"/>
          <w:color w:val="auto"/>
        </w:rPr>
        <w:t>,</w:t>
      </w:r>
      <w:r>
        <w:rPr>
          <w:rFonts w:ascii="Arial" w:cs="Arial" w:eastAsia="Arial" w:hAnsi="Arial"/>
          <w:sz w:val="16"/>
          <w:szCs w:val="16"/>
          <w:color w:val="auto"/>
        </w:rPr>
        <w:t xml:space="preserve"> will not expire and may be carried forward indefinitely, but the deductibility of such federal NOLs in taxable years beginning after December 31, 2020, is limited to 80% of taxable income. In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NOLs and tax credit carryforwards are subject to limitation. We also updated our Section 382 ownership change analysis through June 30, 2019, considering the changes in ownership following our IPO in October 2018. Based on the result of the analysis, we concluded that we did not undergo ownership change that would require for any additional limitations on our NOL carryforwards. We further concluded that the equity shift between June 30, 2019 to December 31, 2019 was not material, considering the changes in the outstanding number of shares at each respective period. We will continually assess the need to update our Section 382 ownership change analysis, including the impact of the completion of our follow-on public offering in the first quarter of 2020, as we may experience ownership changes that could materially limit our ability to use our NOL carryforwards, which may harm our future operating results by effectively increasing our future tax obligations.</w:t>
      </w:r>
    </w:p>
    <w:p>
      <w:pPr>
        <w:spacing w:after="0" w:line="196"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Given that we expect to be at a loss position in the current year, the new legislation will not impact our current year provision. We will continue to monitor the possible California NOLs and credit limitation in future periods.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our stockholders' ability to achieve a return on investment in our common stock will depend on appreciation in the price of our common stock.</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our stockholders may only receive a return on an investment in our common stock if the market price of our common stock increases. In addition, our loan and security agreements contain restrictions on our ability to pay dividends.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Our term loan contains covenants that may restrict our business and financing activities.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On May 29, 2020, we entered into a Loan and Security Agreement with Solar Capital Ltd. (“Solar”), pursuant to which we borrowed $40.0 million pursuant to a term loan (the “Solar Term Loan”). We used the proceeds of the Solar Term Loan to repay in full and terminate our credit facility with BioPharma Credit Investments IV Sub LP.</w:t>
      </w:r>
    </w:p>
    <w:p>
      <w:pPr>
        <w:spacing w:after="0" w:line="76"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Loan and Security Agreement with Solar contains customary events of default, including bankruptcy, the failure to make payments when due, the occurrence of a material impairment on the lenders’ security interest over the collateral, a material adverse change, the occurrence of a default under certain other indebtedness of us or our subsidiaries, the rendering of certain types of judgments against us or our subsidiaries, the revocation of certain government approvals, violation of covenants, and incorrectness of representations and warranties in any material respect. Upon the occurrence of an event of default, subject to specified cure periods, all amounts owed by us would begin to bear interest at a rate that is 5.00% above the rate effective immediately before the event of default and may be declared immediately due and payable by the Lenders. The Loan and Security Agreement with Solar also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as well as financial reporting requirements.</w:t>
      </w:r>
    </w:p>
    <w:p>
      <w:pPr>
        <w:spacing w:after="0" w:line="19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Solar Term Loan is secured by substantially all of our assets. The Loan and Security Agreement with Solar also contains a financial covenant related to our liquidity based on our trailing twelve-month net product revenues. We are required to hold at least $15.0 million in cash and cash equivalents so long as trailing twelve-month net product revenues are less than $75.0 million and at least $7.5 million in cash and cash equivalents so long as trailing twelve-month net product revenues are greater than or equal to $75.0 million but less than $100.0 million (collectively “Minimum Liquidity Requirements”). We are not subject to a Minimum Liquidity Requirement when trailing twelve-month net product revenues exceeds $100.0 million.</w:t>
      </w:r>
    </w:p>
    <w:p>
      <w:pPr>
        <w:spacing w:after="0" w:line="188"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covenants in the Solar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Due to uncertainties surrounding the impact of COVID-19 pandemic, there is a substantial risk that we may not meet the minimum trailing 12-month product revenue in future period. If not waived, future defaults could cause all of the outstanding indebtedness under our Loan and Security Agreement to become immediately due and payable.</w:t>
      </w:r>
    </w:p>
    <w:p>
      <w:pPr>
        <w:spacing w:after="0" w:line="18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57" w:lineRule="exact"/>
        <w:rPr>
          <w:sz w:val="20"/>
          <w:szCs w:val="20"/>
          <w:color w:val="auto"/>
        </w:rPr>
      </w:pPr>
    </w:p>
    <w:p>
      <w:pPr>
        <w:ind w:left="900" w:right="20" w:hanging="406"/>
        <w:spacing w:after="0" w:line="277" w:lineRule="auto"/>
        <w:tabs>
          <w:tab w:leader="none" w:pos="6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900" w:hanging="406"/>
        <w:spacing w:after="0" w:line="308" w:lineRule="auto"/>
        <w:tabs>
          <w:tab w:leader="none" w:pos="63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38" w:lineRule="exact"/>
        <w:rPr>
          <w:rFonts w:ascii="Arial" w:cs="Arial" w:eastAsia="Arial" w:hAnsi="Arial"/>
          <w:sz w:val="17"/>
          <w:szCs w:val="17"/>
          <w:color w:val="auto"/>
        </w:rPr>
      </w:pPr>
    </w:p>
    <w:p>
      <w:pPr>
        <w:ind w:left="900" w:right="20" w:hanging="406"/>
        <w:spacing w:after="0" w:line="308" w:lineRule="auto"/>
        <w:tabs>
          <w:tab w:leader="none" w:pos="60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ind w:left="900" w:hanging="406"/>
        <w:spacing w:after="0" w:line="277"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900" w:right="20" w:hanging="406"/>
        <w:spacing w:after="0" w:line="263" w:lineRule="auto"/>
        <w:tabs>
          <w:tab w:leader="none" w:pos="6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0" w:name="page71"/>
    <w:bookmarkEnd w:id="70"/>
    <w:p>
      <w:pPr>
        <w:ind w:left="900" w:hanging="406"/>
        <w:spacing w:after="0" w:line="259" w:lineRule="auto"/>
        <w:tabs>
          <w:tab w:leader="none" w:pos="6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78" w:lineRule="exact"/>
        <w:rPr>
          <w:rFonts w:ascii="Arial" w:cs="Arial" w:eastAsia="Arial" w:hAnsi="Arial"/>
          <w:sz w:val="18"/>
          <w:szCs w:val="18"/>
          <w:color w:val="auto"/>
        </w:rPr>
      </w:pPr>
    </w:p>
    <w:p>
      <w:pPr>
        <w:ind w:left="900" w:hanging="406"/>
        <w:spacing w:after="0" w:line="263" w:lineRule="auto"/>
        <w:tabs>
          <w:tab w:leader="none" w:pos="6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3"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2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5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sales of unregistered equity securities during the three months ended June 30,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of shares or equity securities during the three months ended June 30, 2020.</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22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the IPO were paid to directors, officers, persons owning 10% or more of any class of equity securities, or to their associates, or to our affiliates.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1" w:name="page72"/>
    <w:bookmarkEnd w:id="71"/>
    <w:p>
      <w:pPr>
        <w:jc w:val="both"/>
        <w:ind w:firstLine="445"/>
        <w:spacing w:after="0" w:line="263"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 As of June 30, 2020, approximately $58.0 million of the net proceeds had been used for general corporate purposes including cash used in operations and capital expenditures.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6686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23495</wp:posOffset>
            </wp:positionV>
            <wp:extent cx="3060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Amended and Restated Certificate of Incorporation.</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Amended and Restated Bylaws.</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Form of Common Stock Certificate of the Company.</w:t>
        </w:r>
      </w:hyperlink>
    </w:p>
    <w:p>
      <w:pPr>
        <w:spacing w:after="0" w:line="11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90">
        <w:r>
          <w:rPr>
            <w:rFonts w:ascii="Arial" w:cs="Arial" w:eastAsia="Arial" w:hAnsi="Arial"/>
            <w:sz w:val="18"/>
            <w:szCs w:val="18"/>
            <w:u w:val="single" w:color="auto"/>
            <w:color w:val="0000FF"/>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1">
        <w:r>
          <w:rPr>
            <w:rFonts w:ascii="Arial" w:cs="Arial" w:eastAsia="Arial" w:hAnsi="Arial"/>
            <w:sz w:val="18"/>
            <w:szCs w:val="18"/>
            <w:u w:val="single" w:color="auto"/>
            <w:color w:val="0000FF"/>
          </w:rPr>
          <w:t>3.2</w:t>
        </w:r>
      </w:hyperlink>
      <w:r>
        <w:rPr>
          <w:rFonts w:ascii="Arial" w:cs="Arial" w:eastAsia="Arial" w:hAnsi="Arial"/>
          <w:sz w:val="18"/>
          <w:szCs w:val="18"/>
          <w:color w:val="auto"/>
        </w:rPr>
        <w:t>.</w:t>
      </w:r>
    </w:p>
    <w:p>
      <w:pPr>
        <w:spacing w:after="0" w:line="171" w:lineRule="exact"/>
        <w:rPr>
          <w:sz w:val="20"/>
          <w:szCs w:val="20"/>
          <w:color w:val="auto"/>
        </w:rPr>
      </w:pPr>
    </w:p>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Description of SI-BONE, Inc. Common Stock</w:t>
        </w:r>
      </w:hyperlink>
    </w:p>
    <w:p>
      <w:pPr>
        <w:spacing w:after="0" w:line="185" w:lineRule="exact"/>
        <w:rPr>
          <w:sz w:val="20"/>
          <w:szCs w:val="20"/>
          <w:color w:val="auto"/>
        </w:rPr>
      </w:pPr>
    </w:p>
    <w:p>
      <w:pPr>
        <w:spacing w:after="0" w:line="270" w:lineRule="auto"/>
        <w:rPr>
          <w:rFonts w:ascii="Arial" w:cs="Arial" w:eastAsia="Arial" w:hAnsi="Arial"/>
          <w:sz w:val="17"/>
          <w:szCs w:val="17"/>
          <w:u w:val="single" w:color="auto"/>
          <w:color w:val="0000FF"/>
        </w:rPr>
      </w:pPr>
      <w:hyperlink w:anchor="page75">
        <w:r>
          <w:rPr>
            <w:rFonts w:ascii="Arial" w:cs="Arial" w:eastAsia="Arial" w:hAnsi="Arial"/>
            <w:sz w:val="17"/>
            <w:szCs w:val="17"/>
            <w:u w:val="single" w:color="auto"/>
            <w:color w:val="0000FF"/>
          </w:rPr>
          <w:t>Loan and Security Agreement, dated May 29, 2020, between SI-</w:t>
        </w:r>
      </w:hyperlink>
      <w:hyperlink w:anchor="page75">
        <w:r>
          <w:rPr>
            <w:rFonts w:ascii="Arial" w:cs="Arial" w:eastAsia="Arial" w:hAnsi="Arial"/>
            <w:sz w:val="17"/>
            <w:szCs w:val="17"/>
            <w:u w:val="single" w:color="auto"/>
            <w:color w:val="0000FF"/>
          </w:rPr>
          <w:t>BONE, Inc. and Solar Capital Ltd., as collateral agent, and the</w:t>
        </w:r>
      </w:hyperlink>
      <w:r>
        <w:rPr>
          <w:rFonts w:ascii="Arial" w:cs="Arial" w:eastAsia="Arial" w:hAnsi="Arial"/>
          <w:sz w:val="17"/>
          <w:szCs w:val="17"/>
          <w:u w:val="single" w:color="auto"/>
          <w:color w:val="0000FF"/>
        </w:rPr>
        <w:t xml:space="preserve"> </w:t>
      </w:r>
      <w:hyperlink w:anchor="page75">
        <w:r>
          <w:rPr>
            <w:rFonts w:ascii="Arial" w:cs="Arial" w:eastAsia="Arial" w:hAnsi="Arial"/>
            <w:sz w:val="17"/>
            <w:szCs w:val="17"/>
            <w:u w:val="single" w:color="auto"/>
            <w:color w:val="0000FF"/>
          </w:rPr>
          <w:t>lenders from time to time party thereto.</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71"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92"/>
        </w:trPr>
        <w:tc>
          <w:tcPr>
            <w:tcW w:w="8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4"/>
              </w:rPr>
              <w:t>Incorporation By Reference</w:t>
            </w: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0" w:type="dxa"/>
            <w:vAlign w:val="bottom"/>
            <w:vMerge w:val="restart"/>
          </w:tcPr>
          <w:p>
            <w:pPr>
              <w:jc w:val="center"/>
              <w:ind w:left="74"/>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SEC File No.</w:t>
            </w:r>
          </w:p>
        </w:tc>
        <w:tc>
          <w:tcPr>
            <w:tcW w:w="18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0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Exhibit/</w:t>
            </w: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8"/>
              </w:rPr>
              <w:t>Reference</w:t>
            </w:r>
          </w:p>
        </w:tc>
        <w:tc>
          <w:tcPr>
            <w:tcW w:w="18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20" w:type="dxa"/>
            <w:vAlign w:val="bottom"/>
          </w:tcPr>
          <w:p>
            <w:pPr>
              <w:jc w:val="center"/>
              <w:ind w:left="54"/>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jc w:val="center"/>
              <w:ind w:left="234"/>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center"/>
              <w:ind w:right="136"/>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324"/>
        </w:trPr>
        <w:tc>
          <w:tcPr>
            <w:tcW w:w="820" w:type="dxa"/>
            <w:vAlign w:val="bottom"/>
          </w:tcPr>
          <w:p>
            <w:pPr>
              <w:jc w:val="center"/>
              <w:ind w:left="54"/>
              <w:spacing w:after="0"/>
              <w:rPr>
                <w:sz w:val="20"/>
                <w:szCs w:val="20"/>
                <w:color w:val="auto"/>
              </w:rPr>
            </w:pPr>
            <w:r>
              <w:rPr>
                <w:rFonts w:ascii="Arial" w:cs="Arial" w:eastAsia="Arial" w:hAnsi="Arial"/>
                <w:sz w:val="18"/>
                <w:szCs w:val="18"/>
                <w:color w:val="auto"/>
                <w:w w:val="97"/>
              </w:rPr>
              <w:t>S-1/A</w:t>
            </w:r>
          </w:p>
        </w:tc>
        <w:tc>
          <w:tcPr>
            <w:tcW w:w="148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136"/>
              <w:spacing w:after="0"/>
              <w:rPr>
                <w:sz w:val="20"/>
                <w:szCs w:val="20"/>
                <w:color w:val="auto"/>
              </w:rPr>
            </w:pPr>
            <w:r>
              <w:rPr>
                <w:rFonts w:ascii="Arial" w:cs="Arial" w:eastAsia="Arial" w:hAnsi="Arial"/>
                <w:sz w:val="18"/>
                <w:szCs w:val="18"/>
                <w:color w:val="auto"/>
                <w:w w:val="87"/>
              </w:rPr>
              <w:t>3.4</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324"/>
        </w:trPr>
        <w:tc>
          <w:tcPr>
            <w:tcW w:w="820" w:type="dxa"/>
            <w:vAlign w:val="bottom"/>
          </w:tcPr>
          <w:p>
            <w:pPr>
              <w:jc w:val="center"/>
              <w:ind w:left="54"/>
              <w:spacing w:after="0"/>
              <w:rPr>
                <w:sz w:val="20"/>
                <w:szCs w:val="20"/>
                <w:color w:val="auto"/>
              </w:rPr>
            </w:pPr>
            <w:r>
              <w:rPr>
                <w:rFonts w:ascii="Arial" w:cs="Arial" w:eastAsia="Arial" w:hAnsi="Arial"/>
                <w:sz w:val="18"/>
                <w:szCs w:val="18"/>
                <w:color w:val="auto"/>
                <w:w w:val="97"/>
              </w:rPr>
              <w:t>S-1/A</w:t>
            </w:r>
          </w:p>
        </w:tc>
        <w:tc>
          <w:tcPr>
            <w:tcW w:w="148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136"/>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702"/>
        </w:trPr>
        <w:tc>
          <w:tcPr>
            <w:tcW w:w="820" w:type="dxa"/>
            <w:vAlign w:val="bottom"/>
          </w:tcPr>
          <w:p>
            <w:pPr>
              <w:jc w:val="center"/>
              <w:ind w:left="54"/>
              <w:spacing w:after="0"/>
              <w:rPr>
                <w:sz w:val="20"/>
                <w:szCs w:val="20"/>
                <w:color w:val="auto"/>
              </w:rPr>
            </w:pPr>
            <w:r>
              <w:rPr>
                <w:rFonts w:ascii="Arial" w:cs="Arial" w:eastAsia="Arial" w:hAnsi="Arial"/>
                <w:sz w:val="18"/>
                <w:szCs w:val="18"/>
                <w:color w:val="auto"/>
                <w:w w:val="89"/>
              </w:rPr>
              <w:t>10-Q</w:t>
            </w:r>
          </w:p>
        </w:tc>
        <w:tc>
          <w:tcPr>
            <w:tcW w:w="1480" w:type="dxa"/>
            <w:vAlign w:val="bottom"/>
            <w:gridSpan w:val="3"/>
          </w:tcPr>
          <w:p>
            <w:pPr>
              <w:jc w:val="center"/>
              <w:ind w:left="234"/>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136"/>
              <w:spacing w:after="0"/>
              <w:rPr>
                <w:sz w:val="20"/>
                <w:szCs w:val="20"/>
                <w:color w:val="auto"/>
              </w:rPr>
            </w:pPr>
            <w:r>
              <w:rPr>
                <w:rFonts w:ascii="Arial" w:cs="Arial" w:eastAsia="Arial" w:hAnsi="Arial"/>
                <w:sz w:val="18"/>
                <w:szCs w:val="18"/>
                <w:color w:val="auto"/>
                <w:w w:val="87"/>
              </w:rPr>
              <w:t>4.3</w:t>
            </w: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5/5/2020</w:t>
            </w:r>
          </w:p>
        </w:tc>
        <w:tc>
          <w:tcPr>
            <w:tcW w:w="0" w:type="dxa"/>
            <w:vAlign w:val="bottom"/>
          </w:tcPr>
          <w:p>
            <w:pPr>
              <w:spacing w:after="0"/>
              <w:rPr>
                <w:sz w:val="1"/>
                <w:szCs w:val="1"/>
                <w:color w:val="auto"/>
              </w:rPr>
            </w:pPr>
          </w:p>
        </w:tc>
      </w:tr>
    </w:tbl>
    <w:p>
      <w:pPr>
        <w:spacing w:after="0" w:line="853" w:lineRule="exact"/>
        <w:rPr>
          <w:rFonts w:ascii="Arial" w:cs="Arial" w:eastAsia="Arial" w:hAnsi="Arial"/>
          <w:sz w:val="17"/>
          <w:szCs w:val="17"/>
          <w:u w:val="single" w:color="auto"/>
          <w:color w:val="0000FF"/>
        </w:rPr>
      </w:pPr>
    </w:p>
    <w:p>
      <w:pPr>
        <w:sectPr>
          <w:pgSz w:w="11900" w:h="16838" w:orient="portrait"/>
          <w:cols w:equalWidth="0" w:num="3">
            <w:col w:w="820" w:space="460"/>
            <w:col w:w="4640" w:space="360"/>
            <w:col w:w="4940"/>
          </w:cols>
          <w:pgMar w:left="320" w:top="985" w:right="359" w:bottom="1440" w:gutter="0" w:footer="0" w:header="0"/>
          <w:type w:val="continuous"/>
        </w:sectPr>
      </w:pPr>
    </w:p>
    <w:tbl>
      <w:tblPr>
        <w:tblLayout w:type="fixed"/>
        <w:tblInd w:w="60" w:type="dxa"/>
        <w:tblCellMar>
          <w:top w:w="0" w:type="dxa"/>
          <w:left w:w="0" w:type="dxa"/>
          <w:bottom w:w="0" w:type="dxa"/>
          <w:right w:w="0" w:type="dxa"/>
        </w:tblCellMar>
      </w:tblP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4780" w:type="dxa"/>
            <w:vAlign w:val="bottom"/>
            <w:gridSpan w:val="13"/>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SI-BONE, Inc. Severance Benefit Plan and Form of Participation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7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Agreement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4780" w:type="dxa"/>
            <w:vAlign w:val="bottom"/>
            <w:gridSpan w:val="13"/>
          </w:tcPr>
          <w:p>
            <w:pPr>
              <w:spacing w:after="0"/>
              <w:rPr>
                <w:rFonts w:ascii="Arial" w:cs="Arial" w:eastAsia="Arial" w:hAnsi="Arial"/>
                <w:sz w:val="18"/>
                <w:szCs w:val="18"/>
                <w:color w:val="0000FF"/>
                <w:w w:val="99"/>
              </w:rPr>
            </w:pPr>
            <w:hyperlink w:anchor="page119">
              <w:r>
                <w:rPr>
                  <w:rFonts w:ascii="Arial" w:cs="Arial" w:eastAsia="Arial" w:hAnsi="Arial"/>
                  <w:sz w:val="18"/>
                  <w:szCs w:val="18"/>
                  <w:color w:val="0000FF"/>
                  <w:w w:val="99"/>
                </w:rPr>
                <w:t>Certification of Principal Executive Officer Pursuant to Rules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4780" w:type="dxa"/>
            <w:vAlign w:val="bottom"/>
            <w:gridSpan w:val="13"/>
          </w:tcPr>
          <w:p>
            <w:pPr>
              <w:spacing w:after="0" w:line="156" w:lineRule="exact"/>
              <w:rPr>
                <w:rFonts w:ascii="Arial" w:cs="Arial" w:eastAsia="Arial" w:hAnsi="Arial"/>
                <w:sz w:val="18"/>
                <w:szCs w:val="18"/>
                <w:color w:val="0000FF"/>
                <w:w w:val="95"/>
              </w:rPr>
            </w:pPr>
            <w:hyperlink w:anchor="page119">
              <w:r>
                <w:rPr>
                  <w:rFonts w:ascii="Arial" w:cs="Arial" w:eastAsia="Arial" w:hAnsi="Arial"/>
                  <w:sz w:val="18"/>
                  <w:szCs w:val="18"/>
                  <w:color w:val="0000FF"/>
                  <w:w w:val="95"/>
                </w:rPr>
                <w:t>13a-14(a) and 15d-14(a) under the Securities Exchange Act of</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4780" w:type="dxa"/>
            <w:vAlign w:val="bottom"/>
            <w:gridSpan w:val="13"/>
          </w:tcPr>
          <w:p>
            <w:pPr>
              <w:spacing w:after="0" w:line="156"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1934, as Adopted Pursuant to Section 302 of the Sarbanes-Oxley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6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19">
              <w:r>
                <w:rPr>
                  <w:rFonts w:ascii="Arial" w:cs="Arial" w:eastAsia="Arial" w:hAnsi="Arial"/>
                  <w:sz w:val="18"/>
                  <w:szCs w:val="18"/>
                  <w:color w:val="0000FF"/>
                </w:rPr>
                <w:t>Act of 2002.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4780" w:type="dxa"/>
            <w:vAlign w:val="bottom"/>
            <w:gridSpan w:val="13"/>
          </w:tcPr>
          <w:p>
            <w:pPr>
              <w:spacing w:after="0"/>
              <w:rPr>
                <w:rFonts w:ascii="Arial" w:cs="Arial" w:eastAsia="Arial" w:hAnsi="Arial"/>
                <w:sz w:val="18"/>
                <w:szCs w:val="18"/>
                <w:color w:val="0000FF"/>
                <w:w w:val="92"/>
              </w:rPr>
            </w:pPr>
            <w:hyperlink w:anchor="page120">
              <w:r>
                <w:rPr>
                  <w:rFonts w:ascii="Arial" w:cs="Arial" w:eastAsia="Arial" w:hAnsi="Arial"/>
                  <w:sz w:val="18"/>
                  <w:szCs w:val="18"/>
                  <w:color w:val="0000FF"/>
                  <w:w w:val="92"/>
                </w:rPr>
                <w:t>Certification of Principal Financial Officer Pursuant to Rules 13a-</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w:anchor="page120">
              <w:r>
                <w:rPr>
                  <w:rFonts w:ascii="Arial" w:cs="Arial" w:eastAsia="Arial" w:hAnsi="Arial"/>
                  <w:sz w:val="18"/>
                  <w:szCs w:val="18"/>
                  <w:color w:val="0000FF"/>
                  <w:w w:val="89"/>
                </w:rPr>
                <w:t>14(a) and 15d-14(a) under the Securities Exchange Act of 1934,</w:t>
              </w:r>
            </w:hyperlink>
          </w:p>
        </w:tc>
        <w:tc>
          <w:tcPr>
            <w:tcW w:w="1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780" w:type="dxa"/>
            <w:vAlign w:val="bottom"/>
            <w:gridSpan w:val="13"/>
          </w:tcPr>
          <w:p>
            <w:pPr>
              <w:spacing w:after="0" w:line="156" w:lineRule="exact"/>
              <w:rPr>
                <w:rFonts w:ascii="Arial" w:cs="Arial" w:eastAsia="Arial" w:hAnsi="Arial"/>
                <w:sz w:val="18"/>
                <w:szCs w:val="18"/>
                <w:color w:val="0000FF"/>
                <w:w w:val="90"/>
              </w:rPr>
            </w:pPr>
            <w:hyperlink w:anchor="page120">
              <w:r>
                <w:rPr>
                  <w:rFonts w:ascii="Arial" w:cs="Arial" w:eastAsia="Arial" w:hAnsi="Arial"/>
                  <w:sz w:val="18"/>
                  <w:szCs w:val="18"/>
                  <w:color w:val="0000FF"/>
                  <w:w w:val="90"/>
                </w:rPr>
                <w:t>as Adopted Pursuant to Section 302 of the Sarbanes-Oxley Act of</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120">
              <w:r>
                <w:rPr>
                  <w:rFonts w:ascii="Arial" w:cs="Arial" w:eastAsia="Arial" w:hAnsi="Arial"/>
                  <w:sz w:val="18"/>
                  <w:szCs w:val="18"/>
                  <w:color w:val="0000FF"/>
                  <w:w w:val="84"/>
                </w:rPr>
                <w:t>2002.</w:t>
              </w:r>
            </w:hyperlink>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412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121">
              <w:r>
                <w:rPr>
                  <w:rFonts w:ascii="Arial" w:cs="Arial" w:eastAsia="Arial" w:hAnsi="Arial"/>
                  <w:sz w:val="18"/>
                  <w:szCs w:val="18"/>
                  <w:color w:val="0000FF"/>
                  <w:w w:val="93"/>
                </w:rPr>
                <w:t>Certification of Principal Executive Officer and Principal</w:t>
              </w:r>
            </w:hyperlink>
          </w:p>
        </w:tc>
        <w:tc>
          <w:tcPr>
            <w:tcW w:w="660" w:type="dxa"/>
            <w:vAlign w:val="bottom"/>
            <w:gridSpan w:val="9"/>
            <w:vMerge w:val="restart"/>
          </w:tcPr>
          <w:p>
            <w:pPr>
              <w:spacing w:after="0"/>
              <w:rPr>
                <w:rFonts w:ascii="Arial" w:cs="Arial" w:eastAsia="Arial" w:hAnsi="Arial"/>
                <w:sz w:val="18"/>
                <w:szCs w:val="18"/>
                <w:color w:val="0000FF"/>
                <w:w w:val="95"/>
              </w:rPr>
            </w:pPr>
            <w:hyperlink w:anchor="page121">
              <w:r>
                <w:rPr>
                  <w:rFonts w:ascii="Arial" w:cs="Arial" w:eastAsia="Arial" w:hAnsi="Arial"/>
                  <w:sz w:val="18"/>
                  <w:szCs w:val="18"/>
                  <w:color w:val="0000FF"/>
                  <w:w w:val="95"/>
                </w:rPr>
                <w:t>Adopted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120" w:type="dxa"/>
            <w:vAlign w:val="bottom"/>
            <w:gridSpan w:val="4"/>
          </w:tcPr>
          <w:p>
            <w:pPr>
              <w:spacing w:after="0" w:line="156" w:lineRule="exact"/>
              <w:rPr>
                <w:rFonts w:ascii="Arial" w:cs="Arial" w:eastAsia="Arial" w:hAnsi="Arial"/>
                <w:sz w:val="18"/>
                <w:szCs w:val="18"/>
                <w:color w:val="0000FF"/>
                <w:w w:val="91"/>
              </w:rPr>
            </w:pPr>
            <w:hyperlink w:anchor="page121">
              <w:r>
                <w:rPr>
                  <w:rFonts w:ascii="Arial" w:cs="Arial" w:eastAsia="Arial" w:hAnsi="Arial"/>
                  <w:sz w:val="18"/>
                  <w:szCs w:val="18"/>
                  <w:color w:val="0000FF"/>
                  <w:w w:val="91"/>
                </w:rPr>
                <w:t>Financial Officer Pursuant to 18 U.S.C. Section 1350, as</w:t>
              </w:r>
            </w:hyperlink>
          </w:p>
        </w:tc>
        <w:tc>
          <w:tcPr>
            <w:tcW w:w="6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4740" w:type="dxa"/>
            <w:vAlign w:val="bottom"/>
            <w:tcBorders>
              <w:top w:val="single" w:sz="8" w:color="0000FF"/>
            </w:tcBorders>
            <w:gridSpan w:val="11"/>
          </w:tcPr>
          <w:p>
            <w:pPr>
              <w:spacing w:after="0"/>
              <w:rPr>
                <w:rFonts w:ascii="Arial" w:cs="Arial" w:eastAsia="Arial" w:hAnsi="Arial"/>
                <w:sz w:val="18"/>
                <w:szCs w:val="18"/>
                <w:u w:val="single" w:color="auto"/>
                <w:color w:val="0000FF"/>
                <w:w w:val="98"/>
              </w:rPr>
            </w:pPr>
            <w:hyperlink w:anchor="page121">
              <w:r>
                <w:rPr>
                  <w:rFonts w:ascii="Arial" w:cs="Arial" w:eastAsia="Arial" w:hAnsi="Arial"/>
                  <w:sz w:val="18"/>
                  <w:szCs w:val="18"/>
                  <w:u w:val="single" w:color="auto"/>
                  <w:color w:val="0000FF"/>
                  <w:w w:val="98"/>
                </w:rPr>
                <w:t>Pursuant to Section 906 of the Sarbanes-Oxley Act of 2002.</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gridSpan w:val="13"/>
          </w:tcPr>
          <w:p>
            <w:pPr>
              <w:spacing w:after="0"/>
              <w:rPr>
                <w:sz w:val="20"/>
                <w:szCs w:val="20"/>
                <w:color w:val="auto"/>
              </w:rPr>
            </w:pPr>
            <w:r>
              <w:rPr>
                <w:rFonts w:ascii="Arial" w:cs="Arial" w:eastAsia="Arial" w:hAnsi="Arial"/>
                <w:sz w:val="18"/>
                <w:szCs w:val="18"/>
                <w:color w:val="auto"/>
                <w:w w:val="95"/>
              </w:rPr>
              <w:t>Inline XBRL Instance Document - the instance document does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80" w:type="dxa"/>
            <w:vAlign w:val="bottom"/>
            <w:gridSpan w:val="13"/>
          </w:tcPr>
          <w:p>
            <w:pPr>
              <w:spacing w:after="0"/>
              <w:rPr>
                <w:sz w:val="20"/>
                <w:szCs w:val="20"/>
                <w:color w:val="auto"/>
              </w:rPr>
            </w:pPr>
            <w:r>
              <w:rPr>
                <w:rFonts w:ascii="Arial" w:cs="Arial" w:eastAsia="Arial" w:hAnsi="Arial"/>
                <w:sz w:val="18"/>
                <w:szCs w:val="18"/>
                <w:color w:val="auto"/>
                <w:w w:val="91"/>
              </w:rPr>
              <w:t>not appear in the Interactive Data File because its XBRL tags are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8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gridSpan w:val="13"/>
          </w:tcPr>
          <w:p>
            <w:pPr>
              <w:spacing w:after="0"/>
              <w:rPr>
                <w:sz w:val="20"/>
                <w:szCs w:val="20"/>
                <w:color w:val="auto"/>
              </w:rPr>
            </w:pPr>
            <w:r>
              <w:rPr>
                <w:rFonts w:ascii="Arial" w:cs="Arial" w:eastAsia="Arial" w:hAnsi="Arial"/>
                <w:sz w:val="18"/>
                <w:szCs w:val="18"/>
                <w:color w:val="auto"/>
                <w:w w:val="97"/>
              </w:rPr>
              <w:t>Inline XBRL Taxonomy Extension Label Linkbase Document.</w:t>
            </w:r>
          </w:p>
        </w:tc>
        <w:tc>
          <w:tcPr>
            <w:tcW w:w="0" w:type="dxa"/>
            <w:vAlign w:val="bottom"/>
          </w:tcPr>
          <w:p>
            <w:pPr>
              <w:spacing w:after="0"/>
              <w:rPr>
                <w:sz w:val="1"/>
                <w:szCs w:val="1"/>
                <w:color w:val="auto"/>
              </w:rPr>
            </w:pP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7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80" w:right="100" w:hanging="1227"/>
        <w:spacing w:after="0" w:line="277"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980" w:val="left"/>
          <w:tab w:leader="none" w:pos="2500" w:val="left"/>
          <w:tab w:leader="none" w:pos="36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001-38701</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7/17/2020</w:t>
      </w:r>
    </w:p>
    <w:p>
      <w:pPr>
        <w:spacing w:after="0" w:line="6289" w:lineRule="exact"/>
        <w:rPr>
          <w:sz w:val="20"/>
          <w:szCs w:val="20"/>
          <w:color w:val="auto"/>
        </w:rPr>
      </w:pPr>
    </w:p>
    <w:p>
      <w:pPr>
        <w:sectPr>
          <w:pgSz w:w="11900" w:h="16838" w:orient="portrait"/>
          <w:cols w:equalWidth="0" w:num="2">
            <w:col w:w="6040" w:space="580"/>
            <w:col w:w="4600"/>
          </w:cols>
          <w:pgMar w:left="320" w:top="985" w:right="359" w:bottom="1440" w:gutter="0" w:footer="0" w:header="0"/>
          <w:type w:val="continuous"/>
        </w:sectPr>
      </w:pPr>
    </w:p>
    <w:p>
      <w:pPr>
        <w:spacing w:after="0" w:line="132"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right="20" w:hanging="332"/>
        <w:spacing w:after="0" w:line="253" w:lineRule="auto"/>
        <w:tabs>
          <w:tab w:leader="none" w:pos="3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ectPr>
          <w:pgSz w:w="11900" w:h="16838" w:orient="portrait"/>
          <w:cols w:equalWidth="0" w:num="1">
            <w:col w:w="11220"/>
          </w:cols>
          <w:pgMar w:left="320" w:top="98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240" w:type="dxa"/>
            <w:vAlign w:val="bottom"/>
            <w:gridSpan w:val="2"/>
          </w:tcPr>
          <w:p>
            <w:pPr>
              <w:ind w:left="1400"/>
              <w:spacing w:after="0"/>
              <w:rPr>
                <w:sz w:val="20"/>
                <w:szCs w:val="20"/>
                <w:color w:val="auto"/>
              </w:rPr>
            </w:pPr>
            <w:r>
              <w:rPr>
                <w:rFonts w:ascii="Arial" w:cs="Arial" w:eastAsia="Arial" w:hAnsi="Arial"/>
                <w:sz w:val="18"/>
                <w:szCs w:val="18"/>
                <w:color w:val="auto"/>
              </w:rPr>
              <w:t>SI-BONE,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660" w:type="dxa"/>
            <w:vAlign w:val="bottom"/>
          </w:tcPr>
          <w:p>
            <w:pPr>
              <w:ind w:left="140"/>
              <w:spacing w:after="0"/>
              <w:rPr>
                <w:sz w:val="20"/>
                <w:szCs w:val="20"/>
                <w:color w:val="auto"/>
              </w:rPr>
            </w:pPr>
            <w:r>
              <w:rPr>
                <w:rFonts w:ascii="Arial" w:cs="Arial" w:eastAsia="Arial" w:hAnsi="Arial"/>
                <w:sz w:val="18"/>
                <w:szCs w:val="18"/>
                <w:color w:val="auto"/>
              </w:rPr>
              <w:t>August 4, 2020</w:t>
            </w:r>
          </w:p>
        </w:tc>
        <w:tc>
          <w:tcPr>
            <w:tcW w:w="2080" w:type="dxa"/>
            <w:vAlign w:val="bottom"/>
          </w:tcPr>
          <w:p>
            <w:pPr>
              <w:ind w:left="1400"/>
              <w:spacing w:after="0"/>
              <w:rPr>
                <w:sz w:val="20"/>
                <w:szCs w:val="20"/>
                <w:color w:val="auto"/>
              </w:rPr>
            </w:pPr>
            <w:r>
              <w:rPr>
                <w:rFonts w:ascii="Arial" w:cs="Arial" w:eastAsia="Arial" w:hAnsi="Arial"/>
                <w:sz w:val="18"/>
                <w:szCs w:val="18"/>
                <w:color w:val="auto"/>
              </w:rPr>
              <w:t>By:</w:t>
            </w:r>
          </w:p>
        </w:tc>
        <w:tc>
          <w:tcPr>
            <w:tcW w:w="4160" w:type="dxa"/>
            <w:vAlign w:val="bottom"/>
          </w:tcPr>
          <w:p>
            <w:pPr>
              <w:ind w:left="20"/>
              <w:spacing w:after="0"/>
              <w:rPr>
                <w:sz w:val="20"/>
                <w:szCs w:val="20"/>
                <w:color w:val="auto"/>
              </w:rPr>
            </w:pPr>
            <w:r>
              <w:rPr>
                <w:rFonts w:ascii="Arial" w:cs="Arial" w:eastAsia="Arial" w:hAnsi="Arial"/>
                <w:sz w:val="18"/>
                <w:szCs w:val="18"/>
                <w:color w:val="auto"/>
              </w:rPr>
              <w:t>/s/ Jeffrey W. Dunn</w:t>
            </w:r>
          </w:p>
        </w:tc>
      </w:tr>
      <w:tr>
        <w:trPr>
          <w:trHeight w:val="27"/>
        </w:trPr>
        <w:tc>
          <w:tcPr>
            <w:tcW w:w="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Jeffrey W. Dunn</w:t>
            </w:r>
          </w:p>
        </w:tc>
      </w:tr>
      <w:tr>
        <w:trPr>
          <w:trHeight w:val="270"/>
        </w:trPr>
        <w:tc>
          <w:tcPr>
            <w:tcW w:w="5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02"/>
        </w:trPr>
        <w:tc>
          <w:tcPr>
            <w:tcW w:w="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(Duly Authorized Officer and Principal Executive</w:t>
            </w:r>
          </w:p>
        </w:tc>
      </w:tr>
      <w:tr>
        <w:trPr>
          <w:trHeight w:val="230"/>
        </w:trPr>
        <w:tc>
          <w:tcPr>
            <w:tcW w:w="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Officer</w:t>
            </w:r>
            <w:r>
              <w:rPr>
                <w:rFonts w:ascii="Arial" w:cs="Arial" w:eastAsia="Arial" w:hAnsi="Arial"/>
                <w:sz w:val="14"/>
                <w:szCs w:val="14"/>
                <w:color w:val="auto"/>
              </w:rPr>
              <w:t>)</w:t>
            </w:r>
          </w:p>
        </w:tc>
      </w:tr>
      <w:tr>
        <w:trPr>
          <w:trHeight w:val="674"/>
        </w:trPr>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240" w:type="dxa"/>
            <w:vAlign w:val="bottom"/>
            <w:gridSpan w:val="2"/>
          </w:tcPr>
          <w:p>
            <w:pPr>
              <w:ind w:left="1400"/>
              <w:spacing w:after="0"/>
              <w:rPr>
                <w:sz w:val="20"/>
                <w:szCs w:val="20"/>
                <w:color w:val="auto"/>
              </w:rPr>
            </w:pPr>
            <w:r>
              <w:rPr>
                <w:rFonts w:ascii="Arial" w:cs="Arial" w:eastAsia="Arial" w:hAnsi="Arial"/>
                <w:sz w:val="18"/>
                <w:szCs w:val="18"/>
                <w:color w:val="auto"/>
              </w:rPr>
              <w:t>SI-BONE, Inc.</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660" w:type="dxa"/>
            <w:vAlign w:val="bottom"/>
          </w:tcPr>
          <w:p>
            <w:pPr>
              <w:ind w:left="140"/>
              <w:spacing w:after="0"/>
              <w:rPr>
                <w:sz w:val="20"/>
                <w:szCs w:val="20"/>
                <w:color w:val="auto"/>
              </w:rPr>
            </w:pPr>
            <w:r>
              <w:rPr>
                <w:rFonts w:ascii="Arial" w:cs="Arial" w:eastAsia="Arial" w:hAnsi="Arial"/>
                <w:sz w:val="18"/>
                <w:szCs w:val="18"/>
                <w:color w:val="auto"/>
              </w:rPr>
              <w:t>August 4, 2020</w:t>
            </w:r>
          </w:p>
        </w:tc>
        <w:tc>
          <w:tcPr>
            <w:tcW w:w="2080" w:type="dxa"/>
            <w:vAlign w:val="bottom"/>
          </w:tcPr>
          <w:p>
            <w:pPr>
              <w:ind w:left="1400"/>
              <w:spacing w:after="0"/>
              <w:rPr>
                <w:sz w:val="20"/>
                <w:szCs w:val="20"/>
                <w:color w:val="auto"/>
              </w:rPr>
            </w:pPr>
            <w:r>
              <w:rPr>
                <w:rFonts w:ascii="Arial" w:cs="Arial" w:eastAsia="Arial" w:hAnsi="Arial"/>
                <w:sz w:val="18"/>
                <w:szCs w:val="18"/>
                <w:color w:val="auto"/>
              </w:rPr>
              <w:t>By:</w:t>
            </w:r>
          </w:p>
        </w:tc>
        <w:tc>
          <w:tcPr>
            <w:tcW w:w="4160" w:type="dxa"/>
            <w:vAlign w:val="bottom"/>
          </w:tcPr>
          <w:p>
            <w:pPr>
              <w:ind w:left="20"/>
              <w:spacing w:after="0"/>
              <w:rPr>
                <w:sz w:val="20"/>
                <w:szCs w:val="20"/>
                <w:color w:val="auto"/>
              </w:rPr>
            </w:pPr>
            <w:r>
              <w:rPr>
                <w:rFonts w:ascii="Arial" w:cs="Arial" w:eastAsia="Arial" w:hAnsi="Arial"/>
                <w:sz w:val="18"/>
                <w:szCs w:val="18"/>
                <w:color w:val="auto"/>
              </w:rPr>
              <w:t>/s/ Laura A. Francis</w:t>
            </w:r>
          </w:p>
        </w:tc>
      </w:tr>
      <w:tr>
        <w:trPr>
          <w:trHeight w:val="27"/>
        </w:trPr>
        <w:tc>
          <w:tcPr>
            <w:tcW w:w="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70"/>
        </w:trPr>
        <w:tc>
          <w:tcPr>
            <w:tcW w:w="5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bl>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and Principal Financial 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40"/>
          </w:cols>
          <w:pgMar w:left="320" w:top="769" w:right="339" w:bottom="1440" w:gutter="0" w:footer="0" w:header="0"/>
        </w:sectPr>
      </w:pPr>
    </w:p>
    <w:bookmarkStart w:id="74" w:name="page75"/>
    <w:bookmarkEnd w:id="74"/>
    <w:p>
      <w:pPr>
        <w:ind w:left="10120"/>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be amended, restated, modified, or supplemented from time to time,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29, 2020 (the “</w:t>
      </w:r>
      <w:r>
        <w:rPr>
          <w:rFonts w:ascii="Arial" w:cs="Arial" w:eastAsia="Arial" w:hAnsi="Arial"/>
          <w:sz w:val="18"/>
          <w:szCs w:val="18"/>
          <w:b w:val="1"/>
          <w:bCs w:val="1"/>
          <w:color w:val="auto"/>
        </w:rPr>
        <w:t>Effective Date</w:t>
      </w:r>
      <w:r>
        <w:rPr>
          <w:rFonts w:ascii="Arial" w:cs="Arial" w:eastAsia="Arial" w:hAnsi="Arial"/>
          <w:sz w:val="18"/>
          <w:szCs w:val="18"/>
          <w:color w:val="auto"/>
        </w:rPr>
        <w:t>”) among Solar Capital Ltd., a Maryland corporation, with an office located at 500 Park Avenue, 3rd Floor, New York, NY 10022 (“</w:t>
      </w:r>
      <w:r>
        <w:rPr>
          <w:rFonts w:ascii="Arial" w:cs="Arial" w:eastAsia="Arial" w:hAnsi="Arial"/>
          <w:sz w:val="18"/>
          <w:szCs w:val="18"/>
          <w:b w:val="1"/>
          <w:bCs w:val="1"/>
          <w:color w:val="auto"/>
        </w:rPr>
        <w:t>Solar</w:t>
      </w:r>
      <w:r>
        <w:rPr>
          <w:rFonts w:ascii="Arial" w:cs="Arial" w:eastAsia="Arial" w:hAnsi="Arial"/>
          <w:sz w:val="18"/>
          <w:szCs w:val="18"/>
          <w:color w:val="auto"/>
        </w:rPr>
        <w:t>”),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the lenders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hereof or otherwise a party hereto from time to time including Solar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SI-BONE, Inc., a Delaware corporation, with offices located at 471 El Camino Real, Suite 101, Santa Clara, CA 95050, and other borrowers party hereto from time to time (individually and 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 and the Guarantors party hereto from time to time, provides the terms on which the Lenders shall lend to Borrower and Borrower shall repay the Lenders. The parties agree as follows:</w:t>
      </w:r>
    </w:p>
    <w:p>
      <w:pPr>
        <w:spacing w:after="0" w:line="165"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OTHER TERMS</w:t>
      </w:r>
    </w:p>
    <w:p>
      <w:pPr>
        <w:spacing w:after="0" w:line="2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1.1 Terms. </w:t>
      </w:r>
      <w:r>
        <w:rPr>
          <w:rFonts w:ascii="Arial" w:cs="Arial" w:eastAsia="Arial" w:hAnsi="Arial"/>
          <w:sz w:val="16"/>
          <w:szCs w:val="16"/>
          <w:color w:val="auto"/>
        </w:rPr>
        <w:t>Capitalized terms used herein shall have the meanings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defined therein. All other capitalized terms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No. 159 (or any similar accounting principle) permitting a Person to value its financial liabilities or Indebtedness at the fair value thereof and (b) the financial statements delivered hereunder shall be prepared without giving effect to the implementation of Accounting Standards Codification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For the avoidance of doubt, and without limitation of the foregoing, Permitted Convertible Debt shall at all times be valued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full stated principle amount thereof and shall not include any reduction or appreciation in value of the shares deliverable upon conversion thereof.</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1.2 Section References. </w:t>
      </w:r>
      <w:r>
        <w:rPr>
          <w:rFonts w:ascii="Arial" w:cs="Arial" w:eastAsia="Arial" w:hAnsi="Arial"/>
          <w:sz w:val="18"/>
          <w:szCs w:val="18"/>
          <w:color w:val="auto"/>
        </w:rPr>
        <w:t>Any section, subsection, schedule or exhibit references are to this Agreement unless otherwise specified.</w:t>
      </w:r>
    </w:p>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1.3 Divisions</w:t>
      </w:r>
      <w:r>
        <w:rPr>
          <w:rFonts w:ascii="Arial" w:cs="Arial" w:eastAsia="Arial" w:hAnsi="Arial"/>
          <w:sz w:val="18"/>
          <w:szCs w:val="18"/>
          <w:color w:val="auto"/>
        </w:rPr>
        <w:t>. For all purposes under the Loan Documents, in connection with any division or plan of division under Delaware law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1.4 Definitions. </w:t>
      </w:r>
      <w:r>
        <w:rPr>
          <w:rFonts w:ascii="Arial" w:cs="Arial" w:eastAsia="Arial" w:hAnsi="Arial"/>
          <w:sz w:val="18"/>
          <w:szCs w:val="18"/>
          <w:color w:val="auto"/>
        </w:rPr>
        <w:t>The following terms are defined in the Sections or subsections referenced opposite such terms: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69" w:right="339" w:bottom="1440" w:gutter="0" w:footer="0" w:header="0"/>
        </w:sectPr>
      </w:pPr>
    </w:p>
    <w:bookmarkStart w:id="75" w:name="page76"/>
    <w:bookmarkEnd w:id="75"/>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Preamble</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12.1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Preamble</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Excess Payment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Section 7.7</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12.2</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Preamble</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 Report”</w:t>
      </w:r>
      <w:r>
        <w:rPr>
          <w:sz w:val="20"/>
          <w:szCs w:val="20"/>
          <w:color w:val="auto"/>
        </w:rPr>
        <w:tab/>
      </w:r>
      <w:r>
        <w:rPr>
          <w:rFonts w:ascii="Arial" w:cs="Arial" w:eastAsia="Arial" w:hAnsi="Arial"/>
          <w:sz w:val="16"/>
          <w:szCs w:val="16"/>
          <w:color w:val="auto"/>
        </w:rPr>
        <w:t>Exhibit B, Section 5</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2.3(b)</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Preamble</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Section 8</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12.2</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Preamble</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Transfer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12.1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Subsidiary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6.10</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E, Preamble</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Source Licenses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5.2(f)</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12.1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Section 5.1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Convertible Debt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Section 7.7</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12.1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Solar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Preamble</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Section 2.2(a)</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B, Section 8</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Section 7.1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Exhibit C, Section 7(b)(ii)(C)</w:t>
      </w:r>
    </w:p>
    <w:p>
      <w:pPr>
        <w:spacing w:after="0" w:line="63" w:lineRule="exact"/>
        <w:rPr>
          <w:sz w:val="20"/>
          <w:szCs w:val="20"/>
          <w:color w:val="auto"/>
        </w:rPr>
      </w:pPr>
    </w:p>
    <w:p>
      <w:pPr>
        <w:ind w:left="1180"/>
        <w:spacing w:after="0"/>
        <w:tabs>
          <w:tab w:leader="none" w:pos="64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Exhibit C, Section 1</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terms defined elsewhere in this Agreement, the following terms have the following meanings:</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under the Code, and includes, without limitation, all accounts receivable and other sums owing to any Loan Party.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Debtor</w:t>
      </w:r>
      <w:r>
        <w:rPr>
          <w:rFonts w:ascii="Arial" w:cs="Arial" w:eastAsia="Arial" w:hAnsi="Arial"/>
          <w:sz w:val="16"/>
          <w:szCs w:val="16"/>
          <w:color w:val="auto"/>
        </w:rPr>
        <w:t>” is any “account debtor” as defined in the Code with such additions to such term as may hereafter be made under the Code.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ACH Letter</w:t>
      </w:r>
      <w:r>
        <w:rPr>
          <w:rFonts w:ascii="Arial" w:cs="Arial" w:eastAsia="Arial" w:hAnsi="Arial"/>
          <w:sz w:val="18"/>
          <w:szCs w:val="18"/>
          <w:color w:val="auto"/>
        </w:rPr>
        <w:t xml:space="preserve">” is ACH debit authorization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21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ectPr>
          <w:pgSz w:w="11900" w:h="16838" w:orient="portrait"/>
          <w:cols w:equalWidth="0" w:num="1">
            <w:col w:w="11240"/>
          </w:cols>
          <w:pgMar w:left="320" w:top="823" w:right="339" w:bottom="1440" w:gutter="0" w:footer="0" w:header="0"/>
        </w:sectPr>
      </w:pPr>
    </w:p>
    <w:p>
      <w:pPr>
        <w:spacing w:after="0" w:line="369"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823" w:right="339" w:bottom="1440" w:gutter="0" w:footer="0" w:header="0"/>
          <w:type w:val="continuous"/>
        </w:sectPr>
      </w:pPr>
    </w:p>
    <w:bookmarkStart w:id="76" w:name="page77"/>
    <w:bookmarkEnd w:id="7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July 1, 2023.</w:t>
      </w:r>
    </w:p>
    <w:p>
      <w:pPr>
        <w:spacing w:after="0" w:line="21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are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4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Bond Hedge Transaction</w:t>
      </w:r>
      <w:r>
        <w:rPr>
          <w:rFonts w:ascii="Arial" w:cs="Arial" w:eastAsia="Arial" w:hAnsi="Arial"/>
          <w:sz w:val="18"/>
          <w:szCs w:val="18"/>
          <w:color w:val="auto"/>
        </w:rPr>
        <w:t>” has the meaning assigned to such term in the definition of “Permitted Call Spread Agreement”.</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4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commercial banks in New York, New York are required or authorized to be closed.</w:t>
      </w:r>
    </w:p>
    <w:p>
      <w:pPr>
        <w:spacing w:after="0" w:line="14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xml:space="preserve">” are (a) marketable direct obligations issued or unconditionally guaranteed by the United States or any agency or any State thereof having maturities of not more than one (1) year from the date of acquisition and having the highest rating from either Standard &amp; Poor’s Ratings Group or Moody’s Investors Service, Inc.; (b) commercial paper maturing no more than one (1) year after its creation and having the highest rating from either Standard &amp; Poor’s Ratings Group or Moody’s Investors Service, Inc., (c) certificates of deposit maturing no more than one (1) year after issue,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account in which any such certificate of deposit is maintained is subject to a Control Agreement in favor of Collateral Agent, and (d) any</w:t>
      </w:r>
      <w:r>
        <w:rPr>
          <w:rFonts w:ascii="Arial" w:cs="Arial" w:eastAsia="Arial" w:hAnsi="Arial"/>
          <w:sz w:val="17"/>
          <w:szCs w:val="17"/>
          <w:i w:val="1"/>
          <w:iCs w:val="1"/>
          <w:color w:val="auto"/>
        </w:rPr>
        <w:t xml:space="preserve"> </w:t>
      </w:r>
      <w:r>
        <w:rPr>
          <w:rFonts w:ascii="Arial" w:cs="Arial" w:eastAsia="Arial" w:hAnsi="Arial"/>
          <w:sz w:val="17"/>
          <w:szCs w:val="17"/>
          <w:color w:val="auto"/>
        </w:rPr>
        <w:t>money market or similar funds that exclusively hold any of the foregoing.</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xml:space="preserve">” is the Uniform Commercial Code, as the same may, from time to time, be enacted and in effect in the State of New York;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the Code is used to define any term herein or in any Loan Document and such term is defined differently in different Articles or Divisions of the Code, the definition of such term contained in Article or Division 9 shall govern;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each Loan Party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any Loan Party or any Subsidiary (other than any Excluded Foreign Subsidiary) at any time.</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is Solar, not in its individual capacity, but solely in its capacity as collateral agent on behalf of and for the ratable benefit of the Secured Parties.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is any “commodity account” as defined in the Code with such additions to such term as may hereafter be made under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 direct competitor of Borrower, as reasonably determined by Collateral Agent.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substantially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69" w:right="339" w:bottom="1440" w:gutter="0" w:footer="0" w:header="0"/>
        </w:sectPr>
      </w:pPr>
    </w:p>
    <w:bookmarkStart w:id="77" w:name="page78"/>
    <w:bookmarkEnd w:id="77"/>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means, with respect to Borrower and its Subsidiaries on a consolidated basis for any period, an amount equal to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each of the following to the extent deducted in calculating such Consolidated Net Income, without duplication: (i) Consolidated Net Interest Expense for such period; (ii) the sum of federal, state, local and foreign income Taxes accrued or paid in cash during such period; (iii) the amount of depreciation expense deducted in determining Consolidated Net Income for such period; (iv) the amount of amortization expense deducted in determining Consolidated Net Income for such period; (v) any non-cash stock compensation expense recorded pursuant to FASB 123R for such period; (vi) to the extent actually paid during such period, fees and expenses related to the consummation of the transactions contemplated to be closed on the Effective Date; (vii) transaction costs related to Permitted Acquisitions, Permitted Investments, Permitted Convertible Debt or any offering by Borrower of its Equity Interests during such period; and (viii) litigation costs.</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Net Income</w:t>
      </w:r>
      <w:r>
        <w:rPr>
          <w:rFonts w:ascii="Arial" w:cs="Arial" w:eastAsia="Arial" w:hAnsi="Arial"/>
          <w:sz w:val="17"/>
          <w:szCs w:val="17"/>
          <w:color w:val="auto"/>
        </w:rPr>
        <w:t xml:space="preserve">” means, with respect to Borrower and its Subsidiaries on a consolidated basis for any period, the net income (loss) of Borrower and its Subsidiaries for such period, determined on a consolidated basis and in accordance with GAAP, but </w:t>
      </w:r>
      <w:r>
        <w:rPr>
          <w:rFonts w:ascii="Arial" w:cs="Arial" w:eastAsia="Arial" w:hAnsi="Arial"/>
          <w:sz w:val="17"/>
          <w:szCs w:val="17"/>
          <w:u w:val="single" w:color="auto"/>
          <w:color w:val="auto"/>
        </w:rPr>
        <w:t>excluding</w:t>
      </w:r>
      <w:r>
        <w:rPr>
          <w:rFonts w:ascii="Arial" w:cs="Arial" w:eastAsia="Arial" w:hAnsi="Arial"/>
          <w:sz w:val="17"/>
          <w:szCs w:val="17"/>
          <w:color w:val="auto"/>
        </w:rPr>
        <w:t xml:space="preserve"> from the determination of Consolidated Net Income (without duplication): (a) any non-cash extraordinary or non-recurring gains or losses or non-cash gains or losses from Transfers for such period; (b) any restructuring charges; (c) effects of discontinued operations in such period; (d) any Tax refunds, net operating losses or other net Tax benefits received during such period on account of any prior period; and (e) the net income (or loss) of any Person accrued prior to the date (x) it becomes a Subsidiary of Borrower or (y) all or substantially all of the properties or assets of such Person are acquired by a Subsidiary of Borrower, in each case, determined on a consolidated basis and in accordance with GAAP.</w:t>
      </w:r>
    </w:p>
    <w:p>
      <w:pPr>
        <w:spacing w:after="0" w:line="14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Interest Expense</w:t>
      </w:r>
      <w:r>
        <w:rPr>
          <w:rFonts w:ascii="Arial" w:cs="Arial" w:eastAsia="Arial" w:hAnsi="Arial"/>
          <w:sz w:val="16"/>
          <w:szCs w:val="16"/>
          <w:color w:val="auto"/>
        </w:rPr>
        <w:t>” means, with respect to Borrower and its Subsidiaries on a consolidated basis for any period, total interest expense (including mark-to-market interest expense with respect to any warrants to purchase Equity Interests of Borrower), premium payments, debt discount, fees, charges and related expenses with respect to all outstanding Indebtedness (including Permitted Hedging Agreements) of Borrower and its Subsidiaries for such period, determined on a consolidated basis and in accordance with GAAP (including interest expense paid to Affiliates of Borrower), less interest income of Borrower and its Subsidiaries for such period, determined on a consolidated basis and in accordance with GAAP.</w:t>
      </w:r>
    </w:p>
    <w:p>
      <w:pPr>
        <w:spacing w:after="0" w:line="1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Consulting Royalties</w:t>
      </w:r>
      <w:r>
        <w:rPr>
          <w:rFonts w:ascii="Arial" w:cs="Arial" w:eastAsia="Arial" w:hAnsi="Arial"/>
          <w:sz w:val="17"/>
          <w:szCs w:val="17"/>
          <w:color w:val="auto"/>
        </w:rPr>
        <w:t xml:space="preserve">” means, with respect to any health care professional or other Person who is a counterparty to a health care professional consulting agreement or similar contract with Borrower or any of its Subsidiaries, royalty payments due to, or obligations to make royalty payments to or enter into agreements to pay royalties to, such Person arising out of consulting services provided to Borrower or any of its Subsidiaries relating to product development;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Consulting Royalties under any such agreement exceed more than ten percent (10%) of sales of the product identified in such agreement; </w:t>
      </w:r>
      <w:r>
        <w:rPr>
          <w:rFonts w:ascii="Arial" w:cs="Arial" w:eastAsia="Arial" w:hAnsi="Arial"/>
          <w:sz w:val="17"/>
          <w:szCs w:val="17"/>
          <w:i w:val="1"/>
          <w:iCs w:val="1"/>
          <w:color w:val="auto"/>
        </w:rPr>
        <w:t>provided further</w:t>
      </w:r>
      <w:r>
        <w:rPr>
          <w:rFonts w:ascii="Arial" w:cs="Arial" w:eastAsia="Arial" w:hAnsi="Arial"/>
          <w:sz w:val="17"/>
          <w:szCs w:val="17"/>
          <w:color w:val="auto"/>
        </w:rPr>
        <w:t>, that such agreements shall not provide for any transfer of Intellectual Property to such Person and such Person shall have no rights in any Intellectual Property other than non-exclusive licenses.</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in accordance with GAAP; but the amount may not exceed the maximum of the obligations under any guarantee or other support arrangement. Notwithstanding anything to the contrary in the foregoing, any Permitted Call Spread Agreement shall not constitute a Contingent Obligation of the Borrower.</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(a) the depository institution at which any Loan Party or any of its Subsidiaries (other than any Excluded Foreign Subsidiary) maintains a Deposit Account or the securities intermediary or commodity intermediary at which any Loan Party or any of its Subsidiaries (other than any Excluded Foreign Subsidiary) maintains a Securities Account or a Commodity Account, (b) such Loan Party or such Subsidiary, as applicable, and (c) Collateral Agent pursuant to which Collateral Agent, for the ratable benefit of the Secured Parties, obtains “control” (within the meaning of the Code) over such Deposit Account, Securities Account, or Commodity Account.</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69"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Cross-Default Reference Obligation</w:t>
      </w:r>
      <w:r>
        <w:rPr>
          <w:rFonts w:ascii="Arial" w:cs="Arial" w:eastAsia="Arial" w:hAnsi="Arial"/>
          <w:sz w:val="18"/>
          <w:szCs w:val="18"/>
          <w:color w:val="auto"/>
        </w:rPr>
        <w:t>” has the meaning assigned to such term in the definition of “Permitted Convertible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Account</w:t>
      </w:r>
      <w:r>
        <w:rPr>
          <w:rFonts w:ascii="Arial" w:cs="Arial" w:eastAsia="Arial" w:hAnsi="Arial"/>
          <w:sz w:val="16"/>
          <w:szCs w:val="16"/>
          <w:color w:val="auto"/>
        </w:rPr>
        <w:t>” is any “deposit account” as defined in the Code with such additions to such term as may hereafter be made under the Code.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set forth on the ACH Letter.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“Domestic Subsidiary” </w:t>
      </w:r>
      <w:r>
        <w:rPr>
          <w:rFonts w:ascii="Arial" w:cs="Arial" w:eastAsia="Arial" w:hAnsi="Arial"/>
          <w:sz w:val="18"/>
          <w:szCs w:val="18"/>
          <w:color w:val="auto"/>
        </w:rPr>
        <w:t>means any Subsidiary organized under the laws of the United States of America, any State thereof or the District of</w:t>
      </w:r>
      <w:r>
        <w:rPr>
          <w:rFonts w:ascii="Arial" w:cs="Arial" w:eastAsia="Arial" w:hAnsi="Arial"/>
          <w:sz w:val="18"/>
          <w:szCs w:val="18"/>
          <w:b w:val="1"/>
          <w:bCs w:val="1"/>
          <w:color w:val="auto"/>
        </w:rPr>
        <w:t xml:space="preserve"> </w:t>
      </w:r>
      <w:r>
        <w:rPr>
          <w:rFonts w:ascii="Arial" w:cs="Arial" w:eastAsia="Arial" w:hAnsi="Arial"/>
          <w:sz w:val="18"/>
          <w:szCs w:val="18"/>
          <w:color w:val="auto"/>
        </w:rPr>
        <w:t>Columbia.</w:t>
      </w:r>
    </w:p>
    <w:p>
      <w:pPr>
        <w:spacing w:after="0" w:line="1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xml:space="preserve">”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One Billion Dollars ($1,000,000,000);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“Eligible Assignee” shall not include, unless an Event of Default has occurred and is continuing, (i) any Loan Party or any Loan Party’s Affiliates or Subsidiaries, (ii) a Competitor or (iii) a Vulture Fund. Notwithstanding the foregoing, (x) in connection with any assignment by a Lender as a result of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sale, transfer, pledge or assignment under this clause (y) shall release such Lender from any of its obligations hereunder or substitute</w:t>
      </w:r>
      <w:r>
        <w:rPr>
          <w:rFonts w:ascii="Arial" w:cs="Arial" w:eastAsia="Arial" w:hAnsi="Arial"/>
          <w:sz w:val="16"/>
          <w:szCs w:val="16"/>
          <w:i w:val="1"/>
          <w:iCs w:val="1"/>
          <w:color w:val="auto"/>
        </w:rPr>
        <w:t xml:space="preserve"> </w:t>
      </w:r>
      <w:r>
        <w:rPr>
          <w:rFonts w:ascii="Arial" w:cs="Arial" w:eastAsia="Arial" w:hAnsi="Arial"/>
          <w:sz w:val="16"/>
          <w:szCs w:val="16"/>
          <w:color w:val="auto"/>
        </w:rPr>
        <w:t>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“equipment” as defined in the Code with such additions to such term as may hereafter be made under the Code, and includes without limitation all machinery, fixtures, goods, vehicles (including motor vehicles and trailers), and any interest in any of the foregoing.</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with respect to any Person,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(including through convertible securities), and all other rights, powers, privileges, interests, claims and other property in any manner arising therefrom or relating thereto. Notwithstanding the foregoing, in no event shall any indebtedness convertible or exchangeable into Equity Interests constitute “Equity Interests” hereunder.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1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Accounts</w:t>
      </w:r>
      <w:r>
        <w:rPr>
          <w:rFonts w:ascii="Arial" w:cs="Arial" w:eastAsia="Arial" w:hAnsi="Arial"/>
          <w:sz w:val="16"/>
          <w:szCs w:val="16"/>
          <w:color w:val="auto"/>
        </w:rPr>
        <w:t xml:space="preserve">” shall mean (a) any Collateral Account of any Loan Party or any Subsidiary that is used by such Person solely for payroll, payroll Taxes and other employee wage and benefit payments to or for the benefit of any Loan Party’s employees and as identified to Collateral Agent by Borrower as such in the Perfection Certificate;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deposited therein shall not exceed the amount reasonably expected to be due and payable for the next two (2) succeeding pay periods (including, for the avoidance of doubt, any amounts deposited for customary seasonal bonuses), (b) accounts (including trust accounts) used exclusively for escrow, customs, insurance or fiduciary purposes, merchant accounts, accounts used exclusively for compliance with any Requirements of Law to the extent such Requirements of Law prohibits the granting of a Lien thereon, (c) zero balance accounts and</w:t>
      </w:r>
    </w:p>
    <w:p>
      <w:pPr>
        <w:spacing w:after="0" w:line="3" w:lineRule="exact"/>
        <w:rPr>
          <w:sz w:val="20"/>
          <w:szCs w:val="20"/>
          <w:color w:val="auto"/>
        </w:rPr>
      </w:pPr>
    </w:p>
    <w:p>
      <w:pPr>
        <w:ind w:left="5760" w:right="4480" w:hanging="5752"/>
        <w:spacing w:after="0" w:line="804" w:lineRule="auto"/>
        <w:tabs>
          <w:tab w:leader="none" w:pos="2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Collateral Accounts and securities accounts held in jurisdictions outside the United States. 5</w:t>
      </w:r>
    </w:p>
    <w:p>
      <w:pPr>
        <w:sectPr>
          <w:pgSz w:w="11900" w:h="16838" w:orient="portrait"/>
          <w:cols w:equalWidth="0" w:num="1">
            <w:col w:w="11240"/>
          </w:cols>
          <w:pgMar w:left="320" w:top="769" w:right="339" w:bottom="1440" w:gutter="0" w:footer="0" w:header="0"/>
        </w:sectPr>
      </w:pPr>
    </w:p>
    <w:bookmarkStart w:id="79" w:name="page80"/>
    <w:bookmarkEnd w:id="79"/>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Foreign Subsidiary</w:t>
      </w:r>
      <w:r>
        <w:rPr>
          <w:rFonts w:ascii="Arial" w:cs="Arial" w:eastAsia="Arial" w:hAnsi="Arial"/>
          <w:sz w:val="18"/>
          <w:szCs w:val="18"/>
          <w:color w:val="auto"/>
        </w:rPr>
        <w:t>” means, with respect to any Loan Party, any Subsidiary of such Loan Party, at any date of determination, (a) that is a “controlled foreign corporation” as defined in Section 957(a) of the Internal Revenue Code, (b) that is a direct or indirect Subsidiary of a “controlled foreign corporation” as defined in Section 957(a) of the Internal Revenue Code, or (c) substantially all of the assets of which are (1) equity interests in one or more “controlled foreign corporations” as defined in Section 957(a) of the Internal Revenue Code, and/or (2) Indebtedness or accounts receivable owed by any CFC or other entity that is described in this definition.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shall mean (a) any subsidiary that is prohibited by any applicable law or, on the date such subsidiary is acquired (</w:t>
      </w:r>
      <w:r>
        <w:rPr>
          <w:rFonts w:ascii="Arial" w:cs="Arial" w:eastAsia="Arial" w:hAnsi="Arial"/>
          <w:sz w:val="17"/>
          <w:szCs w:val="17"/>
          <w:i w:val="1"/>
          <w:iCs w:val="1"/>
          <w:color w:val="auto"/>
        </w:rPr>
        <w:t>provided</w:t>
      </w:r>
      <w:r>
        <w:rPr>
          <w:rFonts w:ascii="Arial" w:cs="Arial" w:eastAsia="Arial" w:hAnsi="Arial"/>
          <w:sz w:val="17"/>
          <w:szCs w:val="17"/>
          <w:color w:val="auto"/>
        </w:rPr>
        <w:t>, that such prohibition is not be created in contemplation of such acquisition), its organizational documents, in each case, from guaranteeing the Obligations; (b) any subsidiary that is prohibited by any contractual obligation that existed on the date any such subsidiary is acquired (</w:t>
      </w:r>
      <w:r>
        <w:rPr>
          <w:rFonts w:ascii="Arial" w:cs="Arial" w:eastAsia="Arial" w:hAnsi="Arial"/>
          <w:sz w:val="17"/>
          <w:szCs w:val="17"/>
          <w:i w:val="1"/>
          <w:iCs w:val="1"/>
          <w:color w:val="auto"/>
        </w:rPr>
        <w:t>provided</w:t>
      </w:r>
      <w:r>
        <w:rPr>
          <w:rFonts w:ascii="Arial" w:cs="Arial" w:eastAsia="Arial" w:hAnsi="Arial"/>
          <w:sz w:val="17"/>
          <w:szCs w:val="17"/>
          <w:color w:val="auto"/>
        </w:rPr>
        <w:t>, that such prohibition is not created in contemplation of such acquisition) from guaranteeing the Obligations; (c) any subsidiary to the extent that the provision of any subsidiary guarantee of the Obligations would require the consent, approval, license or authorization of any governmental authority which has not been obtained, any subsidiary that is subject to such restrictions; (d) any Excluded Foreign Subsidiary; and (e) any subsidiary for which the provision of a subsidiary guarantee would result in a material adverse regulatory consequence to us or one of our subsidiaries, as applicable.</w:t>
      </w:r>
    </w:p>
    <w:p>
      <w:pPr>
        <w:spacing w:after="0" w:line="1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any Loan Party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thereto.</w:t>
      </w:r>
    </w:p>
    <w:p>
      <w:pPr>
        <w:spacing w:after="0" w:line="21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that certain Fee Letter dated the Effective Date, between each Loan Party and Solar, as amended, amended and restated, supplemented or otherwise modified from time to time.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First-Tier Foreign Subsidiary</w:t>
      </w:r>
      <w:r>
        <w:rPr>
          <w:rFonts w:ascii="Arial" w:cs="Arial" w:eastAsia="Arial" w:hAnsi="Arial"/>
          <w:sz w:val="17"/>
          <w:szCs w:val="17"/>
          <w:color w:val="auto"/>
        </w:rPr>
        <w:t>” means any Excluded Foreign Subsidiary, the capital stock of which is owned directly by any Loan Party.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Term Loan is made to or on account of Borrower which shall be a Business Day.</w:t>
      </w:r>
    </w:p>
    <w:p>
      <w:pPr>
        <w:spacing w:after="0" w:line="2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are all “general intangibles” as defined in the Code in effect on the date hereof with such additions to such term as may hereafter be made under the Code,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federal, state, municipal, national or other government, governmental department, commission, board, bureau, court, agency or instrumentality or political subdivision thereof (including the FDA) or any entity or officer exercising executive, legislative, judicial, regulatory or administrative functions of or pertaining to any government or any court, in each case whether associated with a state or locality of the United States, the United States, or a foreign government.</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69" w:right="339" w:bottom="1440" w:gutter="0" w:footer="0" w:header="0"/>
        </w:sectPr>
      </w:pPr>
    </w:p>
    <w:bookmarkStart w:id="80" w:name="page81"/>
    <w:bookmarkEnd w:id="80"/>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other Person providing a Guaranty in favor of Collateral Agent for the benefit of the Secured Parties (including without limitation pursuant to Section 6.10) but excluding any Excluded Subsidiary.</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up to the amount of the liability in respect thereof that would at that time be required to be capitalized on a balance sheet in accordance with GAAP as in effect on December 31, 2019, (d) non-contingent obligations of such Person to reimburse any bank or other Person in respect of amounts paid under a letter of credit, banker’s acceptance or similar instrument, (e) equity securities of such Person subject to repurchase or redemption other than at the sole option of such Person, (f) obligations secured by a Lien on any asset of such Person, whether or not such obligation is otherwise an obligation of such Person, (g) “earnouts”, purchase price adjustments, profit sharing arrangements, deferred purchase money amounts and similar payment obligations or continuing obligations of any nature of such Person arising out of purchase and sale contracts, (h) all Indebtedness of others guaranteed by such Person, (i) off-balance sheet liabilities and/or pension plan or multiemployer plan liabilities of such Person to the extent such liabilities could reasonably be expected to have a Material Adverse Change, and (j) Contingent Obligations. In no event shall obligations under any Permitted Call Spread Agreement constitute Indebtedness.</w:t>
      </w:r>
    </w:p>
    <w:p>
      <w:pPr>
        <w:spacing w:after="0" w:line="16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each Loan Party’s or any of its Subsidiaries’ right, title and interest in and to the following:</w:t>
      </w:r>
    </w:p>
    <w:p>
      <w:pPr>
        <w:spacing w:after="0" w:line="216" w:lineRule="exact"/>
        <w:rPr>
          <w:sz w:val="20"/>
          <w:szCs w:val="20"/>
          <w:color w:val="auto"/>
        </w:rPr>
      </w:pPr>
    </w:p>
    <w:p>
      <w:pPr>
        <w:ind w:left="1940" w:hanging="662"/>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11" w:lineRule="exact"/>
        <w:rPr>
          <w:rFonts w:ascii="Arial" w:cs="Arial" w:eastAsia="Arial" w:hAnsi="Arial"/>
          <w:sz w:val="18"/>
          <w:szCs w:val="18"/>
          <w:color w:val="auto"/>
        </w:rPr>
      </w:pPr>
    </w:p>
    <w:p>
      <w:pPr>
        <w:ind w:left="1940" w:hanging="662"/>
        <w:spacing w:after="0"/>
        <w:tabs>
          <w:tab w:leader="none" w:pos="19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operating manuals;</w:t>
      </w:r>
    </w:p>
    <w:p>
      <w:pPr>
        <w:spacing w:after="0" w:line="237" w:lineRule="exact"/>
        <w:rPr>
          <w:rFonts w:ascii="Arial" w:cs="Arial" w:eastAsia="Arial" w:hAnsi="Arial"/>
          <w:sz w:val="16"/>
          <w:szCs w:val="16"/>
          <w:color w:val="auto"/>
        </w:rPr>
      </w:pPr>
    </w:p>
    <w:p>
      <w:pPr>
        <w:ind w:left="1940" w:hanging="662"/>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52" w:lineRule="exact"/>
        <w:rPr>
          <w:rFonts w:ascii="Arial" w:cs="Arial" w:eastAsia="Arial" w:hAnsi="Arial"/>
          <w:sz w:val="18"/>
          <w:szCs w:val="18"/>
          <w:color w:val="auto"/>
        </w:rPr>
      </w:pPr>
    </w:p>
    <w:p>
      <w:pPr>
        <w:ind w:left="1940" w:hanging="662"/>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Loan Party;</w:t>
      </w:r>
    </w:p>
    <w:p>
      <w:pPr>
        <w:spacing w:after="0" w:line="252" w:lineRule="exact"/>
        <w:rPr>
          <w:rFonts w:ascii="Arial" w:cs="Arial" w:eastAsia="Arial" w:hAnsi="Arial"/>
          <w:sz w:val="18"/>
          <w:szCs w:val="18"/>
          <w:color w:val="auto"/>
        </w:rPr>
      </w:pPr>
    </w:p>
    <w:p>
      <w:pPr>
        <w:ind w:firstLine="1278"/>
        <w:spacing w:after="0" w:line="277" w:lineRule="auto"/>
        <w:tabs>
          <w:tab w:leader="none" w:pos="19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97" w:lineRule="exact"/>
        <w:rPr>
          <w:rFonts w:ascii="Arial" w:cs="Arial" w:eastAsia="Arial" w:hAnsi="Arial"/>
          <w:sz w:val="18"/>
          <w:szCs w:val="18"/>
          <w:color w:val="auto"/>
        </w:rPr>
      </w:pPr>
    </w:p>
    <w:p>
      <w:pPr>
        <w:ind w:left="1940" w:hanging="662"/>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Security Agreement</w:t>
      </w:r>
      <w:r>
        <w:rPr>
          <w:rFonts w:ascii="Arial" w:cs="Arial" w:eastAsia="Arial" w:hAnsi="Arial"/>
          <w:sz w:val="17"/>
          <w:szCs w:val="17"/>
          <w:color w:val="auto"/>
        </w:rPr>
        <w:t>” means that certain Intellectual Property Security Agreement dated as of the Effective Date between the Loan Parties and Collateral Agent, as the same may from time to time be amended, restated, modified or otherwise supplemented.</w:t>
      </w:r>
    </w:p>
    <w:p>
      <w:pPr>
        <w:spacing w:after="0" w:line="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Intercompany Subordination Agreement</w:t>
      </w:r>
      <w:r>
        <w:rPr>
          <w:rFonts w:ascii="Arial" w:cs="Arial" w:eastAsia="Arial" w:hAnsi="Arial"/>
          <w:sz w:val="17"/>
          <w:szCs w:val="17"/>
          <w:color w:val="auto"/>
        </w:rPr>
        <w:t>” means that certain Intercompany Subordination Agreement, dated as of the date hereof among Borrower, each Subsidiary and Collateral Agent, as amended, amended and restated, supplemented or otherwise modified from time to time.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38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69" w:right="339" w:bottom="1440" w:gutter="0" w:footer="0" w:header="0"/>
        </w:sectPr>
      </w:pPr>
    </w:p>
    <w:bookmarkStart w:id="81" w:name="page82"/>
    <w:bookmarkEnd w:id="8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President and Chief Executive Officer, who is Jeffrey W. Dunn as of the Effective Date, and (ii) Chief Financial Officer, who is Laura A. Francis as of the Effective Date.</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to the “best of” the applicable Loan Party’s knowledge, or with a similar qualification, knowledge or awareness means the actual knowledge, after reasonable investigation, of the Responsible Officers.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 all reasonable audit fees and expenses, costs, and expenses (including reasonable attorneys’ fees and expenses (whether generated in house or by outside counsel), as well as appraisal fees, fees incurred on account of lien searches, inspection fees, and filing fees) for preparing, amending, negotiating and administering the Loan Documents, and (b) all fees and expenses (including attorneys’ fees and expenses, as well as appraisal fees, fees incurred on account of lien searches, inspection fees, and filing fees) for defending and enforcing the Loan Documents (including, without limitation, those incurred in connection with appeals or Insolvency Proceedings) or otherwise incurred by Collateral Agent and/or the Lenders in connection with the Loan Documents.</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Rate</w:t>
      </w:r>
      <w:r>
        <w:rPr>
          <w:rFonts w:ascii="Arial" w:cs="Arial" w:eastAsia="Arial" w:hAnsi="Arial"/>
          <w:sz w:val="16"/>
          <w:szCs w:val="16"/>
          <w:color w:val="auto"/>
        </w:rPr>
        <w:t>” means the greater of (a) 0.33% and (b) the per annum rate published by the Intercontinental Exchange Benchmark Administration Ltd. (the “</w:t>
      </w:r>
      <w:r>
        <w:rPr>
          <w:rFonts w:ascii="Arial" w:cs="Arial" w:eastAsia="Arial" w:hAnsi="Arial"/>
          <w:sz w:val="16"/>
          <w:szCs w:val="16"/>
          <w:b w:val="1"/>
          <w:bCs w:val="1"/>
          <w:color w:val="auto"/>
        </w:rPr>
        <w:t>Service</w:t>
      </w:r>
      <w:r>
        <w:rPr>
          <w:rFonts w:ascii="Arial" w:cs="Arial" w:eastAsia="Arial" w:hAnsi="Arial"/>
          <w:sz w:val="16"/>
          <w:szCs w:val="16"/>
          <w:color w:val="auto"/>
        </w:rPr>
        <w:t xml:space="preserve">”) (or on any successor or substitute page of such Service, or any successor to or substitute for such Service, as determined by Collateral Agent) for a term of one month, which determination by Collateral Agent shall be conclusive in the absence of manifest error;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Lenders notify Collateral Agent that Lenders have determined that (x) Lenders are unable to determine or ascertain such rate, (y) the applicable regulator has made public statements to the effect that the rate published by the Service is no longer used for determining interest rates for loans or (z) by reason of circumstances affecting the foreign exchange and interbank markets generally, deposits in eurodollars in the applicable amounts or for the relative maturities are not being offered for such period, then the LIBOR Rate shall be equal to an alternate benchmark rate and spread agreed between Collateral Agent and the Loan Parties (which may include SOFR, to the extent publicly available quotes of SOFR exist at the relevant time), giving due consideration to (i) market convention or (ii) selection, endorsement or recommendation by a Relevant Governmental Body. Such alternative benchmark rate and spread shall be binding unless the Required Lenders object within five (5) days following notification of such amendment.</w:t>
      </w:r>
    </w:p>
    <w:p>
      <w:pPr>
        <w:spacing w:after="0" w:line="1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4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the Fee Letter, each Control Agreement, the Pledge Agreement, the Intellectual Property Security Agreement, the Perfection Certificates, each Compliance Certificate, the ACH Letter, each Loan Payment Request Form, any Guarantees, the Intercompany Subordination Agreement and any other subordination agreements, any note, or notes or guaranties executed by any Loan Party or any other Person, any agreements creating or perfecting rights in the Collateral (including all insurance certificates and endorsements, landlord consents and bailee consents) and any other present or future agreement entered into by any Loan Party or any other Person for the benefit of the Lenders and Collateral Agent, as applicable, in connection with this Agreement; all as amended, restated, or otherwise modified.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Party</w:t>
      </w:r>
      <w:r>
        <w:rPr>
          <w:rFonts w:ascii="Arial" w:cs="Arial" w:eastAsia="Arial" w:hAnsi="Arial"/>
          <w:sz w:val="17"/>
          <w:szCs w:val="17"/>
          <w:color w:val="auto"/>
        </w:rPr>
        <w:t>” means, individually, Borrower and each Guarantor and “</w:t>
      </w:r>
      <w:r>
        <w:rPr>
          <w:rFonts w:ascii="Arial" w:cs="Arial" w:eastAsia="Arial" w:hAnsi="Arial"/>
          <w:sz w:val="17"/>
          <w:szCs w:val="17"/>
          <w:b w:val="1"/>
          <w:bCs w:val="1"/>
          <w:color w:val="auto"/>
        </w:rPr>
        <w:t>Loan Parties</w:t>
      </w:r>
      <w:r>
        <w:rPr>
          <w:rFonts w:ascii="Arial" w:cs="Arial" w:eastAsia="Arial" w:hAnsi="Arial"/>
          <w:sz w:val="17"/>
          <w:szCs w:val="17"/>
          <w:color w:val="auto"/>
        </w:rPr>
        <w:t>” means, collectively, Borrower and each Guarantor.</w:t>
      </w:r>
    </w:p>
    <w:p>
      <w:pPr>
        <w:spacing w:after="0" w:line="21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Party’s Books</w:t>
      </w:r>
      <w:r>
        <w:rPr>
          <w:rFonts w:ascii="Arial" w:cs="Arial" w:eastAsia="Arial" w:hAnsi="Arial"/>
          <w:sz w:val="18"/>
          <w:szCs w:val="18"/>
          <w:color w:val="auto"/>
        </w:rPr>
        <w:t>” are, with respect to any Loan Party, such Loan Party’s or any of its Subsidiaries’ books and records including ledgers, federal, state, local and foreign tax returns, records regarding such Loan Party’s or its Subsidiaries’ assets or liabilities, the Collateral, business operations or financial condition, and all computer programs or storage or any equipment containing such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69" w:right="339" w:bottom="1440" w:gutter="0" w:footer="0" w:header="0"/>
        </w:sectPr>
      </w:pPr>
    </w:p>
    <w:bookmarkStart w:id="82" w:name="page83"/>
    <w:bookmarkEnd w:id="82"/>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adverse change in the business, operations or condition (financial or otherwise) of Borrower and its Subsidiaries, when taken as a whole; (b) a material impairment of (i) the prospect of repayment of any portion of the Obligations, (ii) the legality, validity or enforceability of any Loan Document, (iii) the rights and remedies of Collateral Agent or Lenders under any Loan Document except as the result of the action or inaction of the Collateral Agent or Lenders, (iv) the validity, perfection or priority of any Lien in favor of Collateral Agent for the benefit of the Secured Parties on any of the Collateral except as the result of the action or inaction of the Collateral Agent or Lenders; or (c) a “Change in Control”, “Fundamental Change” and/or “Make-Whole Fundamental Change” (each howsoever defined) under any indenture governing any Permitted Convertible Debt, in each case to the extent any repayment or payment obligation could result in connection with the occurrence of such event.</w:t>
      </w:r>
    </w:p>
    <w:p>
      <w:pPr>
        <w:spacing w:after="0" w:line="1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Agreement</w:t>
      </w:r>
      <w:r>
        <w:rPr>
          <w:rFonts w:ascii="Arial" w:cs="Arial" w:eastAsia="Arial" w:hAnsi="Arial"/>
          <w:sz w:val="18"/>
          <w:szCs w:val="18"/>
          <w:color w:val="auto"/>
        </w:rPr>
        <w:t>” is any license, agreement or other contractual arrangement required to be disclosed (including amendments thereto) under regulations promulgated under the Securities Act of 1933 or Securities Exchange Act of 1934, as may be amended; provided, however, that “Material Agreements” shall exclude all real estate leases.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June 1, 2025.</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Date</w:t>
      </w:r>
      <w:r>
        <w:rPr>
          <w:rFonts w:ascii="Arial" w:cs="Arial" w:eastAsia="Arial" w:hAnsi="Arial"/>
          <w:sz w:val="18"/>
          <w:szCs w:val="18"/>
          <w:color w:val="auto"/>
        </w:rPr>
        <w:t>” is the last day of each month.</w:t>
      </w:r>
    </w:p>
    <w:p>
      <w:pPr>
        <w:spacing w:after="0" w:line="21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Product Revenue</w:t>
      </w:r>
      <w:r>
        <w:rPr>
          <w:rFonts w:ascii="Arial" w:cs="Arial" w:eastAsia="Arial" w:hAnsi="Arial"/>
          <w:sz w:val="18"/>
          <w:szCs w:val="18"/>
          <w:color w:val="auto"/>
        </w:rPr>
        <w:t>” means, with respect to the Loan Parties, product revenue (determined under GAAP) with respect to the sale of surgical devices and products of the Borrower and its Subsidiaries. For the avoidance of doubt, Net Product Revenue excludes any Consulting Royalties and any other royalties.</w:t>
      </w:r>
    </w:p>
    <w:p>
      <w:pPr>
        <w:spacing w:after="0" w:line="14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all of each Loan Party’s obligations to pay when due any debts, principal, interest, Lenders’ Expenses, the Prepayment Premium, all fees under the Fee Letter, and any other amounts such Loan Party owes the Collateral Agent or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any Loan Party assigned to the Lenders and/or Collateral Agent in connection with this Agreement and the other Loan Documents, and the performance of such Loan Party’s duties under the Loan Documents.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1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right="20" w:firstLine="8"/>
        <w:spacing w:after="0" w:line="260" w:lineRule="auto"/>
        <w:tabs>
          <w:tab w:leader="none" w:pos="2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such Person is a partnership, its partnership agreement (or similar agreement), each of the foregoing with all current amendments or modifications thereto.</w:t>
      </w:r>
    </w:p>
    <w:p>
      <w:pPr>
        <w:spacing w:after="0" w:line="16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re-examination certificates, utility models, extensions and continuations-in-part of the same.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23"/>
          <w:szCs w:val="23"/>
          <w:color w:val="auto"/>
          <w:vertAlign w:val="superscript"/>
        </w:rPr>
        <w:t>st</w:t>
      </w:r>
      <w:r>
        <w:rPr>
          <w:rFonts w:ascii="Arial" w:cs="Arial" w:eastAsia="Arial" w:hAnsi="Arial"/>
          <w:sz w:val="18"/>
          <w:szCs w:val="18"/>
          <w:color w:val="auto"/>
        </w:rPr>
        <w:t>) calendar day of each calendar month, commencing on July 1, 2020.</w:t>
      </w:r>
    </w:p>
    <w:p>
      <w:pPr>
        <w:spacing w:after="0" w:line="36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69" w:right="339" w:bottom="1440" w:gutter="0" w:footer="0" w:header="0"/>
        </w:sectPr>
      </w:pPr>
    </w:p>
    <w:bookmarkStart w:id="83" w:name="page84"/>
    <w:bookmarkEnd w:id="83"/>
    <w:p>
      <w:pPr>
        <w:jc w:val="both"/>
        <w:ind w:firstLine="648"/>
        <w:spacing w:after="0" w:line="284" w:lineRule="auto"/>
        <w:rPr>
          <w:sz w:val="20"/>
          <w:szCs w:val="20"/>
          <w:color w:val="auto"/>
        </w:rPr>
      </w:pPr>
      <w:r>
        <w:rPr>
          <w:rFonts w:ascii="Arial" w:cs="Arial" w:eastAsia="Arial" w:hAnsi="Arial"/>
          <w:sz w:val="16"/>
          <w:szCs w:val="16"/>
          <w:b w:val="1"/>
          <w:bCs w:val="1"/>
          <w:color w:val="auto"/>
        </w:rPr>
        <w:t>“Permitted Acquisition</w:t>
      </w:r>
      <w:r>
        <w:rPr>
          <w:rFonts w:ascii="Arial" w:cs="Arial" w:eastAsia="Arial" w:hAnsi="Arial"/>
          <w:sz w:val="16"/>
          <w:szCs w:val="16"/>
          <w:color w:val="auto"/>
        </w:rPr>
        <w:t>” means an acquisition by Borrower or any Subsidiary of any Intellectual Property or all or substantially all of the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all of the ownership interests in, or a business line, product line (including rights in respect of any medical device) or unit or division of another Person (including any foreign corporations) for cash consideration (including (x) any purchase price adjustments, indemnity payments and earn-out obligations in connection therewith and (y) any liability assumed in connection therewith, including without limitation any Indebtedness permitted under clause (p) of the definition of Permitted Indebtedness) up to Ten Million Dollars ($10,000,000) in any fiscal year (or such greater amount as may be agreed with the prior written consent of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Event of Default or event that with the passage of time would result in an Event of Default shall exist immediately before or immediately after the consummation of such acquisition, (b) such acquired Person or assets shall be in the same line of business as is conducted by Borrower as of the Effective Date (or a line of business reasonably related thereto), (c) such acquisition shall not cause the focus or locations of Borrower’s and its Subsidiaries’ operations (when taken as a whole) to be located outside of the United States, (d) such acquisition shall not constitute a hostile acquisition, (e) any Person acquired as a result of such acquisition shall become a secured Guarantor subject to the terms herein, (f) in connection with such acquisition, neither Borrower nor any of its Subsidiaries (including for this purpose, the target of the acquisition) shall acquire or be subject to any Indebtedness or Liens that are not otherwise permitted hereunder, (g) both immediately prior to and immediately upon giving effect to the consummation of such acquisition, Borrower is in compliance with Section 7.13, (h) to the extent the total consideration (including (x) any purchase price adjustments, indemnity payments and earn-out obligations in connection therewith and (y) any liability assumed in connection therewith, including without limitation any Indebtedness permitted under clause (p) of the definition of Permitted Indebtedness) in any fiscal year for acquisitions exceeds $5,000,000, the pro forma Consolidated EBITDA of Borrower immediately after consummation of such acquisition shall be greater than (and, for the avoidance of doubt, in the case of loss, less loss than) the Consolidated EBITDA of Borrower immediately prior to giving effect to such acquisition, (i) Borrower has notified the Lenders at least ten (10) Business Days in advance of entering into such transaction, which notice shall include a reasonably detailed description of such transaction and, to the extent the total consideration (including (x) any purchase price adjustments, indemnity payments and earn-out obligations in connection therewith and (y) any liability assumed in connection therewith, including without limitation any Indebtedness permitted under clause (p) of the definition of Permitted Indebtedness) in any fiscal year for acquisitions exceeds $5,000,000, updated pro forma projections for Borrower and its Subsidiaries evidencing the conditions set forth in the immediately preceding clauses (g) and (h), (j) all transactions related to such acquisition shall be consummated in all material respects in accordance with applicable law, and (k) Borrower shall provide to the Lenders as soon as available but in any event not later than five (5) Business Days after the execution thereof, a copy of the executed purchase agreement or similar agreement with respect to any such acquisition. Notwithstanding the foregoing and for the avoidance of doubt, in no event shall Borrower or any of its Subsidiaries assume any liabilities with respect to any acquisition, including without limitation, any Permitted Indebtedness, in excess of Five Million Dollars ($5,000,000) in any fiscal year.</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Call Spread Agreements</w:t>
      </w:r>
      <w:r>
        <w:rPr>
          <w:rFonts w:ascii="Arial" w:cs="Arial" w:eastAsia="Arial" w:hAnsi="Arial"/>
          <w:sz w:val="16"/>
          <w:szCs w:val="16"/>
          <w:color w:val="auto"/>
        </w:rPr>
        <w:t>” means (a) any call option transaction (including, but not limited to, any bond hedge transaction or capped call transaction) pursuant to which the Borrower acquires an option requiring the counterparty thereto to deliver to the Borrower shares of common stock of the Borrower (or other securities or property following a merger event or other change of the common stock of the Borrower), the cash value thereof or a combination thereof from time to time upon exercise of such option entered into by the Borrower in connection with the issuance of Permitted Convertible Debt (such transaction, a “</w:t>
      </w:r>
      <w:r>
        <w:rPr>
          <w:rFonts w:ascii="Arial" w:cs="Arial" w:eastAsia="Arial" w:hAnsi="Arial"/>
          <w:sz w:val="16"/>
          <w:szCs w:val="16"/>
          <w:u w:val="single" w:color="auto"/>
          <w:color w:val="auto"/>
        </w:rPr>
        <w:t>Bond Hedge Transaction</w:t>
      </w:r>
      <w:r>
        <w:rPr>
          <w:rFonts w:ascii="Arial" w:cs="Arial" w:eastAsia="Arial" w:hAnsi="Arial"/>
          <w:sz w:val="16"/>
          <w:szCs w:val="16"/>
          <w:color w:val="auto"/>
        </w:rPr>
        <w:t>”) and (b) any issued warrants to acquire common stock of the Borrower (or other securities or property following a merger event or other change of the common stock of the Borrower) (whether such warrant is settled in shares, cash or a combination thereof) issued by the Borrower in connection with the issuance of Permitted Convertible Debt (such transaction, a “</w:t>
      </w:r>
      <w:r>
        <w:rPr>
          <w:rFonts w:ascii="Arial" w:cs="Arial" w:eastAsia="Arial" w:hAnsi="Arial"/>
          <w:sz w:val="16"/>
          <w:szCs w:val="16"/>
          <w:u w:val="single" w:color="auto"/>
          <w:color w:val="auto"/>
        </w:rPr>
        <w:t>Warrant Transaction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terms, conditions and covenants of each such call option transaction are customary for agreements of such type, as determined by the board of directors of Borrower (or a committee thereof) in good faith, (ii) the purchase price for such Bond Hedge Transaction, less the proceeds received by the Borrower from the sale of any related Warrant Transaction, does not exceed the net proceeds received by the Borrower from the issuance of the related Permitted Convertible Debt and (iii)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such warrants would be classified as an equity instrument in accordance with GAAP.</w:t>
      </w:r>
    </w:p>
    <w:p>
      <w:pPr>
        <w:spacing w:after="0" w:line="35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69" w:right="339" w:bottom="1440" w:gutter="0" w:footer="0" w:header="0"/>
        </w:sectPr>
      </w:pPr>
    </w:p>
    <w:bookmarkStart w:id="84" w:name="page85"/>
    <w:bookmarkEnd w:id="84"/>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Convertible Debt</w:t>
      </w:r>
      <w:r>
        <w:rPr>
          <w:rFonts w:ascii="Arial" w:cs="Arial" w:eastAsia="Arial" w:hAnsi="Arial"/>
          <w:sz w:val="16"/>
          <w:szCs w:val="16"/>
          <w:color w:val="auto"/>
        </w:rPr>
        <w:t xml:space="preserve">” means any unsecured notes issued by the Borrower that are convertible into a fixed number (subject to customary anti-dilution adjustments, “make-whole” increases and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must satisfy each of the following conditions: (i) both immediately prior to and after giving effect (including pro forma effect) to the issuance thereof, no Default or Event of Default shall exist or result therefrom, (ii) such Indebtedness matures after, and does not require any scheduled amortization or other scheduled or otherwise required payments of principal prior to, or have a scheduled maturity date earlier than, the date that is 180 calendar days after the Maturity Date (it being understood that none of (x) any provision requiring an offer to purchase such Indebtedness as a result of change of control or other fundamental change, which purchase is settled on a date no earlier than the date twenty (20) Business Days following the occurrence of such change of control or other fundamental change, (y) any conversion rights of the holders of any Permitted Convertible Debt and (z) any provisions providing for acceleration upon an event of default thereunder, in each case, shall violate the foregoing restriction), (iii)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Arial" w:cs="Arial" w:eastAsia="Arial" w:hAnsi="Arial"/>
          <w:sz w:val="16"/>
          <w:szCs w:val="16"/>
          <w:b w:val="1"/>
          <w:bCs w:val="1"/>
          <w:color w:val="auto"/>
        </w:rPr>
        <w:t>Cross-Default Reference Obligation</w:t>
      </w:r>
      <w:r>
        <w:rPr>
          <w:rFonts w:ascii="Arial" w:cs="Arial" w:eastAsia="Arial" w:hAnsi="Arial"/>
          <w:sz w:val="16"/>
          <w:szCs w:val="16"/>
          <w:color w:val="auto"/>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(iv) the terms, conditions and covenants (other than pricing terms determined through a customary marketing process) of such Indebtedness must be customary for convertible Indebtedness of such type at the time of issuance (as determined by the board of directors of the Borrower, or a committee thereof, in good faith) and, (v) such Indebtedness is not guaranteed by any Subsidiary of the Borrower unless the Obligations are guaranteed by such Subsidiary on a secured basis.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Distributions</w:t>
      </w:r>
      <w:r>
        <w:rPr>
          <w:rFonts w:ascii="Arial" w:cs="Arial" w:eastAsia="Arial" w:hAnsi="Arial"/>
          <w:sz w:val="18"/>
          <w:szCs w:val="18"/>
          <w:color w:val="auto"/>
        </w:rPr>
        <w:t>” are:</w:t>
      </w:r>
    </w:p>
    <w:p>
      <w:pPr>
        <w:spacing w:after="0" w:line="229" w:lineRule="exact"/>
        <w:rPr>
          <w:sz w:val="20"/>
          <w:szCs w:val="20"/>
          <w:color w:val="auto"/>
        </w:rPr>
      </w:pPr>
    </w:p>
    <w:p>
      <w:pPr>
        <w:ind w:left="900" w:hanging="244"/>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646"/>
        <w:spacing w:after="0" w:line="277" w:lineRule="auto"/>
        <w:tabs>
          <w:tab w:leader="none" w:pos="9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payment of dividends by Borrower solely in non-cash pay and non-redeemable capital stock (including, for the avoidance of doubt, dividends and distributions payable solely in Equity Interests);</w:t>
      </w:r>
    </w:p>
    <w:p>
      <w:pPr>
        <w:spacing w:after="0" w:line="170" w:lineRule="exact"/>
        <w:rPr>
          <w:rFonts w:ascii="Arial" w:cs="Arial" w:eastAsia="Arial" w:hAnsi="Arial"/>
          <w:sz w:val="18"/>
          <w:szCs w:val="18"/>
          <w:color w:val="auto"/>
        </w:rPr>
      </w:pPr>
    </w:p>
    <w:p>
      <w:pPr>
        <w:jc w:val="both"/>
        <w:ind w:firstLine="646"/>
        <w:spacing w:after="0" w:line="255" w:lineRule="auto"/>
        <w:tabs>
          <w:tab w:leader="none" w:pos="8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 redemption or repurchase of Equity Interests or options or other equity or phantom equity in respect of its Equity Interests by Borrower from current or former officers, employees, directors and consultants of Borrower, so long as (A) an Event of Default does not exist at the time of such redemption or repurchase and would not exist after giving effect to such redemption or repurchase and (B) the amount paid for all such redemptions and repurchases shall not exceed Five Hundred Thousand Dollars ($500,000) in the aggregate, in any fiscal year of Borrower and (ii) purchase of unvested equity awards by Borrower from terminated employees, so long as such purchase is below the then-listed price of the Borrower’s Equity Interests on a national exchange;</w:t>
      </w:r>
    </w:p>
    <w:p>
      <w:pPr>
        <w:spacing w:after="0" w:line="192" w:lineRule="exact"/>
        <w:rPr>
          <w:rFonts w:ascii="Arial" w:cs="Arial" w:eastAsia="Arial" w:hAnsi="Arial"/>
          <w:sz w:val="18"/>
          <w:szCs w:val="18"/>
          <w:color w:val="auto"/>
        </w:rPr>
      </w:pPr>
    </w:p>
    <w:p>
      <w:pPr>
        <w:jc w:val="both"/>
        <w:ind w:firstLine="656"/>
        <w:spacing w:after="0" w:line="301" w:lineRule="auto"/>
        <w:tabs>
          <w:tab w:leader="none" w:pos="90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repurchase or other acquisition of Equity Interests deemed to occur (A) upon the exercise of stock options, warrants, restricted stock units or other rights to purchase Equity Interests if such Equity Interests represent a portion of the exercise price thereof or conversion price thereof and (B) in connection with any tax withholding imposed, levied, collected, withheld or assessed by any Governmental Authority upon the grant of or any exercise or vesting of any Equity Interests (or options in respect thereof) of current or former officers, employees, directors and consultants of Borrower;</w:t>
      </w:r>
    </w:p>
    <w:p>
      <w:pPr>
        <w:spacing w:after="0" w:line="157" w:lineRule="exact"/>
        <w:rPr>
          <w:rFonts w:ascii="Arial" w:cs="Arial" w:eastAsia="Arial" w:hAnsi="Arial"/>
          <w:sz w:val="16"/>
          <w:szCs w:val="16"/>
          <w:color w:val="auto"/>
        </w:rPr>
      </w:pPr>
    </w:p>
    <w:p>
      <w:pPr>
        <w:ind w:firstLine="656"/>
        <w:spacing w:after="0" w:line="277" w:lineRule="auto"/>
        <w:tabs>
          <w:tab w:leader="none" w:pos="9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payments in lieu of the issuance of fractional shares in connection with the exercise of warrants, options or other securities convertible into or exchangeable for Equity Interests;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connection with any Permitted Acquisition by Borrower or any of its Subsidiaries, (A) the receipt or acceptance of the return to Borrower or any of its Subsidiaries of Equity Interests of Borrower constituting a portion of the purchase price consideration in settlement of indemnification claims, or as a result of a purchase price adjustment (including earn-outs or similar obligations) and (B) payments or distributions to equity holders pursuant to appraisal rights required under Requirements of Law; and</w:t>
      </w:r>
    </w:p>
    <w:p>
      <w:pPr>
        <w:spacing w:after="0" w:line="186" w:lineRule="exact"/>
        <w:rPr>
          <w:rFonts w:ascii="Arial" w:cs="Arial" w:eastAsia="Arial" w:hAnsi="Arial"/>
          <w:sz w:val="18"/>
          <w:szCs w:val="18"/>
          <w:color w:val="auto"/>
        </w:rPr>
      </w:pPr>
    </w:p>
    <w:p>
      <w:pPr>
        <w:ind w:right="20" w:firstLine="65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distribution of rights pursuant to any shareholder rights plan or the redemption of such rights for nominal consideration in accordance with the terms of any shareholder rights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Subsidiaries shall be permitted to, directly or indirectly, pay dividends or make distributions to any Loan Party.</w:t>
      </w: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69" w:right="339" w:bottom="1440" w:gutter="0" w:footer="0" w:header="0"/>
        </w:sectPr>
      </w:pPr>
    </w:p>
    <w:bookmarkStart w:id="85" w:name="page86"/>
    <w:bookmarkEnd w:id="85"/>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Hedging Agreement</w:t>
      </w:r>
      <w:r>
        <w:rPr>
          <w:rFonts w:ascii="Arial" w:cs="Arial" w:eastAsia="Arial" w:hAnsi="Arial"/>
          <w:sz w:val="17"/>
          <w:szCs w:val="17"/>
          <w:color w:val="auto"/>
        </w:rPr>
        <w:t xml:space="preserve">” means any currency agreement, all rate swap transactions or other contract or arrangement designed solely to protect a Person against fluctuations in currency exchange rates and interest rate risk, and any confirmation executed in connection with any such agreement, contract, or arrangement, in each case, entered into by Borrower or any of its Subsidiaries solely to hedge or mitigate the risks of foreign exchange rate fluctuations and interest rate risk and not for any speculative or other purposes;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contract or arrangement shall comply in all respects with the hedging policies or guidelines as are approved by the board of directors or as are approved by Lender (such approval not to be unreasonably withheld, delayed or conditioned); </w:t>
      </w:r>
      <w:r>
        <w:rPr>
          <w:rFonts w:ascii="Arial" w:cs="Arial" w:eastAsia="Arial" w:hAnsi="Arial"/>
          <w:sz w:val="17"/>
          <w:szCs w:val="17"/>
          <w:i w:val="1"/>
          <w:iCs w:val="1"/>
          <w:color w:val="auto"/>
        </w:rPr>
        <w:t>provided further</w:t>
      </w:r>
      <w:r>
        <w:rPr>
          <w:rFonts w:ascii="Arial" w:cs="Arial" w:eastAsia="Arial" w:hAnsi="Arial"/>
          <w:sz w:val="17"/>
          <w:szCs w:val="17"/>
          <w:color w:val="auto"/>
        </w:rPr>
        <w:t>, that all accrued and reasonably expected liabilities of Borrower or its Subsidiaries arising under Permitted Hedging Agreements shall not exceed Seven Hundred Fifty Thousand Dollars ($750,000) in the aggregate. For the avoidance of doubt, no Permitted Call Spread Agreement shall constitute a Permitted Hedging Agreement.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02" w:lineRule="exact"/>
        <w:rPr>
          <w:sz w:val="20"/>
          <w:szCs w:val="20"/>
          <w:color w:val="auto"/>
        </w:rPr>
      </w:pPr>
    </w:p>
    <w:p>
      <w:pPr>
        <w:ind w:left="1300" w:hanging="654"/>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Loan Parties’ Indebtedness to the Lenders and Collateral Agent under this Agreement and the other Loan Documents;</w:t>
      </w:r>
    </w:p>
    <w:p>
      <w:pPr>
        <w:spacing w:after="0" w:line="211" w:lineRule="exact"/>
        <w:rPr>
          <w:rFonts w:ascii="Arial" w:cs="Arial" w:eastAsia="Arial" w:hAnsi="Arial"/>
          <w:sz w:val="18"/>
          <w:szCs w:val="18"/>
          <w:color w:val="auto"/>
        </w:rPr>
      </w:pPr>
    </w:p>
    <w:p>
      <w:pPr>
        <w:ind w:left="1300" w:hanging="654"/>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w:t>
      </w:r>
    </w:p>
    <w:p>
      <w:pPr>
        <w:spacing w:after="0" w:line="252" w:lineRule="exact"/>
        <w:rPr>
          <w:rFonts w:ascii="Arial" w:cs="Arial" w:eastAsia="Arial" w:hAnsi="Arial"/>
          <w:sz w:val="18"/>
          <w:szCs w:val="18"/>
          <w:color w:val="auto"/>
        </w:rPr>
      </w:pPr>
    </w:p>
    <w:p>
      <w:pPr>
        <w:ind w:left="1300" w:hanging="654"/>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52" w:lineRule="exact"/>
        <w:rPr>
          <w:rFonts w:ascii="Arial" w:cs="Arial" w:eastAsia="Arial" w:hAnsi="Arial"/>
          <w:sz w:val="18"/>
          <w:szCs w:val="18"/>
          <w:color w:val="auto"/>
        </w:rPr>
      </w:pPr>
    </w:p>
    <w:p>
      <w:pPr>
        <w:ind w:firstLine="646"/>
        <w:spacing w:after="0" w:line="277" w:lineRule="auto"/>
        <w:tabs>
          <w:tab w:leader="none" w:pos="1293"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secured and unsecured Indebtedness in connection with credit cards incurred in the ordinary course of business in an aggregate amount not to exceed One Million Dollars ($1,000,000);</w:t>
      </w:r>
    </w:p>
    <w:p>
      <w:pPr>
        <w:spacing w:after="0" w:line="197" w:lineRule="exact"/>
        <w:rPr>
          <w:rFonts w:ascii="Arial" w:cs="Arial" w:eastAsia="Arial" w:hAnsi="Arial"/>
          <w:sz w:val="18"/>
          <w:szCs w:val="18"/>
          <w:color w:val="auto"/>
        </w:rPr>
      </w:pPr>
    </w:p>
    <w:p>
      <w:pPr>
        <w:jc w:val="both"/>
        <w:ind w:firstLine="646"/>
        <w:spacing w:after="0" w:line="291" w:lineRule="auto"/>
        <w:tabs>
          <w:tab w:leader="none" w:pos="1283"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any Loan Party or any of its Subsidiaries to finance the acquisition, repair, improvement or construction of fixed or capital assets or software of such person; provided that</w:t>
      </w:r>
    </w:p>
    <w:p>
      <w:pPr>
        <w:jc w:val="both"/>
        <w:ind w:firstLine="8"/>
        <w:spacing w:after="0" w:line="302" w:lineRule="auto"/>
        <w:tabs>
          <w:tab w:leader="none" w:pos="21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aggregate outstanding principal amount of all such Indebtedness does not exceed One Million Dollars ($1,000,000)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95" w:lineRule="exact"/>
        <w:rPr>
          <w:rFonts w:ascii="Arial" w:cs="Arial" w:eastAsia="Arial" w:hAnsi="Arial"/>
          <w:sz w:val="16"/>
          <w:szCs w:val="16"/>
          <w:color w:val="auto"/>
        </w:rPr>
      </w:pPr>
    </w:p>
    <w:p>
      <w:pPr>
        <w:ind w:left="1300" w:hanging="654"/>
        <w:spacing w:after="0"/>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the Loan Parties’ business;</w:t>
      </w:r>
    </w:p>
    <w:p>
      <w:pPr>
        <w:spacing w:after="0" w:line="263" w:lineRule="exact"/>
        <w:rPr>
          <w:rFonts w:ascii="Arial" w:cs="Arial" w:eastAsia="Arial" w:hAnsi="Arial"/>
          <w:sz w:val="17"/>
          <w:szCs w:val="17"/>
          <w:color w:val="auto"/>
        </w:rPr>
      </w:pPr>
    </w:p>
    <w:p>
      <w:pPr>
        <w:ind w:right="20" w:firstLine="646"/>
        <w:spacing w:after="0" w:line="277" w:lineRule="auto"/>
        <w:tabs>
          <w:tab w:leader="none" w:pos="12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Unsecured intercompany Indebtedness subject to the Intercompany Subordination Agreement that constitutes a Permitted Investment under clause (l), (m) and (o) of the term “Permitted Investments”;</w:t>
      </w:r>
    </w:p>
    <w:p>
      <w:pPr>
        <w:spacing w:after="0" w:line="197" w:lineRule="exact"/>
        <w:rPr>
          <w:rFonts w:ascii="Arial" w:cs="Arial" w:eastAsia="Arial" w:hAnsi="Arial"/>
          <w:sz w:val="18"/>
          <w:szCs w:val="18"/>
          <w:color w:val="auto"/>
        </w:rPr>
      </w:pPr>
    </w:p>
    <w:p>
      <w:pPr>
        <w:jc w:val="both"/>
        <w:ind w:firstLine="646"/>
        <w:spacing w:after="0" w:line="263" w:lineRule="auto"/>
        <w:tabs>
          <w:tab w:leader="none" w:pos="12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Indebtedness (without duplication of clause (k) of the definition of Permitted Liens) in respect of letters of credit, bank guarantees and similar instruments issued for the account of the Borrower or any Subsidiary in the ordinary course of business not to exceed Seven Hundred Fifty Thousand Dollars ($750,000);</w:t>
      </w:r>
    </w:p>
    <w:p>
      <w:pPr>
        <w:spacing w:after="0" w:line="210" w:lineRule="exact"/>
        <w:rPr>
          <w:rFonts w:ascii="Arial" w:cs="Arial" w:eastAsia="Arial" w:hAnsi="Arial"/>
          <w:sz w:val="18"/>
          <w:szCs w:val="18"/>
          <w:color w:val="auto"/>
        </w:rPr>
      </w:pPr>
    </w:p>
    <w:p>
      <w:pPr>
        <w:ind w:left="1300" w:hanging="65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advances or deposits received in the ordinary course of business from customers or vendors;</w:t>
      </w:r>
    </w:p>
    <w:p>
      <w:pPr>
        <w:spacing w:after="0" w:line="252" w:lineRule="exact"/>
        <w:rPr>
          <w:rFonts w:ascii="Arial" w:cs="Arial" w:eastAsia="Arial" w:hAnsi="Arial"/>
          <w:sz w:val="18"/>
          <w:szCs w:val="18"/>
          <w:color w:val="auto"/>
        </w:rPr>
      </w:pPr>
    </w:p>
    <w:p>
      <w:pPr>
        <w:jc w:val="both"/>
        <w:ind w:firstLine="646"/>
        <w:spacing w:after="0" w:line="259"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 and Indebtedness arising in connection with automated clearing house transfer of funds or the use of other payment processing services;</w:t>
      </w:r>
    </w:p>
    <w:p>
      <w:pPr>
        <w:spacing w:after="0" w:line="213" w:lineRule="exact"/>
        <w:rPr>
          <w:rFonts w:ascii="Arial" w:cs="Arial" w:eastAsia="Arial" w:hAnsi="Arial"/>
          <w:sz w:val="18"/>
          <w:szCs w:val="18"/>
          <w:color w:val="auto"/>
        </w:rPr>
      </w:pPr>
    </w:p>
    <w:p>
      <w:pPr>
        <w:ind w:left="1300" w:hanging="65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Indebtedness arising in connection with the financing of insurance premiums in the ordinary course of business;</w:t>
      </w:r>
    </w:p>
    <w:p>
      <w:pPr>
        <w:spacing w:after="0" w:line="252" w:lineRule="exact"/>
        <w:rPr>
          <w:rFonts w:ascii="Arial" w:cs="Arial" w:eastAsia="Arial" w:hAnsi="Arial"/>
          <w:sz w:val="18"/>
          <w:szCs w:val="18"/>
          <w:color w:val="auto"/>
        </w:rPr>
      </w:pPr>
    </w:p>
    <w:p>
      <w:pPr>
        <w:ind w:right="20" w:firstLine="646"/>
        <w:spacing w:after="0" w:line="277"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completion guarantees and similar obligations arising in the ordinary course of business;</w:t>
      </w:r>
    </w:p>
    <w:p>
      <w:pPr>
        <w:spacing w:after="0" w:line="210" w:lineRule="exact"/>
        <w:rPr>
          <w:rFonts w:ascii="Arial" w:cs="Arial" w:eastAsia="Arial" w:hAnsi="Arial"/>
          <w:sz w:val="18"/>
          <w:szCs w:val="18"/>
          <w:color w:val="auto"/>
        </w:rPr>
      </w:pPr>
    </w:p>
    <w:p>
      <w:pPr>
        <w:ind w:left="1300" w:hanging="65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other unsecured Indebtedness at any time not to exceed One Million Dollars ($1,000,000) in the aggregate;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69" w:right="339" w:bottom="1440" w:gutter="0" w:footer="0" w:header="0"/>
        </w:sectPr>
      </w:pPr>
    </w:p>
    <w:bookmarkStart w:id="86" w:name="page87"/>
    <w:bookmarkEnd w:id="86"/>
    <w:p>
      <w:pPr>
        <w:jc w:val="both"/>
        <w:ind w:left="-360" w:firstLine="646"/>
        <w:spacing w:after="0" w:line="257" w:lineRule="auto"/>
        <w:tabs>
          <w:tab w:leader="none" w:pos="93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Indebtedness consisting of Contingent Obligations set forth in clause (a) of the definition of “Contingent Obligation” (i) of a Loan Party of Permitted Indebtedness of another Loan Party, (ii) of a Subsidiary of Borrower which is not a Loan Party of Permitted Indebtedness of another Subsidiary of Borrower which is not a Loan Party, (iii) of a Subsidiary of Borrower which is not a Loan Party of Permitted Indebtedness of a Loan Party and (iv) of a Loan Party of Permitted Indebtedness and non-debt obligations of a Subsidiary of Borrower which is not a Loan Party in an amount not to exceed Five Hundred Thousand ($500,000) in any fiscal year;</w:t>
      </w:r>
    </w:p>
    <w:p>
      <w:pPr>
        <w:spacing w:after="0" w:line="214" w:lineRule="exact"/>
        <w:rPr>
          <w:rFonts w:ascii="Arial" w:cs="Arial" w:eastAsia="Arial" w:hAnsi="Arial"/>
          <w:sz w:val="18"/>
          <w:szCs w:val="18"/>
          <w:color w:val="auto"/>
        </w:rPr>
      </w:pPr>
    </w:p>
    <w:p>
      <w:pPr>
        <w:ind w:left="-360" w:firstLine="646"/>
        <w:spacing w:after="0" w:line="277" w:lineRule="auto"/>
        <w:tabs>
          <w:tab w:leader="none" w:pos="93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Indebtedness consisting of Contingent Obligations (i) set forth in clause (b) of the definition of “Contingent Obligation” and (ii) set forth in clause (c) of the definition of “Contingent Obligation” in connection with any Permitted Acquisition;</w:t>
      </w:r>
    </w:p>
    <w:p>
      <w:pPr>
        <w:spacing w:after="0" w:line="197" w:lineRule="exact"/>
        <w:rPr>
          <w:rFonts w:ascii="Arial" w:cs="Arial" w:eastAsia="Arial" w:hAnsi="Arial"/>
          <w:sz w:val="18"/>
          <w:szCs w:val="18"/>
          <w:color w:val="auto"/>
        </w:rPr>
      </w:pPr>
    </w:p>
    <w:p>
      <w:pPr>
        <w:jc w:val="both"/>
        <w:ind w:left="-360" w:firstLine="646"/>
        <w:spacing w:after="0" w:line="269" w:lineRule="auto"/>
        <w:tabs>
          <w:tab w:leader="none" w:pos="933"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Indebtedness of any Person that becomes a Subsidiary (or of any Person not previously a Subsidiary that is merged or consolidated with or into a Subsidiary in a transaction permitted hereunder) of Borrower after the Effective Date, or Indebtedness of any Person that is assumed after the Effective Date by any Subsidiary in connection with an acquisition of assets by such Subsidiary, in either case, in a Permitted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Indebtedness exists at the time such Person becomes a Subsidiary (or such merger or consolidation) or such assets are acquired and is not created in contemplation of or in connection with such Person becoming a Subsidiary (or such merger or consolidation) or such assets being acquired or such Indebtedness arises as a result of an earn-out or similar arrangement, (ii) either: (A) no Subsidiary of Borrower (other than a Subsidiary without significant assets formed in order to effect such acquisition, including by way of a merger) or Borrower shall guarantee or otherwise become liable for the payment of such Indebtedness or (B) if any other Subsidiary of Borrower becomes liable for or guarantees such Indebtedness, its liability or guarantee with respect to such Indebtedness shall at all times be subordinated to its obligations hereunder, if any, pursuant to a subordination, intercreditor or other similar agreement in form and substance reasonably satisfactory to Lender and (iii) the creation, incurrence, assumption or guarantee of, or the liability with respect to, such Indebtedness would not otherwise result in an Event of Default;</w:t>
      </w:r>
    </w:p>
    <w:p>
      <w:pPr>
        <w:spacing w:after="0" w:line="208" w:lineRule="exact"/>
        <w:rPr>
          <w:rFonts w:ascii="Arial" w:cs="Arial" w:eastAsia="Arial" w:hAnsi="Arial"/>
          <w:sz w:val="17"/>
          <w:szCs w:val="17"/>
          <w:color w:val="auto"/>
        </w:rPr>
      </w:pPr>
    </w:p>
    <w:p>
      <w:pPr>
        <w:jc w:val="both"/>
        <w:ind w:left="-360" w:firstLine="646"/>
        <w:spacing w:after="0" w:line="286" w:lineRule="auto"/>
        <w:tabs>
          <w:tab w:leader="none" w:pos="933"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Borrower or any of its Subsidiaries, pursuant to reimbursement or indemnification obligations to such Person, in each case, in the ordinary course of business;</w:t>
      </w:r>
    </w:p>
    <w:p>
      <w:pPr>
        <w:spacing w:after="0" w:line="205" w:lineRule="exact"/>
        <w:rPr>
          <w:rFonts w:ascii="Arial" w:cs="Arial" w:eastAsia="Arial" w:hAnsi="Arial"/>
          <w:sz w:val="17"/>
          <w:szCs w:val="17"/>
          <w:color w:val="auto"/>
        </w:rPr>
      </w:pPr>
    </w:p>
    <w:p>
      <w:pPr>
        <w:ind w:left="940" w:hanging="65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obligations in respect of Consulting Royalties;</w:t>
      </w:r>
    </w:p>
    <w:p>
      <w:pPr>
        <w:spacing w:after="0" w:line="252" w:lineRule="exact"/>
        <w:rPr>
          <w:rFonts w:ascii="Arial" w:cs="Arial" w:eastAsia="Arial" w:hAnsi="Arial"/>
          <w:sz w:val="18"/>
          <w:szCs w:val="18"/>
          <w:color w:val="auto"/>
        </w:rPr>
      </w:pPr>
    </w:p>
    <w:p>
      <w:pPr>
        <w:ind w:left="940" w:hanging="65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52" w:lineRule="exact"/>
        <w:rPr>
          <w:rFonts w:ascii="Arial" w:cs="Arial" w:eastAsia="Arial" w:hAnsi="Arial"/>
          <w:sz w:val="18"/>
          <w:szCs w:val="18"/>
          <w:color w:val="auto"/>
        </w:rPr>
      </w:pPr>
    </w:p>
    <w:p>
      <w:pPr>
        <w:jc w:val="both"/>
        <w:ind w:left="-360" w:firstLine="646"/>
        <w:spacing w:after="0" w:line="263" w:lineRule="auto"/>
        <w:tabs>
          <w:tab w:leader="none" w:pos="9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extensions, refinancings, modifications, amendments and restatements of any items of Permitted Indebtedness (a) through (s) above,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principal amount thereof is not increased or the terms thereof are not modified to impose materially more burdensome terms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Loan Party, or its Subsidiary, as the case may be;</w:t>
      </w:r>
    </w:p>
    <w:p>
      <w:pPr>
        <w:spacing w:after="0" w:line="210" w:lineRule="exact"/>
        <w:rPr>
          <w:rFonts w:ascii="Arial" w:cs="Arial" w:eastAsia="Arial" w:hAnsi="Arial"/>
          <w:sz w:val="18"/>
          <w:szCs w:val="18"/>
          <w:color w:val="auto"/>
        </w:rPr>
      </w:pPr>
    </w:p>
    <w:p>
      <w:pPr>
        <w:ind w:left="-360" w:firstLine="646"/>
        <w:spacing w:after="0" w:line="277" w:lineRule="auto"/>
        <w:tabs>
          <w:tab w:leader="none" w:pos="933"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Permitted Convertible Debt in aggregate principal amount not to exceed Two Hundred Million Dollars ($200,000,000) in principal amount at any time outstanding;</w:t>
      </w:r>
    </w:p>
    <w:p>
      <w:pPr>
        <w:spacing w:after="0" w:line="197" w:lineRule="exact"/>
        <w:rPr>
          <w:rFonts w:ascii="Arial" w:cs="Arial" w:eastAsia="Arial" w:hAnsi="Arial"/>
          <w:sz w:val="18"/>
          <w:szCs w:val="18"/>
          <w:color w:val="auto"/>
        </w:rPr>
      </w:pPr>
    </w:p>
    <w:p>
      <w:pPr>
        <w:ind w:left="-360" w:right="20" w:firstLine="646"/>
        <w:spacing w:after="0" w:line="308" w:lineRule="auto"/>
        <w:tabs>
          <w:tab w:leader="none" w:pos="933"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Indebtedness of Subsidiaries subject to the Intercompany Subordination Agreement owed to Loan Parties and their Subsidiaries in connection with the sale of Inventory in the ordinary course of business, and in each case, solely to the extent constituting a Permitted Investment;</w:t>
      </w:r>
    </w:p>
    <w:p>
      <w:pPr>
        <w:spacing w:after="0" w:line="173" w:lineRule="exact"/>
        <w:rPr>
          <w:rFonts w:ascii="Arial" w:cs="Arial" w:eastAsia="Arial" w:hAnsi="Arial"/>
          <w:sz w:val="17"/>
          <w:szCs w:val="17"/>
          <w:color w:val="auto"/>
        </w:rPr>
      </w:pPr>
    </w:p>
    <w:p>
      <w:pPr>
        <w:ind w:left="-360" w:firstLine="646"/>
        <w:spacing w:after="0" w:line="258" w:lineRule="auto"/>
        <w:tabs>
          <w:tab w:leader="none" w:pos="933"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price adjustments, indemnity payments and earn-out obligations in connection with any Permitted Acquisition (to the extent not in excess of the consideration limitations set forth in the definition thereof); and</w:t>
      </w:r>
    </w:p>
    <w:p>
      <w:pPr>
        <w:spacing w:after="0" w:line="1" w:lineRule="exact"/>
        <w:rPr>
          <w:rFonts w:ascii="Arial" w:cs="Arial" w:eastAsia="Arial" w:hAnsi="Arial"/>
          <w:sz w:val="18"/>
          <w:szCs w:val="18"/>
          <w:color w:val="auto"/>
        </w:rPr>
      </w:pPr>
    </w:p>
    <w:p>
      <w:pPr>
        <w:ind w:left="940" w:hanging="65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Permitted Hedging Agreements.</w:t>
      </w: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56" w:lineRule="exact"/>
        <w:rPr>
          <w:sz w:val="20"/>
          <w:szCs w:val="20"/>
          <w:color w:val="auto"/>
        </w:rPr>
      </w:pPr>
    </w:p>
    <w:p>
      <w:pPr>
        <w:ind w:left="940" w:hanging="65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 and existing on the Effective Date;</w:t>
      </w:r>
    </w:p>
    <w:p>
      <w:pPr>
        <w:spacing w:after="0" w:line="211" w:lineRule="exact"/>
        <w:rPr>
          <w:rFonts w:ascii="Arial" w:cs="Arial" w:eastAsia="Arial" w:hAnsi="Arial"/>
          <w:sz w:val="18"/>
          <w:szCs w:val="18"/>
          <w:color w:val="auto"/>
        </w:rPr>
      </w:pPr>
    </w:p>
    <w:p>
      <w:pPr>
        <w:ind w:left="-360" w:firstLine="646"/>
        <w:spacing w:after="0" w:line="342" w:lineRule="auto"/>
        <w:tabs>
          <w:tab w:leader="none" w:pos="933"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Investments permitted by the Loan Parties’ investment policy, as amended from time to time, provided that such investment policy (and any such amendment thereto) has been approved in writing by Collateral Agent;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680" w:top="773" w:right="339" w:bottom="1440" w:gutter="0" w:footer="0" w:header="0"/>
        </w:sectPr>
      </w:pPr>
    </w:p>
    <w:bookmarkStart w:id="87" w:name="page88"/>
    <w:bookmarkEnd w:id="87"/>
    <w:p>
      <w:pPr>
        <w:ind w:left="-360" w:firstLine="646"/>
        <w:spacing w:after="0" w:line="277" w:lineRule="auto"/>
        <w:tabs>
          <w:tab w:leader="none" w:pos="9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the Loan Parties’ business;</w:t>
      </w:r>
    </w:p>
    <w:p>
      <w:pPr>
        <w:spacing w:after="0" w:line="156" w:lineRule="exact"/>
        <w:rPr>
          <w:rFonts w:ascii="Arial" w:cs="Arial" w:eastAsia="Arial" w:hAnsi="Arial"/>
          <w:sz w:val="18"/>
          <w:szCs w:val="18"/>
          <w:color w:val="auto"/>
        </w:rPr>
      </w:pPr>
    </w:p>
    <w:p>
      <w:pPr>
        <w:ind w:left="-360" w:firstLine="646"/>
        <w:spacing w:after="0" w:line="277" w:lineRule="auto"/>
        <w:tabs>
          <w:tab w:leader="none" w:pos="9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consisting of Collateral Accounts in which Collateral Agent has a perfected Lien (subject to the terms of this Agreement) for the ratable benefit of the Secured Parties except as permitted in Section 6.6 hereof;</w:t>
      </w:r>
    </w:p>
    <w:p>
      <w:pPr>
        <w:spacing w:after="0" w:line="143" w:lineRule="exact"/>
        <w:rPr>
          <w:rFonts w:ascii="Arial" w:cs="Arial" w:eastAsia="Arial" w:hAnsi="Arial"/>
          <w:sz w:val="18"/>
          <w:szCs w:val="18"/>
          <w:color w:val="auto"/>
        </w:rPr>
      </w:pPr>
    </w:p>
    <w:p>
      <w:pPr>
        <w:ind w:left="940" w:hanging="65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11" w:lineRule="exact"/>
        <w:rPr>
          <w:rFonts w:ascii="Arial" w:cs="Arial" w:eastAsia="Arial" w:hAnsi="Arial"/>
          <w:sz w:val="18"/>
          <w:szCs w:val="18"/>
          <w:color w:val="auto"/>
        </w:rPr>
      </w:pPr>
    </w:p>
    <w:p>
      <w:pPr>
        <w:jc w:val="both"/>
        <w:ind w:left="-360" w:firstLine="646"/>
        <w:spacing w:after="0" w:line="259" w:lineRule="auto"/>
        <w:tabs>
          <w:tab w:leader="none" w:pos="9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Five Hundred Thousand Dollars ($500,000) in the aggregate for (i) and (ii) in any fiscal year;</w:t>
      </w:r>
    </w:p>
    <w:p>
      <w:pPr>
        <w:spacing w:after="0" w:line="173" w:lineRule="exact"/>
        <w:rPr>
          <w:rFonts w:ascii="Arial" w:cs="Arial" w:eastAsia="Arial" w:hAnsi="Arial"/>
          <w:sz w:val="18"/>
          <w:szCs w:val="18"/>
          <w:color w:val="auto"/>
        </w:rPr>
      </w:pPr>
    </w:p>
    <w:p>
      <w:pPr>
        <w:ind w:left="-360" w:firstLine="646"/>
        <w:spacing w:after="0" w:line="308" w:lineRule="auto"/>
        <w:tabs>
          <w:tab w:leader="none" w:pos="933"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19" w:lineRule="exact"/>
        <w:rPr>
          <w:rFonts w:ascii="Arial" w:cs="Arial" w:eastAsia="Arial" w:hAnsi="Arial"/>
          <w:sz w:val="17"/>
          <w:szCs w:val="17"/>
          <w:color w:val="auto"/>
        </w:rPr>
      </w:pPr>
    </w:p>
    <w:p>
      <w:pPr>
        <w:ind w:left="-360" w:firstLine="646"/>
        <w:spacing w:after="0" w:line="308" w:lineRule="auto"/>
        <w:tabs>
          <w:tab w:leader="none" w:pos="933"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(h) shall not apply to Investments of any Loan Party in any Subsidiary;</w:t>
      </w:r>
    </w:p>
    <w:p>
      <w:pPr>
        <w:spacing w:after="0" w:line="132" w:lineRule="exact"/>
        <w:rPr>
          <w:rFonts w:ascii="Arial" w:cs="Arial" w:eastAsia="Arial" w:hAnsi="Arial"/>
          <w:sz w:val="17"/>
          <w:szCs w:val="17"/>
          <w:color w:val="auto"/>
        </w:rPr>
      </w:pPr>
    </w:p>
    <w:p>
      <w:pPr>
        <w:jc w:val="both"/>
        <w:ind w:left="-360" w:firstLine="646"/>
        <w:spacing w:after="0" w:line="263" w:lineRule="auto"/>
        <w:tabs>
          <w:tab w:leader="none" w:pos="9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in joint ventures or strategic alliances in the ordinary course of the Loan Parties’ business consisting of the non-exclusive licensing of technology, the development of technology or the providing of technical support; provided that any cash investments by Borrower and its Subsidiaries do not exceed Five Hundred Thousand Dollars ($500,000) in the aggregate in any fiscal year;</w:t>
      </w:r>
    </w:p>
    <w:p>
      <w:pPr>
        <w:spacing w:after="0" w:line="170" w:lineRule="exact"/>
        <w:rPr>
          <w:rFonts w:ascii="Arial" w:cs="Arial" w:eastAsia="Arial" w:hAnsi="Arial"/>
          <w:sz w:val="18"/>
          <w:szCs w:val="18"/>
          <w:color w:val="auto"/>
        </w:rPr>
      </w:pPr>
    </w:p>
    <w:p>
      <w:pPr>
        <w:ind w:left="940" w:hanging="65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360" w:firstLine="646"/>
        <w:spacing w:after="0" w:line="277" w:lineRule="auto"/>
        <w:tabs>
          <w:tab w:leader="none" w:pos="9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consisting of acquisitions from third parties of Inventory, Equipment, office supplies, software and other similar assets in the ordinary course of business;</w:t>
      </w:r>
    </w:p>
    <w:p>
      <w:pPr>
        <w:spacing w:after="0" w:line="156" w:lineRule="exact"/>
        <w:rPr>
          <w:rFonts w:ascii="Arial" w:cs="Arial" w:eastAsia="Arial" w:hAnsi="Arial"/>
          <w:sz w:val="18"/>
          <w:szCs w:val="18"/>
          <w:color w:val="auto"/>
        </w:rPr>
      </w:pPr>
    </w:p>
    <w:p>
      <w:pPr>
        <w:ind w:left="940" w:hanging="65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consisting of Permitted Licenses;</w:t>
      </w:r>
    </w:p>
    <w:p>
      <w:pPr>
        <w:spacing w:after="0" w:line="211" w:lineRule="exact"/>
        <w:rPr>
          <w:rFonts w:ascii="Arial" w:cs="Arial" w:eastAsia="Arial" w:hAnsi="Arial"/>
          <w:sz w:val="18"/>
          <w:szCs w:val="18"/>
          <w:color w:val="auto"/>
        </w:rPr>
      </w:pPr>
    </w:p>
    <w:p>
      <w:pPr>
        <w:jc w:val="both"/>
        <w:ind w:left="-360" w:firstLine="646"/>
        <w:spacing w:after="0" w:line="272" w:lineRule="auto"/>
        <w:tabs>
          <w:tab w:leader="none" w:pos="929"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Investments (including Investments arising out of Transfers of Inventory by Borrower to Subsidiaries that are not Loan Parties pursuant to those certain affiliate distribution, subdistribution and market logistic support agreements set forth as items 3-8 on Schedule 7.9 and attached to the Perfection Certificate (or as otherwise approved by the Lender in its reasonable discretion) in the ordinary course of business (and any related intercompany balances and any capitalization of such balance)) by (i) any Loan Party in or to any other Loan Party, (ii) any Subsidiary of Borrower which is not a Loan Party in or to another Subsidiary of Borrower which is not a Loan Party in an amount not to exceed Three Million Five Hundred Thousand Dollars ($3,500,000) per fiscal year, (iii) any Subsidiary of Borrower which is not a Loan Party in or to any Loan Party and (iv) any Loan Party to any Subsidiary of a Loan Party which is not a Loan Party in an amount not to exceed Five Million Dollars ($5,000,000) per fiscal year;</w:t>
      </w:r>
    </w:p>
    <w:p>
      <w:pPr>
        <w:spacing w:after="0" w:line="150" w:lineRule="exact"/>
        <w:rPr>
          <w:rFonts w:ascii="Arial" w:cs="Arial" w:eastAsia="Arial" w:hAnsi="Arial"/>
          <w:sz w:val="17"/>
          <w:szCs w:val="17"/>
          <w:color w:val="auto"/>
        </w:rPr>
      </w:pPr>
    </w:p>
    <w:p>
      <w:pPr>
        <w:ind w:left="940" w:hanging="65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Permitted Acquisitions; and</w:t>
      </w:r>
    </w:p>
    <w:p>
      <w:pPr>
        <w:spacing w:after="0" w:line="211" w:lineRule="exact"/>
        <w:rPr>
          <w:rFonts w:ascii="Arial" w:cs="Arial" w:eastAsia="Arial" w:hAnsi="Arial"/>
          <w:sz w:val="18"/>
          <w:szCs w:val="18"/>
          <w:color w:val="auto"/>
        </w:rPr>
      </w:pPr>
    </w:p>
    <w:p>
      <w:pPr>
        <w:jc w:val="both"/>
        <w:ind w:left="-360" w:firstLine="646"/>
        <w:spacing w:after="0" w:line="272" w:lineRule="auto"/>
        <w:tabs>
          <w:tab w:leader="none" w:pos="933"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Investments of any Person that (i) becomes a Subsidiary of Borrower (or of any Person not previously a Subsidiary of Borrower that is merged or consolidated with or into a Subsidiary of Borrower in a transaction permitted hereunder) after the Effective Date, or (ii) are assumed after the Effective Date by any Subsidiary of Borrower in connection with an acquisition of assets from such Person by such Subsidiary, in either case, in a Permitted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any such Investment (x) exists at the time such Person becomes a Subsidiary of Borrower (or is merged or consolidated with or into a Subsidiary of Borrower) or such assets are acquired, (y) was not made in contemplation of or in connection with such Person becoming a Subsidiary of Borrower (or merging or consolidating with or into a Subsidiary of Borrower) or such acquisition of assets, and (z) such Investment would not otherwise result in a Default or an Event of Default;</w:t>
      </w:r>
    </w:p>
    <w:p>
      <w:pPr>
        <w:spacing w:after="0" w:line="163" w:lineRule="exact"/>
        <w:rPr>
          <w:rFonts w:ascii="Arial" w:cs="Arial" w:eastAsia="Arial" w:hAnsi="Arial"/>
          <w:sz w:val="17"/>
          <w:szCs w:val="17"/>
          <w:color w:val="auto"/>
        </w:rPr>
      </w:pPr>
    </w:p>
    <w:p>
      <w:pPr>
        <w:jc w:val="both"/>
        <w:ind w:left="-360" w:firstLine="646"/>
        <w:spacing w:after="0" w:line="259" w:lineRule="auto"/>
        <w:tabs>
          <w:tab w:leader="none" w:pos="9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Permitted Acquisitions and Investments required in connection with a Permitted Acquisition (including the formation of any Subsidiary for the purpose of effectuating such Permitted Acquisition, the capitalization of such Subsidiary whether by capital contribution or intercompany loans, in each case, to the extent permitted by the terms of this Agreement, related Investments in Subsidiaries necessary to consummate such Permitted Acquisition, and the receipt of any non-cash consideration in a Permitted Acquisition);</w:t>
      </w:r>
    </w:p>
    <w:p>
      <w:pPr>
        <w:spacing w:after="0" w:line="159" w:lineRule="exact"/>
        <w:rPr>
          <w:rFonts w:ascii="Arial" w:cs="Arial" w:eastAsia="Arial" w:hAnsi="Arial"/>
          <w:sz w:val="18"/>
          <w:szCs w:val="18"/>
          <w:color w:val="auto"/>
        </w:rPr>
      </w:pPr>
    </w:p>
    <w:p>
      <w:pPr>
        <w:ind w:left="940" w:hanging="65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arising out of the receipt of non-cash consideration for any Transfer permitted hereunder;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680" w:top="773" w:right="339" w:bottom="1440" w:gutter="0" w:footer="0" w:header="0"/>
        </w:sectPr>
      </w:pPr>
    </w:p>
    <w:bookmarkStart w:id="88" w:name="page89"/>
    <w:bookmarkEnd w:id="88"/>
    <w:p>
      <w:pPr>
        <w:ind w:left="1300" w:hanging="65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Permitted Call Spread Agreements;</w:t>
      </w:r>
    </w:p>
    <w:p>
      <w:pPr>
        <w:spacing w:after="0" w:line="211" w:lineRule="exact"/>
        <w:rPr>
          <w:rFonts w:ascii="Arial" w:cs="Arial" w:eastAsia="Arial" w:hAnsi="Arial"/>
          <w:sz w:val="18"/>
          <w:szCs w:val="18"/>
          <w:color w:val="auto"/>
        </w:rPr>
      </w:pPr>
    </w:p>
    <w:p>
      <w:pPr>
        <w:ind w:right="20" w:firstLine="646"/>
        <w:spacing w:after="0" w:line="277" w:lineRule="auto"/>
        <w:tabs>
          <w:tab w:leader="none" w:pos="12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Investments not otherwise permitted under Section 7.8 in an aggregate amount (valued at the time of the making thereof) not to exceed One Million Dollars ($1,000,000) at any time; and</w:t>
      </w:r>
    </w:p>
    <w:p>
      <w:pPr>
        <w:spacing w:after="0" w:line="143" w:lineRule="exact"/>
        <w:rPr>
          <w:rFonts w:ascii="Arial" w:cs="Arial" w:eastAsia="Arial" w:hAnsi="Arial"/>
          <w:sz w:val="18"/>
          <w:szCs w:val="18"/>
          <w:color w:val="auto"/>
        </w:rPr>
      </w:pPr>
    </w:p>
    <w:p>
      <w:pPr>
        <w:ind w:firstLine="646"/>
        <w:spacing w:after="0" w:line="277" w:lineRule="auto"/>
        <w:tabs>
          <w:tab w:leader="none" w:pos="12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not to exceed Five Million Dollars ($5,000,000) at any time outstanding to fund the expansion of any Loan Party or any Subsidiary in Japan, China or any other jurisdiction as may be agreed by the Collateral Agent in its sole discretion.</w:t>
      </w:r>
    </w:p>
    <w:p>
      <w:pPr>
        <w:spacing w:after="0" w:line="15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Licenses</w:t>
      </w:r>
      <w:r>
        <w:rPr>
          <w:rFonts w:ascii="Arial" w:cs="Arial" w:eastAsia="Arial" w:hAnsi="Arial"/>
          <w:sz w:val="17"/>
          <w:szCs w:val="17"/>
          <w:color w:val="auto"/>
        </w:rPr>
        <w:t xml:space="preserve">” are (a) licenses existing on the Effective Date and disclosed on the Perfection Certificate, (b) licenses of over-the-counter software that is commercially available to the public, (c) non-exclusive licenses for the use of the Intellectual Property of any Loan Party or any of its Subsidiaries entered into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each such license described in clause (c), the license constitutes an arms-length transaction, the terms of which, on their face, do not provide for a sale or assignment of any Intellectual Property, (d) non-exclusive intercompany licenses or other similar arrangements among the Loan Parties and their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licenses or arrangements shall not permit any transfer of assets, (e) non-exclusive licensing of (or granting of a covenant not to sue with respect to) technology or Intellectual Property, granting of development, manufacture, distribution, co-promotion or similar commercial rights, the development of technology or the providing of technical support, (f) a non-exclusive or an exclusive grant of manufacturing and distribution licenses to contract manufacturing organizations or contract research organizations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licenses shall be terminable upon the occurrence of a change of control, (g) inbound licensing of Intellectual Property in the ordinary course of business and consistent with past practice to the extent constituting a Permitted Acquisition (including without limitation subject to the limitations with respect to Permitted Acquisitions under this Agreement), and (h) exclusive licenses for the use of the Intellectual Property of any Loan Party or any of its Subsidiaries entered into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each such license described in this clause (h), (i) the license constitutes an arms-length transaction, the terms of which, on their face, do not provide for a sale or assignment of any Intellectual Property and do not restrict the ability of any Loan Party or any of its Subsidiaries, as applicable, to pledge, grant a security interest in or lien on, or assign or otherwise Transfer any Intellectual Property, (ii) the license is limited in territory with respect to a specific geographic country or region (i.e. Japan, Germany, northern China) outside of the United States, and (iii) the applicable Loan Party uses commercially reasonable efforts to obtain the consent and acknowledgement of the counterparty to such license for the collateral assignment of such license to the Collateral Agent for the benefit of the Lenders.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02" w:lineRule="exact"/>
        <w:rPr>
          <w:sz w:val="20"/>
          <w:szCs w:val="20"/>
          <w:color w:val="auto"/>
        </w:rPr>
      </w:pPr>
    </w:p>
    <w:p>
      <w:pPr>
        <w:ind w:left="1300" w:hanging="654"/>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Liens existing on the Effective Date and disclosed on the Perfection Certificate or arising under this Agreement and the other Loan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Documents;</w:t>
      </w:r>
    </w:p>
    <w:p>
      <w:pPr>
        <w:spacing w:after="0" w:line="197" w:lineRule="exact"/>
        <w:rPr>
          <w:rFonts w:ascii="Arial" w:cs="Arial" w:eastAsia="Arial" w:hAnsi="Arial"/>
          <w:sz w:val="17"/>
          <w:szCs w:val="17"/>
          <w:color w:val="auto"/>
        </w:rPr>
      </w:pPr>
    </w:p>
    <w:p>
      <w:pPr>
        <w:jc w:val="both"/>
        <w:ind w:firstLine="646"/>
        <w:spacing w:after="0" w:line="259" w:lineRule="auto"/>
        <w:tabs>
          <w:tab w:leader="none" w:pos="12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by appropriate proceedings diligently conducted and for which the applicable Loan Party maintains adequate reserves on such Loan Party’s Books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notice of any such Lien has been filed or recorded under the Internal Revenue Code and the Treasury Regulations adopted thereunder;</w:t>
      </w:r>
    </w:p>
    <w:p>
      <w:pPr>
        <w:spacing w:after="0" w:line="173" w:lineRule="exact"/>
        <w:rPr>
          <w:rFonts w:ascii="Arial" w:cs="Arial" w:eastAsia="Arial" w:hAnsi="Arial"/>
          <w:sz w:val="18"/>
          <w:szCs w:val="18"/>
          <w:color w:val="auto"/>
        </w:rPr>
      </w:pPr>
    </w:p>
    <w:p>
      <w:pPr>
        <w:jc w:val="both"/>
        <w:ind w:firstLine="646"/>
        <w:spacing w:after="0" w:line="257" w:lineRule="auto"/>
        <w:tabs>
          <w:tab w:leader="none" w:pos="12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clauses (d), (e), (h), (j), (k), (l), (o)(i), (p), (q), (s) and (t) of the definition of “Permitted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Liens secured Indebtedness under clause (e), (i) such liens exist prior to the acquisition of, or attach substantially simultaneous with, or within ninety (90) days after the, acquisition, lease, repair, improvement or construction of, such property financed or leased by such Indebtedness and (ii) such liens do not extend to any property of any Loan Party other than the property (and proceeds thereof) acquired, leased or built, or the improvements or repairs, financed by such Indebtedness;</w:t>
      </w:r>
    </w:p>
    <w:p>
      <w:pPr>
        <w:spacing w:after="0" w:line="160" w:lineRule="exact"/>
        <w:rPr>
          <w:rFonts w:ascii="Arial" w:cs="Arial" w:eastAsia="Arial" w:hAnsi="Arial"/>
          <w:sz w:val="18"/>
          <w:szCs w:val="18"/>
          <w:color w:val="auto"/>
        </w:rPr>
      </w:pPr>
    </w:p>
    <w:p>
      <w:pPr>
        <w:jc w:val="both"/>
        <w:ind w:firstLine="646"/>
        <w:spacing w:after="0" w:line="259" w:lineRule="auto"/>
        <w:tabs>
          <w:tab w:leader="none" w:pos="12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of carriers, warehousemen, landlords, suppliers, mechanics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3" w:lineRule="exact"/>
        <w:rPr>
          <w:rFonts w:ascii="Arial" w:cs="Arial" w:eastAsia="Arial" w:hAnsi="Arial"/>
          <w:sz w:val="18"/>
          <w:szCs w:val="18"/>
          <w:color w:val="auto"/>
        </w:rPr>
      </w:pPr>
    </w:p>
    <w:p>
      <w:pPr>
        <w:jc w:val="both"/>
        <w:ind w:right="20" w:firstLine="646"/>
        <w:spacing w:after="0" w:line="259" w:lineRule="auto"/>
        <w:tabs>
          <w:tab w:leader="none" w:pos="12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Liens to secure payment of workers’ compensation, employment insurance, old-age pensions, social security and other like obligations incurred in the ordinary course of business (other than Liens imposed by ERISA) and (ii) deposits in respect of letters of credit, bank guarantees or similar instruments issued for the account of Borrower or any Subsidiary in the ordinary course of business supporting obligations of the type set forth in clause (i) above;</w:t>
      </w:r>
    </w:p>
    <w:p>
      <w:pPr>
        <w:spacing w:after="0" w:line="38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73" w:right="339" w:bottom="1440" w:gutter="0" w:footer="0" w:header="0"/>
        </w:sectPr>
      </w:pPr>
    </w:p>
    <w:bookmarkStart w:id="89" w:name="page90"/>
    <w:bookmarkEnd w:id="89"/>
    <w:p>
      <w:pPr>
        <w:jc w:val="both"/>
        <w:ind w:firstLine="646"/>
        <w:spacing w:after="0" w:line="263" w:lineRule="auto"/>
        <w:tabs>
          <w:tab w:leader="none" w:pos="12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70" w:lineRule="exact"/>
        <w:rPr>
          <w:rFonts w:ascii="Arial" w:cs="Arial" w:eastAsia="Arial" w:hAnsi="Arial"/>
          <w:sz w:val="18"/>
          <w:szCs w:val="18"/>
          <w:color w:val="auto"/>
        </w:rPr>
      </w:pPr>
    </w:p>
    <w:p>
      <w:pPr>
        <w:jc w:val="both"/>
        <w:ind w:firstLine="646"/>
        <w:spacing w:after="0" w:line="301" w:lineRule="auto"/>
        <w:tabs>
          <w:tab w:leader="none" w:pos="1293"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the Loan Parties’ business (or, if referring to another Person, in the ordinary course of such Person’s business), and leases, subleases, non-exclusive licenses or sublicenses of personal property (other than Intellectual Property) granted in the ordinary course of the Loan Parties’ business (or, if referring to another Person, in the ordinary course of such Person’s business), if the leases, subleases, licenses and sublicenses do not prohibit granting Collateral Agent or any Lender a security interest therein;</w:t>
      </w:r>
    </w:p>
    <w:p>
      <w:pPr>
        <w:spacing w:after="0" w:line="130" w:lineRule="exact"/>
        <w:rPr>
          <w:rFonts w:ascii="Arial" w:cs="Arial" w:eastAsia="Arial" w:hAnsi="Arial"/>
          <w:sz w:val="16"/>
          <w:szCs w:val="16"/>
          <w:color w:val="auto"/>
        </w:rPr>
      </w:pPr>
    </w:p>
    <w:p>
      <w:pPr>
        <w:jc w:val="both"/>
        <w:ind w:firstLine="646"/>
        <w:spacing w:after="0" w:line="263" w:lineRule="auto"/>
        <w:tabs>
          <w:tab w:leader="none" w:pos="12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any Loan Party’s deposit accounts or securities accounts held at such institutions solely to secure payment of fees and similar costs and expenses and provided such accounts are maintained in compliance with Section 6.6(a) hereof;</w:t>
      </w:r>
    </w:p>
    <w:p>
      <w:pPr>
        <w:spacing w:after="0" w:line="170" w:lineRule="exact"/>
        <w:rPr>
          <w:rFonts w:ascii="Arial" w:cs="Arial" w:eastAsia="Arial" w:hAnsi="Arial"/>
          <w:sz w:val="18"/>
          <w:szCs w:val="18"/>
          <w:color w:val="auto"/>
        </w:rPr>
      </w:pPr>
    </w:p>
    <w:p>
      <w:pPr>
        <w:ind w:left="1300" w:hanging="65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w:t>
      </w:r>
    </w:p>
    <w:p>
      <w:pPr>
        <w:spacing w:after="0" w:line="234" w:lineRule="exact"/>
        <w:rPr>
          <w:rFonts w:ascii="Arial" w:cs="Arial" w:eastAsia="Arial" w:hAnsi="Arial"/>
          <w:sz w:val="16"/>
          <w:szCs w:val="16"/>
          <w:color w:val="auto"/>
        </w:rPr>
      </w:pPr>
    </w:p>
    <w:p>
      <w:pPr>
        <w:ind w:left="1300" w:hanging="65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Permitted Licenses;</w:t>
      </w:r>
    </w:p>
    <w:p>
      <w:pPr>
        <w:spacing w:after="0" w:line="198" w:lineRule="exact"/>
        <w:rPr>
          <w:rFonts w:ascii="Arial" w:cs="Arial" w:eastAsia="Arial" w:hAnsi="Arial"/>
          <w:sz w:val="18"/>
          <w:szCs w:val="18"/>
          <w:color w:val="auto"/>
        </w:rPr>
      </w:pPr>
    </w:p>
    <w:p>
      <w:pPr>
        <w:ind w:firstLine="646"/>
        <w:spacing w:after="0" w:line="277" w:lineRule="auto"/>
        <w:tabs>
          <w:tab w:leader="none" w:pos="12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without duplication of clause (h) of the definition of Permitted Indebtedness, security deposits under real property leases that are made in the ordinary course of business not to exceed Seven Hundred Fifty Thousand Dollars ($750,000) at any time;</w:t>
      </w:r>
    </w:p>
    <w:p>
      <w:pPr>
        <w:spacing w:after="0" w:line="156" w:lineRule="exact"/>
        <w:rPr>
          <w:rFonts w:ascii="Arial" w:cs="Arial" w:eastAsia="Arial" w:hAnsi="Arial"/>
          <w:sz w:val="18"/>
          <w:szCs w:val="18"/>
          <w:color w:val="auto"/>
        </w:rPr>
      </w:pPr>
    </w:p>
    <w:p>
      <w:pPr>
        <w:jc w:val="both"/>
        <w:ind w:firstLine="646"/>
        <w:spacing w:after="0" w:line="263" w:lineRule="auto"/>
        <w:tabs>
          <w:tab w:leader="none" w:pos="12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easements, zoning restrictions, rights of way and similar encumbrances on real property imposed by law or arising in the ordinary course of business, and other minor title imperfections with respect to real property that do not secure any monetary obligations and do not materially impair the value of the affected property or interfere with the ordinary conduct of business of Borrower or any Subsidiary;</w:t>
      </w:r>
    </w:p>
    <w:p>
      <w:pPr>
        <w:spacing w:after="0" w:line="170" w:lineRule="exact"/>
        <w:rPr>
          <w:rFonts w:ascii="Arial" w:cs="Arial" w:eastAsia="Arial" w:hAnsi="Arial"/>
          <w:sz w:val="18"/>
          <w:szCs w:val="18"/>
          <w:color w:val="auto"/>
        </w:rPr>
      </w:pPr>
    </w:p>
    <w:p>
      <w:pPr>
        <w:ind w:left="1360" w:hanging="714"/>
        <w:spacing w:after="0"/>
        <w:tabs>
          <w:tab w:leader="none" w:pos="1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Liens on earnest money deposits in connection with any Permitted Acquisition or other acquisition of properties or assets not provided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83" w:lineRule="exact"/>
        <w:rPr>
          <w:rFonts w:ascii="Arial" w:cs="Arial" w:eastAsia="Arial" w:hAnsi="Arial"/>
          <w:sz w:val="16"/>
          <w:szCs w:val="16"/>
          <w:color w:val="auto"/>
        </w:rPr>
      </w:pPr>
    </w:p>
    <w:p>
      <w:pPr>
        <w:ind w:firstLine="646"/>
        <w:spacing w:after="0" w:line="277" w:lineRule="auto"/>
        <w:tabs>
          <w:tab w:leader="none" w:pos="12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other Liens not exceeding One Hundred Thousand Dollars ($100,000) in the aggregate outstanding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be limited to specific assets and not all assets or substantially all assets of any Loan Party; and</w:t>
      </w:r>
    </w:p>
    <w:p>
      <w:pPr>
        <w:spacing w:after="0" w:line="156" w:lineRule="exact"/>
        <w:rPr>
          <w:rFonts w:ascii="Arial" w:cs="Arial" w:eastAsia="Arial" w:hAnsi="Arial"/>
          <w:sz w:val="18"/>
          <w:szCs w:val="18"/>
          <w:color w:val="auto"/>
        </w:rPr>
      </w:pPr>
    </w:p>
    <w:p>
      <w:pPr>
        <w:ind w:left="1300" w:hanging="65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Liens on cash and Cash Equivalents securing obligations under Permitted Hedging Agreements.</w:t>
      </w:r>
    </w:p>
    <w:p>
      <w:pPr>
        <w:spacing w:after="0" w:line="20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means that certain Pledge Agreement dated as of the Effective Date, between the Loan Parties and Collateral Agent, as amended, amended and restated, supplemented or otherwise modified from time to time.</w:t>
      </w:r>
    </w:p>
    <w:p>
      <w:pPr>
        <w:spacing w:after="0" w:line="14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Premium</w:t>
      </w:r>
      <w:r>
        <w:rPr>
          <w:rFonts w:ascii="Arial" w:cs="Arial" w:eastAsia="Arial" w:hAnsi="Arial"/>
          <w:sz w:val="16"/>
          <w:szCs w:val="16"/>
          <w:color w:val="auto"/>
        </w:rPr>
        <w:t>” is, with respect to any Term Loan subject to prepayment, refinancing, substitution or replacement prior to the Maturity Date, whether by mandatory or voluntary prepayment, acceleration or otherwise (including, but not limited to, upon the occurrence of a bankruptcy or insolvency event (including the acceleration of claims by operation of law)), an additional fee payable to the Lenders in amount equal to:</w:t>
      </w:r>
    </w:p>
    <w:p>
      <w:pPr>
        <w:spacing w:after="0" w:line="132" w:lineRule="exact"/>
        <w:rPr>
          <w:sz w:val="20"/>
          <w:szCs w:val="20"/>
          <w:color w:val="auto"/>
        </w:rPr>
      </w:pPr>
    </w:p>
    <w:p>
      <w:pPr>
        <w:ind w:right="20" w:firstLine="646"/>
        <w:spacing w:after="0" w:line="277" w:lineRule="auto"/>
        <w:tabs>
          <w:tab w:leader="none" w:pos="12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 prepayment, refinancing, substitution or replacement made on or after the Effective Date through and including the first anniversary of the Effective Date, three percent (3.00%) of the principal amount of such Term Loan prepaid;</w:t>
      </w:r>
    </w:p>
    <w:p>
      <w:pPr>
        <w:spacing w:after="0" w:line="143" w:lineRule="exact"/>
        <w:rPr>
          <w:rFonts w:ascii="Arial" w:cs="Arial" w:eastAsia="Arial" w:hAnsi="Arial"/>
          <w:sz w:val="18"/>
          <w:szCs w:val="18"/>
          <w:color w:val="auto"/>
        </w:rPr>
      </w:pPr>
    </w:p>
    <w:p>
      <w:pPr>
        <w:jc w:val="both"/>
        <w:ind w:firstLine="646"/>
        <w:spacing w:after="0" w:line="263" w:lineRule="auto"/>
        <w:tabs>
          <w:tab w:leader="none" w:pos="12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 prepayment, refinancing, substitution or replacement made after the date which is after the first anniversary of the Effective Date through and including the second anniversary of the Effective Date, one and a quarter percent (1.25%) of the principal amount of the Term Loans prepaid; and</w:t>
      </w:r>
    </w:p>
    <w:p>
      <w:pPr>
        <w:spacing w:after="0" w:line="170" w:lineRule="exact"/>
        <w:rPr>
          <w:rFonts w:ascii="Arial" w:cs="Arial" w:eastAsia="Arial" w:hAnsi="Arial"/>
          <w:sz w:val="18"/>
          <w:szCs w:val="18"/>
          <w:color w:val="auto"/>
        </w:rPr>
      </w:pPr>
    </w:p>
    <w:p>
      <w:pPr>
        <w:ind w:right="20" w:firstLine="646"/>
        <w:spacing w:after="0" w:line="277" w:lineRule="auto"/>
        <w:tabs>
          <w:tab w:leader="none" w:pos="12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 prepayment, refinancing, substitution or replacement made after the date which is after the second anniversary of the Effective Date and prior to the Maturity Date, one half percent (0.50%) of the principal amount of the Term Loans prepaid.</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73" w:right="339" w:bottom="1440" w:gutter="0" w:footer="0" w:header="0"/>
        </w:sectPr>
      </w:pPr>
    </w:p>
    <w:bookmarkStart w:id="90" w:name="page91"/>
    <w:bookmarkEnd w:id="90"/>
    <w:p>
      <w:pPr>
        <w:jc w:val="both"/>
        <w:ind w:firstLine="648"/>
        <w:spacing w:after="0" w:line="277" w:lineRule="auto"/>
        <w:rPr>
          <w:sz w:val="20"/>
          <w:szCs w:val="20"/>
          <w:color w:val="auto"/>
        </w:rPr>
      </w:pPr>
      <w:r>
        <w:rPr>
          <w:rFonts w:ascii="Arial" w:cs="Arial" w:eastAsia="Arial" w:hAnsi="Arial"/>
          <w:sz w:val="18"/>
          <w:szCs w:val="18"/>
          <w:color w:val="auto"/>
        </w:rPr>
        <w:t>Notwithstanding the foregoing, Solar agrees to waive the Prepayment Premium if Solar or any Affiliate of Solar (in their sole and absolute discretion) agree in writing to refinance the Term Loan prior to the Maturity Date.</w:t>
      </w:r>
    </w:p>
    <w:p>
      <w:pPr>
        <w:spacing w:after="0" w:line="15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198" w:lineRule="exact"/>
        <w:rPr>
          <w:sz w:val="20"/>
          <w:szCs w:val="20"/>
          <w:color w:val="auto"/>
        </w:rPr>
      </w:pPr>
    </w:p>
    <w:p>
      <w:pPr>
        <w:jc w:val="both"/>
        <w:ind w:firstLine="72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62" w:lineRule="exact"/>
        <w:rPr>
          <w:sz w:val="20"/>
          <w:szCs w:val="20"/>
          <w:color w:val="auto"/>
        </w:rPr>
      </w:pPr>
    </w:p>
    <w:p>
      <w:pPr>
        <w:jc w:val="both"/>
        <w:ind w:firstLine="7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Cash</w:t>
      </w:r>
      <w:r>
        <w:rPr>
          <w:rFonts w:ascii="Arial" w:cs="Arial" w:eastAsia="Arial" w:hAnsi="Arial"/>
          <w:sz w:val="17"/>
          <w:szCs w:val="17"/>
          <w:color w:val="auto"/>
        </w:rPr>
        <w:t xml:space="preserve">” means the amount of the Loan Parties’ cash and Cash Equivalents held in accounts subject to a Control Agreement in favor of Collateral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the requirement to deliver Control Agreements pursuant to Section 3.5, “Qualified Cash” shall include all of the Loan Parties’ cash and Cash Equivalents, regardless of whether it is held in accounts subject to Control Agreements.</w:t>
      </w:r>
    </w:p>
    <w:p>
      <w:pPr>
        <w:spacing w:after="0" w:line="14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Cash A/P Amount</w:t>
      </w:r>
      <w:r>
        <w:rPr>
          <w:rFonts w:ascii="Arial" w:cs="Arial" w:eastAsia="Arial" w:hAnsi="Arial"/>
          <w:sz w:val="17"/>
          <w:szCs w:val="17"/>
          <w:color w:val="auto"/>
        </w:rPr>
        <w:t>” means the amount of any Loan Party’s accounts payable that have not been paid within one hundred twenty</w:t>
      </w:r>
    </w:p>
    <w:p>
      <w:pPr>
        <w:spacing w:after="0" w:line="39" w:lineRule="exact"/>
        <w:rPr>
          <w:sz w:val="20"/>
          <w:szCs w:val="20"/>
          <w:color w:val="auto"/>
        </w:rPr>
      </w:pPr>
    </w:p>
    <w:p>
      <w:pPr>
        <w:ind w:right="20" w:firstLine="8"/>
        <w:spacing w:after="0" w:line="260" w:lineRule="auto"/>
        <w:tabs>
          <w:tab w:leader="none" w:pos="4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days from the invoice date of the relevant account payable (other than accounts that are subject to good faith disputes as permitted herein and for which such Loan Party maintains adequate reserves in accordance with GAAP).</w:t>
      </w:r>
    </w:p>
    <w:p>
      <w:pPr>
        <w:spacing w:after="0" w:line="154" w:lineRule="exact"/>
        <w:rPr>
          <w:sz w:val="20"/>
          <w:szCs w:val="20"/>
          <w:color w:val="auto"/>
        </w:rPr>
      </w:pPr>
    </w:p>
    <w:p>
      <w:pPr>
        <w:jc w:val="both"/>
        <w:ind w:firstLine="72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Conditions</w:t>
      </w:r>
      <w:r>
        <w:rPr>
          <w:rFonts w:ascii="Arial" w:cs="Arial" w:eastAsia="Arial" w:hAnsi="Arial"/>
          <w:sz w:val="17"/>
          <w:szCs w:val="17"/>
          <w:color w:val="auto"/>
        </w:rPr>
        <w:t>” means, with respect to any redemption by the Borrower of any Permitted Convertible Debt, satisfaction of each of the following events: (a) no Default or Event of Default shall exist or result therefrom, and (b) both immediately before and after such redemption, Borrower’s Qualified Cash shall be no less than the outstanding principal balance of the Term Loans at the time of such redemption.</w:t>
      </w:r>
    </w:p>
    <w:p>
      <w:pPr>
        <w:spacing w:after="0" w:line="144" w:lineRule="exact"/>
        <w:rPr>
          <w:sz w:val="20"/>
          <w:szCs w:val="20"/>
          <w:color w:val="auto"/>
        </w:rPr>
      </w:pPr>
    </w:p>
    <w:p>
      <w:pPr>
        <w:jc w:val="both"/>
        <w:ind w:firstLine="72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under the Code.</w:t>
      </w:r>
    </w:p>
    <w:p>
      <w:pPr>
        <w:spacing w:after="0" w:line="148" w:lineRule="exact"/>
        <w:rPr>
          <w:sz w:val="20"/>
          <w:szCs w:val="20"/>
          <w:color w:val="auto"/>
        </w:rPr>
      </w:pPr>
    </w:p>
    <w:p>
      <w:pPr>
        <w:jc w:val="both"/>
        <w:ind w:firstLine="72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w:t>
      </w:r>
      <w:r>
        <w:rPr>
          <w:rFonts w:ascii="Arial" w:cs="Arial" w:eastAsia="Arial" w:hAnsi="Arial"/>
          <w:sz w:val="16"/>
          <w:szCs w:val="16"/>
          <w:color w:val="auto"/>
        </w:rPr>
        <w:t>” means any registration, authorization, approval, license, permit, clearance, certificate, and exemption issued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27" w:lineRule="exact"/>
        <w:rPr>
          <w:sz w:val="20"/>
          <w:szCs w:val="20"/>
          <w:color w:val="auto"/>
        </w:rPr>
      </w:pPr>
    </w:p>
    <w:p>
      <w:pPr>
        <w:jc w:val="both"/>
        <w:ind w:firstLine="72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Action</w:t>
      </w:r>
      <w:r>
        <w:rPr>
          <w:rFonts w:ascii="Arial" w:cs="Arial" w:eastAsia="Arial" w:hAnsi="Arial"/>
          <w:sz w:val="18"/>
          <w:szCs w:val="18"/>
          <w:color w:val="auto"/>
        </w:rPr>
        <w:t>” 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62" w:lineRule="exact"/>
        <w:rPr>
          <w:sz w:val="20"/>
          <w:szCs w:val="20"/>
          <w:color w:val="auto"/>
        </w:rPr>
      </w:pPr>
    </w:p>
    <w:p>
      <w:pPr>
        <w:jc w:val="both"/>
        <w:ind w:firstLine="72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Persons</w:t>
      </w:r>
      <w:r>
        <w:rPr>
          <w:rFonts w:ascii="Arial" w:cs="Arial" w:eastAsia="Arial" w:hAnsi="Arial"/>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62" w:lineRule="exact"/>
        <w:rPr>
          <w:sz w:val="20"/>
          <w:szCs w:val="20"/>
          <w:color w:val="auto"/>
        </w:rPr>
      </w:pPr>
    </w:p>
    <w:p>
      <w:pPr>
        <w:jc w:val="both"/>
        <w:ind w:firstLine="72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Federal Reserve Board, the Federal Reserve Bank of New York, and/or a committee officially endorsed or convened by the Federal Reserve Board and/or the Federal Reserve Bank of New York, or any successor thereto.</w:t>
      </w:r>
    </w:p>
    <w:p>
      <w:pPr>
        <w:spacing w:after="0" w:line="135" w:lineRule="exact"/>
        <w:rPr>
          <w:sz w:val="20"/>
          <w:szCs w:val="20"/>
          <w:color w:val="auto"/>
        </w:rPr>
      </w:pPr>
    </w:p>
    <w:p>
      <w:pPr>
        <w:jc w:val="both"/>
        <w:ind w:firstLine="72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Lenders</w:t>
      </w:r>
      <w:r>
        <w:rPr>
          <w:rFonts w:ascii="Arial" w:cs="Arial" w:eastAsia="Arial" w:hAnsi="Arial"/>
          <w:sz w:val="17"/>
          <w:szCs w:val="17"/>
          <w:color w:val="auto"/>
        </w:rPr>
        <w:t>” means (i) for so long as all of the Persons that are Lenders on the Effective Date (each an “</w:t>
      </w:r>
      <w:r>
        <w:rPr>
          <w:rFonts w:ascii="Arial" w:cs="Arial" w:eastAsia="Arial" w:hAnsi="Arial"/>
          <w:sz w:val="17"/>
          <w:szCs w:val="17"/>
          <w:b w:val="1"/>
          <w:bCs w:val="1"/>
          <w:color w:val="auto"/>
        </w:rPr>
        <w:t>Original Lender</w:t>
      </w:r>
      <w:r>
        <w:rPr>
          <w:rFonts w:ascii="Arial" w:cs="Arial" w:eastAsia="Arial" w:hAnsi="Arial"/>
          <w:sz w:val="17"/>
          <w:szCs w:val="17"/>
          <w:color w:val="auto"/>
        </w:rPr>
        <w:t xml:space="preserve">”) have not assigned or transferred any of their interests in their Term Loan other than to an Affiliate of such Lender,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clause (C) shall only apply upon the occurrence of a default, event of default or similar occurrence with respect to such financing.</w:t>
      </w:r>
    </w:p>
    <w:p>
      <w:pPr>
        <w:spacing w:after="0" w:line="3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73" w:right="339" w:bottom="1440" w:gutter="0" w:footer="0" w:header="0"/>
        </w:sectPr>
      </w:pPr>
    </w:p>
    <w:bookmarkStart w:id="91" w:name="page92"/>
    <w:bookmarkEnd w:id="91"/>
    <w:p>
      <w:pPr>
        <w:jc w:val="both"/>
        <w:ind w:firstLine="72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any Loan Party acting alone.</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means the Collateral Agent and the Lenders.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Account</w:t>
      </w:r>
      <w:r>
        <w:rPr>
          <w:rFonts w:ascii="Arial" w:cs="Arial" w:eastAsia="Arial" w:hAnsi="Arial"/>
          <w:sz w:val="16"/>
          <w:szCs w:val="16"/>
          <w:color w:val="auto"/>
        </w:rPr>
        <w:t>” is any “securities account” as defined in the Code with such additions to such term as may hereafter be made under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93" w:lineRule="exact"/>
        <w:rPr>
          <w:sz w:val="20"/>
          <w:szCs w:val="20"/>
          <w:color w:val="auto"/>
        </w:rPr>
      </w:pPr>
    </w:p>
    <w:p>
      <w:pPr>
        <w:jc w:val="both"/>
        <w:ind w:right="20" w:firstLine="72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means the daily Secured Overnight Financing Rate provided by the Federal Reserve Bank of New York as the administrator of the benchmark (or a successor administrator) on the Federal Reserve Bank of New York’s Website.</w:t>
      </w:r>
    </w:p>
    <w:p>
      <w:pPr>
        <w:spacing w:after="0" w:line="135"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any Person, that (a) the fair salable value of such Person’s consolidated assets (including goodwill minus disposition costs) exceeds the fair value of such Person’s liabilities, (b) such Person is not left with unreasonably small capital giving effect to the transactions contemplated by this Agreement and the other Loan Documents, and (c) such Person is able to pay its debts (including trade debts) as they mature in the ordinary course (without taking into account any forbearance and extensions related thereto).</w:t>
      </w:r>
    </w:p>
    <w:p>
      <w:pPr>
        <w:spacing w:after="0" w:line="166"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any Loan Party or any of its Subsidiaries subordinated to all Indebtedness of such Loan Party and/or its Subsidiaries to the Lenders (pursuant to a “deep” subordination, intercreditor, or other similar agreement (including full payment, lien and enforcement subordination) in form and substance reasonably satisfactory to Collateral Agent and the Required Lenders entered into between Collateral Agent, any Loan Party, and/or any of its Subsidiaries, and the other creditor), on terms acceptable to Collateral Agent and the Required Lenders in their reasonable discretion. For the avoidance of doubt, Permitted Convertible Debt shall not constitute Subordinated Debt.</w:t>
      </w:r>
    </w:p>
    <w:p>
      <w:pPr>
        <w:spacing w:after="0" w:line="154" w:lineRule="exact"/>
        <w:rPr>
          <w:sz w:val="20"/>
          <w:szCs w:val="20"/>
          <w:color w:val="auto"/>
        </w:rPr>
      </w:pPr>
    </w:p>
    <w:p>
      <w:pPr>
        <w:jc w:val="both"/>
        <w:ind w:firstLine="72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13" w:lineRule="exact"/>
        <w:rPr>
          <w:sz w:val="20"/>
          <w:szCs w:val="20"/>
          <w:color w:val="auto"/>
        </w:rPr>
      </w:pPr>
    </w:p>
    <w:p>
      <w:pPr>
        <w:jc w:val="both"/>
        <w:ind w:firstLine="72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6" w:lineRule="exact"/>
        <w:rPr>
          <w:sz w:val="20"/>
          <w:szCs w:val="20"/>
          <w:color w:val="auto"/>
        </w:rPr>
      </w:pPr>
    </w:p>
    <w:p>
      <w:pPr>
        <w:jc w:val="both"/>
        <w:ind w:firstLine="72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98" w:lineRule="exact"/>
        <w:rPr>
          <w:sz w:val="20"/>
          <w:szCs w:val="20"/>
          <w:color w:val="auto"/>
        </w:rPr>
      </w:pPr>
    </w:p>
    <w:p>
      <w:pPr>
        <w:jc w:val="both"/>
        <w:ind w:firstLine="729"/>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any trademark and servicemark rights, whether registered or not, applications to register and registrations of the same and like protections, and the entire goodwill of the business of each Loan Party and each of its Subsidiaries connected with and symbolized by such trademarks.</w:t>
      </w:r>
    </w:p>
    <w:p>
      <w:pPr>
        <w:spacing w:after="0" w:line="102"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Unqualified Opinion</w:t>
      </w:r>
      <w:r>
        <w:rPr>
          <w:rFonts w:ascii="Arial" w:cs="Arial" w:eastAsia="Arial" w:hAnsi="Arial"/>
          <w:sz w:val="18"/>
          <w:szCs w:val="18"/>
          <w:color w:val="auto"/>
        </w:rPr>
        <w:t>” means an opinion on financial statements from an independent certified public accounting firm acceptable to Collateral Agent in its reasonable discretion which opinion shall not include any qualifications, other than a qualification as to “going concern” (x) related to negative profits solely for the audited financial statements delivered for the fiscal year ended December 31, 2020 or (y) as a result of debt maturities within one year of applicable maturity date with respect to the opinion given for any fiscal year.</w:t>
      </w:r>
    </w:p>
    <w:p>
      <w:pPr>
        <w:spacing w:after="0" w:line="166" w:lineRule="exact"/>
        <w:rPr>
          <w:sz w:val="20"/>
          <w:szCs w:val="20"/>
          <w:color w:val="auto"/>
        </w:rPr>
      </w:pPr>
    </w:p>
    <w:p>
      <w:pPr>
        <w:jc w:val="both"/>
        <w:ind w:right="20" w:firstLine="72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Vulture Fund</w:t>
      </w:r>
      <w:r>
        <w:rPr>
          <w:rFonts w:ascii="Arial" w:cs="Arial" w:eastAsia="Arial" w:hAnsi="Arial"/>
          <w:sz w:val="17"/>
          <w:szCs w:val="17"/>
          <w:color w:val="auto"/>
        </w:rPr>
        <w:t>” means, as determined by Collateral Agent, any hedge fund or private equity fund that exclusively buys distressed securities of commercial companies or sovereign nations and then uses various methods to gain a larger amount than the purchase price of such securities.</w:t>
      </w:r>
    </w:p>
    <w:p>
      <w:pPr>
        <w:spacing w:after="0" w:line="11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Transaction</w:t>
      </w:r>
      <w:r>
        <w:rPr>
          <w:rFonts w:ascii="Arial" w:cs="Arial" w:eastAsia="Arial" w:hAnsi="Arial"/>
          <w:sz w:val="18"/>
          <w:szCs w:val="18"/>
          <w:color w:val="auto"/>
        </w:rPr>
        <w:t>” has the meaning assigned to such term in the definition of “Permitted Call Spread Agreement”.</w:t>
      </w:r>
    </w:p>
    <w:p>
      <w:pPr>
        <w:spacing w:after="0" w:line="200" w:lineRule="exact"/>
        <w:rPr>
          <w:sz w:val="20"/>
          <w:szCs w:val="20"/>
          <w:color w:val="auto"/>
        </w:rPr>
      </w:pP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69" w:right="339" w:bottom="1440" w:gutter="0" w:footer="0" w:header="0"/>
        </w:sectPr>
      </w:pPr>
    </w:p>
    <w:bookmarkStart w:id="92" w:name="page93"/>
    <w:bookmarkEnd w:id="92"/>
    <w:p>
      <w:pPr>
        <w:ind w:left="640" w:hanging="632"/>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TERMS OF PAYMENT</w:t>
      </w:r>
    </w:p>
    <w:p>
      <w:pPr>
        <w:spacing w:after="0" w:line="212"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each Lender, the outstanding principal amount of all Term Loans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to Borrower by such Lender and accrued and unpaid interest thereon and any other amounts due hereunder as and when due in accordance with this Agreement.</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2.2 Term Loans.</w:t>
      </w:r>
    </w:p>
    <w:p>
      <w:pPr>
        <w:spacing w:after="0" w:line="216" w:lineRule="exact"/>
        <w:rPr>
          <w:sz w:val="20"/>
          <w:szCs w:val="20"/>
          <w:color w:val="auto"/>
        </w:rPr>
      </w:pPr>
    </w:p>
    <w:p>
      <w:pPr>
        <w:jc w:val="both"/>
        <w:ind w:firstLine="1278"/>
        <w:spacing w:after="0" w:line="259" w:lineRule="auto"/>
        <w:tabs>
          <w:tab w:leader="none" w:pos="194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of this Agreement, the Lenders agree, severally and not jointly, to make term loans to Borrower on the Effective Date in an aggregate principal amount of Forty Million Dollars ($40,000,000) according to each Lender’s Term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Loan may be re-borrowed.</w:t>
      </w:r>
    </w:p>
    <w:p>
      <w:pPr>
        <w:spacing w:after="0" w:line="173" w:lineRule="exact"/>
        <w:rPr>
          <w:rFonts w:ascii="Arial" w:cs="Arial" w:eastAsia="Arial" w:hAnsi="Arial"/>
          <w:sz w:val="18"/>
          <w:szCs w:val="18"/>
          <w:color w:val="auto"/>
        </w:rPr>
      </w:pPr>
    </w:p>
    <w:p>
      <w:pPr>
        <w:jc w:val="both"/>
        <w:ind w:firstLine="1278"/>
        <w:spacing w:after="0" w:line="280" w:lineRule="auto"/>
        <w:tabs>
          <w:tab w:leader="none" w:pos="1939"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monthly payments of interest only commencing on the first (1</w:t>
      </w:r>
      <w:r>
        <w:rPr>
          <w:rFonts w:ascii="Arial" w:cs="Arial" w:eastAsia="Arial" w:hAnsi="Arial"/>
          <w:sz w:val="20"/>
          <w:szCs w:val="20"/>
          <w:color w:val="auto"/>
          <w:vertAlign w:val="superscript"/>
        </w:rPr>
        <w:t>st</w:t>
      </w:r>
      <w:r>
        <w:rPr>
          <w:rFonts w:ascii="Arial" w:cs="Arial" w:eastAsia="Arial" w:hAnsi="Arial"/>
          <w:sz w:val="16"/>
          <w:szCs w:val="16"/>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after such Funding Date. Commencing on the Amortization Date, and continuing on the Payment Date of each month thereafter, Borrower shall (i) make monthly payments of interest, to each Lender in accordance with its Pro Rata Share, as calculated by Collateral Agent (which calculations shall be deemed correct absent manifest error) based upon the effective rate of interest applicable to the Term Loan, as determined in Section 2.3(a) plus (ii) make consecutive equal monthly payments of principal to each Lender in accordance with its Pro Rata Share, as calculated by Collateral Agent (which calculations shall be deemed correct absent manifest error) based upon: (A) the respective principal amounts of such Lender’s Term Loans outstanding, and (B) a repayment schedule equal to the number of months remaining from the Amortization Date until the Maturity Date. All unpaid principal and accrued and unpaid interest with respect to each such Term Loan is due and payable in full on the Maturity Date. The Term Loans may only be prepaid in accordance with Sections 2.2(c) and 2.2(d).</w:t>
      </w:r>
    </w:p>
    <w:p>
      <w:pPr>
        <w:spacing w:after="0" w:line="150" w:lineRule="exact"/>
        <w:rPr>
          <w:rFonts w:ascii="Arial" w:cs="Arial" w:eastAsia="Arial" w:hAnsi="Arial"/>
          <w:sz w:val="16"/>
          <w:szCs w:val="16"/>
          <w:color w:val="auto"/>
        </w:rPr>
      </w:pPr>
    </w:p>
    <w:p>
      <w:pPr>
        <w:jc w:val="both"/>
        <w:ind w:firstLine="1278"/>
        <w:spacing w:after="0" w:line="268" w:lineRule="auto"/>
        <w:tabs>
          <w:tab w:leader="none" w:pos="194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 If the Term Loans are accelerated (including, but not limited to, upon the occurrence of a bankruptcy or insolvency event (including the acceleration of claims by operation of law)) or if any prepayments are to be made pursuant to Section 7.1(k), Borrower shall immediately pay to Lenders, payable to each Lender in accordance with its respective Pro Rata Share, an amount equal to the sum of: (i) all outstanding principal (or that portion of the principal required to be prepaid pursuant to Section 7.1(k), as applicable) of the Term Loans plus accrued and unpaid interest thereon through the prepayment date, (ii) any fees payable under the Fee Letter by reason of such prepayment, (iii) the Prepayment Premium, plus (iv) all other Obligations that are due and payable, including Lenders’ Expenses and interest at the Default Rate with respect to any past due amounts. Notwithstanding (but without duplication with) the foregoing, on the Maturity Date, if any fees payable under the Fee Letter by reason of such prepayments had not previously been paid in full in connection with the prepayment of the Term Loans in full, Borrower shall pay to each Lender in accordance with the terms of the Fee Letter. The Prepayment Premium shall also be payable in the event the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PREMIUM IN CONNECTION WITH ANY SUCH ACCELERATION.</w:t>
      </w:r>
    </w:p>
    <w:p>
      <w:pPr>
        <w:spacing w:after="0" w:line="172" w:lineRule="exact"/>
        <w:rPr>
          <w:rFonts w:ascii="Arial" w:cs="Arial" w:eastAsia="Arial" w:hAnsi="Arial"/>
          <w:sz w:val="17"/>
          <w:szCs w:val="17"/>
          <w:color w:val="auto"/>
        </w:rPr>
      </w:pPr>
    </w:p>
    <w:p>
      <w:pPr>
        <w:jc w:val="both"/>
        <w:ind w:firstLine="1278"/>
        <w:spacing w:after="0" w:line="270" w:lineRule="auto"/>
        <w:tabs>
          <w:tab w:leader="none" w:pos="1939"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Permitted Prepayment of Term Loans</w:t>
      </w:r>
      <w:r>
        <w:rPr>
          <w:rFonts w:ascii="Arial" w:cs="Arial" w:eastAsia="Arial" w:hAnsi="Arial"/>
          <w:sz w:val="17"/>
          <w:szCs w:val="17"/>
          <w:color w:val="auto"/>
        </w:rPr>
        <w:t xml:space="preserve">. Borrower shall have the option to prepay all, or any portion in minimum increments of Ten Million Dollars ($10,000,000) (or such lesser amount solely to the extent such lesser amount constitutes the entire outstanding principal amount of the Term Loans), of the outstanding principal balance of the Term Loans advanced by the Lenders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Borrower (i) provides written notice to Collateral Agent of its election to prepay the Term Loans at least five (5) Business Days prior to such prepayment, and (ii) pays to the Lenders on the date of such prepayment, payable to each Lender in accordance with its respective Pro Rata Share, an amount equal to the sum of (A) the outstanding principal of the Term Loans, or portion(s) thereof being prepaid, plus accrued and unpaid interest thereon through the prepayment date, (B) any fees payable under the Fee Letter by reason of such prepayment, (C) the Prepayment Premium, plus (D) all other Obligations that are due and payable on such prepayment date, including any Lenders’ Expenses and interest at the Default Rate (if any) with respect to any past due amounts. Prepayments of the Term Loan shall be applied to the Term Loan in inverse order of maturity.</w:t>
      </w:r>
    </w:p>
    <w:p>
      <w:pPr>
        <w:spacing w:after="0" w:line="3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69"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b w:val="1"/>
          <w:bCs w:val="1"/>
          <w:color w:val="auto"/>
        </w:rPr>
        <w:t>2.3 Payment of Interest on the Term Loans.</w:t>
      </w:r>
    </w:p>
    <w:p>
      <w:pPr>
        <w:spacing w:after="0" w:line="216" w:lineRule="exact"/>
        <w:rPr>
          <w:sz w:val="20"/>
          <w:szCs w:val="20"/>
          <w:color w:val="auto"/>
        </w:rPr>
      </w:pPr>
    </w:p>
    <w:p>
      <w:pPr>
        <w:jc w:val="both"/>
        <w:ind w:firstLine="1278"/>
        <w:spacing w:after="0" w:line="254" w:lineRule="auto"/>
        <w:tabs>
          <w:tab w:leader="none" w:pos="194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xml:space="preserve"> Subject to Section 2.3(b), the principal amount outstanding under the Term Loans shall accrue interest at a floating per annum rate equal to the LIBOR Rate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9.40%, which aggregate interest rate shall be determined by Collateral Agent on the third Business Day prior to the Funding Date of the applicable Term Loan and on the date occurring on the first Business Day of the month prior to each Payment Date occurring thereafter, which interest shall be payable monthly in arrears in accordance with Sections 2.2(b) and 2.3(e). Except as set forth in Section 2.2(b), such interest shall accrue on each Term Loan commencing on, and including, the Funding Date of such Term Loan, and shall accrue on the principal amount outstanding under such Term Loan through and including the day on which such Term Loan is paid in full (or any payment is made hereunder).</w:t>
      </w:r>
    </w:p>
    <w:p>
      <w:pPr>
        <w:spacing w:after="0" w:line="167" w:lineRule="exact"/>
        <w:rPr>
          <w:rFonts w:ascii="Arial" w:cs="Arial" w:eastAsia="Arial" w:hAnsi="Arial"/>
          <w:sz w:val="18"/>
          <w:szCs w:val="18"/>
          <w:color w:val="auto"/>
        </w:rPr>
      </w:pPr>
    </w:p>
    <w:p>
      <w:pPr>
        <w:jc w:val="both"/>
        <w:ind w:firstLine="1278"/>
        <w:spacing w:after="0" w:line="259" w:lineRule="auto"/>
        <w:tabs>
          <w:tab w:leader="none" w:pos="1939"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all Obligations shall accrue interest at a fixed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73" w:lineRule="exact"/>
        <w:rPr>
          <w:rFonts w:ascii="Arial" w:cs="Arial" w:eastAsia="Arial" w:hAnsi="Arial"/>
          <w:sz w:val="18"/>
          <w:szCs w:val="18"/>
          <w:color w:val="auto"/>
        </w:rPr>
      </w:pPr>
    </w:p>
    <w:p>
      <w:pPr>
        <w:ind w:left="1940" w:hanging="662"/>
        <w:spacing w:after="0"/>
        <w:tabs>
          <w:tab w:leader="none" w:pos="194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360-Day Year</w:t>
      </w:r>
      <w:r>
        <w:rPr>
          <w:rFonts w:ascii="Arial" w:cs="Arial" w:eastAsia="Arial" w:hAnsi="Arial"/>
          <w:sz w:val="16"/>
          <w:szCs w:val="16"/>
          <w:color w:val="auto"/>
        </w:rPr>
        <w:t>. Interest shall be computed on the basis of a three hundred sixty (360) day year for the actual number of days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elapsed.</w:t>
      </w:r>
    </w:p>
    <w:p>
      <w:pPr>
        <w:spacing w:after="0" w:line="197" w:lineRule="exact"/>
        <w:rPr>
          <w:rFonts w:ascii="Arial" w:cs="Arial" w:eastAsia="Arial" w:hAnsi="Arial"/>
          <w:sz w:val="16"/>
          <w:szCs w:val="16"/>
          <w:color w:val="auto"/>
        </w:rPr>
      </w:pPr>
    </w:p>
    <w:p>
      <w:pPr>
        <w:jc w:val="both"/>
        <w:ind w:firstLine="1278"/>
        <w:spacing w:after="0" w:line="263" w:lineRule="auto"/>
        <w:tabs>
          <w:tab w:leader="none" w:pos="1939"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including the Designated Deposit Account, for principal and interest payments or any other amounts any Loan Party owes the Lenders under the Loan Documents when due. Any such debits (or ACH activity) shall not constitute a set-off.</w:t>
      </w:r>
    </w:p>
    <w:p>
      <w:pPr>
        <w:spacing w:after="0" w:line="156" w:lineRule="exact"/>
        <w:rPr>
          <w:rFonts w:ascii="Arial" w:cs="Arial" w:eastAsia="Arial" w:hAnsi="Arial"/>
          <w:sz w:val="18"/>
          <w:szCs w:val="18"/>
          <w:color w:val="auto"/>
        </w:rPr>
      </w:pPr>
    </w:p>
    <w:p>
      <w:pPr>
        <w:jc w:val="both"/>
        <w:ind w:firstLine="1278"/>
        <w:spacing w:after="0" w:line="269" w:lineRule="auto"/>
        <w:tabs>
          <w:tab w:leader="none" w:pos="1942"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otherwise expressly provided herein, all payments by any Loan Party under the Loan Documents shall be made to the respective Lender to which such payments are owed, at such Person’s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any Loan Party hereunder or under any other Loan Document, including payments of principal and interest, and all fees, expenses, indemnities and reimbursements, shall be made without set-off, recoupment or counterclaim, in lawful money of the United States and in immediately available funds. Collateral Agent may at its discretion and with prior notice of at least one (1) Business Day, initiate debit entries to such Loan Party’s account as authorized on the ACH Letter (i) on each payment date of all Obligations then due and owing, (ii) at any time any payment due and owing with respect to Lender Expenses, and (iii) upon an Event of Default, any other Obligations outstanding.</w:t>
      </w:r>
    </w:p>
    <w:p>
      <w:pPr>
        <w:spacing w:after="0" w:line="16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2.4 Fees. </w:t>
      </w:r>
      <w:r>
        <w:rPr>
          <w:rFonts w:ascii="Arial" w:cs="Arial" w:eastAsia="Arial" w:hAnsi="Arial"/>
          <w:sz w:val="18"/>
          <w:szCs w:val="18"/>
          <w:color w:val="auto"/>
        </w:rPr>
        <w:t>The Loan Parties shall pay to Collateral Agent and/or Lenders (as applicable) the following fees, which shall be deemed fully earned and</w:t>
      </w:r>
      <w:r>
        <w:rPr>
          <w:rFonts w:ascii="Arial" w:cs="Arial" w:eastAsia="Arial" w:hAnsi="Arial"/>
          <w:sz w:val="18"/>
          <w:szCs w:val="18"/>
          <w:b w:val="1"/>
          <w:bCs w:val="1"/>
          <w:color w:val="auto"/>
        </w:rPr>
        <w:t xml:space="preserve"> </w:t>
      </w:r>
      <w:r>
        <w:rPr>
          <w:rFonts w:ascii="Arial" w:cs="Arial" w:eastAsia="Arial" w:hAnsi="Arial"/>
          <w:sz w:val="18"/>
          <w:szCs w:val="18"/>
          <w:color w:val="auto"/>
        </w:rPr>
        <w:t>non-refundable upon payment:</w:t>
      </w:r>
    </w:p>
    <w:p>
      <w:pPr>
        <w:spacing w:after="0" w:line="152" w:lineRule="exact"/>
        <w:rPr>
          <w:sz w:val="20"/>
          <w:szCs w:val="20"/>
          <w:color w:val="auto"/>
        </w:rPr>
      </w:pPr>
    </w:p>
    <w:p>
      <w:pPr>
        <w:ind w:left="1940" w:hanging="662"/>
        <w:spacing w:after="0"/>
        <w:tabs>
          <w:tab w:leader="none" w:pos="194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Fee Letter</w:t>
      </w:r>
      <w:r>
        <w:rPr>
          <w:rFonts w:ascii="Arial" w:cs="Arial" w:eastAsia="Arial" w:hAnsi="Arial"/>
          <w:sz w:val="16"/>
          <w:szCs w:val="16"/>
          <w:color w:val="auto"/>
        </w:rPr>
        <w:t>. When due and payable under the terms of the Fee Letter, to Collateral Agent and each Lender, as applicable, the fees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set forth in the Fee Letter.</w:t>
      </w:r>
    </w:p>
    <w:p>
      <w:pPr>
        <w:spacing w:after="0" w:line="183" w:lineRule="exact"/>
        <w:rPr>
          <w:rFonts w:ascii="Arial" w:cs="Arial" w:eastAsia="Arial" w:hAnsi="Arial"/>
          <w:sz w:val="16"/>
          <w:szCs w:val="16"/>
          <w:color w:val="auto"/>
        </w:rPr>
      </w:pPr>
    </w:p>
    <w:p>
      <w:pPr>
        <w:jc w:val="both"/>
        <w:ind w:firstLine="1278"/>
        <w:spacing w:after="0" w:line="254" w:lineRule="auto"/>
        <w:tabs>
          <w:tab w:leader="none" w:pos="193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 to be shared between the Lenders in accordance with their respective Pro Rata Shares. Each Loan Party expressly agrees (to the fullest extent that each may lawfully do so) that: (i) the Prepayment Premium is reasonable and is the product of an arm’s length transaction between sophisticated business people, ably represented by counsel; (ii) the Prepayment Premium shall be payable notwithstanding the then prevailing market rates at the time payment is made; (iii) there has been a course of conduct between Collateral Agent, Lenders and each Loan Party giving specific consideration in this transaction for such agreement to pay the Prepayment Premium and (iv) each Loan Party shall be estopped hereafter from claiming differently than as agreed to in this paragraph. Each Loan Party expressly acknowledges that its agreement to pay the Prepayment Premium to Lenders as herein described is a material inducement to Lenders to provide the Term Loan Commitments and make the Term Loans.</w:t>
      </w:r>
    </w:p>
    <w:p>
      <w:pPr>
        <w:spacing w:after="0" w:line="178" w:lineRule="exact"/>
        <w:rPr>
          <w:rFonts w:ascii="Arial" w:cs="Arial" w:eastAsia="Arial" w:hAnsi="Arial"/>
          <w:sz w:val="18"/>
          <w:szCs w:val="18"/>
          <w:color w:val="auto"/>
        </w:rPr>
      </w:pPr>
    </w:p>
    <w:p>
      <w:pPr>
        <w:ind w:firstLine="1278"/>
        <w:spacing w:after="0" w:line="277" w:lineRule="auto"/>
        <w:tabs>
          <w:tab w:leader="none" w:pos="194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documentation and negotiation of this Agreement) incurred through and after the Effective Date, when due.</w:t>
      </w:r>
    </w:p>
    <w:p>
      <w:pPr>
        <w:spacing w:after="0" w:line="15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2.5 Taxes; Increased Costs. </w:t>
      </w:r>
      <w:r>
        <w:rPr>
          <w:rFonts w:ascii="Arial" w:cs="Arial" w:eastAsia="Arial" w:hAnsi="Arial"/>
          <w:sz w:val="18"/>
          <w:szCs w:val="18"/>
          <w:color w:val="auto"/>
        </w:rPr>
        <w:t>Each Loan Party, Collateral Agent and the Lenders each hereby agree to the terms and conditions set forth on Exhibit</w:t>
      </w:r>
      <w:r>
        <w:rPr>
          <w:rFonts w:ascii="Arial" w:cs="Arial" w:eastAsia="Arial" w:hAnsi="Arial"/>
          <w:sz w:val="18"/>
          <w:szCs w:val="18"/>
          <w:b w:val="1"/>
          <w:bCs w:val="1"/>
          <w:color w:val="auto"/>
        </w:rPr>
        <w:t xml:space="preserve"> </w:t>
      </w:r>
      <w:r>
        <w:rPr>
          <w:rFonts w:ascii="Arial" w:cs="Arial" w:eastAsia="Arial" w:hAnsi="Arial"/>
          <w:sz w:val="18"/>
          <w:szCs w:val="18"/>
          <w:color w:val="auto"/>
        </w:rPr>
        <w:t>C attached hereto.</w:t>
      </w:r>
    </w:p>
    <w:p>
      <w:pPr>
        <w:spacing w:after="0" w:line="35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769" w:right="339" w:bottom="1440" w:gutter="0" w:footer="0" w:header="0"/>
        </w:sectPr>
      </w:pPr>
    </w:p>
    <w:bookmarkStart w:id="94" w:name="page95"/>
    <w:bookmarkEnd w:id="94"/>
    <w:p>
      <w:pPr>
        <w:jc w:val="both"/>
        <w:ind w:firstLine="946"/>
        <w:spacing w:after="0" w:line="314" w:lineRule="auto"/>
        <w:rPr>
          <w:sz w:val="20"/>
          <w:szCs w:val="20"/>
          <w:color w:val="auto"/>
        </w:rPr>
      </w:pPr>
      <w:r>
        <w:rPr>
          <w:rFonts w:ascii="Arial" w:cs="Arial" w:eastAsia="Arial" w:hAnsi="Arial"/>
          <w:sz w:val="16"/>
          <w:szCs w:val="16"/>
          <w:b w:val="1"/>
          <w:bCs w:val="1"/>
          <w:color w:val="auto"/>
        </w:rPr>
        <w:t xml:space="preserve">2.6 Original Issue Discount Legend. </w:t>
      </w:r>
      <w:r>
        <w:rPr>
          <w:rFonts w:ascii="Arial" w:cs="Arial" w:eastAsia="Arial" w:hAnsi="Arial"/>
          <w:sz w:val="16"/>
          <w:szCs w:val="16"/>
          <w:color w:val="auto"/>
        </w:rPr>
        <w:t>For purposes of Sections 1272, 1273 and 1275 of the Internal Revenue Code, the Term Loans are being</w:t>
      </w:r>
      <w:r>
        <w:rPr>
          <w:rFonts w:ascii="Arial" w:cs="Arial" w:eastAsia="Arial" w:hAnsi="Arial"/>
          <w:sz w:val="16"/>
          <w:szCs w:val="16"/>
          <w:b w:val="1"/>
          <w:bCs w:val="1"/>
          <w:color w:val="auto"/>
        </w:rPr>
        <w:t xml:space="preserve"> </w:t>
      </w:r>
      <w:r>
        <w:rPr>
          <w:rFonts w:ascii="Arial" w:cs="Arial" w:eastAsia="Arial" w:hAnsi="Arial"/>
          <w:sz w:val="16"/>
          <w:szCs w:val="16"/>
          <w:color w:val="auto"/>
        </w:rPr>
        <w:t>issued with original issue discount; please contact the Chief Financial Officer of SI-BONE, Inc., 471 El Camino Real, Suite 1010, Santa Clara, CA 95050, telephone: +1 (669) 206-2462 to obtain information regarding the issue price, the amount of original issue discount and the yield to maturity.</w:t>
      </w:r>
    </w:p>
    <w:p>
      <w:pPr>
        <w:spacing w:after="0" w:line="128"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LOANS</w:t>
      </w:r>
    </w:p>
    <w:p>
      <w:pPr>
        <w:spacing w:after="0" w:line="198" w:lineRule="exact"/>
        <w:rPr>
          <w:sz w:val="20"/>
          <w:szCs w:val="20"/>
          <w:color w:val="auto"/>
        </w:rPr>
      </w:pPr>
    </w:p>
    <w:p>
      <w:pPr>
        <w:jc w:val="both"/>
        <w:ind w:firstLine="622"/>
        <w:spacing w:after="0" w:line="261" w:lineRule="auto"/>
        <w:rPr>
          <w:sz w:val="20"/>
          <w:szCs w:val="20"/>
          <w:color w:val="auto"/>
        </w:rPr>
      </w:pPr>
      <w:r>
        <w:rPr>
          <w:rFonts w:ascii="Arial" w:cs="Arial" w:eastAsia="Arial" w:hAnsi="Arial"/>
          <w:sz w:val="18"/>
          <w:szCs w:val="18"/>
          <w:b w:val="1"/>
          <w:bCs w:val="1"/>
          <w:color w:val="auto"/>
        </w:rPr>
        <w:t xml:space="preserve">3.1 Conditions Precedent to Initial Term Loan. </w:t>
      </w:r>
      <w:r>
        <w:rPr>
          <w:rFonts w:ascii="Arial" w:cs="Arial" w:eastAsia="Arial" w:hAnsi="Arial"/>
          <w:sz w:val="18"/>
          <w:szCs w:val="18"/>
          <w:color w:val="auto"/>
        </w:rPr>
        <w:t>Subject to Section 3.5, each Lender’s obligation to make a Term Loan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70" w:lineRule="exact"/>
        <w:rPr>
          <w:sz w:val="20"/>
          <w:szCs w:val="20"/>
          <w:color w:val="auto"/>
        </w:rPr>
      </w:pPr>
    </w:p>
    <w:p>
      <w:pPr>
        <w:ind w:left="1940" w:hanging="662"/>
        <w:spacing w:after="0"/>
        <w:tabs>
          <w:tab w:leader="none" w:pos="1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original Loan Documents, each duly executed by each Loan Party;</w:t>
      </w:r>
    </w:p>
    <w:p>
      <w:pPr>
        <w:spacing w:after="0" w:line="211" w:lineRule="exact"/>
        <w:rPr>
          <w:rFonts w:ascii="Arial" w:cs="Arial" w:eastAsia="Arial" w:hAnsi="Arial"/>
          <w:sz w:val="18"/>
          <w:szCs w:val="18"/>
          <w:color w:val="auto"/>
        </w:rPr>
      </w:pPr>
    </w:p>
    <w:p>
      <w:pPr>
        <w:ind w:left="1940" w:hanging="662"/>
        <w:spacing w:after="0"/>
        <w:tabs>
          <w:tab w:leader="none" w:pos="1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completed Perfection Certificate for each Loan Party;</w:t>
      </w:r>
    </w:p>
    <w:p>
      <w:pPr>
        <w:spacing w:after="0" w:line="198" w:lineRule="exact"/>
        <w:rPr>
          <w:rFonts w:ascii="Arial" w:cs="Arial" w:eastAsia="Arial" w:hAnsi="Arial"/>
          <w:sz w:val="18"/>
          <w:szCs w:val="18"/>
          <w:color w:val="auto"/>
        </w:rPr>
      </w:pPr>
    </w:p>
    <w:p>
      <w:pPr>
        <w:ind w:left="1940" w:hanging="662"/>
        <w:spacing w:after="0"/>
        <w:tabs>
          <w:tab w:leader="none" w:pos="1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ind w:left="1940" w:hanging="662"/>
        <w:spacing w:after="0"/>
        <w:tabs>
          <w:tab w:leader="none" w:pos="1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duly executed Fee Letter;</w:t>
      </w:r>
    </w:p>
    <w:p>
      <w:pPr>
        <w:spacing w:after="0" w:line="211" w:lineRule="exact"/>
        <w:rPr>
          <w:rFonts w:ascii="Arial" w:cs="Arial" w:eastAsia="Arial" w:hAnsi="Arial"/>
          <w:sz w:val="18"/>
          <w:szCs w:val="18"/>
          <w:color w:val="auto"/>
        </w:rPr>
      </w:pPr>
    </w:p>
    <w:p>
      <w:pPr>
        <w:ind w:firstLine="1278"/>
        <w:spacing w:after="0" w:line="342" w:lineRule="auto"/>
        <w:tabs>
          <w:tab w:leader="none" w:pos="194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Operating Documents and good standing certificates of each Loan Party certified by the Secretary of State (or equivalent agency) of each Loan Party’s jurisdiction of organization or formation, each as of a date no earlier than thirty (30) days prior to the Effective Date</w:t>
      </w:r>
      <w:r>
        <w:rPr>
          <w:rFonts w:ascii="Arial" w:cs="Arial" w:eastAsia="Arial" w:hAnsi="Arial"/>
          <w:sz w:val="16"/>
          <w:szCs w:val="16"/>
          <w:b w:val="1"/>
          <w:bCs w:val="1"/>
          <w:color w:val="auto"/>
        </w:rPr>
        <w:t>;</w:t>
      </w:r>
    </w:p>
    <w:p>
      <w:pPr>
        <w:spacing w:after="0" w:line="96" w:lineRule="exact"/>
        <w:rPr>
          <w:rFonts w:ascii="Arial" w:cs="Arial" w:eastAsia="Arial" w:hAnsi="Arial"/>
          <w:sz w:val="16"/>
          <w:szCs w:val="16"/>
          <w:color w:val="auto"/>
        </w:rPr>
      </w:pPr>
    </w:p>
    <w:p>
      <w:pPr>
        <w:jc w:val="both"/>
        <w:ind w:firstLine="1278"/>
        <w:spacing w:after="0" w:line="257" w:lineRule="auto"/>
        <w:tabs>
          <w:tab w:leader="none" w:pos="19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certificate of each Loan Party in substantially the form of Exhibit F hereto executed by the Secretary of each Loan Party with appropriate insertions and attachments, including with respect to (i) the Operating Documents of each Loan Party (which Certificate of Incorporation or its equivalent document, as applicable, of each Loan Party shall be certified by the Secretary of State of the State, or its equivalent authority, as applicable, of such entity’s jurisdiction of formation) and (ii) the resolutions adopted by each Loan Party’s board of directors (or similar governing body) for the purpose of approving the transactions contemplated by the Loan Documents;</w:t>
      </w:r>
    </w:p>
    <w:p>
      <w:pPr>
        <w:spacing w:after="0" w:line="174" w:lineRule="exact"/>
        <w:rPr>
          <w:rFonts w:ascii="Arial" w:cs="Arial" w:eastAsia="Arial" w:hAnsi="Arial"/>
          <w:sz w:val="18"/>
          <w:szCs w:val="18"/>
          <w:color w:val="auto"/>
        </w:rPr>
      </w:pPr>
    </w:p>
    <w:p>
      <w:pPr>
        <w:jc w:val="both"/>
        <w:ind w:right="20" w:firstLine="1278"/>
        <w:spacing w:after="0" w:line="286" w:lineRule="auto"/>
        <w:tabs>
          <w:tab w:leader="none" w:pos="1939" w:val="left"/>
        </w:tabs>
        <w:numPr>
          <w:ilvl w:val="0"/>
          <w:numId w:val="60"/>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51" w:lineRule="exact"/>
        <w:rPr>
          <w:rFonts w:ascii="Arial" w:cs="Arial" w:eastAsia="Arial" w:hAnsi="Arial"/>
          <w:sz w:val="17"/>
          <w:szCs w:val="17"/>
          <w:color w:val="auto"/>
        </w:rPr>
      </w:pPr>
    </w:p>
    <w:p>
      <w:pPr>
        <w:ind w:left="1940" w:hanging="662"/>
        <w:spacing w:after="0"/>
        <w:tabs>
          <w:tab w:leader="none" w:pos="1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duly executed legal opinion of counsel to the Loan Parties dated as of the Effective Date;</w:t>
      </w:r>
    </w:p>
    <w:p>
      <w:pPr>
        <w:spacing w:after="0" w:line="198" w:lineRule="exact"/>
        <w:rPr>
          <w:rFonts w:ascii="Arial" w:cs="Arial" w:eastAsia="Arial" w:hAnsi="Arial"/>
          <w:sz w:val="18"/>
          <w:szCs w:val="18"/>
          <w:color w:val="auto"/>
        </w:rPr>
      </w:pPr>
    </w:p>
    <w:p>
      <w:pPr>
        <w:jc w:val="both"/>
        <w:ind w:firstLine="1278"/>
        <w:spacing w:after="0" w:line="263" w:lineRule="auto"/>
        <w:tabs>
          <w:tab w:leader="none" w:pos="19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Secured Parties;</w:t>
      </w:r>
    </w:p>
    <w:p>
      <w:pPr>
        <w:spacing w:after="0" w:line="170" w:lineRule="exact"/>
        <w:rPr>
          <w:rFonts w:ascii="Arial" w:cs="Arial" w:eastAsia="Arial" w:hAnsi="Arial"/>
          <w:sz w:val="18"/>
          <w:szCs w:val="18"/>
          <w:color w:val="auto"/>
        </w:rPr>
      </w:pPr>
    </w:p>
    <w:p>
      <w:pPr>
        <w:ind w:firstLine="1278"/>
        <w:spacing w:after="0" w:line="277" w:lineRule="auto"/>
        <w:tabs>
          <w:tab w:leader="none" w:pos="19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payoff letter in form and substance satisfactory to Collateral Agent and the Lenders evidencing the repayment in full and release of liens with respect to the Loan Parties’ existing Indebtedness; and</w:t>
      </w:r>
    </w:p>
    <w:p>
      <w:pPr>
        <w:spacing w:after="0" w:line="156" w:lineRule="exact"/>
        <w:rPr>
          <w:rFonts w:ascii="Arial" w:cs="Arial" w:eastAsia="Arial" w:hAnsi="Arial"/>
          <w:sz w:val="18"/>
          <w:szCs w:val="18"/>
          <w:color w:val="auto"/>
        </w:rPr>
      </w:pPr>
    </w:p>
    <w:p>
      <w:pPr>
        <w:ind w:left="1940" w:hanging="662"/>
        <w:spacing w:after="0"/>
        <w:tabs>
          <w:tab w:leader="none" w:pos="1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payment of the fees payable under the terms of the Fee Letter and Lenders’ Expenses then due as specified in Section 2.4 hereof.</w:t>
      </w:r>
    </w:p>
    <w:p>
      <w:pPr>
        <w:spacing w:after="0" w:line="217" w:lineRule="exact"/>
        <w:rPr>
          <w:sz w:val="20"/>
          <w:szCs w:val="20"/>
          <w:color w:val="auto"/>
        </w:rPr>
      </w:pPr>
    </w:p>
    <w:p>
      <w:pPr>
        <w:ind w:left="80" w:firstLine="567"/>
        <w:spacing w:after="0" w:line="282" w:lineRule="auto"/>
        <w:rPr>
          <w:sz w:val="20"/>
          <w:szCs w:val="20"/>
          <w:color w:val="auto"/>
        </w:rPr>
      </w:pPr>
      <w:r>
        <w:rPr>
          <w:rFonts w:ascii="Arial" w:cs="Arial" w:eastAsia="Arial" w:hAnsi="Arial"/>
          <w:sz w:val="18"/>
          <w:szCs w:val="18"/>
          <w:b w:val="1"/>
          <w:bCs w:val="1"/>
          <w:color w:val="auto"/>
        </w:rPr>
        <w:t>3.2 Conditions Precedent to all Term Loans. The obligation of each Lender to extend each Term Loan, including the initial Term Loan, is subject to the following conditions precedent:</w:t>
      </w:r>
    </w:p>
    <w:p>
      <w:pPr>
        <w:spacing w:after="0" w:line="152" w:lineRule="exact"/>
        <w:rPr>
          <w:sz w:val="20"/>
          <w:szCs w:val="20"/>
          <w:color w:val="auto"/>
        </w:rPr>
      </w:pPr>
    </w:p>
    <w:p>
      <w:pPr>
        <w:ind w:left="1940" w:hanging="662"/>
        <w:spacing w:after="0"/>
        <w:tabs>
          <w:tab w:leader="none" w:pos="1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receipt by Collateral Agent of an executed Loan Payment Request Form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211" w:lineRule="exact"/>
        <w:rPr>
          <w:rFonts w:ascii="Arial" w:cs="Arial" w:eastAsia="Arial" w:hAnsi="Arial"/>
          <w:sz w:val="18"/>
          <w:szCs w:val="18"/>
          <w:color w:val="auto"/>
        </w:rPr>
      </w:pPr>
    </w:p>
    <w:p>
      <w:pPr>
        <w:jc w:val="both"/>
        <w:ind w:firstLine="1278"/>
        <w:spacing w:after="0" w:line="257" w:lineRule="auto"/>
        <w:tabs>
          <w:tab w:leader="none" w:pos="19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Section 5 hereof shall be true, accurate and complete in all material respects on the Funding Date of each Term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37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69" w:right="339" w:bottom="1440" w:gutter="0" w:footer="0" w:header="0"/>
        </w:sectPr>
      </w:pPr>
    </w:p>
    <w:bookmarkStart w:id="95" w:name="page96"/>
    <w:bookmarkEnd w:id="95"/>
    <w:p>
      <w:pPr>
        <w:ind w:left="1940" w:hanging="662"/>
        <w:spacing w:after="0"/>
        <w:tabs>
          <w:tab w:leader="none" w:pos="1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such Lender’s reasonable discretion, there has not been any Material Adverse Change;</w:t>
      </w:r>
    </w:p>
    <w:p>
      <w:pPr>
        <w:spacing w:after="0" w:line="211" w:lineRule="exact"/>
        <w:rPr>
          <w:rFonts w:ascii="Arial" w:cs="Arial" w:eastAsia="Arial" w:hAnsi="Arial"/>
          <w:sz w:val="18"/>
          <w:szCs w:val="18"/>
          <w:color w:val="auto"/>
        </w:rPr>
      </w:pPr>
    </w:p>
    <w:p>
      <w:pPr>
        <w:ind w:left="1940" w:hanging="662"/>
        <w:spacing w:after="0"/>
        <w:tabs>
          <w:tab w:leader="none" w:pos="1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Event of Default or an event that with the passage of time could result in an Event of Default, shall exist; and</w:t>
      </w:r>
    </w:p>
    <w:p>
      <w:pPr>
        <w:spacing w:after="0" w:line="198" w:lineRule="exact"/>
        <w:rPr>
          <w:rFonts w:ascii="Arial" w:cs="Arial" w:eastAsia="Arial" w:hAnsi="Arial"/>
          <w:sz w:val="18"/>
          <w:szCs w:val="18"/>
          <w:color w:val="auto"/>
        </w:rPr>
      </w:pPr>
    </w:p>
    <w:p>
      <w:pPr>
        <w:ind w:left="1940" w:hanging="662"/>
        <w:spacing w:after="0"/>
        <w:tabs>
          <w:tab w:leader="none" w:pos="1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2.4 hereof.</w:t>
      </w:r>
    </w:p>
    <w:p>
      <w:pPr>
        <w:spacing w:after="0" w:line="208" w:lineRule="exact"/>
        <w:rPr>
          <w:sz w:val="20"/>
          <w:szCs w:val="20"/>
          <w:color w:val="auto"/>
        </w:rPr>
      </w:pPr>
    </w:p>
    <w:p>
      <w:pPr>
        <w:jc w:val="both"/>
        <w:ind w:firstLine="622"/>
        <w:spacing w:after="0" w:line="281" w:lineRule="auto"/>
        <w:rPr>
          <w:sz w:val="20"/>
          <w:szCs w:val="20"/>
          <w:color w:val="auto"/>
        </w:rPr>
      </w:pPr>
      <w:r>
        <w:rPr>
          <w:rFonts w:ascii="Arial" w:cs="Arial" w:eastAsia="Arial" w:hAnsi="Arial"/>
          <w:sz w:val="17"/>
          <w:szCs w:val="17"/>
          <w:b w:val="1"/>
          <w:bCs w:val="1"/>
          <w:color w:val="auto"/>
        </w:rPr>
        <w:t xml:space="preserve">3.3 Covenant to Deliver. </w:t>
      </w:r>
      <w:r>
        <w:rPr>
          <w:rFonts w:ascii="Arial" w:cs="Arial" w:eastAsia="Arial" w:hAnsi="Arial"/>
          <w:sz w:val="17"/>
          <w:szCs w:val="17"/>
          <w:color w:val="auto"/>
        </w:rPr>
        <w:t>Each Loan Party agrees to deliver to Collateral Agent and the Lenders each item required to be delivered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under this Agreement as a condition precedent to any Term Loan. Each Loan Party expressly agrees that a Term Loan made prior to the receipt by Collateral Agent or any Lender of any such item shall not constitute a waiver by Collateral Agent or any Lender of any Loan Party’s obligation to deliver such item, and any such Term Loan in the absence of a required item shall be made in each Lender’s sole discretion</w:t>
      </w:r>
    </w:p>
    <w:p>
      <w:pPr>
        <w:spacing w:after="0" w:line="151" w:lineRule="exact"/>
        <w:rPr>
          <w:sz w:val="20"/>
          <w:szCs w:val="20"/>
          <w:color w:val="auto"/>
        </w:rPr>
      </w:pPr>
    </w:p>
    <w:p>
      <w:pPr>
        <w:jc w:val="both"/>
        <w:ind w:firstLine="622"/>
        <w:spacing w:after="0" w:line="294" w:lineRule="auto"/>
        <w:rPr>
          <w:sz w:val="20"/>
          <w:szCs w:val="20"/>
          <w:color w:val="auto"/>
        </w:rPr>
      </w:pPr>
      <w:r>
        <w:rPr>
          <w:rFonts w:ascii="Arial" w:cs="Arial" w:eastAsia="Arial" w:hAnsi="Arial"/>
          <w:sz w:val="16"/>
          <w:szCs w:val="16"/>
          <w:b w:val="1"/>
          <w:bCs w:val="1"/>
          <w:color w:val="auto"/>
        </w:rPr>
        <w:t xml:space="preserve">3.4 Procedures for Borrowing. </w:t>
      </w:r>
      <w:r>
        <w:rPr>
          <w:rFonts w:ascii="Arial" w:cs="Arial" w:eastAsia="Arial" w:hAnsi="Arial"/>
          <w:sz w:val="16"/>
          <w:szCs w:val="16"/>
          <w:color w:val="auto"/>
        </w:rPr>
        <w:t>Subject to the prior satisfaction of all other applicable conditions to the making of a Term Loan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obtain the Term Loan, Borrower shall notify the Lenders (which notice shall be irrevocable) by electronic mail, facsimile, or telephone by 12:00 noon New York City time three (3) Business Days prior to the date the Term Loan is to be made (or such earlier date as the Lenders may agree in their sole discretion). Together with any such electronic, facsimile or telephonic notification, Borrower shall deliver to Collateral Agent by electronic mail or facsimile a completed Loan Payment Request Form executed by a Responsible Officer or his or her designee. The Collateral Agent may rely on any telephone notice given by a person whom Collateral Agent reasonably believes is a Responsible Officer or designee.</w:t>
      </w:r>
    </w:p>
    <w:p>
      <w:pPr>
        <w:spacing w:after="0" w:line="187" w:lineRule="exact"/>
        <w:rPr>
          <w:sz w:val="20"/>
          <w:szCs w:val="20"/>
          <w:color w:val="auto"/>
        </w:rPr>
      </w:pPr>
    </w:p>
    <w:p>
      <w:pPr>
        <w:jc w:val="both"/>
        <w:ind w:firstLine="622"/>
        <w:spacing w:after="0" w:line="261" w:lineRule="auto"/>
        <w:rPr>
          <w:sz w:val="20"/>
          <w:szCs w:val="20"/>
          <w:color w:val="auto"/>
        </w:rPr>
      </w:pPr>
      <w:r>
        <w:rPr>
          <w:rFonts w:ascii="Arial" w:cs="Arial" w:eastAsia="Arial" w:hAnsi="Arial"/>
          <w:sz w:val="18"/>
          <w:szCs w:val="18"/>
          <w:b w:val="1"/>
          <w:bCs w:val="1"/>
          <w:color w:val="auto"/>
        </w:rPr>
        <w:t xml:space="preserve">3.5 Post-Closing Obligations. </w:t>
      </w:r>
      <w:r>
        <w:rPr>
          <w:rFonts w:ascii="Arial" w:cs="Arial" w:eastAsia="Arial" w:hAnsi="Arial"/>
          <w:sz w:val="18"/>
          <w:szCs w:val="18"/>
          <w:color w:val="auto"/>
        </w:rPr>
        <w:t>Notwithstanding any provision herein or in any other Loan Document to the contrary, to the extent not</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delivered on or prior to the Effective Date, each Loan Party shall, no later than three (3) Business Days (or such later date as the Collateral Agent may agree in its sole discretion) after the Effective Date, deliver duly executed Control Agreements with respect to any Collateral Accounts (other than Excluded Accounts) maintained by such Loan Party.</w:t>
      </w:r>
    </w:p>
    <w:p>
      <w:pPr>
        <w:spacing w:after="0" w:line="207"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CREATION OF SECURITY INTEREST</w:t>
      </w:r>
    </w:p>
    <w:p>
      <w:pPr>
        <w:spacing w:after="0" w:line="211" w:lineRule="exact"/>
        <w:rPr>
          <w:rFonts w:ascii="Arial" w:cs="Arial" w:eastAsia="Arial" w:hAnsi="Arial"/>
          <w:sz w:val="18"/>
          <w:szCs w:val="18"/>
          <w:b w:val="1"/>
          <w:bCs w:val="1"/>
          <w:color w:val="auto"/>
        </w:rPr>
      </w:pPr>
    </w:p>
    <w:p>
      <w:pPr>
        <w:jc w:val="both"/>
        <w:ind w:firstLine="630"/>
        <w:spacing w:after="0" w:line="255" w:lineRule="auto"/>
        <w:tabs>
          <w:tab w:leader="none" w:pos="128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Security Interest. </w:t>
      </w:r>
      <w:r>
        <w:rPr>
          <w:rFonts w:ascii="Arial" w:cs="Arial" w:eastAsia="Arial" w:hAnsi="Arial"/>
          <w:sz w:val="18"/>
          <w:szCs w:val="18"/>
          <w:color w:val="auto"/>
        </w:rPr>
        <w:t>Each Loan Party hereby grants Collateral Agent, for the ratable benefit of the Secured Parties, to secure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and performance in full of all of the Obligations, a continuing first priority security interest in, and pledges to Collateral Agent, for the ratable benefit of the Secured Parties, the Collateral, wherever located, whether now owned or hereafter acquired or arising, and all proceeds and products and supporting obligations (as defined in the Code) in respect thereof. If any Loan Party shall acquire any commercial tort claim (as defined in the Code), such Loan Party shall grant to Collateral Agent, for the ratable benefit of the Secured Parties, a first priority security interest therein and in the proceeds and products and supporting obligations (as defined in the Code) thereof, all upon the terms of this Agreement, with such writing to be in form and substance reasonably satisfactory to Collateral Agent.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extend Term Loans has terminated, Collateral Agent shall, at the sole cost and expense of the Loan Parties, release its Liens in the Collateral and all rights therein shall revert to the Loan Parties.</w:t>
      </w:r>
    </w:p>
    <w:p>
      <w:pPr>
        <w:spacing w:after="0" w:line="169"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b w:val="1"/>
          <w:bCs w:val="1"/>
          <w:color w:val="auto"/>
        </w:rPr>
        <w:t>d2</w:t>
      </w:r>
      <w:r>
        <w:rPr>
          <w:sz w:val="20"/>
          <w:szCs w:val="20"/>
          <w:color w:val="auto"/>
        </w:rPr>
        <w:tab/>
      </w:r>
      <w:r>
        <w:rPr>
          <w:rFonts w:ascii="Arial" w:cs="Arial" w:eastAsia="Arial" w:hAnsi="Arial"/>
          <w:sz w:val="18"/>
          <w:szCs w:val="18"/>
          <w:b w:val="1"/>
          <w:bCs w:val="1"/>
          <w:color w:val="auto"/>
        </w:rPr>
        <w:t>Authorization to File Financing Statements</w:t>
      </w:r>
    </w:p>
    <w:p>
      <w:pPr>
        <w:spacing w:after="0" w:line="216" w:lineRule="exact"/>
        <w:rPr>
          <w:sz w:val="20"/>
          <w:szCs w:val="20"/>
          <w:color w:val="auto"/>
        </w:rPr>
      </w:pPr>
    </w:p>
    <w:p>
      <w:pPr>
        <w:jc w:val="both"/>
        <w:ind w:firstLine="630"/>
        <w:spacing w:after="0" w:line="263" w:lineRule="auto"/>
        <w:tabs>
          <w:tab w:leader="none" w:pos="725"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Each Loan Party hereby authorizes Collateral Agent to file financing statements or take any other action required to perfect Collateral Agent’s security interests in the Collateral (held for the ratable benefit of the Secured Parties), without notice to such Loan Party, with all appropriate jurisdictions to perfect or protect Collateral Agent’s interest or rights under the Loan Documents.</w:t>
      </w:r>
    </w:p>
    <w:p>
      <w:pPr>
        <w:spacing w:after="0" w:line="152" w:lineRule="exact"/>
        <w:rPr>
          <w:rFonts w:ascii="Arial" w:cs="Arial" w:eastAsia="Arial" w:hAnsi="Arial"/>
          <w:sz w:val="18"/>
          <w:szCs w:val="18"/>
          <w:b w:val="1"/>
          <w:bCs w:val="1"/>
          <w:color w:val="auto"/>
        </w:rPr>
      </w:pPr>
    </w:p>
    <w:p>
      <w:pPr>
        <w:ind w:left="640" w:hanging="632"/>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Each Loan Party represents and warrants to Collateral Agent and the Lenders as follows:</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73" w:right="339" w:bottom="1440" w:gutter="0" w:footer="0" w:header="0"/>
        </w:sectPr>
      </w:pPr>
    </w:p>
    <w:bookmarkStart w:id="96" w:name="page97"/>
    <w:bookmarkEnd w:id="96"/>
    <w:p>
      <w:pPr>
        <w:jc w:val="both"/>
        <w:ind w:firstLine="622"/>
        <w:spacing w:after="0" w:line="273"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Each Loan Party and each of its Subsidiaries is duly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as a Registered Organization in its jurisdictions of organization or formation and such Loan Party and each of its Subsidiaries is qualified and licensed to do business and is in good standing in any jurisdiction in which the conduct of its businesses or its ownership of property requires that it be so qualified except where the failure to do so could not reasonably be expected to have a Material Adverse Change. In connection with this Agreement, each Loan Party and each of its Subsidiaries has delivered to Collateral Agent a completed perfection certificate on or prior to the Effective Date (each a “</w:t>
      </w:r>
      <w:r>
        <w:rPr>
          <w:rFonts w:ascii="Arial" w:cs="Arial" w:eastAsia="Arial" w:hAnsi="Arial"/>
          <w:sz w:val="17"/>
          <w:szCs w:val="17"/>
          <w:b w:val="1"/>
          <w:bCs w:val="1"/>
          <w:color w:val="auto"/>
        </w:rPr>
        <w:t>Perfection 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Each Loan Party represents and warrants that all the information set forth on the Perfection Certificates pertaining to such Loan Party and each of its Subsidiaries is accurate and complete.</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execution, delivery and performance by each Loan Party and each of its Subsidiaries of the Loan Documents to which it is, or they are, a party have been duly authorized, and do not (i) conflict with any of such Loan Party’s or such Subsidiaries’ organizational documents, including its respective Operating Documents, (ii) contravene, conflict with, constitute a default under or violate any material Requirement of Law applicable thereto,</w:t>
      </w:r>
    </w:p>
    <w:p>
      <w:pPr>
        <w:spacing w:after="0" w:line="2" w:lineRule="exact"/>
        <w:rPr>
          <w:sz w:val="20"/>
          <w:szCs w:val="20"/>
          <w:color w:val="auto"/>
        </w:rPr>
      </w:pPr>
    </w:p>
    <w:p>
      <w:pPr>
        <w:jc w:val="both"/>
        <w:ind w:firstLine="8"/>
        <w:spacing w:after="0" w:line="252" w:lineRule="auto"/>
        <w:tabs>
          <w:tab w:leader="none" w:pos="3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contravene, conflict or violate any applicable order, writ, judgment, injunction, decree, determination or award of any Governmental Authority by which such Loan Party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such Loan Party, any of its Subsidiaries or any of their respective properties, is bound. Neither any Loan Party nor any of its Subsidiaries is in default under any agreement to which it is a party or by which it or any of its assets is bound in which such default could reasonably be expected to have a Material Adverse Change.</w:t>
      </w:r>
    </w:p>
    <w:p>
      <w:pPr>
        <w:spacing w:after="0" w:line="161"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Collateral</w:t>
      </w:r>
      <w:r>
        <w:rPr>
          <w:rFonts w:ascii="Arial" w:cs="Arial" w:eastAsia="Arial" w:hAnsi="Arial"/>
          <w:sz w:val="16"/>
          <w:szCs w:val="16"/>
          <w:color w:val="auto"/>
        </w:rPr>
        <w:t>.</w:t>
      </w:r>
    </w:p>
    <w:p>
      <w:pPr>
        <w:spacing w:after="0" w:line="216" w:lineRule="exact"/>
        <w:rPr>
          <w:sz w:val="20"/>
          <w:szCs w:val="20"/>
          <w:color w:val="auto"/>
        </w:rPr>
      </w:pPr>
    </w:p>
    <w:p>
      <w:pPr>
        <w:jc w:val="both"/>
        <w:ind w:firstLine="1278"/>
        <w:spacing w:after="0" w:line="293" w:lineRule="auto"/>
        <w:tabs>
          <w:tab w:leader="none" w:pos="1942" w:val="left"/>
        </w:tabs>
        <w:numPr>
          <w:ilvl w:val="1"/>
          <w:numId w:val="66"/>
        </w:numPr>
        <w:rPr>
          <w:rFonts w:ascii="Arial" w:cs="Arial" w:eastAsia="Arial" w:hAnsi="Arial"/>
          <w:sz w:val="16"/>
          <w:szCs w:val="16"/>
          <w:color w:val="auto"/>
        </w:rPr>
      </w:pPr>
      <w:r>
        <w:rPr>
          <w:rFonts w:ascii="Arial" w:cs="Arial" w:eastAsia="Arial" w:hAnsi="Arial"/>
          <w:sz w:val="16"/>
          <w:szCs w:val="16"/>
          <w:color w:val="auto"/>
        </w:rPr>
        <w:t>Each Loan Party and each its Subsidiaries have good title to, has rights in, and the power to transfer each item of the Collateral upon which it purports to grant a Lien under the Loan Documents, free and clear of any and all Liens except Permitted Liens, and none of the Loan Parties 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in respect of which such Loan Party or such Subsidiary has given Collateral Agent notice and taken such actions as are necessary to give Collateral Agent a perfected security interest therein to the extent required under this Agreement. The Accounts are bona fide, existing obligations of the Account Debtors.</w:t>
      </w:r>
    </w:p>
    <w:p>
      <w:pPr>
        <w:spacing w:after="0" w:line="150" w:lineRule="exact"/>
        <w:rPr>
          <w:rFonts w:ascii="Arial" w:cs="Arial" w:eastAsia="Arial" w:hAnsi="Arial"/>
          <w:sz w:val="16"/>
          <w:szCs w:val="16"/>
          <w:color w:val="auto"/>
        </w:rPr>
      </w:pPr>
    </w:p>
    <w:p>
      <w:pPr>
        <w:ind w:firstLine="1278"/>
        <w:spacing w:after="0" w:line="277" w:lineRule="auto"/>
        <w:tabs>
          <w:tab w:leader="none" w:pos="1939"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security interest granted herein is and shall at all times continue to be a first priority perfected security interest in the Collateral, subject only to involuntary Permitted Liens that, under applicable law, have priority over Collateral Agent’s Lien.</w:t>
      </w:r>
    </w:p>
    <w:p>
      <w:pPr>
        <w:spacing w:after="0" w:line="143" w:lineRule="exact"/>
        <w:rPr>
          <w:rFonts w:ascii="Arial" w:cs="Arial" w:eastAsia="Arial" w:hAnsi="Arial"/>
          <w:sz w:val="18"/>
          <w:szCs w:val="18"/>
          <w:color w:val="auto"/>
        </w:rPr>
      </w:pPr>
    </w:p>
    <w:p>
      <w:pPr>
        <w:ind w:firstLine="1278"/>
        <w:spacing w:after="0" w:line="308" w:lineRule="auto"/>
        <w:tabs>
          <w:tab w:leader="none" w:pos="1942" w:val="left"/>
        </w:tabs>
        <w:numPr>
          <w:ilvl w:val="1"/>
          <w:numId w:val="66"/>
        </w:numPr>
        <w:rPr>
          <w:rFonts w:ascii="Arial" w:cs="Arial" w:eastAsia="Arial" w:hAnsi="Arial"/>
          <w:sz w:val="17"/>
          <w:szCs w:val="17"/>
          <w:color w:val="auto"/>
        </w:rPr>
      </w:pPr>
      <w:r>
        <w:rPr>
          <w:rFonts w:ascii="Arial" w:cs="Arial" w:eastAsia="Arial" w:hAnsi="Arial"/>
          <w:sz w:val="17"/>
          <w:szCs w:val="17"/>
          <w:color w:val="auto"/>
        </w:rPr>
        <w:t>On the Effective Date, and except as disclosed on the Perfection Certificate (i) the Collateral is not in the possession of any third party bailee, and (ii) no such third party bailee possesses components of the Collateral in excess of One Million Dollars ($1,000,000).</w:t>
      </w:r>
    </w:p>
    <w:p>
      <w:pPr>
        <w:spacing w:after="0" w:line="132" w:lineRule="exact"/>
        <w:rPr>
          <w:rFonts w:ascii="Arial" w:cs="Arial" w:eastAsia="Arial" w:hAnsi="Arial"/>
          <w:sz w:val="17"/>
          <w:szCs w:val="17"/>
          <w:color w:val="auto"/>
        </w:rPr>
      </w:pPr>
    </w:p>
    <w:p>
      <w:pPr>
        <w:ind w:left="1940" w:hanging="662"/>
        <w:spacing w:after="0"/>
        <w:tabs>
          <w:tab w:leader="none" w:pos="1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Inventory and Equipment is in all material respects of good and marketable quality, free from material defects.</w:t>
      </w:r>
    </w:p>
    <w:p>
      <w:pPr>
        <w:spacing w:after="0" w:line="211" w:lineRule="exact"/>
        <w:rPr>
          <w:rFonts w:ascii="Arial" w:cs="Arial" w:eastAsia="Arial" w:hAnsi="Arial"/>
          <w:sz w:val="18"/>
          <w:szCs w:val="18"/>
          <w:color w:val="auto"/>
        </w:rPr>
      </w:pPr>
    </w:p>
    <w:p>
      <w:pPr>
        <w:jc w:val="both"/>
        <w:ind w:firstLine="1278"/>
        <w:spacing w:after="0" w:line="279" w:lineRule="auto"/>
        <w:tabs>
          <w:tab w:leader="none" w:pos="1942" w:val="left"/>
        </w:tabs>
        <w:numPr>
          <w:ilvl w:val="1"/>
          <w:numId w:val="66"/>
        </w:numPr>
        <w:rPr>
          <w:rFonts w:ascii="Arial" w:cs="Arial" w:eastAsia="Arial" w:hAnsi="Arial"/>
          <w:sz w:val="17"/>
          <w:szCs w:val="17"/>
          <w:color w:val="auto"/>
        </w:rPr>
      </w:pPr>
      <w:r>
        <w:rPr>
          <w:rFonts w:ascii="Arial" w:cs="Arial" w:eastAsia="Arial" w:hAnsi="Arial"/>
          <w:sz w:val="17"/>
          <w:szCs w:val="17"/>
          <w:color w:val="auto"/>
        </w:rPr>
        <w:t>Each Loan Party and each of its Subsidiaries is the sole owner of the Intellectual Property each respectively purports to own, free and clear of all Liens other than Permitted Liens and over the counter software that is commercially available to the public. Except as noted on the Perfection Certificate (which, upon the consummation of a transaction not prohibited by this Agreement, may be updated to reflect such transaction), none of the Loan Parties or any of its Subsidiaries is a party to, nor is bound by, any material license or other Material Agreement.</w:t>
      </w:r>
    </w:p>
    <w:p>
      <w:pPr>
        <w:spacing w:after="0" w:line="144" w:lineRule="exact"/>
        <w:rPr>
          <w:rFonts w:ascii="Arial" w:cs="Arial" w:eastAsia="Arial" w:hAnsi="Arial"/>
          <w:sz w:val="17"/>
          <w:szCs w:val="17"/>
          <w:color w:val="auto"/>
        </w:rPr>
      </w:pPr>
    </w:p>
    <w:p>
      <w:pPr>
        <w:jc w:val="both"/>
        <w:ind w:firstLine="1278"/>
        <w:spacing w:after="0" w:line="286" w:lineRule="auto"/>
        <w:tabs>
          <w:tab w:leader="none" w:pos="1936"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None of the Loan Parties or any Subsidiary has used any software or other materials that are subject to an open-source or similar license (including the General Public License, Lesser General Public License, Mozilla Public License, or Affero License) (collectively, “</w:t>
      </w:r>
      <w:r>
        <w:rPr>
          <w:rFonts w:ascii="Arial" w:cs="Arial" w:eastAsia="Arial" w:hAnsi="Arial"/>
          <w:sz w:val="16"/>
          <w:szCs w:val="16"/>
          <w:b w:val="1"/>
          <w:bCs w:val="1"/>
          <w:color w:val="auto"/>
        </w:rPr>
        <w:t>Open Source</w:t>
      </w:r>
      <w:r>
        <w:rPr>
          <w:rFonts w:ascii="Arial" w:cs="Arial" w:eastAsia="Arial" w:hAnsi="Arial"/>
          <w:sz w:val="16"/>
          <w:szCs w:val="16"/>
          <w:color w:val="auto"/>
        </w:rPr>
        <w:t xml:space="preserve"> </w:t>
      </w:r>
      <w:r>
        <w:rPr>
          <w:rFonts w:ascii="Arial" w:cs="Arial" w:eastAsia="Arial" w:hAnsi="Arial"/>
          <w:sz w:val="16"/>
          <w:szCs w:val="16"/>
          <w:b w:val="1"/>
          <w:bCs w:val="1"/>
          <w:color w:val="auto"/>
        </w:rPr>
        <w:t>Licenses</w:t>
      </w:r>
      <w:r>
        <w:rPr>
          <w:rFonts w:ascii="Arial" w:cs="Arial" w:eastAsia="Arial" w:hAnsi="Arial"/>
          <w:sz w:val="16"/>
          <w:szCs w:val="16"/>
          <w:color w:val="auto"/>
        </w:rPr>
        <w:t>”) in a manner that would cause any software or other materials owned by any Loan Party or used in any Loan Party products to have to be (i)</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distributed to third parties at no charge or a minimal charge, (ii) licensed to third parties for the purpose of creating modifications or derivative works,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the terms of such Open Source License.</w:t>
      </w:r>
    </w:p>
    <w:p>
      <w:pPr>
        <w:spacing w:after="0" w:line="200" w:lineRule="exact"/>
        <w:rPr>
          <w:sz w:val="20"/>
          <w:szCs w:val="20"/>
          <w:color w:val="auto"/>
        </w:rPr>
      </w:pPr>
    </w:p>
    <w:p>
      <w:pPr>
        <w:spacing w:after="0" w:line="21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69" w:right="339" w:bottom="1440" w:gutter="0" w:footer="0" w:header="0"/>
        </w:sectPr>
      </w:pPr>
    </w:p>
    <w:bookmarkStart w:id="97" w:name="page98"/>
    <w:bookmarkEnd w:id="97"/>
    <w:p>
      <w:pPr>
        <w:jc w:val="both"/>
        <w:ind w:firstLine="622"/>
        <w:spacing w:after="0" w:line="266"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on the Perfection Certificate or with respect to which Borrower has provided notice as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there are no actions, suits, investigations, or proceedings pending or, to the Knowledge of the Responsible Officers, threatened in writing by or against any Loan Party or any of its Subsidiaries involving more than One Million Dollars ($1,000,000).</w:t>
      </w:r>
    </w:p>
    <w:p>
      <w:pPr>
        <w:spacing w:after="0" w:line="162" w:lineRule="exact"/>
        <w:rPr>
          <w:sz w:val="20"/>
          <w:szCs w:val="20"/>
          <w:color w:val="auto"/>
        </w:rPr>
      </w:pPr>
    </w:p>
    <w:p>
      <w:pPr>
        <w:jc w:val="both"/>
        <w:ind w:firstLine="622"/>
        <w:spacing w:after="0" w:line="274" w:lineRule="auto"/>
        <w:rPr>
          <w:sz w:val="20"/>
          <w:szCs w:val="20"/>
          <w:color w:val="auto"/>
        </w:rPr>
      </w:pPr>
      <w:r>
        <w:rPr>
          <w:rFonts w:ascii="Arial" w:cs="Arial" w:eastAsia="Arial" w:hAnsi="Arial"/>
          <w:sz w:val="17"/>
          <w:szCs w:val="17"/>
          <w:b w:val="1"/>
          <w:bCs w:val="1"/>
          <w:color w:val="auto"/>
        </w:rPr>
        <w:t xml:space="preserve">5.4 No Material Adverse Change; Financial Statements. </w:t>
      </w:r>
      <w:r>
        <w:rPr>
          <w:rFonts w:ascii="Arial" w:cs="Arial" w:eastAsia="Arial" w:hAnsi="Arial"/>
          <w:sz w:val="17"/>
          <w:szCs w:val="17"/>
          <w:color w:val="auto"/>
        </w:rPr>
        <w:t>All consolidated financial statements for the Loan Parties and its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Subsidiaries, delivered to Collateral Agent fairly present, in conformity with GAAP, and in all material respects the consolidated financial condition of the Loan Parties and its consolidated Subsidiaries, and the consolidated results of operations of the Loan Parties and its consolidated Subsidiaries. Since December 31, 2019, there has not been a Material Adverse 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current financial and market conditions engendered by the COVID-19 pandemic solely as of and up to and including the Effective Date (but not after such date) shall not be given effect in determining whether a Material Adverse Change has occurred with respect to Borrower and its Subsidiaries.</w:t>
      </w:r>
    </w:p>
    <w:p>
      <w:pPr>
        <w:spacing w:after="0" w:line="200"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Solvency. </w:t>
      </w:r>
      <w:r>
        <w:rPr>
          <w:rFonts w:ascii="Arial" w:cs="Arial" w:eastAsia="Arial" w:hAnsi="Arial"/>
          <w:sz w:val="16"/>
          <w:szCs w:val="16"/>
          <w:color w:val="auto"/>
        </w:rPr>
        <w:t>Each Loan Party is Solvent. Each Loan Party and each of its Subsidiaries, when taken as a whole, is Solvent.</w:t>
      </w:r>
    </w:p>
    <w:p>
      <w:pPr>
        <w:spacing w:after="0" w:line="198"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b w:val="1"/>
          <w:bCs w:val="1"/>
          <w:color w:val="auto"/>
        </w:rPr>
        <w:t xml:space="preserve">5.6 Regulatory Compliance. </w:t>
      </w:r>
      <w:r>
        <w:rPr>
          <w:rFonts w:ascii="Arial" w:cs="Arial" w:eastAsia="Arial" w:hAnsi="Arial"/>
          <w:sz w:val="17"/>
          <w:szCs w:val="17"/>
          <w:color w:val="auto"/>
        </w:rPr>
        <w:t>No Loan Party or any of its Subsidiaries is an “investment company” or a company “controlled” by an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under the Investment Company Act of 1940, as amended. None of the Loan Parties or any of its Subsidiaries is engaged as one of its important activities in extending credit for margin stock (under Regulations X, T and U of the Federal Reserve Board of Governors). Each Loan Party and each of its Subsidiaries has complied in all material respects with the Federal Fair Labor Standards Act. None of the Loan Parties or any of its Subsidiaries is a “holding company” or an “affiliate” of a “holding company” or a “subsidiary company” of a “holding company” as each term is defined and used in the Public Utility Holding Company Act of 2005. None of the Loan Parties or any of its Subsidiaries has violated any laws, ordinances or rules, the violation of which could reasonably be expected to have a Material Adverse Change. None of the Loan Parties’ or any of its Subsidiaries’ properties or assets has been used by such Loan Party or such Subsidiary or, to such Loan Party’s Knowledge, by previous Persons, in disposing, producing, storing, treating, or transporting any hazardous substance other than in material compliance with applicable laws. Each Loan Party and each of its Subsidiaries has obtained all material consents, approvals and authorizations of, made all declarations or filings with, and given all notices to, all Governmental Authorities that are necessary to continue their respective businesses as currently conducted.</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None of the Loan Parties, any of its Subsidiaries, or any Loan Party’s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the Loan Parties, any of its Subsidiaries, or to the Knowledge of such Loan Party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74" w:lineRule="exact"/>
        <w:rPr>
          <w:sz w:val="20"/>
          <w:szCs w:val="20"/>
          <w:color w:val="auto"/>
        </w:rPr>
      </w:pPr>
    </w:p>
    <w:p>
      <w:pPr>
        <w:jc w:val="both"/>
        <w:ind w:firstLine="622"/>
        <w:spacing w:after="0" w:line="282"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None of the Loan Parties or any of its Subsidiaries owns any stock, shares, partnership interests or other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Permitted Investments.</w:t>
      </w:r>
    </w:p>
    <w:p>
      <w:pPr>
        <w:spacing w:after="0" w:line="135"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b w:val="1"/>
          <w:bCs w:val="1"/>
          <w:color w:val="auto"/>
        </w:rPr>
        <w:t xml:space="preserve">5.8 Tax Returns and Payments; Pension Contributions. </w:t>
      </w:r>
      <w:r>
        <w:rPr>
          <w:rFonts w:ascii="Arial" w:cs="Arial" w:eastAsia="Arial" w:hAnsi="Arial"/>
          <w:sz w:val="17"/>
          <w:szCs w:val="17"/>
          <w:color w:val="auto"/>
        </w:rPr>
        <w:t>Each Loan Party and each of its Subsidiaries have filed all required income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material tax returns and reports (or extensions thereof), and each Loan Party and each of its Subsidiaries have timely paid all material foreign, federal, state, and local Taxes, assessments, deposits and contributions owed by such Loan Party and such Subsidiaries in all jurisdictions in which any such Loan Party or any such Subsidiary is subject to Taxes, including the United States, unless such Taxes are being contested in accordance with the next sentence. Each Loan Party and each of its Subsidiaries may defer payment of any contested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Loan Party or such Subsidiary, (a) in good faith contests its obligation to pay the Taxes by appropriate proceedings promptly and diligently instituted and conducted; and (b) maintains adequate reserves or other appropriate provisions on its books in accordance with GAAP. There are no Liens for any Taxes (other than Permitted Liens) upon any of the Collateral. Each of the Loan Parties and its Subsidiaries has paid all amounts necessary to fund all present pension, profit sharing and deferred compensation plans in accordance with their terms, and none of the Loan Parties or any of its Subsidiaries has withdrawn from participation in, has permitted partial or complete termination of, or has permitted the occurrence of any other event with respect to, any such plan which could reasonably be expected to result in any liability of such Loan Party or its Subsidiaries, including any liability to the Pension Benefit Guaranty Corporation or its successors or any other Governmental Authority.</w:t>
      </w:r>
    </w:p>
    <w:p>
      <w:pPr>
        <w:spacing w:after="0" w:line="3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69" w:right="339" w:bottom="1440" w:gutter="0" w:footer="0" w:header="0"/>
        </w:sectPr>
      </w:pPr>
    </w:p>
    <w:bookmarkStart w:id="98" w:name="page99"/>
    <w:bookmarkEnd w:id="98"/>
    <w:p>
      <w:pPr>
        <w:jc w:val="both"/>
        <w:ind w:firstLine="622"/>
        <w:spacing w:after="0" w:line="266" w:lineRule="auto"/>
        <w:rPr>
          <w:sz w:val="20"/>
          <w:szCs w:val="20"/>
          <w:color w:val="auto"/>
        </w:rPr>
      </w:pPr>
      <w:r>
        <w:rPr>
          <w:rFonts w:ascii="Arial" w:cs="Arial" w:eastAsia="Arial" w:hAnsi="Arial"/>
          <w:sz w:val="18"/>
          <w:szCs w:val="18"/>
          <w:b w:val="1"/>
          <w:bCs w:val="1"/>
          <w:color w:val="auto"/>
        </w:rPr>
        <w:t xml:space="preserve">5.9 Use of Proceeds. </w:t>
      </w:r>
      <w:r>
        <w:rPr>
          <w:rFonts w:ascii="Arial" w:cs="Arial" w:eastAsia="Arial" w:hAnsi="Arial"/>
          <w:sz w:val="18"/>
          <w:szCs w:val="18"/>
          <w:color w:val="auto"/>
        </w:rPr>
        <w:t>The Loan Parties shall use the proceeds of the Term Loans to repay all outstanding obligations under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debt facility with BioPharma Credit Investments IV Sub LP, as working capital and to fund its general business requirements, and not for personal, family, household or agricultural purposes.</w:t>
      </w:r>
    </w:p>
    <w:p>
      <w:pPr>
        <w:spacing w:after="0" w:line="162" w:lineRule="exact"/>
        <w:rPr>
          <w:sz w:val="20"/>
          <w:szCs w:val="20"/>
          <w:color w:val="auto"/>
        </w:rPr>
      </w:pPr>
    </w:p>
    <w:p>
      <w:pPr>
        <w:jc w:val="both"/>
        <w:ind w:firstLine="622"/>
        <w:spacing w:after="0" w:line="294" w:lineRule="auto"/>
        <w:rPr>
          <w:sz w:val="20"/>
          <w:szCs w:val="20"/>
          <w:color w:val="auto"/>
        </w:rPr>
      </w:pPr>
      <w:r>
        <w:rPr>
          <w:rFonts w:ascii="Arial" w:cs="Arial" w:eastAsia="Arial" w:hAnsi="Arial"/>
          <w:sz w:val="16"/>
          <w:szCs w:val="16"/>
          <w:b w:val="1"/>
          <w:bCs w:val="1"/>
          <w:color w:val="auto"/>
        </w:rPr>
        <w:t xml:space="preserve">5.10 Full Disclosure. </w:t>
      </w:r>
      <w:r>
        <w:rPr>
          <w:rFonts w:ascii="Arial" w:cs="Arial" w:eastAsia="Arial" w:hAnsi="Arial"/>
          <w:sz w:val="16"/>
          <w:szCs w:val="16"/>
          <w:color w:val="auto"/>
        </w:rPr>
        <w:t>No written representation, warranty or other statement of any Loan Party or any of its Subsidiaries in any certificate 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statement, when taken as a whole,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the Loan Parties in good faith and based upon reasonable assumptions are not viewed as facts and that actual results during the period or periods covered by such projections and forecasts may differ from the projected or forecasted results).</w:t>
      </w:r>
    </w:p>
    <w:p>
      <w:pPr>
        <w:spacing w:after="0" w:line="133"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AFFIRMATIVE COVENANTS</w:t>
      </w:r>
    </w:p>
    <w:p>
      <w:pPr>
        <w:spacing w:after="0" w:line="21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Each Loan Party shall, and shall cause each of its Subsidiaries to, do all of the following:</w:t>
      </w:r>
    </w:p>
    <w:p>
      <w:pPr>
        <w:spacing w:after="0" w:line="207"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color w:val="auto"/>
        </w:rPr>
        <w:t>Government Compliance</w:t>
      </w:r>
      <w:r>
        <w:rPr>
          <w:rFonts w:ascii="Arial" w:cs="Arial" w:eastAsia="Arial" w:hAnsi="Arial"/>
          <w:sz w:val="16"/>
          <w:szCs w:val="16"/>
          <w:color w:val="auto"/>
        </w:rPr>
        <w:t>.</w:t>
      </w:r>
    </w:p>
    <w:p>
      <w:pPr>
        <w:spacing w:after="0" w:line="202" w:lineRule="exact"/>
        <w:rPr>
          <w:rFonts w:ascii="Arial" w:cs="Arial" w:eastAsia="Arial" w:hAnsi="Arial"/>
          <w:sz w:val="18"/>
          <w:szCs w:val="18"/>
          <w:b w:val="1"/>
          <w:bCs w:val="1"/>
          <w:color w:val="auto"/>
        </w:rPr>
      </w:pPr>
    </w:p>
    <w:p>
      <w:pPr>
        <w:jc w:val="both"/>
        <w:ind w:firstLine="1278"/>
        <w:spacing w:after="0" w:line="259" w:lineRule="auto"/>
        <w:tabs>
          <w:tab w:leader="none" w:pos="1942" w:val="left"/>
        </w:tabs>
        <w:numPr>
          <w:ilvl w:val="1"/>
          <w:numId w:val="68"/>
        </w:numPr>
        <w:rPr>
          <w:rFonts w:ascii="Arial" w:cs="Arial" w:eastAsia="Arial" w:hAnsi="Arial"/>
          <w:sz w:val="18"/>
          <w:szCs w:val="18"/>
          <w:color w:val="auto"/>
        </w:rPr>
      </w:pPr>
      <w:r>
        <w:rPr>
          <w:rFonts w:ascii="Arial" w:cs="Arial" w:eastAsia="Arial" w:hAnsi="Arial"/>
          <w:sz w:val="18"/>
          <w:szCs w:val="18"/>
          <w:color w:val="auto"/>
        </w:rPr>
        <w:t>Other than specifically permitted hereunder, 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any Loan Party or any of its Subsidiaries is subject, the noncompliance with which could reasonably be expected to have a Material Adverse Change.</w:t>
      </w:r>
    </w:p>
    <w:p>
      <w:pPr>
        <w:spacing w:after="0" w:line="173" w:lineRule="exact"/>
        <w:rPr>
          <w:rFonts w:ascii="Arial" w:cs="Arial" w:eastAsia="Arial" w:hAnsi="Arial"/>
          <w:sz w:val="18"/>
          <w:szCs w:val="18"/>
          <w:color w:val="auto"/>
        </w:rPr>
      </w:pPr>
    </w:p>
    <w:p>
      <w:pPr>
        <w:jc w:val="both"/>
        <w:ind w:firstLine="1278"/>
        <w:spacing w:after="0" w:line="263" w:lineRule="auto"/>
        <w:tabs>
          <w:tab w:leader="none" w:pos="1939" w:val="left"/>
        </w:tabs>
        <w:numPr>
          <w:ilvl w:val="1"/>
          <w:numId w:val="68"/>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any Loan Party and its Subsidiaries of their respective businesses and obligations under the Loan Documents and the grant of a security interest to Collateral Agent for the ratable benefit of the Secured Parties, in all of the Collateral.</w:t>
      </w:r>
    </w:p>
    <w:p>
      <w:pPr>
        <w:spacing w:after="0" w:line="16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 Notices</w:t>
      </w:r>
      <w:r>
        <w:rPr>
          <w:rFonts w:ascii="Arial" w:cs="Arial" w:eastAsia="Arial" w:hAnsi="Arial"/>
          <w:sz w:val="16"/>
          <w:szCs w:val="16"/>
          <w:color w:val="auto"/>
        </w:rPr>
        <w:t>.</w:t>
      </w:r>
    </w:p>
    <w:p>
      <w:pPr>
        <w:spacing w:after="0" w:line="202" w:lineRule="exact"/>
        <w:rPr>
          <w:sz w:val="20"/>
          <w:szCs w:val="20"/>
          <w:color w:val="auto"/>
        </w:rPr>
      </w:pPr>
    </w:p>
    <w:p>
      <w:pPr>
        <w:ind w:left="1940" w:hanging="662"/>
        <w:spacing w:after="0"/>
        <w:tabs>
          <w:tab w:leader="none" w:pos="19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Deliver to Collateral Agent:</w:t>
      </w:r>
    </w:p>
    <w:p>
      <w:pPr>
        <w:spacing w:after="0" w:line="211" w:lineRule="exact"/>
        <w:rPr>
          <w:rFonts w:ascii="Arial" w:cs="Arial" w:eastAsia="Arial" w:hAnsi="Arial"/>
          <w:sz w:val="18"/>
          <w:szCs w:val="18"/>
          <w:color w:val="auto"/>
        </w:rPr>
      </w:pPr>
    </w:p>
    <w:p>
      <w:pPr>
        <w:jc w:val="both"/>
        <w:ind w:firstLine="1223"/>
        <w:spacing w:after="0" w:line="259" w:lineRule="auto"/>
        <w:tabs>
          <w:tab w:leader="none" w:pos="19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if prepared by any Loan Party or if reasonably requested by the Lenders, consolidating balance sheet, income statement and cash flow statement covering the consolidated operations of the Loan Parties and its consolidated Subsidiaries for such month certified by a Responsible Officer and in a form reasonably acceptable to the Collateral Agent;</w:t>
      </w:r>
    </w:p>
    <w:p>
      <w:pPr>
        <w:spacing w:after="0" w:line="173" w:lineRule="exact"/>
        <w:rPr>
          <w:rFonts w:ascii="Arial" w:cs="Arial" w:eastAsia="Arial" w:hAnsi="Arial"/>
          <w:sz w:val="18"/>
          <w:szCs w:val="18"/>
          <w:color w:val="auto"/>
        </w:rPr>
      </w:pPr>
    </w:p>
    <w:p>
      <w:pPr>
        <w:jc w:val="both"/>
        <w:ind w:firstLine="1223"/>
        <w:spacing w:after="0" w:line="259" w:lineRule="auto"/>
        <w:tabs>
          <w:tab w:leader="none" w:pos="19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soon as available, but no later than forty-five (45) days after the last day of each of Borrower’s first three fiscal quarters, a company prepared consolidated and, if prepared by the Loan Parties or if reasonably requested by the Lenders, consolidating balance sheet, income statement and cash flow statement covering the consolidated operations of the Loan Parties and its consolidated Subsidiaries for such fiscal quarter certified by a Responsible Officer and in a form reasonably acceptable to the Collateral Agent;</w:t>
      </w:r>
    </w:p>
    <w:p>
      <w:pPr>
        <w:spacing w:after="0" w:line="213" w:lineRule="exact"/>
        <w:rPr>
          <w:rFonts w:ascii="Arial" w:cs="Arial" w:eastAsia="Arial" w:hAnsi="Arial"/>
          <w:sz w:val="18"/>
          <w:szCs w:val="18"/>
          <w:color w:val="auto"/>
        </w:rPr>
      </w:pPr>
    </w:p>
    <w:p>
      <w:pPr>
        <w:jc w:val="both"/>
        <w:ind w:firstLine="1223"/>
        <w:spacing w:after="0" w:line="311" w:lineRule="auto"/>
        <w:tabs>
          <w:tab w:leader="none" w:pos="194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soon as available, but no later than ninety (90) days after the last day of Borrower’s fiscal year or within five (5) days of filing of the same with the SEC, audited consolidated financial statements covering the consolidated operations of the Loan Parties and its consolidated Subsidiaries for such fiscal year, prepared under GAAP, consistently applied, together with an Unqualified Opinion on the financial statements;</w:t>
      </w:r>
    </w:p>
    <w:p>
      <w:pPr>
        <w:spacing w:after="0" w:line="175" w:lineRule="exact"/>
        <w:rPr>
          <w:rFonts w:ascii="Arial" w:cs="Arial" w:eastAsia="Arial" w:hAnsi="Arial"/>
          <w:sz w:val="16"/>
          <w:szCs w:val="16"/>
          <w:color w:val="auto"/>
        </w:rPr>
      </w:pPr>
    </w:p>
    <w:p>
      <w:pPr>
        <w:jc w:val="both"/>
        <w:ind w:firstLine="1223"/>
        <w:spacing w:after="0" w:line="257" w:lineRule="auto"/>
        <w:tabs>
          <w:tab w:leader="none" w:pos="193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as soon as available after approval thereof by each Loan Party’s board of directors (or similar governing body), but no later than the earlier of (x) ten (10) days’ after such approval and (y) February 28 of such year, Borrower’s annual financial projections for the entire current fiscal year as approved by each Loan Party’s board of directors (or similar governing body);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revisions to such projections approved by any Loan Party’s board of directors (or similar governing body) shall be delivered to Collateral Agent and the Lenders no later than seven (7) days after such approval;</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69" w:right="339" w:bottom="1440" w:gutter="0" w:footer="0" w:header="0"/>
        </w:sectPr>
      </w:pPr>
    </w:p>
    <w:bookmarkStart w:id="99" w:name="page100"/>
    <w:bookmarkEnd w:id="99"/>
    <w:p>
      <w:pPr>
        <w:jc w:val="both"/>
        <w:ind w:firstLine="1223"/>
        <w:spacing w:after="0" w:line="296" w:lineRule="auto"/>
        <w:tabs>
          <w:tab w:leader="none" w:pos="1938"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within five (5) days of delivery, copies of all non-ministerial statements, reports and notices made available to any Loan Party’s security holders or holders of Subordinated Debt (other than materials provided to members of any Loan Party’s board of directors (or similar governing body) solely in their capacities as security holder or holders of Subordinated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foregoing may be subject to such exclusions and redactions as Borrower deems reasonably necessary, in the exercise of its good faith judgment, in order to (i) preserve the confidentiality of highly sensitive information, (ii) prevent impairment of the attorney-client privilege or (iii) conflict of interest with Lenders for new financings;</w:t>
      </w:r>
    </w:p>
    <w:p>
      <w:pPr>
        <w:spacing w:after="0" w:line="188" w:lineRule="exact"/>
        <w:rPr>
          <w:rFonts w:ascii="Arial" w:cs="Arial" w:eastAsia="Arial" w:hAnsi="Arial"/>
          <w:sz w:val="16"/>
          <w:szCs w:val="16"/>
          <w:color w:val="auto"/>
        </w:rPr>
      </w:pPr>
    </w:p>
    <w:p>
      <w:pPr>
        <w:ind w:left="1940" w:hanging="717"/>
        <w:spacing w:after="0"/>
        <w:tabs>
          <w:tab w:leader="none" w:pos="19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within five (5) days of filing, all reports on Form 10-K, 10-Q and 8-K filed with the Securities and Exchange Commission;</w:t>
      </w:r>
    </w:p>
    <w:p>
      <w:pPr>
        <w:spacing w:after="0" w:line="263" w:lineRule="exact"/>
        <w:rPr>
          <w:rFonts w:ascii="Arial" w:cs="Arial" w:eastAsia="Arial" w:hAnsi="Arial"/>
          <w:sz w:val="17"/>
          <w:szCs w:val="17"/>
          <w:color w:val="auto"/>
        </w:rPr>
      </w:pPr>
    </w:p>
    <w:p>
      <w:pPr>
        <w:jc w:val="both"/>
        <w:ind w:firstLine="1223"/>
        <w:spacing w:after="0" w:line="263" w:lineRule="auto"/>
        <w:tabs>
          <w:tab w:leader="none" w:pos="194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each Loan Party or its Subsidiaries, which statements may be provided to Collateral Agent and each Lender by each Loan Party or directly from the applicable institution(s);</w:t>
      </w:r>
    </w:p>
    <w:p>
      <w:pPr>
        <w:spacing w:after="0" w:line="210" w:lineRule="exact"/>
        <w:rPr>
          <w:rFonts w:ascii="Arial" w:cs="Arial" w:eastAsia="Arial" w:hAnsi="Arial"/>
          <w:sz w:val="18"/>
          <w:szCs w:val="18"/>
          <w:color w:val="auto"/>
        </w:rPr>
      </w:pPr>
    </w:p>
    <w:p>
      <w:pPr>
        <w:jc w:val="both"/>
        <w:ind w:firstLine="1223"/>
        <w:spacing w:after="0" w:line="259" w:lineRule="auto"/>
        <w:tabs>
          <w:tab w:leader="none" w:pos="1939"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any Loan Party’s business or that otherwise could reasonably be expected to have a Material Adverse Change;</w:t>
      </w:r>
    </w:p>
    <w:p>
      <w:pPr>
        <w:spacing w:after="0" w:line="227" w:lineRule="exact"/>
        <w:rPr>
          <w:rFonts w:ascii="Arial" w:cs="Arial" w:eastAsia="Arial" w:hAnsi="Arial"/>
          <w:sz w:val="18"/>
          <w:szCs w:val="18"/>
          <w:color w:val="auto"/>
        </w:rPr>
      </w:pPr>
    </w:p>
    <w:p>
      <w:pPr>
        <w:ind w:right="20" w:firstLine="1223"/>
        <w:spacing w:after="0" w:line="277" w:lineRule="auto"/>
        <w:tabs>
          <w:tab w:leader="none" w:pos="19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prompt notice of any event that (A) could reasonably be expected to materially and adversely affect the value of the Intellectual Property or (B) could reasonably be expected to result in a Material Adverse Change;</w:t>
      </w:r>
    </w:p>
    <w:p>
      <w:pPr>
        <w:spacing w:after="0" w:line="197" w:lineRule="exact"/>
        <w:rPr>
          <w:rFonts w:ascii="Arial" w:cs="Arial" w:eastAsia="Arial" w:hAnsi="Arial"/>
          <w:sz w:val="18"/>
          <w:szCs w:val="18"/>
          <w:color w:val="auto"/>
        </w:rPr>
      </w:pPr>
    </w:p>
    <w:p>
      <w:pPr>
        <w:ind w:left="1940" w:hanging="717"/>
        <w:spacing w:after="0"/>
        <w:tabs>
          <w:tab w:leader="none" w:pos="1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written notice delivered at least (10) days’ prior to any Loan Party’s creation of a New Subsidiary in accordance with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Section 6.10;</w:t>
      </w:r>
    </w:p>
    <w:p>
      <w:pPr>
        <w:spacing w:after="0" w:line="9" w:lineRule="exact"/>
        <w:rPr>
          <w:rFonts w:ascii="Arial" w:cs="Arial" w:eastAsia="Arial" w:hAnsi="Arial"/>
          <w:sz w:val="16"/>
          <w:szCs w:val="16"/>
          <w:color w:val="auto"/>
        </w:rPr>
      </w:pPr>
    </w:p>
    <w:p>
      <w:pPr>
        <w:jc w:val="both"/>
        <w:ind w:firstLine="1223"/>
        <w:spacing w:after="0" w:line="273" w:lineRule="auto"/>
        <w:tabs>
          <w:tab w:leader="none" w:pos="1934" w:val="left"/>
        </w:tabs>
        <w:numPr>
          <w:ilvl w:val="0"/>
          <w:numId w:val="71"/>
        </w:numPr>
        <w:rPr>
          <w:rFonts w:ascii="Arial" w:cs="Arial" w:eastAsia="Arial" w:hAnsi="Arial"/>
          <w:sz w:val="17"/>
          <w:szCs w:val="17"/>
          <w:color w:val="auto"/>
        </w:rPr>
      </w:pPr>
      <w:r>
        <w:rPr>
          <w:rFonts w:ascii="Arial" w:cs="Arial" w:eastAsia="Arial" w:hAnsi="Arial"/>
          <w:sz w:val="17"/>
          <w:szCs w:val="17"/>
          <w:color w:val="auto"/>
        </w:rPr>
        <w:t>written notice delivered at least (30) days’ prior to any Loan Party’s (A) adding any new offices or business locations, including warehouses (unless such new offices or business locations contain less than One Million Dollars ($1,000,000) in assets or property of any Loan Party or any of its Subsidiaries), (B) changing its respective jurisdiction of organization, (C) changing its organizational structure or type, (D) changing its respective legal name, or (E) changing any organizational number(s) (if any) assigned by its respective jurisdiction of organization;</w:t>
      </w:r>
    </w:p>
    <w:p>
      <w:pPr>
        <w:spacing w:after="0" w:line="203" w:lineRule="exact"/>
        <w:rPr>
          <w:rFonts w:ascii="Arial" w:cs="Arial" w:eastAsia="Arial" w:hAnsi="Arial"/>
          <w:sz w:val="17"/>
          <w:szCs w:val="17"/>
          <w:color w:val="auto"/>
        </w:rPr>
      </w:pPr>
    </w:p>
    <w:p>
      <w:pPr>
        <w:jc w:val="both"/>
        <w:ind w:firstLine="1223"/>
        <w:spacing w:after="0" w:line="279" w:lineRule="auto"/>
        <w:tabs>
          <w:tab w:leader="none" w:pos="19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upon any Loan Party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 and such Loan Party’s proposal regarding how to cure such Event of Default or event;</w:t>
      </w:r>
    </w:p>
    <w:p>
      <w:pPr>
        <w:spacing w:after="0" w:line="198" w:lineRule="exact"/>
        <w:rPr>
          <w:rFonts w:ascii="Arial" w:cs="Arial" w:eastAsia="Arial" w:hAnsi="Arial"/>
          <w:sz w:val="17"/>
          <w:szCs w:val="17"/>
          <w:color w:val="auto"/>
        </w:rPr>
      </w:pPr>
    </w:p>
    <w:p>
      <w:pPr>
        <w:jc w:val="both"/>
        <w:ind w:firstLine="1223"/>
        <w:spacing w:after="0" w:line="263" w:lineRule="auto"/>
        <w:tabs>
          <w:tab w:leader="none" w:pos="1939"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immediate notice if any Loan Party or its Subsidiary has Knowledge that any Loan Party, or any Subsidiary or Affiliate of any Loan Party, is listed on the OFAC Lists or (a) is convicted on, (b)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 involving money laundering or predicate crimes to money laundering;</w:t>
      </w:r>
    </w:p>
    <w:p>
      <w:pPr>
        <w:spacing w:after="0" w:line="210" w:lineRule="exact"/>
        <w:rPr>
          <w:rFonts w:ascii="Arial" w:cs="Arial" w:eastAsia="Arial" w:hAnsi="Arial"/>
          <w:sz w:val="18"/>
          <w:szCs w:val="18"/>
          <w:color w:val="auto"/>
        </w:rPr>
      </w:pPr>
    </w:p>
    <w:p>
      <w:pPr>
        <w:ind w:firstLine="1223"/>
        <w:spacing w:after="0" w:line="342" w:lineRule="auto"/>
        <w:tabs>
          <w:tab w:leader="none" w:pos="1943"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notice of any commercial tort claim (as defined in the Code) or letter of credit rights (as defined in the Code) held by any Loan Party or any Guarantor, in each case in an amount greater than Two Hundred Fifty Thousand Dollars ($250,000) and of the general details thereof;</w:t>
      </w:r>
    </w:p>
    <w:p>
      <w:pPr>
        <w:spacing w:after="0" w:line="150" w:lineRule="exact"/>
        <w:rPr>
          <w:rFonts w:ascii="Arial" w:cs="Arial" w:eastAsia="Arial" w:hAnsi="Arial"/>
          <w:sz w:val="16"/>
          <w:szCs w:val="16"/>
          <w:color w:val="auto"/>
        </w:rPr>
      </w:pPr>
    </w:p>
    <w:p>
      <w:pPr>
        <w:ind w:right="20" w:firstLine="1223"/>
        <w:spacing w:after="0" w:line="277" w:lineRule="auto"/>
        <w:tabs>
          <w:tab w:leader="none" w:pos="19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prompt notice of the execution any Material Agreement or any amendment to, modification of, termination of or waiver under any Material Agreement; and</w:t>
      </w:r>
    </w:p>
    <w:p>
      <w:pPr>
        <w:spacing w:after="0" w:line="210" w:lineRule="exact"/>
        <w:rPr>
          <w:rFonts w:ascii="Arial" w:cs="Arial" w:eastAsia="Arial" w:hAnsi="Arial"/>
          <w:sz w:val="18"/>
          <w:szCs w:val="18"/>
          <w:color w:val="auto"/>
        </w:rPr>
      </w:pPr>
    </w:p>
    <w:p>
      <w:pPr>
        <w:ind w:left="1960" w:hanging="737"/>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the financial statements required to be delivered pursuant to clauses (ii) and (iii) above may be delivered electronically and if so delivered, shall be deemed to have been delivered on the date on which Borrower posts such documents, or provides a link thereto, on Borrower’s website on the internet at Borrower’s website address.</w:t>
      </w:r>
    </w:p>
    <w:p>
      <w:pPr>
        <w:spacing w:after="0" w:line="211" w:lineRule="exact"/>
        <w:rPr>
          <w:sz w:val="20"/>
          <w:szCs w:val="20"/>
          <w:color w:val="auto"/>
        </w:rPr>
      </w:pPr>
    </w:p>
    <w:p>
      <w:pPr>
        <w:ind w:firstLine="1278"/>
        <w:spacing w:after="0" w:line="277" w:lineRule="auto"/>
        <w:tabs>
          <w:tab w:leader="none" w:pos="19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month, deliver to each Lender:</w:t>
      </w:r>
    </w:p>
    <w:p>
      <w:pPr>
        <w:spacing w:after="0" w:line="143" w:lineRule="exact"/>
        <w:rPr>
          <w:rFonts w:ascii="Arial" w:cs="Arial" w:eastAsia="Arial" w:hAnsi="Arial"/>
          <w:sz w:val="18"/>
          <w:szCs w:val="18"/>
          <w:color w:val="auto"/>
        </w:rPr>
      </w:pPr>
    </w:p>
    <w:p>
      <w:pPr>
        <w:ind w:left="1940" w:hanging="393"/>
        <w:spacing w:after="0"/>
        <w:tabs>
          <w:tab w:leader="none" w:pos="19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duly completed Compliance Certificate signed by a Responsible Officer;</w:t>
      </w:r>
    </w:p>
    <w:p>
      <w:pPr>
        <w:spacing w:after="0" w:line="200" w:lineRule="exact"/>
        <w:rPr>
          <w:sz w:val="20"/>
          <w:szCs w:val="20"/>
          <w:color w:val="auto"/>
        </w:rPr>
      </w:pPr>
    </w:p>
    <w:p>
      <w:pPr>
        <w:spacing w:after="0" w:line="28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73" w:right="339" w:bottom="1440" w:gutter="0" w:footer="0" w:header="0"/>
        </w:sectPr>
      </w:pPr>
    </w:p>
    <w:bookmarkStart w:id="100" w:name="page101"/>
    <w:bookmarkEnd w:id="100"/>
    <w:p>
      <w:pPr>
        <w:jc w:val="both"/>
        <w:ind w:firstLine="1547"/>
        <w:spacing w:after="0" w:line="259" w:lineRule="auto"/>
        <w:tabs>
          <w:tab w:leader="none" w:pos="193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with respect the delivery of financial statements pursuant to Section 6.2(a)(ii) and within ninety (90) days after the last day of each of Borrower’s last fiscal quarter of each year, an updated Perfection Certificate to reflect any amendments, modifications and updates, if any, to certain information in the Perfection Certificate after the Effective Date to the extent such amendments, modifications and updates are permitted by one or more specific provisions in this agreement;</w:t>
      </w:r>
    </w:p>
    <w:p>
      <w:pPr>
        <w:spacing w:after="0" w:line="213" w:lineRule="exact"/>
        <w:rPr>
          <w:rFonts w:ascii="Arial" w:cs="Arial" w:eastAsia="Arial" w:hAnsi="Arial"/>
          <w:sz w:val="18"/>
          <w:szCs w:val="18"/>
          <w:color w:val="auto"/>
        </w:rPr>
      </w:pPr>
    </w:p>
    <w:p>
      <w:pPr>
        <w:ind w:firstLine="1547"/>
        <w:spacing w:after="0" w:line="277" w:lineRule="auto"/>
        <w:tabs>
          <w:tab w:leader="none" w:pos="1944"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copies of any material Governmental Approvals obtained by any Loan Party or any of its Subsidiaries not otherwise filed with the Securities and Exchange Commission;</w:t>
      </w:r>
    </w:p>
    <w:p>
      <w:pPr>
        <w:spacing w:after="0" w:line="197" w:lineRule="exact"/>
        <w:rPr>
          <w:rFonts w:ascii="Arial" w:cs="Arial" w:eastAsia="Arial" w:hAnsi="Arial"/>
          <w:sz w:val="18"/>
          <w:szCs w:val="18"/>
          <w:color w:val="auto"/>
        </w:rPr>
      </w:pPr>
    </w:p>
    <w:p>
      <w:pPr>
        <w:ind w:left="1940" w:hanging="393"/>
        <w:spacing w:after="0"/>
        <w:tabs>
          <w:tab w:leader="none" w:pos="19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written notice of the commencement of, and any material development in, the proceedings contemplated by Section 5.8 hereof;</w:t>
      </w:r>
    </w:p>
    <w:p>
      <w:pPr>
        <w:spacing w:after="0" w:line="275" w:lineRule="exact"/>
        <w:rPr>
          <w:rFonts w:ascii="Arial" w:cs="Arial" w:eastAsia="Arial" w:hAnsi="Arial"/>
          <w:sz w:val="16"/>
          <w:szCs w:val="16"/>
          <w:color w:val="auto"/>
        </w:rPr>
      </w:pPr>
    </w:p>
    <w:p>
      <w:pPr>
        <w:jc w:val="both"/>
        <w:ind w:firstLine="1547"/>
        <w:spacing w:after="0" w:line="255" w:lineRule="auto"/>
        <w:tabs>
          <w:tab w:leader="none" w:pos="1938"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prompt written notice of any litigation or governmental proceedings pending or threatened (in writing) against any Loan Party or any of its Subsidiaries, which could reasonably be expected to result in damages or costs to such Loan Party or any of its Subsidiaries of One Million Dollars ($1,000,000), in the aggregate; and</w:t>
      </w:r>
    </w:p>
    <w:p>
      <w:pPr>
        <w:spacing w:after="0" w:line="2" w:lineRule="exact"/>
        <w:rPr>
          <w:rFonts w:ascii="Arial" w:cs="Arial" w:eastAsia="Arial" w:hAnsi="Arial"/>
          <w:sz w:val="18"/>
          <w:szCs w:val="18"/>
          <w:color w:val="auto"/>
        </w:rPr>
      </w:pPr>
    </w:p>
    <w:p>
      <w:pPr>
        <w:ind w:firstLine="1547"/>
        <w:spacing w:after="0" w:line="276" w:lineRule="auto"/>
        <w:tabs>
          <w:tab w:leader="none" w:pos="1934" w:val="left"/>
        </w:tabs>
        <w:numPr>
          <w:ilvl w:val="1"/>
          <w:numId w:val="73"/>
        </w:numPr>
        <w:rPr>
          <w:rFonts w:ascii="Arial" w:cs="Arial" w:eastAsia="Arial" w:hAnsi="Arial"/>
          <w:sz w:val="18"/>
          <w:szCs w:val="18"/>
          <w:color w:val="auto"/>
        </w:rPr>
      </w:pPr>
      <w:r>
        <w:rPr>
          <w:rFonts w:ascii="Arial" w:cs="Arial" w:eastAsia="Arial" w:hAnsi="Arial"/>
          <w:sz w:val="18"/>
          <w:szCs w:val="18"/>
          <w:color w:val="auto"/>
        </w:rPr>
        <w:t>written notice of all returns, recoveries, disputes and claims regarding Inventory that involve more than Five Hundred Thousand Dollars ($500,000), individually, or One Million Dollars ($1,000,000), in the aggregate, in any calendar year.</w:t>
      </w:r>
    </w:p>
    <w:p>
      <w:pPr>
        <w:spacing w:after="0" w:line="198" w:lineRule="exact"/>
        <w:rPr>
          <w:rFonts w:ascii="Arial" w:cs="Arial" w:eastAsia="Arial" w:hAnsi="Arial"/>
          <w:sz w:val="18"/>
          <w:szCs w:val="18"/>
          <w:color w:val="auto"/>
        </w:rPr>
      </w:pPr>
    </w:p>
    <w:p>
      <w:pPr>
        <w:jc w:val="both"/>
        <w:ind w:firstLine="1223"/>
        <w:spacing w:after="0" w:line="255" w:lineRule="auto"/>
        <w:tabs>
          <w:tab w:leader="none" w:pos="1941" w:val="left"/>
        </w:tabs>
        <w:numPr>
          <w:ilvl w:val="0"/>
          <w:numId w:val="74"/>
        </w:numPr>
        <w:rPr>
          <w:rFonts w:ascii="Arial" w:cs="Arial" w:eastAsia="Arial" w:hAnsi="Arial"/>
          <w:sz w:val="18"/>
          <w:szCs w:val="18"/>
          <w:color w:val="auto"/>
        </w:rPr>
      </w:pPr>
      <w:r>
        <w:rPr>
          <w:rFonts w:ascii="Arial" w:cs="Arial" w:eastAsia="Arial" w:hAnsi="Arial"/>
          <w:sz w:val="18"/>
          <w:szCs w:val="18"/>
          <w:color w:val="auto"/>
        </w:rPr>
        <w:t>Keep proper, complete and true books of record and account in accordance with GAAP in all material respects. Each Loan Party shall, and shall cause each of its Subsidiaries to, allow, at the sole cost of such Loan Party, Collateral Agent or any Lender, during regular business hours upon reasonable prior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w:t>
      </w:r>
    </w:p>
    <w:p>
      <w:pPr>
        <w:spacing w:after="0" w:line="215" w:lineRule="exact"/>
        <w:rPr>
          <w:sz w:val="20"/>
          <w:szCs w:val="20"/>
          <w:color w:val="auto"/>
        </w:rPr>
      </w:pPr>
    </w:p>
    <w:p>
      <w:pPr>
        <w:jc w:val="both"/>
        <w:ind w:firstLine="622"/>
        <w:spacing w:after="0" w:line="266" w:lineRule="auto"/>
        <w:rPr>
          <w:sz w:val="20"/>
          <w:szCs w:val="20"/>
          <w:color w:val="auto"/>
        </w:rPr>
      </w:pPr>
      <w:r>
        <w:rPr>
          <w:rFonts w:ascii="Arial" w:cs="Arial" w:eastAsia="Arial" w:hAnsi="Arial"/>
          <w:sz w:val="18"/>
          <w:szCs w:val="18"/>
          <w:b w:val="1"/>
          <w:bCs w:val="1"/>
          <w:color w:val="auto"/>
        </w:rPr>
        <w:t xml:space="preserve">6.3 Inventory; Returns. </w:t>
      </w:r>
      <w:r>
        <w:rPr>
          <w:rFonts w:ascii="Arial" w:cs="Arial" w:eastAsia="Arial" w:hAnsi="Arial"/>
          <w:sz w:val="18"/>
          <w:szCs w:val="18"/>
          <w:color w:val="auto"/>
        </w:rPr>
        <w:t>Keep all Inventory in good and marketable condition, free from material defects. Returns and allowances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any Loan Party, or any of its Subsidiaries, as applicable, and their respective Account Debtors shall follow such Loan Party’s, or such Subsidiary’s, customary practices as they exist as of the Effective Date.</w:t>
      </w:r>
    </w:p>
    <w:p>
      <w:pPr>
        <w:spacing w:after="0" w:line="162"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7"/>
          <w:szCs w:val="17"/>
          <w:b w:val="1"/>
          <w:bCs w:val="1"/>
          <w:color w:val="auto"/>
        </w:rPr>
        <w:t xml:space="preserve">6.4 Taxes; Pensions. </w:t>
      </w:r>
      <w:r>
        <w:rPr>
          <w:rFonts w:ascii="Arial" w:cs="Arial" w:eastAsia="Arial" w:hAnsi="Arial"/>
          <w:sz w:val="17"/>
          <w:szCs w:val="17"/>
          <w:color w:val="auto"/>
        </w:rPr>
        <w:t>Timely file, and require each of its Subsidiaries to timely file, all required tax returns and reports, and timely pay, and</w:t>
      </w:r>
      <w:r>
        <w:rPr>
          <w:rFonts w:ascii="Arial" w:cs="Arial" w:eastAsia="Arial" w:hAnsi="Arial"/>
          <w:sz w:val="17"/>
          <w:szCs w:val="17"/>
          <w:b w:val="1"/>
          <w:bCs w:val="1"/>
          <w:color w:val="auto"/>
        </w:rPr>
        <w:t xml:space="preserve"> </w:t>
      </w:r>
      <w:r>
        <w:rPr>
          <w:rFonts w:ascii="Arial" w:cs="Arial" w:eastAsia="Arial" w:hAnsi="Arial"/>
          <w:sz w:val="17"/>
          <w:szCs w:val="17"/>
          <w:color w:val="auto"/>
        </w:rPr>
        <w:t>require each of its Subsidiaries to pay, all foreign, federal, state, and local income and other material Taxes owed by any Loan Party or its Subsidiaries, except (a) to the extent that the failure to do so could not reasonably expected to have a material adverse effect or (b) as otherwise permitted pursuant to the terms of Section 5.8 hereof; deliver to each Lender, on demand, appropriate certificates attesting to such payments; and pay all amounts necessary to fund all present pension, profit sharing and deferred compensation plans in accordance with the terms of such plans.</w:t>
      </w:r>
    </w:p>
    <w:p>
      <w:pPr>
        <w:spacing w:after="0" w:line="141" w:lineRule="exact"/>
        <w:rPr>
          <w:sz w:val="20"/>
          <w:szCs w:val="20"/>
          <w:color w:val="auto"/>
        </w:rPr>
      </w:pPr>
    </w:p>
    <w:p>
      <w:pPr>
        <w:jc w:val="both"/>
        <w:ind w:firstLine="622"/>
        <w:spacing w:after="0" w:line="285" w:lineRule="auto"/>
        <w:rPr>
          <w:sz w:val="20"/>
          <w:szCs w:val="20"/>
          <w:color w:val="auto"/>
        </w:rPr>
      </w:pPr>
      <w:r>
        <w:rPr>
          <w:rFonts w:ascii="Arial" w:cs="Arial" w:eastAsia="Arial" w:hAnsi="Arial"/>
          <w:sz w:val="16"/>
          <w:szCs w:val="16"/>
          <w:b w:val="1"/>
          <w:bCs w:val="1"/>
          <w:color w:val="auto"/>
        </w:rPr>
        <w:t xml:space="preserve">6.5 Insurance. </w:t>
      </w:r>
      <w:r>
        <w:rPr>
          <w:rFonts w:ascii="Arial" w:cs="Arial" w:eastAsia="Arial" w:hAnsi="Arial"/>
          <w:sz w:val="16"/>
          <w:szCs w:val="16"/>
          <w:color w:val="auto"/>
        </w:rPr>
        <w:t>Keep each Loan Party’s and its Subsidiaries’ business and the Collateral insured for risks and in amounts standard for</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in each Loan Party’s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shall waive subrogation against Collateral Agent, and all liability policies shall show, or have endorsements showing, Collateral Agent (for the ratable benefit of the Secured Parties), as additional insured.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Collateral Agent, that it will give Collateral Agent thirty (30) days prior written notice before any such policy or policies shall be materially altered or canceled. At Collateral Agent’s request, the Loan Parties shall deliver to Collateral Agent certified copies of policies and evidence of all premium payments. Proceeds payable under any policy shall, at Collateral Agent’s option, be payable to Collateral Agent, for the ratable benefit of the Secured Parties, on account of the then-outstanding Obligations. Notwithstanding the foregoing, (a) so long as no Event of Default has occurred and is continuing, Borrower shall have the option of applying the proceeds of any casualty policy within one hundred eighty (180) days of receipt thereof up to Five Hundred Thousand Dollars ($500,000) with respect to any loss, but not exceeding One Million Dollars ($1,000,000), in the aggregate for all losses under all casualty policies in any one year, toward the replacement promptly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any Loan Party or any of its Subsidiaries fails to obtain insurance as required under this Section 6.5 or to pay any amount or furnish any required proof of payment to third persons, Collateral Agent and/or any Lender may make (but has no obligation to do so), at such Loan Party’s expense, all or part of such</w:t>
      </w:r>
    </w:p>
    <w:p>
      <w:pPr>
        <w:spacing w:after="0" w:line="37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73" w:right="339" w:bottom="1440" w:gutter="0" w:footer="0" w:header="0"/>
        </w:sectPr>
      </w:pPr>
    </w:p>
    <w:bookmarkStart w:id="101" w:name="page102"/>
    <w:bookmarkEnd w:id="101"/>
    <w:p>
      <w:pPr>
        <w:spacing w:after="0" w:line="277" w:lineRule="auto"/>
        <w:rPr>
          <w:sz w:val="20"/>
          <w:szCs w:val="20"/>
          <w:color w:val="auto"/>
        </w:rPr>
      </w:pPr>
      <w:r>
        <w:rPr>
          <w:rFonts w:ascii="Arial" w:cs="Arial" w:eastAsia="Arial" w:hAnsi="Arial"/>
          <w:sz w:val="18"/>
          <w:szCs w:val="18"/>
          <w:color w:val="auto"/>
        </w:rPr>
        <w:t>payment or obtain such insurance policies required in this Section 6.5, and take any action under the policies Collateral Agent or such Lender deems prudent.</w:t>
      </w:r>
    </w:p>
    <w:p>
      <w:pPr>
        <w:spacing w:after="0" w:line="15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Operating Accounts</w:t>
      </w:r>
      <w:r>
        <w:rPr>
          <w:rFonts w:ascii="Arial" w:cs="Arial" w:eastAsia="Arial" w:hAnsi="Arial"/>
          <w:sz w:val="18"/>
          <w:szCs w:val="18"/>
          <w:color w:val="auto"/>
        </w:rPr>
        <w:t>.</w:t>
      </w:r>
    </w:p>
    <w:p>
      <w:pPr>
        <w:spacing w:after="0" w:line="202" w:lineRule="exact"/>
        <w:rPr>
          <w:sz w:val="20"/>
          <w:szCs w:val="20"/>
          <w:color w:val="auto"/>
        </w:rPr>
      </w:pPr>
    </w:p>
    <w:p>
      <w:pPr>
        <w:jc w:val="both"/>
        <w:ind w:firstLine="1278"/>
        <w:spacing w:after="0" w:line="263" w:lineRule="auto"/>
        <w:tabs>
          <w:tab w:leader="none" w:pos="19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 each Loan Party’s and Guarantors’ Collateral Accounts with depositary institutions that have agreed to execute Control Agreements in favor of Collateral Agent with respect to such Collateral Accounts. The provisions of the previous sentence shall not apply to Excluded Accounts.</w:t>
      </w:r>
    </w:p>
    <w:p>
      <w:pPr>
        <w:spacing w:after="0" w:line="170" w:lineRule="exact"/>
        <w:rPr>
          <w:rFonts w:ascii="Arial" w:cs="Arial" w:eastAsia="Arial" w:hAnsi="Arial"/>
          <w:sz w:val="18"/>
          <w:szCs w:val="18"/>
          <w:color w:val="auto"/>
        </w:rPr>
      </w:pPr>
    </w:p>
    <w:p>
      <w:pPr>
        <w:jc w:val="both"/>
        <w:ind w:firstLine="1278"/>
        <w:spacing w:after="0" w:line="255" w:lineRule="auto"/>
        <w:tabs>
          <w:tab w:leader="none" w:pos="19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Loan Party shall provide Collateral Agent ten (10) days’ prior written notice before such Loan Party establishes any Collateral Account. In addition, for each Collateral Account that any Loan Party at any time maintains, such Loan Party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(held for the ratable benefit of the Secured Parties) in accordance with the terms hereunder prior to the establishment of such Collateral Account. The provisions of the previous sentence shall not apply to Excluded Accounts.</w:t>
      </w:r>
    </w:p>
    <w:p>
      <w:pPr>
        <w:spacing w:after="0" w:line="178" w:lineRule="exact"/>
        <w:rPr>
          <w:rFonts w:ascii="Arial" w:cs="Arial" w:eastAsia="Arial" w:hAnsi="Arial"/>
          <w:sz w:val="18"/>
          <w:szCs w:val="18"/>
          <w:color w:val="auto"/>
        </w:rPr>
      </w:pPr>
    </w:p>
    <w:p>
      <w:pPr>
        <w:ind w:firstLine="1278"/>
        <w:spacing w:after="0" w:line="277" w:lineRule="auto"/>
        <w:tabs>
          <w:tab w:leader="none" w:pos="19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None of the Loan Parties nor any Guarantor shall maintain any Collateral Accounts except Collateral Accounts maintained in accordance with this Section 6.6.</w:t>
      </w:r>
    </w:p>
    <w:p>
      <w:pPr>
        <w:spacing w:after="0" w:line="139" w:lineRule="exact"/>
        <w:rPr>
          <w:sz w:val="20"/>
          <w:szCs w:val="20"/>
          <w:color w:val="auto"/>
        </w:rPr>
      </w:pPr>
    </w:p>
    <w:p>
      <w:pPr>
        <w:jc w:val="both"/>
        <w:ind w:firstLine="622"/>
        <w:spacing w:after="0" w:line="261" w:lineRule="auto"/>
        <w:rPr>
          <w:sz w:val="20"/>
          <w:szCs w:val="20"/>
          <w:color w:val="auto"/>
        </w:rPr>
      </w:pPr>
      <w:r>
        <w:rPr>
          <w:rFonts w:ascii="Arial" w:cs="Arial" w:eastAsia="Arial" w:hAnsi="Arial"/>
          <w:sz w:val="18"/>
          <w:szCs w:val="18"/>
          <w:b w:val="1"/>
          <w:bCs w:val="1"/>
          <w:color w:val="auto"/>
        </w:rPr>
        <w:t xml:space="preserve">6.7 Protection of Intellectual Property Rights. </w:t>
      </w:r>
      <w:r>
        <w:rPr>
          <w:rFonts w:ascii="Arial" w:cs="Arial" w:eastAsia="Arial" w:hAnsi="Arial"/>
          <w:sz w:val="18"/>
          <w:szCs w:val="18"/>
          <w:color w:val="auto"/>
        </w:rPr>
        <w:t>Each Loan Party and its Subsidiaries shall: (a) protect, defend and maintain the validity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its respective Intellectual Property that is material to its business; (b) promptly advise Collateral Agent in writing of material infringement by a third party of its respective Intellectual Property; and (c) not allow any of its respective Intellectual Property material to its respective business to be abandoned, forfeited or dedicated to the public without Collateral Agent’s prior written consent.</w:t>
      </w:r>
    </w:p>
    <w:p>
      <w:pPr>
        <w:spacing w:after="0" w:line="166" w:lineRule="exact"/>
        <w:rPr>
          <w:sz w:val="20"/>
          <w:szCs w:val="20"/>
          <w:color w:val="auto"/>
        </w:rPr>
      </w:pPr>
    </w:p>
    <w:p>
      <w:pPr>
        <w:jc w:val="both"/>
        <w:ind w:firstLine="622"/>
        <w:spacing w:after="0" w:line="303" w:lineRule="auto"/>
        <w:rPr>
          <w:sz w:val="20"/>
          <w:szCs w:val="20"/>
          <w:color w:val="auto"/>
        </w:rPr>
      </w:pPr>
      <w:r>
        <w:rPr>
          <w:rFonts w:ascii="Arial" w:cs="Arial" w:eastAsia="Arial" w:hAnsi="Arial"/>
          <w:sz w:val="16"/>
          <w:szCs w:val="16"/>
          <w:b w:val="1"/>
          <w:bCs w:val="1"/>
          <w:color w:val="auto"/>
        </w:rPr>
        <w:t xml:space="preserve">6.8 Litigation Cooperation. </w:t>
      </w:r>
      <w:r>
        <w:rPr>
          <w:rFonts w:ascii="Arial" w:cs="Arial" w:eastAsia="Arial" w:hAnsi="Arial"/>
          <w:sz w:val="16"/>
          <w:szCs w:val="16"/>
          <w:color w:val="auto"/>
        </w:rPr>
        <w:t>Commencing on the Effective Date and continuing through the termination of this Agreement, make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to Collateral Agent and the Lenders, without expense to Collateral Agent or the Lenders, each Loan Party and such Loan Party’s officers, employees and agents and each Loan Party’s Books, to the extent that Collateral Agent or any Lender may reasonably deem them necessary to prosecute or defend any third-party suit or proceeding instituted by or against Collateral Agent or any Lender with respect to any Collateral or relating to such Loan Party.</w:t>
      </w:r>
    </w:p>
    <w:p>
      <w:pPr>
        <w:spacing w:after="0" w:line="178" w:lineRule="exact"/>
        <w:rPr>
          <w:sz w:val="20"/>
          <w:szCs w:val="20"/>
          <w:color w:val="auto"/>
        </w:rPr>
      </w:pPr>
    </w:p>
    <w:p>
      <w:pPr>
        <w:jc w:val="both"/>
        <w:ind w:firstLine="622"/>
        <w:spacing w:after="0" w:line="274" w:lineRule="auto"/>
        <w:rPr>
          <w:sz w:val="20"/>
          <w:szCs w:val="20"/>
          <w:color w:val="auto"/>
        </w:rPr>
      </w:pPr>
      <w:r>
        <w:rPr>
          <w:rFonts w:ascii="Arial" w:cs="Arial" w:eastAsia="Arial" w:hAnsi="Arial"/>
          <w:sz w:val="17"/>
          <w:szCs w:val="17"/>
          <w:b w:val="1"/>
          <w:bCs w:val="1"/>
          <w:color w:val="auto"/>
        </w:rPr>
        <w:t xml:space="preserve">6.9 Landlord Waivers; Bailee Waivers. </w:t>
      </w:r>
      <w:r>
        <w:rPr>
          <w:rFonts w:ascii="Arial" w:cs="Arial" w:eastAsia="Arial" w:hAnsi="Arial"/>
          <w:sz w:val="17"/>
          <w:szCs w:val="17"/>
          <w:color w:val="auto"/>
        </w:rPr>
        <w:t>In the event that any Loan Party or any of its Subsidiaries, after the Effective Date, intends to add</w:t>
      </w:r>
      <w:r>
        <w:rPr>
          <w:rFonts w:ascii="Arial" w:cs="Arial" w:eastAsia="Arial" w:hAnsi="Arial"/>
          <w:sz w:val="17"/>
          <w:szCs w:val="17"/>
          <w:b w:val="1"/>
          <w:bCs w:val="1"/>
          <w:color w:val="auto"/>
        </w:rPr>
        <w:t xml:space="preserve"> </w:t>
      </w:r>
      <w:r>
        <w:rPr>
          <w:rFonts w:ascii="Arial" w:cs="Arial" w:eastAsia="Arial" w:hAnsi="Arial"/>
          <w:sz w:val="17"/>
          <w:szCs w:val="17"/>
          <w:color w:val="auto"/>
        </w:rPr>
        <w:t>any new offices or business locations, including warehouses, or otherwise store any portion of the Collateral with, or deliver any portion of the Collateral to, a bailee, in each case pursuant to Section 7.2, then, in the event that the Collateral at any new location is valued (based on book value) in excess of One Million Dollars ($1,000,000) in the aggregate, at Collateral Agent’s election,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60" w:lineRule="exact"/>
        <w:rPr>
          <w:sz w:val="20"/>
          <w:szCs w:val="20"/>
          <w:color w:val="auto"/>
        </w:rPr>
      </w:pPr>
    </w:p>
    <w:p>
      <w:pPr>
        <w:jc w:val="both"/>
        <w:ind w:firstLine="622"/>
        <w:spacing w:after="0" w:line="285" w:lineRule="auto"/>
        <w:rPr>
          <w:sz w:val="20"/>
          <w:szCs w:val="20"/>
          <w:color w:val="auto"/>
        </w:rPr>
      </w:pPr>
      <w:r>
        <w:rPr>
          <w:rFonts w:ascii="Arial" w:cs="Arial" w:eastAsia="Arial" w:hAnsi="Arial"/>
          <w:sz w:val="16"/>
          <w:szCs w:val="16"/>
          <w:b w:val="1"/>
          <w:bCs w:val="1"/>
          <w:color w:val="auto"/>
        </w:rPr>
        <w:t xml:space="preserve">6.10 Creation/Acquisition of Subsidiaries. </w:t>
      </w:r>
      <w:r>
        <w:rPr>
          <w:rFonts w:ascii="Arial" w:cs="Arial" w:eastAsia="Arial" w:hAnsi="Arial"/>
          <w:sz w:val="16"/>
          <w:szCs w:val="16"/>
          <w:color w:val="auto"/>
        </w:rPr>
        <w:t>In the event any Loan Party or any Subsidiary of any Loan Party creates or acquires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after the Effective Date (other than any Excluded Subsidiary), such Loan Party or such Subsidiary shall promptly notify Collateral Agent and the Lenders of such creation or acquisition, and such Loan Party or such Subsidiary shall take all actions reasonably requested by Collateral Agent or the Lenders to achieve any of the following with respect to such “</w:t>
      </w:r>
      <w:r>
        <w:rPr>
          <w:rFonts w:ascii="Arial" w:cs="Arial" w:eastAsia="Arial" w:hAnsi="Arial"/>
          <w:sz w:val="16"/>
          <w:szCs w:val="16"/>
          <w:b w:val="1"/>
          <w:bCs w:val="1"/>
          <w:color w:val="auto"/>
        </w:rPr>
        <w:t>New Subsidiary</w:t>
      </w:r>
      <w:r>
        <w:rPr>
          <w:rFonts w:ascii="Arial" w:cs="Arial" w:eastAsia="Arial" w:hAnsi="Arial"/>
          <w:sz w:val="16"/>
          <w:szCs w:val="16"/>
          <w:color w:val="auto"/>
        </w:rPr>
        <w:t>” (defined as a Subsidiary formed or acquired after the date hereof during the term of this Agreement): (i) to cause such New Subsidiary, if such New Subsidiary is not an Excluded Foreign Subsidiary, to become either a co-Borrower hereunder, or a secured Guarantor with respect to the Obligations; and (ii) to grant and pledge to Collateral Agent a perfected security interest in</w:t>
      </w:r>
    </w:p>
    <w:p>
      <w:pPr>
        <w:spacing w:after="0" w:line="3" w:lineRule="exact"/>
        <w:rPr>
          <w:sz w:val="20"/>
          <w:szCs w:val="20"/>
          <w:color w:val="auto"/>
        </w:rPr>
      </w:pPr>
    </w:p>
    <w:p>
      <w:pPr>
        <w:jc w:val="both"/>
        <w:ind w:firstLine="8"/>
        <w:spacing w:after="0" w:line="253" w:lineRule="auto"/>
        <w:tabs>
          <w:tab w:leader="none" w:pos="2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one hundred percent (100%) of the stock, units or other evidence of ownership held by any Loan Party or its Subsidiaries of any such New Subsidiary which is not an Excluded Foreign Subsidiary, and (y) 65% of the Equity Interests, membership units, or other securities of any New Subsidiary that is a First-Tier Foreign Subsidiary which shares entitle the holder thereof to vote for directors or any other matter and one hundred percent (100%) of the issued and outstanding non-voting Equity Interests of such First-Tier Foreign Subsidiary.</w:t>
      </w:r>
    </w:p>
    <w:p>
      <w:pPr>
        <w:spacing w:after="0" w:line="161" w:lineRule="exact"/>
        <w:rPr>
          <w:rFonts w:ascii="Arial" w:cs="Arial" w:eastAsia="Arial" w:hAnsi="Arial"/>
          <w:sz w:val="18"/>
          <w:szCs w:val="18"/>
          <w:color w:val="auto"/>
        </w:rPr>
      </w:pPr>
    </w:p>
    <w:p>
      <w:pPr>
        <w:ind w:firstLine="630"/>
        <w:spacing w:after="0" w:line="282" w:lineRule="auto"/>
        <w:tabs>
          <w:tab w:leader="none" w:pos="1283"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Execute any further instruments and take further action as Collateral Agent or any Lender reasonably requests to</w:t>
      </w:r>
      <w:r>
        <w:rPr>
          <w:rFonts w:ascii="Arial" w:cs="Arial" w:eastAsia="Arial" w:hAnsi="Arial"/>
          <w:sz w:val="18"/>
          <w:szCs w:val="18"/>
          <w:b w:val="1"/>
          <w:bCs w:val="1"/>
          <w:color w:val="auto"/>
        </w:rPr>
        <w:t xml:space="preserve"> </w:t>
      </w:r>
      <w:r>
        <w:rPr>
          <w:rFonts w:ascii="Arial" w:cs="Arial" w:eastAsia="Arial" w:hAnsi="Arial"/>
          <w:sz w:val="18"/>
          <w:szCs w:val="18"/>
          <w:color w:val="auto"/>
        </w:rPr>
        <w:t>perfect or continue Collateral Agent’s Lien in the Collateral or to effect the purposes of this Agreement.</w:t>
      </w: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73" w:right="339" w:bottom="1440" w:gutter="0" w:footer="0" w:header="0"/>
        </w:sectPr>
      </w:pPr>
    </w:p>
    <w:bookmarkStart w:id="102" w:name="page103"/>
    <w:bookmarkEnd w:id="102"/>
    <w:p>
      <w:pPr>
        <w:ind w:left="640" w:hanging="632"/>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NEGATIVE COVENANTS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Loan Party shall, and no Loan Party shall permit any of its Subsidiaries to, do any of the following without the prior written consent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w:t>
      </w:r>
    </w:p>
    <w:p>
      <w:pPr>
        <w:spacing w:after="0" w:line="180"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dispose of, license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all or any part of its business or property, except for Transfers (a) of Inventory in the ordinary course of business; (b) of worn-out or obsolete Equipment; (c) in connection with Permitted Liens, Permitted Investments and Permitted Licenses; (d) cash or Cash Equivalents in the ordinary course of business and pursuant to transactions not prohibited by this Agreement; (e) Transfers to Borrower or any of its Subsidiaries that are co-Borrowers or Guarantors from Borrower or any of its Subsidiaries that are co-Borrowers or Guarantors; (f) the sale or discount without recourse of accounts receivable arising in the ordinary course of business in connection with the compromise or collection thereof; (g) any abandonment, cancellation, non-renewal or discontinuance of use or maintenance of immaterial Intellectual Property (or rights relating thereto) of Borrower and its Subsidiaries that Borrower reasonably determines in good faith is no longer economically practicable to maintain or useful in the ordinary course of business and that is not adverse to the rights, remedies and benefits available to, or conferred upon, Lender under any Loan Document in any material respect or otherwise does not materially diminish the value of the Collateral securing the Obligations; (h) the granting of Consulting Royalties; (i) the sale or issuance of Equity Interests of any Subsidiary of Borrower to any Loan Party or to any other Subsidiary of Borrower permitted in Section 7.2; (j) other Transfers not involving any material Intellectual Property (or rights relating thereto) and not otherwise permitted under this Section 7.1 in an aggregate amount not to exceed Five Hundred Thousand Dollars ($500,000) in any fiscal year; and (k) other Transfers in which such Loan Party will receive cash proceeds in an amount equal to no less than seventy-five percent (75%) of all Transfer consideration (fixed or contingent) paid or payable to such Loan Party or Subsidiary, but only so long as, unless otherwise waived by Collateral Agent in its sole discretion, the net cash proceeds of such Transfer are utilized to repay or prepay, in whole or in part, Indebtedness to Lender under and in accordance with this Agreement and the other Loan Documents.</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avoidance of doubt, none of (a) the sale of any Permitted Convertible Indebtedness, (b) the sale of any Warrant Transaction, (c) the purchase of any Bond Hedge Transaction or (d) the performance by Borrower of its obligations under any Permitted Convertible Indebtedness, any Warrant Transaction or any Bond Hedge Transaction (including the settlement or termination of any Bond Hedge Transaction or Warrant Transaction) shall constitute a Transfer.</w:t>
      </w:r>
    </w:p>
    <w:p>
      <w:pPr>
        <w:spacing w:after="0" w:line="169" w:lineRule="exact"/>
        <w:rPr>
          <w:sz w:val="20"/>
          <w:szCs w:val="20"/>
          <w:color w:val="auto"/>
        </w:rPr>
      </w:pPr>
    </w:p>
    <w:p>
      <w:pPr>
        <w:jc w:val="both"/>
        <w:ind w:firstLine="622"/>
        <w:spacing w:after="0" w:line="287" w:lineRule="auto"/>
        <w:rPr>
          <w:sz w:val="20"/>
          <w:szCs w:val="20"/>
          <w:color w:val="auto"/>
        </w:rPr>
      </w:pPr>
      <w:r>
        <w:rPr>
          <w:rFonts w:ascii="Arial" w:cs="Arial" w:eastAsia="Arial" w:hAnsi="Arial"/>
          <w:sz w:val="16"/>
          <w:szCs w:val="16"/>
          <w:b w:val="1"/>
          <w:bCs w:val="1"/>
          <w:color w:val="auto"/>
        </w:rPr>
        <w:t xml:space="preserve">7.2 Changes in Business, Management, Ownership, or Business Locations. </w:t>
      </w:r>
      <w:r>
        <w:rPr>
          <w:rFonts w:ascii="Arial" w:cs="Arial" w:eastAsia="Arial" w:hAnsi="Arial"/>
          <w:sz w:val="16"/>
          <w:szCs w:val="16"/>
          <w:color w:val="auto"/>
        </w:rPr>
        <w:t>(a) Engage in or permit any of its Subsidiaries to engage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business other than the businesses engaged in by such Loan Party or such Subsidiary, as applicable, as of the Effective Date or reasonably related thereto; (b) liquidate or dissolve; or (c) (i) permit any Key Person to cease being actively engaged in the management of each Loan Party unless written notice thereof is provided to each Lender within ten (10) days of such cessation, or (ii) enter into any transaction or series of related transactions in which</w:t>
      </w:r>
    </w:p>
    <w:p>
      <w:pPr>
        <w:spacing w:after="0" w:line="2" w:lineRule="exact"/>
        <w:rPr>
          <w:sz w:val="20"/>
          <w:szCs w:val="20"/>
          <w:color w:val="auto"/>
        </w:rPr>
      </w:pPr>
    </w:p>
    <w:p>
      <w:pPr>
        <w:jc w:val="both"/>
        <w:ind w:firstLine="8"/>
        <w:spacing w:after="0" w:line="270" w:lineRule="auto"/>
        <w:tabs>
          <w:tab w:leader="none" w:pos="297"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stockholders of any Loan Party who were not stockholders immediately prior to the first such transaction own more than forty percent (40%) of the voting stock of such Loan Party immediately after giving effect to such transaction or related series of such transactions and (B) except as permitted by Section 7.3, any Loan Party ceases to own, directly or indirectly, 100% of the ownership interests in each Subsidiary of such Loan Party. No Loan Party shall, and no Loan Party shall permit any of its Subsidiaries to, without at least thirty (30) days’ prior written notice to Collateral Agent: (A) change its respective jurisdiction of organization, (B) except as permitted by Section 7.3, change its respective organizational structure or type, (C) change its respective legal name, or (D) change any organizational number(s) (if any) assigned by its respective jurisdiction of organization.</w:t>
      </w:r>
    </w:p>
    <w:p>
      <w:pPr>
        <w:spacing w:after="0" w:line="147" w:lineRule="exact"/>
        <w:rPr>
          <w:sz w:val="20"/>
          <w:szCs w:val="20"/>
          <w:color w:val="auto"/>
        </w:rPr>
      </w:pPr>
    </w:p>
    <w:p>
      <w:pPr>
        <w:jc w:val="both"/>
        <w:ind w:firstLine="622"/>
        <w:spacing w:after="0" w:line="254"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acquire, or permit any of its Subsidiaries to acquire, all or substantially all of the capital stock or shares or any property of another Person, in each case including for the avoidance of doubt through a merger, purchase, in-licensing arrangement or any similar transaction. Notwithstanding the foregoing, (a) a Subsidiary may merge or consolidate into another Subsidiary (provided that such surviving Subsidiary is a “co-Borrower” hereunder or has provided a secured Guaranty of Borrower’s Obligations hereunder in accordance with Section 6.10) or with (or into) any Loan Party provided such Loan Party is the surviving legal entity, and as long as no Event of Default is occurring prior thereto or arises as a result therefrom, (b) a Subsidiary that is not a Loan Party may merge or consolidate with another Subsidiary that is not a Loan Party so long as such merger or consolidation results in no material and adverse impact on the Collateral and (c) any Subsidiary may be dissolved or liquidated;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and all of the properties and assets of such Subsidiary are distributed to one or more Loan Parties.</w:t>
      </w:r>
    </w:p>
    <w:p>
      <w:pPr>
        <w:spacing w:after="0" w:line="175" w:lineRule="exact"/>
        <w:rPr>
          <w:sz w:val="20"/>
          <w:szCs w:val="20"/>
          <w:color w:val="auto"/>
        </w:rPr>
      </w:pPr>
    </w:p>
    <w:p>
      <w:pPr>
        <w:jc w:val="both"/>
        <w:ind w:right="20" w:firstLine="622"/>
        <w:spacing w:after="0" w:line="282" w:lineRule="auto"/>
        <w:rPr>
          <w:sz w:val="20"/>
          <w:szCs w:val="20"/>
          <w:color w:val="auto"/>
        </w:rPr>
      </w:pPr>
      <w:r>
        <w:rPr>
          <w:rFonts w:ascii="Arial" w:cs="Arial" w:eastAsia="Arial" w:hAnsi="Arial"/>
          <w:sz w:val="18"/>
          <w:szCs w:val="18"/>
          <w:b w:val="1"/>
          <w:bCs w:val="1"/>
          <w:color w:val="auto"/>
        </w:rPr>
        <w:t xml:space="preserve">7.4 Indebtedness. </w:t>
      </w:r>
      <w:r>
        <w:rPr>
          <w:rFonts w:ascii="Arial" w:cs="Arial" w:eastAsia="Arial" w:hAnsi="Arial"/>
          <w:sz w:val="18"/>
          <w:szCs w:val="18"/>
          <w:color w:val="auto"/>
        </w:rPr>
        <w:t>Create, incur, assume, or be liable for any Indebtedness, or permit any Subsidiary to do so, other than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w:t>
      </w: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769" w:right="339" w:bottom="1440" w:gutter="0" w:footer="0" w:header="0"/>
        </w:sectPr>
      </w:pPr>
    </w:p>
    <w:bookmarkStart w:id="103" w:name="page104"/>
    <w:bookmarkEnd w:id="103"/>
    <w:p>
      <w:pPr>
        <w:jc w:val="both"/>
        <w:ind w:firstLine="622"/>
        <w:spacing w:after="0" w:line="255" w:lineRule="auto"/>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or assign or convey any right to receive income,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Secured Parties) with any Person which directly or indirectly prohibits or has the effect of prohibiting any Loan Party, or any of its Subsidiaries, from assigning, mortgaging, pledging, granting a security interest in or upon, or encumbering any of such Loan Party’s or such Subsidiary’s Intellectual Property, except as is otherwise permitted in Section 7.1 hereof and the definition of “Permitted Liens” (including Permitted Licenses).</w:t>
      </w:r>
    </w:p>
    <w:p>
      <w:pPr>
        <w:spacing w:after="0" w:line="216" w:lineRule="exact"/>
        <w:rPr>
          <w:sz w:val="20"/>
          <w:szCs w:val="20"/>
          <w:color w:val="auto"/>
        </w:rPr>
      </w:pPr>
    </w:p>
    <w:p>
      <w:pPr>
        <w:jc w:val="both"/>
        <w:ind w:right="20" w:firstLine="622"/>
        <w:spacing w:after="0" w:line="282" w:lineRule="auto"/>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With respect to any Loan Party, maintain any Collateral Account except pursuant to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6.6 hereof.</w:t>
      </w:r>
    </w:p>
    <w:p>
      <w:pPr>
        <w:spacing w:after="0" w:line="189" w:lineRule="exact"/>
        <w:rPr>
          <w:sz w:val="20"/>
          <w:szCs w:val="20"/>
          <w:color w:val="auto"/>
        </w:rPr>
      </w:pPr>
    </w:p>
    <w:p>
      <w:pPr>
        <w:jc w:val="both"/>
        <w:ind w:firstLine="622"/>
        <w:spacing w:after="0" w:line="266" w:lineRule="auto"/>
        <w:rPr>
          <w:sz w:val="20"/>
          <w:szCs w:val="20"/>
          <w:color w:val="auto"/>
        </w:rPr>
      </w:pPr>
      <w:r>
        <w:rPr>
          <w:rFonts w:ascii="Arial" w:cs="Arial" w:eastAsia="Arial" w:hAnsi="Arial"/>
          <w:sz w:val="18"/>
          <w:szCs w:val="18"/>
          <w:b w:val="1"/>
          <w:bCs w:val="1"/>
          <w:color w:val="auto"/>
        </w:rPr>
        <w:t xml:space="preserve">7.7 Restricted Payments. </w:t>
      </w:r>
      <w:r>
        <w:rPr>
          <w:rFonts w:ascii="Arial" w:cs="Arial" w:eastAsia="Arial" w:hAnsi="Arial"/>
          <w:sz w:val="18"/>
          <w:szCs w:val="18"/>
          <w:color w:val="auto"/>
        </w:rPr>
        <w:t>(a) Declare or pay any dividends (other than dividends payable solely in capital stock) or make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or payment in respect of or redeem, retire or purchase any capital stock other than Permitted Distributions, and (b) be a party to or bound by an agreement that restricts a Subsidiary from paying dividends or otherwise distributing property to any Loan Party.</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Notwithstanding the foregoing, and for the avoidance of doubt, this Section 7.7 shall not prohibit (i) the conversion by holders of (including any cash payment upon conversion), or required payment of any principal or premium on, or required payment of any interest with respect to, any Permitted Convertible Debt, in each case, in accordance with the terms of the indenture governing such Permitted Convertible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preceding sentence shall only allow principal payments with respect to any repurchase in connection with the redemption of Permitted Convertible Debt upon satisfaction of a condition related to the stock price of the Borrower’s common stock if the Redemption Conditions are satisfied in respect of such redemption;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to the extent both (a) the aggregate amount of cash payable upon conversion or redemption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redemption does not trigger or correspond to an exercise or early unwind or settlement of a corresponding portion of the Bond Hedge Transactions constituting Permitted Call Spread Agreements relating to such Permitted Convertible Debt (including, for the avoidance of doubt, the case where there is no Bond Hedge Transaction constituting a Permitted Call Spread Agreement relating to such Permitted Convertible Debt), the payment of such excess cash (any such payment, a “</w:t>
      </w:r>
      <w:r>
        <w:rPr>
          <w:rFonts w:ascii="Arial" w:cs="Arial" w:eastAsia="Arial" w:hAnsi="Arial"/>
          <w:sz w:val="16"/>
          <w:szCs w:val="16"/>
          <w:b w:val="1"/>
          <w:bCs w:val="1"/>
          <w:color w:val="auto"/>
        </w:rPr>
        <w:t>Cash Excess</w:t>
      </w:r>
      <w:r>
        <w:rPr>
          <w:rFonts w:ascii="Arial" w:cs="Arial" w:eastAsia="Arial" w:hAnsi="Arial"/>
          <w:sz w:val="16"/>
          <w:szCs w:val="16"/>
          <w:color w:val="auto"/>
        </w:rPr>
        <w:t xml:space="preserve"> </w:t>
      </w:r>
      <w:r>
        <w:rPr>
          <w:rFonts w:ascii="Arial" w:cs="Arial" w:eastAsia="Arial" w:hAnsi="Arial"/>
          <w:sz w:val="16"/>
          <w:szCs w:val="16"/>
          <w:b w:val="1"/>
          <w:bCs w:val="1"/>
          <w:color w:val="auto"/>
        </w:rPr>
        <w:t>Payment</w:t>
      </w:r>
      <w:r>
        <w:rPr>
          <w:rFonts w:ascii="Arial" w:cs="Arial" w:eastAsia="Arial" w:hAnsi="Arial"/>
          <w:sz w:val="16"/>
          <w:szCs w:val="16"/>
          <w:color w:val="auto"/>
        </w:rPr>
        <w:t>”) shall not be permitted by this clause (i); and (ii) any required payment with respect to (including, for the avoidance of doubt, the payment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relevant premium for the purchase thereof), or required early unwind or settlement of, any Permitted Call Spread Agreement, in each case, in accordance with the terms of the agreement governing such Permitted Call Spread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cash is required to be paid under a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shall not be permitted by this clause (ii).</w:t>
      </w:r>
    </w:p>
    <w:p>
      <w:pPr>
        <w:spacing w:after="0" w:line="284" w:lineRule="exact"/>
        <w:rPr>
          <w:sz w:val="20"/>
          <w:szCs w:val="20"/>
          <w:color w:val="auto"/>
        </w:rPr>
      </w:pPr>
    </w:p>
    <w:p>
      <w:pPr>
        <w:jc w:val="both"/>
        <w:ind w:firstLine="622"/>
        <w:spacing w:after="0" w:line="269" w:lineRule="auto"/>
        <w:rPr>
          <w:sz w:val="20"/>
          <w:szCs w:val="20"/>
          <w:color w:val="auto"/>
        </w:rPr>
      </w:pPr>
      <w:r>
        <w:rPr>
          <w:rFonts w:ascii="Arial" w:cs="Arial" w:eastAsia="Arial" w:hAnsi="Arial"/>
          <w:sz w:val="17"/>
          <w:szCs w:val="17"/>
          <w:color w:val="auto"/>
        </w:rPr>
        <w:t>Notwithstanding the foregoing, the Borrower may repurchase, exchange or induce the conversion of Permitted Convertible Debt by delivery of shares of the Borrower’s common stock and/or a different series of Permitted Convertible Debt (which series matures after, and does not require any scheduled amortization or other scheduled payments of principal prior to, the analogous date under the indenture governing the Permitted Convertible Debt that are so repurchased, exchanged or converted) (any such series of Permitted Convertible Debt, “</w:t>
      </w:r>
      <w:r>
        <w:rPr>
          <w:rFonts w:ascii="Arial" w:cs="Arial" w:eastAsia="Arial" w:hAnsi="Arial"/>
          <w:sz w:val="17"/>
          <w:szCs w:val="17"/>
          <w:b w:val="1"/>
          <w:bCs w:val="1"/>
          <w:color w:val="auto"/>
        </w:rPr>
        <w:t>Refinancing Convertible Debt</w:t>
      </w:r>
      <w:r>
        <w:rPr>
          <w:rFonts w:ascii="Arial" w:cs="Arial" w:eastAsia="Arial" w:hAnsi="Arial"/>
          <w:sz w:val="17"/>
          <w:szCs w:val="17"/>
          <w:color w:val="auto"/>
        </w:rPr>
        <w:t xml:space="preserve">”) and/or by payment of cash (x) in lieu of any fractional shares, (y) in respect of accrued and unpaid interest of such Permitted Convertible Debt and (z) additional cash in an amount that does not exceed the proceeds received by the Borrower from the substantially concurrent issuance of shares of the Borrower’s common stock and/or a Refinancing Convertible Debt plus the net cash proceeds, if any, received by the Borrower pursuant to the related exercise or early unwind or termination of the related Permitted Call Spread Agreements pursuant to the immediately following proviso;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substantially concurrently with, or a commercially reasonable period of time before or after, the related settlement date for the Permitted Convertible Debt that is so repurchased, exchanged or converted, the Borrower shall (and, for the avoidance of doubt, shall be permitted under this Section 7.7 to) exercise or unwind or terminate early (whether in cash, shares or any combination thereof) the portion of the Permitted Call Spread Agreements, if any, corresponding to such Permitted Convertible Debt that is so repurchased, exchanged or converted.</w:t>
      </w:r>
    </w:p>
    <w:p>
      <w:pPr>
        <w:spacing w:after="0" w:line="67" w:lineRule="exact"/>
        <w:rPr>
          <w:sz w:val="20"/>
          <w:szCs w:val="20"/>
          <w:color w:val="auto"/>
        </w:rPr>
      </w:pPr>
    </w:p>
    <w:p>
      <w:pPr>
        <w:jc w:val="both"/>
        <w:ind w:firstLine="622"/>
        <w:spacing w:after="0" w:line="282" w:lineRule="auto"/>
        <w:rPr>
          <w:sz w:val="20"/>
          <w:szCs w:val="20"/>
          <w:color w:val="auto"/>
        </w:rPr>
      </w:pPr>
      <w:r>
        <w:rPr>
          <w:rFonts w:ascii="Arial" w:cs="Arial" w:eastAsia="Arial" w:hAnsi="Arial"/>
          <w:sz w:val="18"/>
          <w:szCs w:val="18"/>
          <w:b w:val="1"/>
          <w:bCs w:val="1"/>
          <w:color w:val="auto"/>
        </w:rPr>
        <w:t xml:space="preserve">7.8 Investments. </w:t>
      </w:r>
      <w:r>
        <w:rPr>
          <w:rFonts w:ascii="Arial" w:cs="Arial" w:eastAsia="Arial" w:hAnsi="Arial"/>
          <w:sz w:val="18"/>
          <w:szCs w:val="18"/>
          <w:color w:val="auto"/>
        </w:rPr>
        <w:t>Directly or indirectly make any Investment other than Permitted Investments, or permit any of its Subsidiaries to do so</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Permitted Investments.</w:t>
      </w: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769" w:right="339" w:bottom="1440" w:gutter="0" w:footer="0" w:header="0"/>
        </w:sectPr>
      </w:pPr>
    </w:p>
    <w:bookmarkStart w:id="104" w:name="page105"/>
    <w:bookmarkEnd w:id="104"/>
    <w:p>
      <w:pPr>
        <w:jc w:val="both"/>
        <w:ind w:firstLine="622"/>
        <w:spacing w:after="0" w:line="272" w:lineRule="auto"/>
        <w:rPr>
          <w:sz w:val="20"/>
          <w:szCs w:val="20"/>
          <w:color w:val="auto"/>
        </w:rPr>
      </w:pPr>
      <w:r>
        <w:rPr>
          <w:rFonts w:ascii="Arial" w:cs="Arial" w:eastAsia="Arial" w:hAnsi="Arial"/>
          <w:sz w:val="17"/>
          <w:szCs w:val="17"/>
          <w:b w:val="1"/>
          <w:bCs w:val="1"/>
          <w:color w:val="auto"/>
        </w:rPr>
        <w:t xml:space="preserve">7.9 Transactions with Affiliates. </w:t>
      </w:r>
      <w:r>
        <w:rPr>
          <w:rFonts w:ascii="Arial" w:cs="Arial" w:eastAsia="Arial" w:hAnsi="Arial"/>
          <w:sz w:val="17"/>
          <w:szCs w:val="17"/>
          <w:color w:val="auto"/>
        </w:rPr>
        <w:t>Directly or indirectly enter into or permit to exist any material transaction with any Affiliate of any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or any of its Subsidiaries, except for (a) transactions that are in the ordinary course of such Loan Party’s or such Subsidiary’s business, upon fair and reasonable terms that are no less favorable to such Loan Party or such Subsidiary than would be obtained in an arm’s length transaction with a non-affiliated Person, (b) Subordinated Debt or equity investments by such Loan Party’s investors in such Loan Party or its Subsidiaries, (c) intercompany transactions expressly permitted by Sections 7.1, 7.3, 7.4, 7.7 or 7.8, (d) normal and reasonable compensation and reimbursement of expenses of officers and directors in the ordinary course of business approved by such Loan Party’s or such Subsidiary’s board of directors, (e) employment arrangements with executive officers approved by Borrower’s Board of Directors and entered into in the ordinary course of business, (f) equity financings of the Parent that are permitted by the terms of this Agreement and (g) transactions set forth on </w:t>
      </w:r>
      <w:r>
        <w:rPr>
          <w:rFonts w:ascii="Arial" w:cs="Arial" w:eastAsia="Arial" w:hAnsi="Arial"/>
          <w:sz w:val="17"/>
          <w:szCs w:val="17"/>
          <w:u w:val="single" w:color="auto"/>
          <w:color w:val="auto"/>
        </w:rPr>
        <w:t>Schedule 7.9</w:t>
      </w:r>
      <w:r>
        <w:rPr>
          <w:rFonts w:ascii="Arial" w:cs="Arial" w:eastAsia="Arial" w:hAnsi="Arial"/>
          <w:sz w:val="17"/>
          <w:szCs w:val="17"/>
          <w:color w:val="auto"/>
        </w:rPr>
        <w:t>.</w:t>
      </w:r>
    </w:p>
    <w:p>
      <w:pPr>
        <w:spacing w:after="0" w:line="158" w:lineRule="exact"/>
        <w:rPr>
          <w:sz w:val="20"/>
          <w:szCs w:val="20"/>
          <w:color w:val="auto"/>
        </w:rPr>
      </w:pPr>
    </w:p>
    <w:p>
      <w:pPr>
        <w:jc w:val="both"/>
        <w:ind w:firstLine="622"/>
        <w:spacing w:after="0" w:line="289" w:lineRule="auto"/>
        <w:rPr>
          <w:sz w:val="20"/>
          <w:szCs w:val="20"/>
          <w:color w:val="auto"/>
        </w:rPr>
      </w:pPr>
      <w:r>
        <w:rPr>
          <w:rFonts w:ascii="Arial" w:cs="Arial" w:eastAsia="Arial" w:hAnsi="Arial"/>
          <w:sz w:val="17"/>
          <w:szCs w:val="17"/>
          <w:b w:val="1"/>
          <w:bCs w:val="1"/>
          <w:color w:val="auto"/>
        </w:rPr>
        <w:t xml:space="preserve">7.10 Subordinated Debt. </w:t>
      </w:r>
      <w:r>
        <w:rPr>
          <w:rFonts w:ascii="Arial" w:cs="Arial" w:eastAsia="Arial" w:hAnsi="Arial"/>
          <w:sz w:val="17"/>
          <w:szCs w:val="17"/>
          <w:color w:val="auto"/>
        </w:rPr>
        <w:t>(a) Make or permit any payment on any Subordinated Debt, except under the terms of the subordination,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intercreditor, 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31" w:lineRule="exact"/>
        <w:rPr>
          <w:sz w:val="20"/>
          <w:szCs w:val="20"/>
          <w:color w:val="auto"/>
        </w:rPr>
      </w:pPr>
    </w:p>
    <w:p>
      <w:pPr>
        <w:jc w:val="both"/>
        <w:ind w:firstLine="622"/>
        <w:spacing w:after="0" w:line="254" w:lineRule="auto"/>
        <w:rPr>
          <w:sz w:val="20"/>
          <w:szCs w:val="20"/>
          <w:color w:val="auto"/>
        </w:rPr>
      </w:pPr>
      <w:r>
        <w:rPr>
          <w:rFonts w:ascii="Arial" w:cs="Arial" w:eastAsia="Arial" w:hAnsi="Arial"/>
          <w:sz w:val="18"/>
          <w:szCs w:val="18"/>
          <w:b w:val="1"/>
          <w:bCs w:val="1"/>
          <w:color w:val="auto"/>
        </w:rPr>
        <w:t xml:space="preserve">7.11 Compliance. </w:t>
      </w:r>
      <w:r>
        <w:rPr>
          <w:rFonts w:ascii="Arial" w:cs="Arial" w:eastAsia="Arial" w:hAnsi="Arial"/>
          <w:sz w:val="18"/>
          <w:szCs w:val="18"/>
          <w:color w:val="auto"/>
        </w:rPr>
        <w:t>(a) Become an “investment company” or a company controlled by an “investment company”, under the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Act of 1940, as amended, or undertake as one of its important activities extending credit to purchase or carry margin stock (as defined in Regulation U of the Board of Governors of the Federal Reserve System), or use the proceeds of any Term Loan for that purpose; (b) fail to meet the minimum funding requirements of ERISA; (c) permit a Reportable Event or Prohibited Transaction, as defined in ERISA, to occur; (d) fail to comply with the Federal Fair Labor Standards Act or violate any other law or regulation, if the violation could reasonably be expected to have a Material Adverse Change, or permit any of its Subsidiaries to do so; or (e)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any Loan Party or any of its Subsidiaries, including any liability to the Pension Benefit Guaranty Corporation or its successors or any other Governmental Authority.</w:t>
      </w:r>
    </w:p>
    <w:p>
      <w:pPr>
        <w:spacing w:after="0" w:line="175" w:lineRule="exact"/>
        <w:rPr>
          <w:sz w:val="20"/>
          <w:szCs w:val="20"/>
          <w:color w:val="auto"/>
        </w:rPr>
      </w:pPr>
    </w:p>
    <w:p>
      <w:pPr>
        <w:jc w:val="both"/>
        <w:ind w:firstLine="622"/>
        <w:spacing w:after="0" w:line="255" w:lineRule="auto"/>
        <w:rPr>
          <w:sz w:val="20"/>
          <w:szCs w:val="20"/>
          <w:color w:val="auto"/>
        </w:rPr>
      </w:pPr>
      <w:r>
        <w:rPr>
          <w:rFonts w:ascii="Arial" w:cs="Arial" w:eastAsia="Arial" w:hAnsi="Arial"/>
          <w:sz w:val="18"/>
          <w:szCs w:val="18"/>
          <w:b w:val="1"/>
          <w:bCs w:val="1"/>
          <w:color w:val="auto"/>
        </w:rPr>
        <w:t xml:space="preserve">7.12 Compliance with Anti-Terrorism Laws. </w:t>
      </w:r>
      <w:r>
        <w:rPr>
          <w:rFonts w:ascii="Arial" w:cs="Arial" w:eastAsia="Arial" w:hAnsi="Arial"/>
          <w:sz w:val="18"/>
          <w:szCs w:val="18"/>
          <w:color w:val="auto"/>
        </w:rPr>
        <w:t>Directly or indirectly, knowingly permit any Affiliate to enter into any documents,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or contracts with any Person listed on the OFAC Lists. Directly or indirectly, knowingly permit any Affiliate to, (a) conduct any business or engage in any transaction or dealing with any Blocked Person, including, without limitation, the making or receiving of any contribution of funds, goods or services to or for the benefit of any Blocked Person, (b) deal in, or otherwise engage in any transaction relating to, any property or interests in property blocked pursuant to Executive Order No. 13224 or any similar executive order or other Anti-Terrorism Law, or (c) engage in or conspire to engage in any transaction that evades or avoids, or has the purpose of evading or avoiding, or attempts to violate, any of the prohibitions set forth in Executive Order No. 13224 or other Anti-Terrorism Law.</w:t>
      </w:r>
    </w:p>
    <w:p>
      <w:pPr>
        <w:spacing w:after="0" w:line="175"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b w:val="1"/>
          <w:bCs w:val="1"/>
          <w:color w:val="auto"/>
        </w:rPr>
        <w:t>Financial Covenant.</w:t>
      </w:r>
    </w:p>
    <w:p>
      <w:pPr>
        <w:spacing w:after="0" w:line="202" w:lineRule="exact"/>
        <w:rPr>
          <w:sz w:val="20"/>
          <w:szCs w:val="20"/>
          <w:color w:val="auto"/>
        </w:rPr>
      </w:pPr>
    </w:p>
    <w:p>
      <w:pPr>
        <w:ind w:left="1940" w:hanging="662"/>
        <w:spacing w:after="0"/>
        <w:tabs>
          <w:tab w:leader="none" w:pos="19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Minimum Liquidity. Permit, at any time, Qualified Cash to be less than the sum of the Qualified Cash A/P Amount plus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 amount:</w:t>
      </w:r>
    </w:p>
    <w:p>
      <w:pPr>
        <w:spacing w:after="0" w:line="197" w:lineRule="exact"/>
        <w:rPr>
          <w:sz w:val="20"/>
          <w:szCs w:val="20"/>
          <w:color w:val="auto"/>
        </w:rPr>
      </w:pPr>
    </w:p>
    <w:p>
      <w:pPr>
        <w:ind w:firstLine="1284"/>
        <w:spacing w:after="0" w:line="277" w:lineRule="auto"/>
        <w:tabs>
          <w:tab w:leader="none" w:pos="1979"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all times Net Product Revenue, determined as of the most recent Measurement Date and measured on a trailing twelve-month basis, is less than Seventy-Five Million Dollars ($75,000,000), Fifteen Million Dollars ($15,000,000);</w:t>
      </w:r>
    </w:p>
    <w:p>
      <w:pPr>
        <w:spacing w:after="0" w:line="156" w:lineRule="exact"/>
        <w:rPr>
          <w:rFonts w:ascii="Arial" w:cs="Arial" w:eastAsia="Arial" w:hAnsi="Arial"/>
          <w:sz w:val="18"/>
          <w:szCs w:val="18"/>
          <w:color w:val="auto"/>
        </w:rPr>
      </w:pPr>
    </w:p>
    <w:p>
      <w:pPr>
        <w:jc w:val="both"/>
        <w:ind w:firstLine="1284"/>
        <w:spacing w:after="0" w:line="263" w:lineRule="auto"/>
        <w:tabs>
          <w:tab w:leader="none" w:pos="19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all times Net Product Revenue, determined as of the most recent Measurement Date and measured on a trailing twelve-month basis, is greater than or equal to Seventy-Five Million Dollars ($75,000,000) and less than One Hundred Million Dollars ($100,000,000), Seven Million Five Hundred Thousand Dollars ($7,500,000); or</w:t>
      </w:r>
    </w:p>
    <w:p>
      <w:pPr>
        <w:spacing w:after="0" w:line="210" w:lineRule="exact"/>
        <w:rPr>
          <w:rFonts w:ascii="Arial" w:cs="Arial" w:eastAsia="Arial" w:hAnsi="Arial"/>
          <w:sz w:val="18"/>
          <w:szCs w:val="18"/>
          <w:color w:val="auto"/>
        </w:rPr>
      </w:pPr>
    </w:p>
    <w:p>
      <w:pPr>
        <w:ind w:firstLine="1284"/>
        <w:spacing w:after="0" w:line="277" w:lineRule="auto"/>
        <w:tabs>
          <w:tab w:leader="none" w:pos="198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Net Product Revenue, determined as of the most recent Measurement Date and measured monthly on a trailing twelve-month basis, is greater than One Hundred Million Dollars ($100,000,000), Zero Dollars ($0).</w:t>
      </w:r>
    </w:p>
    <w:p>
      <w:pPr>
        <w:spacing w:after="0" w:line="193" w:lineRule="exact"/>
        <w:rPr>
          <w:sz w:val="20"/>
          <w:szCs w:val="20"/>
          <w:color w:val="auto"/>
        </w:rPr>
      </w:pPr>
    </w:p>
    <w:p>
      <w:pPr>
        <w:jc w:val="both"/>
        <w:ind w:right="20" w:firstLine="622"/>
        <w:spacing w:after="0" w:line="282" w:lineRule="auto"/>
        <w:rPr>
          <w:sz w:val="20"/>
          <w:szCs w:val="20"/>
          <w:color w:val="auto"/>
        </w:rPr>
      </w:pPr>
      <w:r>
        <w:rPr>
          <w:rFonts w:ascii="Arial" w:cs="Arial" w:eastAsia="Arial" w:hAnsi="Arial"/>
          <w:sz w:val="18"/>
          <w:szCs w:val="18"/>
          <w:b w:val="1"/>
          <w:bCs w:val="1"/>
          <w:color w:val="auto"/>
        </w:rPr>
        <w:t xml:space="preserve">7.14 Material Agreements. </w:t>
      </w:r>
      <w:r>
        <w:rPr>
          <w:rFonts w:ascii="Arial" w:cs="Arial" w:eastAsia="Arial" w:hAnsi="Arial"/>
          <w:sz w:val="18"/>
          <w:szCs w:val="18"/>
          <w:color w:val="auto"/>
        </w:rPr>
        <w:t>Without the consent of Collateral Agent, amend a Material Agreement in a manner adverse to Collateral Agent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Lenders.</w:t>
      </w:r>
    </w:p>
    <w:p>
      <w:pPr>
        <w:spacing w:after="0" w:line="148" w:lineRule="exact"/>
        <w:rPr>
          <w:sz w:val="20"/>
          <w:szCs w:val="20"/>
          <w:color w:val="auto"/>
        </w:rPr>
      </w:pPr>
    </w:p>
    <w:p>
      <w:pPr>
        <w:jc w:val="both"/>
        <w:ind w:firstLine="622"/>
        <w:spacing w:after="0" w:line="266" w:lineRule="auto"/>
        <w:rPr>
          <w:sz w:val="20"/>
          <w:szCs w:val="20"/>
          <w:color w:val="auto"/>
        </w:rPr>
      </w:pPr>
      <w:r>
        <w:rPr>
          <w:rFonts w:ascii="Arial" w:cs="Arial" w:eastAsia="Arial" w:hAnsi="Arial"/>
          <w:sz w:val="18"/>
          <w:szCs w:val="18"/>
          <w:b w:val="1"/>
          <w:bCs w:val="1"/>
          <w:color w:val="auto"/>
        </w:rPr>
        <w:t xml:space="preserve">7.15 Redemption of Permitted Convertible Debt. </w:t>
      </w:r>
      <w:r>
        <w:rPr>
          <w:rFonts w:ascii="Arial" w:cs="Arial" w:eastAsia="Arial" w:hAnsi="Arial"/>
          <w:sz w:val="18"/>
          <w:szCs w:val="18"/>
          <w:color w:val="auto"/>
        </w:rPr>
        <w:t>Exercise any redemption right with respect to any Permitted Convertible Debt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a condition related to the stock price of the Borrower’s common stock, unless the Redemption Conditions are satisfied in respect of such redemption.</w:t>
      </w:r>
    </w:p>
    <w:p>
      <w:pPr>
        <w:spacing w:after="0" w:line="200" w:lineRule="exact"/>
        <w:rPr>
          <w:sz w:val="20"/>
          <w:szCs w:val="20"/>
          <w:color w:val="auto"/>
        </w:rPr>
      </w:pPr>
    </w:p>
    <w:p>
      <w:pPr>
        <w:spacing w:after="0" w:line="2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769" w:right="339" w:bottom="1440" w:gutter="0" w:footer="0" w:header="0"/>
        </w:sectPr>
      </w:pPr>
    </w:p>
    <w:bookmarkStart w:id="105" w:name="page106"/>
    <w:bookmarkEnd w:id="105"/>
    <w:p>
      <w:pPr>
        <w:ind w:left="640" w:hanging="632"/>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98" w:lineRule="exact"/>
        <w:rPr>
          <w:sz w:val="20"/>
          <w:szCs w:val="20"/>
          <w:color w:val="auto"/>
        </w:rPr>
      </w:pPr>
    </w:p>
    <w:p>
      <w:pPr>
        <w:jc w:val="both"/>
        <w:ind w:firstLine="622"/>
        <w:spacing w:after="0" w:line="266"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Any Loan Party fails to (a) make any payment of principal or interest on any Term Loan on its due date, or (b)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 within three (3) Business Days after such Obligations are due and payable (which three (3) Business Day grace period shall not apply to payments due on the Maturity Date or the date of acceleration pursuant to Section 9.1 (a) hereof);</w:t>
      </w:r>
    </w:p>
    <w:p>
      <w:pPr>
        <w:spacing w:after="0" w:line="162"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r>
        <w:rPr>
          <w:rFonts w:ascii="Arial" w:cs="Arial" w:eastAsia="Arial" w:hAnsi="Arial"/>
          <w:sz w:val="16"/>
          <w:szCs w:val="16"/>
          <w:color w:val="auto"/>
        </w:rPr>
        <w:t>.</w:t>
      </w:r>
    </w:p>
    <w:p>
      <w:pPr>
        <w:spacing w:after="0" w:line="216" w:lineRule="exact"/>
        <w:rPr>
          <w:sz w:val="20"/>
          <w:szCs w:val="20"/>
          <w:color w:val="auto"/>
        </w:rPr>
      </w:pPr>
    </w:p>
    <w:p>
      <w:pPr>
        <w:jc w:val="both"/>
        <w:ind w:firstLine="1278"/>
        <w:spacing w:after="0" w:line="311" w:lineRule="auto"/>
        <w:tabs>
          <w:tab w:leader="none" w:pos="1942"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Loan Party or any of its Subsidiaries fails or neglects to perform any obligation in Sections 3.5 (Post-Closing Obligations), 6.2 (Financial Statements, Reports, Certificates), 6.4 (Taxes), 6.5 (Insurance), 6.6 (Operating Accounts), 6.7 (Protection of Intellectual Property Rights), 6.9 (Landlord Waivers; Bailee Waivers), 6.10 (Creation/Acquisition of Subsidiaries) or any Loan Party violates any provision in Section 7; or</w:t>
      </w:r>
    </w:p>
    <w:p>
      <w:pPr>
        <w:spacing w:after="0" w:line="122" w:lineRule="exact"/>
        <w:rPr>
          <w:sz w:val="20"/>
          <w:szCs w:val="20"/>
          <w:color w:val="auto"/>
        </w:rPr>
      </w:pPr>
    </w:p>
    <w:p>
      <w:pPr>
        <w:jc w:val="both"/>
        <w:ind w:firstLine="1215"/>
        <w:spacing w:after="0" w:line="254" w:lineRule="auto"/>
        <w:rPr>
          <w:sz w:val="20"/>
          <w:szCs w:val="20"/>
          <w:color w:val="auto"/>
        </w:rPr>
      </w:pPr>
      <w:r>
        <w:rPr>
          <w:rFonts w:ascii="Arial" w:cs="Arial" w:eastAsia="Arial" w:hAnsi="Arial"/>
          <w:sz w:val="18"/>
          <w:szCs w:val="18"/>
          <w:color w:val="auto"/>
        </w:rPr>
        <w:t xml:space="preserve">Any Loan Party, or any of its Subsidiaries, fails or neglects to perform, keep, or observe any other term, provision, condition, covenant or agreement contained in this Agreement or any other Loan Document to which such person is a party, and as to any default (other than those specified in this Section 8) under such other term, provision, condition, covenant or agreement that can be cured, has failed to cure the default within twenty (20) days after the occurrence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default cannot by its nature be cured within the twenty (20) day period or cannot after diligent attempts by such Loan Party or such Subsidiary, as applicable, be cured within such twenty (20) day period, and such default is likely to be cured within a reasonable time, then such Loan Party shall have an additional period (which shall not in any case exceed thirty (30) days) to attempt to cure such default, and within such reasonable time period the failure to cure the default shall not be deemed an Event of Default (but no Term Loans shall be made during such cure period);</w:t>
      </w:r>
    </w:p>
    <w:p>
      <w:pPr>
        <w:spacing w:after="0" w:line="174"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has occurred;</w:t>
      </w:r>
    </w:p>
    <w:p>
      <w:pPr>
        <w:spacing w:after="0" w:line="212"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r>
        <w:rPr>
          <w:rFonts w:ascii="Arial" w:cs="Arial" w:eastAsia="Arial" w:hAnsi="Arial"/>
          <w:sz w:val="16"/>
          <w:szCs w:val="16"/>
          <w:color w:val="auto"/>
        </w:rPr>
        <w:t>.</w:t>
      </w:r>
    </w:p>
    <w:p>
      <w:pPr>
        <w:spacing w:after="0" w:line="202" w:lineRule="exact"/>
        <w:rPr>
          <w:sz w:val="20"/>
          <w:szCs w:val="20"/>
          <w:color w:val="auto"/>
        </w:rPr>
      </w:pPr>
    </w:p>
    <w:p>
      <w:pPr>
        <w:jc w:val="both"/>
        <w:ind w:firstLine="1278"/>
        <w:spacing w:after="0" w:line="257" w:lineRule="auto"/>
        <w:tabs>
          <w:tab w:leader="none" w:pos="19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any Loan Party or any of its Subsidiaries or of any entity under control of any Loan Party or its Subsidiaries on deposit with any institution at which any Loan Party or any of its Subsidiaries maintains a Collateral Account, or (ii) a notice of lien, levy, or assessment is filed against any Loan Party or any of its Subsidiaries or their respective assets by any government agency, and the same under subclauses (i) and (ii) of this clause (a) are not, within ten (10) days after the occurrence thereof, discharged or stayed (whether through the posting of a bond or otherwise); and</w:t>
      </w:r>
    </w:p>
    <w:p>
      <w:pPr>
        <w:spacing w:after="0" w:line="174" w:lineRule="exact"/>
        <w:rPr>
          <w:rFonts w:ascii="Arial" w:cs="Arial" w:eastAsia="Arial" w:hAnsi="Arial"/>
          <w:sz w:val="18"/>
          <w:szCs w:val="18"/>
          <w:color w:val="auto"/>
        </w:rPr>
      </w:pPr>
    </w:p>
    <w:p>
      <w:pPr>
        <w:jc w:val="both"/>
        <w:ind w:firstLine="1278"/>
        <w:spacing w:after="0" w:line="263" w:lineRule="auto"/>
        <w:tabs>
          <w:tab w:leader="none" w:pos="1939"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any material portion of any Loan Party’s or any of its Subsidiaries’ assets is attached, seized, levied on, or comes into possession of a trustee or receiver, or (ii) any court order enjoins, restrains, or prevents any Loan Party or any of its Subsidiaries from conducting any part of its business;</w:t>
      </w:r>
    </w:p>
    <w:p>
      <w:pPr>
        <w:spacing w:after="0" w:line="166" w:lineRule="exact"/>
        <w:rPr>
          <w:sz w:val="20"/>
          <w:szCs w:val="20"/>
          <w:color w:val="auto"/>
        </w:rPr>
      </w:pPr>
    </w:p>
    <w:p>
      <w:pPr>
        <w:ind w:firstLine="622"/>
        <w:spacing w:after="0" w:line="293" w:lineRule="auto"/>
        <w:rPr>
          <w:sz w:val="20"/>
          <w:szCs w:val="20"/>
          <w:color w:val="auto"/>
        </w:rPr>
      </w:pPr>
      <w:r>
        <w:rPr>
          <w:rFonts w:ascii="Arial" w:cs="Arial" w:eastAsia="Arial" w:hAnsi="Arial"/>
          <w:sz w:val="16"/>
          <w:szCs w:val="16"/>
          <w:b w:val="1"/>
          <w:bCs w:val="1"/>
          <w:color w:val="auto"/>
        </w:rPr>
        <w:t xml:space="preserve">8.5 Insolvency. </w:t>
      </w:r>
      <w:r>
        <w:rPr>
          <w:rFonts w:ascii="Arial" w:cs="Arial" w:eastAsia="Arial" w:hAnsi="Arial"/>
          <w:sz w:val="16"/>
          <w:szCs w:val="16"/>
          <w:color w:val="auto"/>
        </w:rPr>
        <w:t>(a) any Loan Party or any of its Subsidiaries is or becomes Insolvent; (b) any Loan Party or any of its Subsidiaries begins an</w:t>
      </w:r>
      <w:r>
        <w:rPr>
          <w:rFonts w:ascii="Arial" w:cs="Arial" w:eastAsia="Arial" w:hAnsi="Arial"/>
          <w:sz w:val="16"/>
          <w:szCs w:val="16"/>
          <w:b w:val="1"/>
          <w:bCs w:val="1"/>
          <w:color w:val="auto"/>
        </w:rPr>
        <w:t xml:space="preserve"> </w:t>
      </w:r>
      <w:r>
        <w:rPr>
          <w:rFonts w:ascii="Arial" w:cs="Arial" w:eastAsia="Arial" w:hAnsi="Arial"/>
          <w:sz w:val="16"/>
          <w:szCs w:val="16"/>
          <w:color w:val="auto"/>
        </w:rPr>
        <w:t>Insolvency Proceeding; or (c) an Insolvency Proceeding is begun against any Loan Party or any of its Subsidiaries and not dismissed or stayed within sixty</w:t>
      </w:r>
    </w:p>
    <w:p>
      <w:pPr>
        <w:spacing w:after="0" w:line="1" w:lineRule="exact"/>
        <w:rPr>
          <w:sz w:val="20"/>
          <w:szCs w:val="20"/>
          <w:color w:val="auto"/>
        </w:rPr>
      </w:pPr>
    </w:p>
    <w:p>
      <w:pPr>
        <w:ind w:right="20" w:firstLine="8"/>
        <w:spacing w:after="0" w:line="260" w:lineRule="auto"/>
        <w:tabs>
          <w:tab w:leader="none" w:pos="3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days (but no Term Loans shall be extended while any Loan Party or any of its Subsidiary is Insolvent and/or until any Insolvency Proceeding is dismissed);</w:t>
      </w:r>
    </w:p>
    <w:p>
      <w:pPr>
        <w:spacing w:after="0" w:line="154" w:lineRule="exact"/>
        <w:rPr>
          <w:sz w:val="20"/>
          <w:szCs w:val="20"/>
          <w:color w:val="auto"/>
        </w:rPr>
      </w:pPr>
    </w:p>
    <w:p>
      <w:pPr>
        <w:jc w:val="both"/>
        <w:ind w:firstLine="622"/>
        <w:spacing w:after="0" w:line="254" w:lineRule="auto"/>
        <w:rPr>
          <w:sz w:val="20"/>
          <w:szCs w:val="20"/>
          <w:color w:val="auto"/>
        </w:rPr>
      </w:pPr>
      <w:r>
        <w:rPr>
          <w:rFonts w:ascii="Arial" w:cs="Arial" w:eastAsia="Arial" w:hAnsi="Arial"/>
          <w:sz w:val="18"/>
          <w:szCs w:val="18"/>
          <w:b w:val="1"/>
          <w:bCs w:val="1"/>
          <w:color w:val="auto"/>
        </w:rPr>
        <w:t xml:space="preserve">8.6 Other Agreements. </w:t>
      </w:r>
      <w:r>
        <w:rPr>
          <w:rFonts w:ascii="Arial" w:cs="Arial" w:eastAsia="Arial" w:hAnsi="Arial"/>
          <w:sz w:val="18"/>
          <w:szCs w:val="18"/>
          <w:color w:val="auto"/>
        </w:rPr>
        <w:t>There is any default and such default continues (after the applicable grace, cure or notice period ) in any debt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which any Loan Party or any of its Subsidiaries is a party with a third party or parties resulting in a right by such third party or parties, whether or not exercised, to accelerate the maturity of any Indebtedness in an amount in excess of One Million Dollars ($1,000,000); for the avoidance of doubt, (x), the exchange, repurchase, conversion or settlement with respect to any Permitted Convertible Debt, or satisfaction of any condition giving rise to or permitting the foregoing, pursuant to their terms that does not result from a default thereunder or an event of the type that constitutes an Event of Default or (y) any early payment requirement or unwinding or termination with respect to any Permitted Call Spread Agreement, or satisfaction of any condition giving rise to or permitting the foregoing, in accordance with the terms thereof where neither the Borrower nor any of its Affiliates is the “defaulting party” (or substantially equivalent term) under the terms of such Permitted Call Spread Agreement, in each case, shall not constitute an Event of Default under this Section 8.6;</w:t>
      </w:r>
    </w:p>
    <w:p>
      <w:pPr>
        <w:spacing w:after="0" w:line="39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769" w:right="339" w:bottom="1440" w:gutter="0" w:footer="0" w:header="0"/>
        </w:sectPr>
      </w:pPr>
    </w:p>
    <w:bookmarkStart w:id="106" w:name="page107"/>
    <w:bookmarkEnd w:id="106"/>
    <w:p>
      <w:pPr>
        <w:jc w:val="both"/>
        <w:ind w:right="20" w:firstLine="622"/>
        <w:spacing w:after="0" w:line="258" w:lineRule="auto"/>
        <w:rPr>
          <w:sz w:val="20"/>
          <w:szCs w:val="20"/>
          <w:color w:val="auto"/>
        </w:rPr>
      </w:pPr>
      <w:r>
        <w:rPr>
          <w:rFonts w:ascii="Arial" w:cs="Arial" w:eastAsia="Arial" w:hAnsi="Arial"/>
          <w:sz w:val="18"/>
          <w:szCs w:val="18"/>
          <w:b w:val="1"/>
          <w:bCs w:val="1"/>
          <w:color w:val="auto"/>
        </w:rPr>
        <w:t xml:space="preserve">8.7 Judgments. </w:t>
      </w:r>
      <w:r>
        <w:rPr>
          <w:rFonts w:ascii="Arial" w:cs="Arial" w:eastAsia="Arial" w:hAnsi="Arial"/>
          <w:sz w:val="18"/>
          <w:szCs w:val="18"/>
          <w:color w:val="auto"/>
        </w:rPr>
        <w:t>One or more judgments, orders, or decrees for the payment of money in an amount, individually or in the aggregate,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Five Hundred Thousand Dollars ($500,000) (not covered by independent third-party insurance as to which (a) any Loan Party reasonably believes such insurance carrier will accept liability, (b) any Loan Party or the applicable Subsidiary has submitted such claim to such insurance carrier and (c) liability has not been rejected by such insurance carrier) shall be rendered against any Loan Party or any of its Subsidiaries and shall remain unsatisfied, unvacated, or unstayed for a period of twenty (20) days after the entry thereof;</w:t>
      </w:r>
    </w:p>
    <w:p>
      <w:pPr>
        <w:spacing w:after="0" w:line="170" w:lineRule="exact"/>
        <w:rPr>
          <w:sz w:val="20"/>
          <w:szCs w:val="20"/>
          <w:color w:val="auto"/>
        </w:rPr>
      </w:pPr>
    </w:p>
    <w:p>
      <w:pPr>
        <w:jc w:val="both"/>
        <w:ind w:firstLine="622"/>
        <w:spacing w:after="0" w:line="261"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Any Loan Party or any of its Subsidiaries or any Person acting for any Loan Party or any of its Subsidiaries makes</w:t>
      </w:r>
      <w:r>
        <w:rPr>
          <w:rFonts w:ascii="Arial" w:cs="Arial" w:eastAsia="Arial" w:hAnsi="Arial"/>
          <w:sz w:val="18"/>
          <w:szCs w:val="18"/>
          <w:b w:val="1"/>
          <w:bCs w:val="1"/>
          <w:color w:val="auto"/>
        </w:rPr>
        <w:t xml:space="preserve"> </w:t>
      </w:r>
      <w:r>
        <w:rPr>
          <w:rFonts w:ascii="Arial" w:cs="Arial" w:eastAsia="Arial" w:hAnsi="Arial"/>
          <w:sz w:val="18"/>
          <w:szCs w:val="18"/>
          <w:color w:val="auto"/>
        </w:rPr>
        <w:t>any representation, warranty, or other statement now or later in this Agreement, any Loan Document or in any writing delivered to Collateral Agent and/or the Lenders or to induce Collateral Agent and/or the Lenders to enter this Agreement or any Loan Document, and such representation, warranty, or other statement, when taken as a whole, is incorrect in any material respect when made;</w:t>
      </w:r>
    </w:p>
    <w:p>
      <w:pPr>
        <w:spacing w:after="0" w:line="153" w:lineRule="exact"/>
        <w:rPr>
          <w:sz w:val="20"/>
          <w:szCs w:val="20"/>
          <w:color w:val="auto"/>
        </w:rPr>
      </w:pPr>
    </w:p>
    <w:p>
      <w:pPr>
        <w:jc w:val="both"/>
        <w:ind w:right="20" w:firstLine="622"/>
        <w:spacing w:after="0" w:line="282" w:lineRule="auto"/>
        <w:rPr>
          <w:sz w:val="20"/>
          <w:szCs w:val="20"/>
          <w:color w:val="auto"/>
        </w:rPr>
      </w:pPr>
      <w:r>
        <w:rPr>
          <w:rFonts w:ascii="Arial" w:cs="Arial" w:eastAsia="Arial" w:hAnsi="Arial"/>
          <w:sz w:val="18"/>
          <w:szCs w:val="18"/>
          <w:b w:val="1"/>
          <w:bCs w:val="1"/>
          <w:color w:val="auto"/>
        </w:rPr>
        <w:t xml:space="preserve">8.9 Subordinated Debt. </w:t>
      </w:r>
      <w:r>
        <w:rPr>
          <w:rFonts w:ascii="Arial" w:cs="Arial" w:eastAsia="Arial" w:hAnsi="Arial"/>
          <w:sz w:val="18"/>
          <w:szCs w:val="18"/>
          <w:color w:val="auto"/>
        </w:rPr>
        <w:t>A default or breach occurs under any subordination agreement, or any creditor that has signed such 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Collateral Agent or the Lenders breaches any terms of such agreement;</w:t>
      </w:r>
    </w:p>
    <w:p>
      <w:pPr>
        <w:spacing w:after="0" w:line="148" w:lineRule="exact"/>
        <w:rPr>
          <w:sz w:val="20"/>
          <w:szCs w:val="20"/>
          <w:color w:val="auto"/>
        </w:rPr>
      </w:pPr>
    </w:p>
    <w:p>
      <w:pPr>
        <w:jc w:val="both"/>
        <w:ind w:firstLine="622"/>
        <w:spacing w:after="0" w:line="289" w:lineRule="auto"/>
        <w:rPr>
          <w:sz w:val="20"/>
          <w:szCs w:val="20"/>
          <w:color w:val="auto"/>
        </w:rPr>
      </w:pPr>
      <w:r>
        <w:rPr>
          <w:rFonts w:ascii="Arial" w:cs="Arial" w:eastAsia="Arial" w:hAnsi="Arial"/>
          <w:sz w:val="17"/>
          <w:szCs w:val="17"/>
          <w:b w:val="1"/>
          <w:bCs w:val="1"/>
          <w:color w:val="auto"/>
        </w:rPr>
        <w:t xml:space="preserve">8.10 Guaranty. </w:t>
      </w:r>
      <w:r>
        <w:rPr>
          <w:rFonts w:ascii="Arial" w:cs="Arial" w:eastAsia="Arial" w:hAnsi="Arial"/>
          <w:sz w:val="17"/>
          <w:szCs w:val="17"/>
          <w:color w:val="auto"/>
        </w:rPr>
        <w:t>(a) Any Guaranty terminates or ceases for any reason to be in full force and effect other than as a result of a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under this Agreement; (b) any Guarantor does not perform any obligation or covenant under any Guaranty, after any applicable grace or cure period; or (c) any circumstance described in Section 8 occurs with respect to any Guarantor, beyond any applicable grace or cure period;</w:t>
      </w:r>
    </w:p>
    <w:p>
      <w:pPr>
        <w:spacing w:after="0" w:line="144"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b w:val="1"/>
          <w:bCs w:val="1"/>
          <w:color w:val="auto"/>
        </w:rPr>
        <w:t xml:space="preserve">8.11 Governmental Approvals; FDA Action. </w:t>
      </w:r>
      <w:r>
        <w:rPr>
          <w:rFonts w:ascii="Arial" w:cs="Arial" w:eastAsia="Arial" w:hAnsi="Arial"/>
          <w:sz w:val="16"/>
          <w:szCs w:val="16"/>
          <w:color w:val="auto"/>
        </w:rPr>
        <w:t>(a) Any Governmental Approval shall have been revoked, rescinded, suspended, modified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adverse manner, or not renewed in the ordinary course for a full term </w:t>
      </w:r>
      <w:r>
        <w:rPr>
          <w:rFonts w:ascii="Arial" w:cs="Arial" w:eastAsia="Arial" w:hAnsi="Arial"/>
          <w:sz w:val="16"/>
          <w:szCs w:val="16"/>
          <w:i w:val="1"/>
          <w:iCs w:val="1"/>
          <w:color w:val="auto"/>
        </w:rPr>
        <w:t>and</w:t>
      </w:r>
      <w:r>
        <w:rPr>
          <w:rFonts w:ascii="Arial" w:cs="Arial" w:eastAsia="Arial" w:hAnsi="Arial"/>
          <w:sz w:val="16"/>
          <w:szCs w:val="16"/>
          <w:color w:val="auto"/>
        </w:rPr>
        <w:t xml:space="preserve"> such revocation, rescission, suspension, modification or non-renewal has resulted in or could reasonably be expected to result in a Material Adverse Change; or (b) (i) the FDA, DOJ or other Governmental Authority initiates a Regulatory Action or any other enforcement action against any Loan Party or any of its Subsidiaries or any supplier of any Loan Party or any of its Subsidiaries that causes any Loan Party or any of its Subsidiaries to recall, withdraw, remove or discontinue manufacturing, distributing, and/or marketing any of its products, even if such action is based on previously disclosed conduct that, as to any single or related series of transactions, incidents or conditions, could reasonably be expected to result in a Material Adverse Change; (ii) the FDA or any other comparable Governmental Authority issues a warning letter to any Loan Party or any of its Subsidiaries with respect to any of its activities or products which could reasonably be expected to result in a Material Adverse Change; (iii) any Loan Party or any of its Subsidiaries conducts a mandatory or voluntary recall which could reasonably be expected to result in liability and expense to any Loan Party or any of its Subsidiaries of One Million Dollars ($1,000,000) or more; (iv) any Loan Party or any of its Subsidiaries enters into a settlement agreement with the FDA, DOJ or other Governmental Authority that results in aggregate liability as to any single or related series of transactions, incidents or conditions, of One Million Dollars ($1,000,000) or more, or that could reasonably be expected to result in a Material Adverse Change, even if such settlement agreement is based on previously disclosed conduct; or (v) the FDA or any other comparable Governmental Authority revokes any authorization or permission granted under any Registration, or any Loan Party or any of its Subsidiaries withdraws any Registration, that could reasonably be expected to result in a Material Adverse Change; and</w:t>
      </w:r>
    </w:p>
    <w:p>
      <w:pPr>
        <w:spacing w:after="0" w:line="140" w:lineRule="exact"/>
        <w:rPr>
          <w:sz w:val="20"/>
          <w:szCs w:val="20"/>
          <w:color w:val="auto"/>
        </w:rPr>
      </w:pPr>
    </w:p>
    <w:p>
      <w:pPr>
        <w:jc w:val="both"/>
        <w:ind w:firstLine="630"/>
        <w:spacing w:after="0" w:line="266" w:lineRule="auto"/>
        <w:tabs>
          <w:tab w:leader="none" w:pos="1283"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Lien Priority</w:t>
      </w:r>
      <w:r>
        <w:rPr>
          <w:rFonts w:ascii="Arial" w:cs="Arial" w:eastAsia="Arial" w:hAnsi="Arial"/>
          <w:sz w:val="18"/>
          <w:szCs w:val="18"/>
          <w:color w:val="auto"/>
        </w:rPr>
        <w:t>. Except as the result of the action or inaction of Collateral Agent or the Lenders, any Lien created hereunder or by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 shall at any time fail to constitute a valid and perfected Lien on any of the Collateral purported to be secured thereby, subject to no prior or equal Lien, other than Permitted Liens, subject to the terms of the Loan Documents.</w:t>
      </w:r>
    </w:p>
    <w:p>
      <w:pPr>
        <w:spacing w:after="0" w:line="162" w:lineRule="exact"/>
        <w:rPr>
          <w:rFonts w:ascii="Arial" w:cs="Arial" w:eastAsia="Arial" w:hAnsi="Arial"/>
          <w:sz w:val="18"/>
          <w:szCs w:val="18"/>
          <w:b w:val="1"/>
          <w:bCs w:val="1"/>
          <w:color w:val="auto"/>
        </w:rPr>
      </w:pPr>
    </w:p>
    <w:p>
      <w:pPr>
        <w:ind w:left="640" w:hanging="632"/>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REMEDIES</w:t>
      </w:r>
    </w:p>
    <w:p>
      <w:pPr>
        <w:spacing w:after="0" w:line="21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5"/>
          <w:szCs w:val="15"/>
          <w:b w:val="1"/>
          <w:bCs w:val="1"/>
          <w:color w:val="auto"/>
        </w:rPr>
        <w:t>Rights and Remedies.</w:t>
      </w:r>
    </w:p>
    <w:p>
      <w:pPr>
        <w:spacing w:after="0" w:line="202" w:lineRule="exact"/>
        <w:rPr>
          <w:rFonts w:ascii="Arial" w:cs="Arial" w:eastAsia="Arial" w:hAnsi="Arial"/>
          <w:sz w:val="18"/>
          <w:szCs w:val="18"/>
          <w:b w:val="1"/>
          <w:bCs w:val="1"/>
          <w:color w:val="auto"/>
        </w:rPr>
      </w:pPr>
    </w:p>
    <w:p>
      <w:pPr>
        <w:jc w:val="both"/>
        <w:ind w:firstLine="1278"/>
        <w:spacing w:after="0" w:line="290" w:lineRule="auto"/>
        <w:tabs>
          <w:tab w:leader="none" w:pos="1942" w:val="left"/>
        </w:tabs>
        <w:numPr>
          <w:ilvl w:val="2"/>
          <w:numId w:val="86"/>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Collateral Agent may, and at the written direction of Required Lenders shall, without notice or demand, do any or all of the following: (i) deliver notice of the Event of Default to any Loan Party, (ii) by notice to any Loan Party declare all Obligations immediately due and payable (but if an Event of Default described in Section 8.5 occurs all Obligations shall be immediately due and payable without any action by Collateral Agent or the Lenders) or (iii) by notice to any Loan Party suspend or terminate the obligations, if any, of the Lenders to advance money or extend credit for any Loan Party’s benefit under this Agreement or under any other agreement between any Loan Party and Collateral Agent and/or the Lenders (but if an Event of Default described in Section 8.5 occurs all obligations, if any, of the Lenders to advance money or extend credit for any Loan Party’s benefit under this Agreement or under any other agreement between any Loan Party and Collateral Agent and/or the Lenders shall be immediately terminated without any action by Collateral Agent or the Lenders).</w:t>
      </w: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769" w:right="339" w:bottom="1440" w:gutter="0" w:footer="0" w:header="0"/>
        </w:sectPr>
      </w:pPr>
    </w:p>
    <w:bookmarkStart w:id="107" w:name="page108"/>
    <w:bookmarkEnd w:id="107"/>
    <w:p>
      <w:pPr>
        <w:jc w:val="both"/>
        <w:ind w:firstLine="1278"/>
        <w:spacing w:after="0" w:line="263" w:lineRule="auto"/>
        <w:tabs>
          <w:tab w:leader="none" w:pos="1939"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Without limiting the rights of Collateral Agent and the Lenders set forth in Section 9.1(a) above, upon the occurrence and during the continuance of an Event of Default, Collateral Agent shall have the right and at the written direction of the Required Lenders shall, without notice or demand, to do any or all of the following:</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(i)foreclose upon and/or sell or otherwise liquidate, the Collateral;</w:t>
      </w:r>
    </w:p>
    <w:p>
      <w:pPr>
        <w:spacing w:after="0" w:line="19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(ii)make a demand for payment upon any Guarantor pursuant to the Guaranty delivered by such Guarantor;</w:t>
      </w:r>
    </w:p>
    <w:p>
      <w:pPr>
        <w:spacing w:after="0" w:line="212" w:lineRule="exact"/>
        <w:rPr>
          <w:sz w:val="20"/>
          <w:szCs w:val="20"/>
          <w:color w:val="auto"/>
        </w:rPr>
      </w:pPr>
    </w:p>
    <w:p>
      <w:pPr>
        <w:jc w:val="both"/>
        <w:ind w:firstLine="1007"/>
        <w:spacing w:after="0" w:line="263" w:lineRule="auto"/>
        <w:rPr>
          <w:sz w:val="20"/>
          <w:szCs w:val="20"/>
          <w:color w:val="auto"/>
        </w:rPr>
      </w:pPr>
      <w:r>
        <w:rPr>
          <w:rFonts w:ascii="Arial" w:cs="Arial" w:eastAsia="Arial" w:hAnsi="Arial"/>
          <w:sz w:val="18"/>
          <w:szCs w:val="18"/>
          <w:color w:val="auto"/>
        </w:rPr>
        <w:t>(iii)apply to the Obligations any (A) balances and deposits of the Loan Parties that Collateral Agent or any Lender holds or controls, (B) any amount held or controlled by Collateral Agent or any Lender owing to or for the credit or the account of any Loan Party, or (C) amounts received from any Guarantor in accordance with the respective Guaranty delivered by such Guarantor; and/or</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(iv)commence and prosecute an Insolvency Proceeding or consent to any Loan Party commencing any Insolvency Proceeding.</w:t>
      </w:r>
    </w:p>
    <w:p>
      <w:pPr>
        <w:spacing w:after="0" w:line="198" w:lineRule="exact"/>
        <w:rPr>
          <w:sz w:val="20"/>
          <w:szCs w:val="20"/>
          <w:color w:val="auto"/>
        </w:rPr>
      </w:pPr>
    </w:p>
    <w:p>
      <w:pPr>
        <w:ind w:right="20" w:firstLine="1278"/>
        <w:spacing w:after="0" w:line="342" w:lineRule="auto"/>
        <w:tabs>
          <w:tab w:leader="none" w:pos="1942"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10" w:lineRule="exact"/>
        <w:rPr>
          <w:sz w:val="20"/>
          <w:szCs w:val="20"/>
          <w:color w:val="auto"/>
        </w:rPr>
      </w:pPr>
    </w:p>
    <w:p>
      <w:pPr>
        <w:jc w:val="both"/>
        <w:ind w:right="20" w:firstLine="1106"/>
        <w:spacing w:after="0" w:line="342" w:lineRule="auto"/>
        <w:rPr>
          <w:sz w:val="20"/>
          <w:szCs w:val="20"/>
          <w:color w:val="auto"/>
        </w:rPr>
      </w:pPr>
      <w:r>
        <w:rPr>
          <w:rFonts w:ascii="Arial" w:cs="Arial" w:eastAsia="Arial" w:hAnsi="Arial"/>
          <w:sz w:val="16"/>
          <w:szCs w:val="16"/>
          <w:color w:val="auto"/>
        </w:rPr>
        <w:t>(i)settle or adjust disputes and claims directly with Account Debtors for amounts on terms and in any order that Collateral Agent considers advisable, notify any Person owing any Loan Party money of Collateral Agent’s security interest in such funds, and verify the amount of such account;</w:t>
      </w:r>
    </w:p>
    <w:p>
      <w:pPr>
        <w:spacing w:after="0" w:line="110" w:lineRule="exact"/>
        <w:rPr>
          <w:sz w:val="20"/>
          <w:szCs w:val="20"/>
          <w:color w:val="auto"/>
        </w:rPr>
      </w:pPr>
    </w:p>
    <w:p>
      <w:pPr>
        <w:jc w:val="both"/>
        <w:ind w:firstLine="1057"/>
        <w:spacing w:after="0" w:line="255" w:lineRule="auto"/>
        <w:rPr>
          <w:sz w:val="20"/>
          <w:szCs w:val="20"/>
          <w:color w:val="auto"/>
        </w:rPr>
      </w:pPr>
      <w:r>
        <w:rPr>
          <w:rFonts w:ascii="Arial" w:cs="Arial" w:eastAsia="Arial" w:hAnsi="Arial"/>
          <w:sz w:val="18"/>
          <w:szCs w:val="18"/>
          <w:color w:val="auto"/>
        </w:rPr>
        <w:t>(ii)make any payments and do any acts it considers necessary or reasonable to protect the Collateral and/or its Liens in the Collateral (held for the ratable benefit of the Secured Parties). The Loan Parties shall assemble the Collateral if Collateral Agent requests and make it available at such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Each Loan Party grants Collateral Agent a license to enter and occupy any of its premises, without charge, to exercise any of Collateral Agent’s rights or remedies;</w:t>
      </w:r>
    </w:p>
    <w:p>
      <w:pPr>
        <w:spacing w:after="0" w:line="165" w:lineRule="exact"/>
        <w:rPr>
          <w:sz w:val="20"/>
          <w:szCs w:val="20"/>
          <w:color w:val="auto"/>
        </w:rPr>
      </w:pPr>
    </w:p>
    <w:p>
      <w:pPr>
        <w:jc w:val="both"/>
        <w:ind w:firstLine="1007"/>
        <w:spacing w:after="0" w:line="296" w:lineRule="auto"/>
        <w:rPr>
          <w:sz w:val="20"/>
          <w:szCs w:val="20"/>
          <w:color w:val="auto"/>
        </w:rPr>
      </w:pPr>
      <w:r>
        <w:rPr>
          <w:rFonts w:ascii="Arial" w:cs="Arial" w:eastAsia="Arial" w:hAnsi="Arial"/>
          <w:sz w:val="16"/>
          <w:szCs w:val="16"/>
          <w:color w:val="auto"/>
        </w:rPr>
        <w:t>(iii)ship, reclaim, recover, store, finish, maintain, repair, prepare for sale, and/or advertise for sale, any of the Collateral. Collateral Agent is hereby granted a non-exclusive, royalty-free license or other right to use, without charge, each Loan Party’s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each Loan Party’s rights under all licenses and all franchise agreements inure to Collateral Agent, for the benefit of the Lenders;</w:t>
      </w:r>
    </w:p>
    <w:p>
      <w:pPr>
        <w:spacing w:after="0" w:line="148" w:lineRule="exact"/>
        <w:rPr>
          <w:sz w:val="20"/>
          <w:szCs w:val="20"/>
          <w:color w:val="auto"/>
        </w:rPr>
      </w:pPr>
    </w:p>
    <w:p>
      <w:pPr>
        <w:jc w:val="both"/>
        <w:ind w:firstLine="1016"/>
        <w:spacing w:after="0" w:line="286" w:lineRule="auto"/>
        <w:rPr>
          <w:sz w:val="20"/>
          <w:szCs w:val="20"/>
          <w:color w:val="auto"/>
        </w:rPr>
      </w:pPr>
      <w:r>
        <w:rPr>
          <w:rFonts w:ascii="Arial" w:cs="Arial" w:eastAsia="Arial" w:hAnsi="Arial"/>
          <w:sz w:val="17"/>
          <w:szCs w:val="17"/>
          <w:color w:val="auto"/>
        </w:rPr>
        <w:t>(iv)place a “hold” on any Collateral Account maintained with Collateral Agent or any Lender or otherwise in respect of which a Control Agreement has been delivered in favor of Collateral Agent (for the ratable benefit of the Secured Parties) and/or deliver a notice of exclusive control, any entitlement order, or other directions or instructions pursuant to any Control Agreement or similar agreements providing control of any Collateral;</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(v)demand and receive possession of any Loan Party’s Books;</w:t>
      </w:r>
    </w:p>
    <w:p>
      <w:pPr>
        <w:spacing w:after="0" w:line="198" w:lineRule="exact"/>
        <w:rPr>
          <w:sz w:val="20"/>
          <w:szCs w:val="20"/>
          <w:color w:val="auto"/>
        </w:rPr>
      </w:pPr>
    </w:p>
    <w:p>
      <w:pPr>
        <w:jc w:val="both"/>
        <w:ind w:firstLine="1016"/>
        <w:spacing w:after="0" w:line="263" w:lineRule="auto"/>
        <w:rPr>
          <w:sz w:val="20"/>
          <w:szCs w:val="20"/>
          <w:color w:val="auto"/>
        </w:rPr>
      </w:pPr>
      <w:r>
        <w:rPr>
          <w:rFonts w:ascii="Arial" w:cs="Arial" w:eastAsia="Arial" w:hAnsi="Arial"/>
          <w:sz w:val="18"/>
          <w:szCs w:val="18"/>
          <w:color w:val="auto"/>
        </w:rPr>
        <w:t>(vi)appoint a receiver to seize, manage and realize any of the Collateral, and such receiver shall have any right and authority as any competent court will grant or authorize in accordance with any applicable law, including any power or authority to manage the business of any Loan Party; and</w:t>
      </w:r>
    </w:p>
    <w:p>
      <w:pPr>
        <w:spacing w:after="0" w:line="170" w:lineRule="exact"/>
        <w:rPr>
          <w:sz w:val="20"/>
          <w:szCs w:val="20"/>
          <w:color w:val="auto"/>
        </w:rPr>
      </w:pPr>
    </w:p>
    <w:p>
      <w:pPr>
        <w:jc w:val="both"/>
        <w:ind w:right="20" w:firstLine="967"/>
        <w:spacing w:after="0" w:line="308" w:lineRule="auto"/>
        <w:rPr>
          <w:sz w:val="20"/>
          <w:szCs w:val="20"/>
          <w:color w:val="auto"/>
        </w:rPr>
      </w:pPr>
      <w:r>
        <w:rPr>
          <w:rFonts w:ascii="Arial" w:cs="Arial" w:eastAsia="Arial" w:hAnsi="Arial"/>
          <w:sz w:val="17"/>
          <w:szCs w:val="17"/>
          <w:color w:val="auto"/>
        </w:rPr>
        <w:t>(vii)subject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73" w:right="339" w:bottom="1440" w:gutter="0" w:footer="0" w:header="0"/>
        </w:sectPr>
      </w:pPr>
    </w:p>
    <w:bookmarkStart w:id="108" w:name="page109"/>
    <w:bookmarkEnd w:id="108"/>
    <w:p>
      <w:pPr>
        <w:jc w:val="both"/>
        <w:ind w:firstLine="622"/>
        <w:spacing w:after="0" w:line="293" w:lineRule="auto"/>
        <w:rPr>
          <w:sz w:val="20"/>
          <w:szCs w:val="20"/>
          <w:color w:val="auto"/>
        </w:rPr>
      </w:pPr>
      <w:r>
        <w:rPr>
          <w:rFonts w:ascii="Arial" w:cs="Arial" w:eastAsia="Arial" w:hAnsi="Arial"/>
          <w:sz w:val="16"/>
          <w:szCs w:val="16"/>
          <w:b w:val="1"/>
          <w:bCs w:val="1"/>
          <w:color w:val="auto"/>
        </w:rPr>
        <w:t xml:space="preserve">9.2 Power of Attorney. </w:t>
      </w:r>
      <w:r>
        <w:rPr>
          <w:rFonts w:ascii="Arial" w:cs="Arial" w:eastAsia="Arial" w:hAnsi="Arial"/>
          <w:sz w:val="16"/>
          <w:szCs w:val="16"/>
          <w:color w:val="auto"/>
        </w:rPr>
        <w:t>Each Loan Party hereby irrevocably appoints Collateral Agent as its lawful attorney-in-fact, exercisable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and during the continuance of an Event of Default, to: (a) endorse any Loan Party’s name on any checks or other forms of payment or security;</w:t>
      </w:r>
    </w:p>
    <w:p>
      <w:pPr>
        <w:spacing w:after="0" w:line="1" w:lineRule="exact"/>
        <w:rPr>
          <w:sz w:val="20"/>
          <w:szCs w:val="20"/>
          <w:color w:val="auto"/>
        </w:rPr>
      </w:pPr>
    </w:p>
    <w:p>
      <w:pPr>
        <w:jc w:val="both"/>
        <w:ind w:firstLine="8"/>
        <w:spacing w:after="0" w:line="281" w:lineRule="auto"/>
        <w:tabs>
          <w:tab w:leader="none" w:pos="257" w:val="left"/>
        </w:tabs>
        <w:numPr>
          <w:ilvl w:val="0"/>
          <w:numId w:val="89"/>
        </w:numPr>
        <w:rPr>
          <w:rFonts w:ascii="Arial" w:cs="Arial" w:eastAsia="Arial" w:hAnsi="Arial"/>
          <w:sz w:val="16"/>
          <w:szCs w:val="16"/>
          <w:color w:val="auto"/>
        </w:rPr>
      </w:pPr>
      <w:r>
        <w:rPr>
          <w:rFonts w:ascii="Arial" w:cs="Arial" w:eastAsia="Arial" w:hAnsi="Arial"/>
          <w:sz w:val="16"/>
          <w:szCs w:val="16"/>
          <w:color w:val="auto"/>
        </w:rPr>
        <w:t>sign any Loan Party’s name on any invoice or bill of lading for any Account or drafts against Account Debtors; (c) settle and adjust disputes and claims about the Accounts of any Loan Party directly with the applicable Account Debtors, for amounts and on terms Collateral Agent determines reasonable;</w:t>
      </w:r>
    </w:p>
    <w:p>
      <w:pPr>
        <w:spacing w:after="0" w:line="1" w:lineRule="exact"/>
        <w:rPr>
          <w:rFonts w:ascii="Arial" w:cs="Arial" w:eastAsia="Arial" w:hAnsi="Arial"/>
          <w:sz w:val="16"/>
          <w:szCs w:val="16"/>
          <w:color w:val="auto"/>
        </w:rPr>
      </w:pPr>
    </w:p>
    <w:p>
      <w:pPr>
        <w:jc w:val="both"/>
        <w:ind w:firstLine="8"/>
        <w:spacing w:after="0" w:line="268" w:lineRule="auto"/>
        <w:tabs>
          <w:tab w:leader="none" w:pos="259" w:val="left"/>
        </w:tabs>
        <w:numPr>
          <w:ilvl w:val="0"/>
          <w:numId w:val="90"/>
        </w:numPr>
        <w:rPr>
          <w:rFonts w:ascii="Arial" w:cs="Arial" w:eastAsia="Arial" w:hAnsi="Arial"/>
          <w:sz w:val="17"/>
          <w:szCs w:val="17"/>
          <w:color w:val="auto"/>
        </w:rPr>
      </w:pPr>
      <w:r>
        <w:rPr>
          <w:rFonts w:ascii="Arial" w:cs="Arial" w:eastAsia="Arial" w:hAnsi="Arial"/>
          <w:sz w:val="17"/>
          <w:szCs w:val="17"/>
          <w:color w:val="auto"/>
        </w:rPr>
        <w:t>make, settle, and adjust all claims under any Loan Party’s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Each Loan Party hereby appoints Collateral Agent as its lawful attorney-in-fact to sign any Loan Party’s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extend Term Loans hereunder. Collateral Agent’s foregoing appointment as any Loan Party’s attorney in fact, and all of Collateral Agent’s rights and powers, coupled with an interest, are irrevocable until all Obligations (other than inchoate indemnity obligations) have been fully repaid and performed and Collateral Agent’s and the Lenders’ obligation to provide Term Loans terminates.</w:t>
      </w:r>
    </w:p>
    <w:p>
      <w:pPr>
        <w:spacing w:after="0" w:line="164" w:lineRule="exact"/>
        <w:rPr>
          <w:sz w:val="20"/>
          <w:szCs w:val="20"/>
          <w:color w:val="auto"/>
        </w:rPr>
      </w:pPr>
    </w:p>
    <w:p>
      <w:pPr>
        <w:jc w:val="both"/>
        <w:ind w:firstLine="622"/>
        <w:spacing w:after="0" w:line="274" w:lineRule="auto"/>
        <w:rPr>
          <w:sz w:val="20"/>
          <w:szCs w:val="20"/>
          <w:color w:val="auto"/>
        </w:rPr>
      </w:pPr>
      <w:r>
        <w:rPr>
          <w:rFonts w:ascii="Arial" w:cs="Arial" w:eastAsia="Arial" w:hAnsi="Arial"/>
          <w:sz w:val="17"/>
          <w:szCs w:val="17"/>
          <w:b w:val="1"/>
          <w:bCs w:val="1"/>
          <w:color w:val="auto"/>
        </w:rPr>
        <w:t xml:space="preserve">9.3 Protective Payments. </w:t>
      </w:r>
      <w:r>
        <w:rPr>
          <w:rFonts w:ascii="Arial" w:cs="Arial" w:eastAsia="Arial" w:hAnsi="Arial"/>
          <w:sz w:val="17"/>
          <w:szCs w:val="17"/>
          <w:color w:val="auto"/>
        </w:rPr>
        <w:t>If any Loan Party fails to obtain the insurance called for by Section 6.5 or fails to pay any premium thereon or</w:t>
      </w:r>
      <w:r>
        <w:rPr>
          <w:rFonts w:ascii="Arial" w:cs="Arial" w:eastAsia="Arial" w:hAnsi="Arial"/>
          <w:sz w:val="17"/>
          <w:szCs w:val="17"/>
          <w:b w:val="1"/>
          <w:bCs w:val="1"/>
          <w:color w:val="auto"/>
        </w:rPr>
        <w:t xml:space="preserve"> </w:t>
      </w:r>
      <w:r>
        <w:rPr>
          <w:rFonts w:ascii="Arial" w:cs="Arial" w:eastAsia="Arial" w:hAnsi="Arial"/>
          <w:sz w:val="17"/>
          <w:szCs w:val="17"/>
          <w:color w:val="auto"/>
        </w:rPr>
        <w:t>fails to pay any other amount which any Loan Party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any Loan Party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46"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Notwithstanding anything to the contrary contained in this Agreement,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continuance of an Event of Default, (a) each Loan Party irrevocably waives the right to direct the application of any and all payments at any time or times thereafter received by Collateral Agent from or on behalf of any Loan Party or any of its Subsidiaries of all or any part of the Obligations, and, as between each Loan Party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Obligations owing to Collateral Agent or any Lender under the Loan Documents. Any balance remaining shall be delivered to Borrower or to whoever may be lawfully entitled to receive such balance or as a court of competent jurisdiction may direct. In carrying out the foregoing,</w:t>
      </w:r>
    </w:p>
    <w:p>
      <w:pPr>
        <w:spacing w:after="0" w:line="1" w:lineRule="exact"/>
        <w:rPr>
          <w:sz w:val="20"/>
          <w:szCs w:val="20"/>
          <w:color w:val="auto"/>
        </w:rPr>
      </w:pPr>
    </w:p>
    <w:p>
      <w:pPr>
        <w:jc w:val="both"/>
        <w:ind w:firstLine="8"/>
        <w:spacing w:after="0" w:line="284" w:lineRule="auto"/>
        <w:tabs>
          <w:tab w:leader="none" w:pos="259"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the Lenders’ Pro Rata Shares unless expressly provided otherwise. Collateral Agent, or if applicable, each Lender, shall promptly remit to the other Lenders such sums as may be necessary to ensure the ratable repayment of each Lender’s Pro Rata Share of any Term Loan and the ratable distribution of interest, fees and reimbursements paid or made by any Loan Party. Notwithstanding the foregoing, a Lender receiving a scheduled payment shall not be responsible for determining whether the other Lenders also received their scheduled payment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it is later determined that a Lender received more than its Pro Rata Share of scheduled payments made on any date or dates, then such Lender shall remit to Collateral Agent or other the Lenders such sums as may be necessary to ensure the ratable payment of such scheduled payments, as instructed by Collateral Agent. If any payment or distribution of any kind or character, whether in cash, properties or securities, shall be received by a Lender in excess of its Pro Rata Share, then the portion of such payment or distribution in excess of such Lender’s Pro Rata Share shall be received and held by such Lender in trust for and shall be promptly paid over to the other Lenders (in accordance with their respective Pro Rata Shares) for application to the payments of amounts due on such other Lenders’ claims. To the extent any payment for the account of any Loan Party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the Secured Parties for purposes of perfecting Collateral Agent’s security interest therein (held for the ratable benefit of the Secured Parties).</w:t>
      </w:r>
    </w:p>
    <w:p>
      <w:pPr>
        <w:spacing w:after="0" w:line="37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69" w:right="339" w:bottom="1440" w:gutter="0" w:footer="0" w:header="0"/>
        </w:sectPr>
      </w:pPr>
    </w:p>
    <w:bookmarkStart w:id="109" w:name="page110"/>
    <w:bookmarkEnd w:id="109"/>
    <w:p>
      <w:pPr>
        <w:jc w:val="both"/>
        <w:ind w:firstLine="622"/>
        <w:spacing w:after="0" w:line="303" w:lineRule="auto"/>
        <w:rPr>
          <w:sz w:val="20"/>
          <w:szCs w:val="20"/>
          <w:color w:val="auto"/>
        </w:rPr>
      </w:pPr>
      <w:r>
        <w:rPr>
          <w:rFonts w:ascii="Arial" w:cs="Arial" w:eastAsia="Arial" w:hAnsi="Arial"/>
          <w:sz w:val="16"/>
          <w:szCs w:val="16"/>
          <w:b w:val="1"/>
          <w:bCs w:val="1"/>
          <w:color w:val="auto"/>
        </w:rPr>
        <w:t xml:space="preserve">9.5 Liability for Collateral. </w:t>
      </w:r>
      <w:r>
        <w:rPr>
          <w:rFonts w:ascii="Arial" w:cs="Arial" w:eastAsia="Arial" w:hAnsi="Arial"/>
          <w:sz w:val="16"/>
          <w:szCs w:val="16"/>
          <w:color w:val="auto"/>
        </w:rPr>
        <w:t>So long as Collateral Agent and the Lenders comply with reasonable banking practices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The Loan Parties bear all risk of loss, damage or destruction of the Collateral.</w:t>
      </w:r>
    </w:p>
    <w:p>
      <w:pPr>
        <w:spacing w:after="0" w:line="137" w:lineRule="exact"/>
        <w:rPr>
          <w:sz w:val="20"/>
          <w:szCs w:val="20"/>
          <w:color w:val="auto"/>
        </w:rPr>
      </w:pPr>
    </w:p>
    <w:p>
      <w:pPr>
        <w:jc w:val="both"/>
        <w:ind w:firstLine="622"/>
        <w:spacing w:after="0" w:line="272"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Failure by Collateral Agent or any Lender, at any time or times, to require strict performance by any</w:t>
      </w:r>
      <w:r>
        <w:rPr>
          <w:rFonts w:ascii="Arial" w:cs="Arial" w:eastAsia="Arial" w:hAnsi="Arial"/>
          <w:sz w:val="17"/>
          <w:szCs w:val="17"/>
          <w:b w:val="1"/>
          <w:bCs w:val="1"/>
          <w:color w:val="auto"/>
        </w:rPr>
        <w:t xml:space="preserve"> </w:t>
      </w:r>
      <w:r>
        <w:rPr>
          <w:rFonts w:ascii="Arial" w:cs="Arial" w:eastAsia="Arial" w:hAnsi="Arial"/>
          <w:sz w:val="17"/>
          <w:szCs w:val="17"/>
          <w:color w:val="auto"/>
        </w:rPr>
        <w:t>Loan Party of any provision of this Agreement or by any Loan Party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45" w:lineRule="exact"/>
        <w:rPr>
          <w:sz w:val="20"/>
          <w:szCs w:val="20"/>
          <w:color w:val="auto"/>
        </w:rPr>
      </w:pPr>
    </w:p>
    <w:p>
      <w:pPr>
        <w:jc w:val="both"/>
        <w:ind w:firstLine="622"/>
        <w:spacing w:after="0" w:line="289"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Each Loan Party waives, to the fullest extent permitted by law, demand, notice of default or dishonor,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and nonpayment, notice of any default, nonpayment at maturity, release, compromise, settlement, extension, or renewal of accounts, documents, instruments, chattel paper, and guarantees held by Collateral Agent or any Lender on which any Loan Party or any Subsidiary is liable.</w:t>
      </w:r>
    </w:p>
    <w:p>
      <w:pPr>
        <w:spacing w:after="0" w:line="144"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1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Other than as specifically provided herein, 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the Loan Parties may change its mailing address or facsimile number by giving the other party written notice thereof in accordance with the terms of this Section 10.</w:t>
      </w:r>
    </w:p>
    <w:p>
      <w:pPr>
        <w:spacing w:after="0" w:line="36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69" w:right="339" w:bottom="1440" w:gutter="0" w:footer="0" w:header="0"/>
        </w:sectPr>
      </w:pPr>
    </w:p>
    <w:bookmarkStart w:id="110" w:name="page111"/>
    <w:bookmarkEnd w:id="110"/>
    <w:p>
      <w:pPr>
        <w:ind w:left="1320"/>
        <w:spacing w:after="0"/>
        <w:tabs>
          <w:tab w:leader="none" w:pos="3680" w:val="left"/>
        </w:tabs>
        <w:rPr>
          <w:sz w:val="20"/>
          <w:szCs w:val="20"/>
          <w:color w:val="auto"/>
        </w:rPr>
      </w:pPr>
      <w:r>
        <w:rPr>
          <w:rFonts w:ascii="Arial" w:cs="Arial" w:eastAsia="Arial" w:hAnsi="Arial"/>
          <w:sz w:val="18"/>
          <w:szCs w:val="18"/>
          <w:color w:val="auto"/>
        </w:rPr>
        <w:t>If to the Loan Parties:</w:t>
      </w:r>
      <w:r>
        <w:rPr>
          <w:sz w:val="20"/>
          <w:szCs w:val="20"/>
          <w:color w:val="auto"/>
        </w:rPr>
        <w:tab/>
      </w:r>
      <w:r>
        <w:rPr>
          <w:rFonts w:ascii="Arial" w:cs="Arial" w:eastAsia="Arial" w:hAnsi="Arial"/>
          <w:sz w:val="16"/>
          <w:szCs w:val="16"/>
          <w:color w:val="auto"/>
        </w:rPr>
        <w:t>SI-BONE, Inc.</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Santa Clara, CA 95050</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Attn: Michael Pisetsky; Laura Francis</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Fax: (408) 557-8312</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Email: mpisetsky@si-bone.com; lfrancis@si-bone.com</w:t>
      </w:r>
    </w:p>
    <w:p>
      <w:pPr>
        <w:spacing w:after="0" w:line="342" w:lineRule="exact"/>
        <w:rPr>
          <w:sz w:val="20"/>
          <w:szCs w:val="20"/>
          <w:color w:val="auto"/>
        </w:rPr>
      </w:pPr>
    </w:p>
    <w:p>
      <w:pPr>
        <w:ind w:left="1320"/>
        <w:spacing w:after="0"/>
        <w:tabs>
          <w:tab w:leader="none" w:pos="3680" w:val="left"/>
        </w:tabs>
        <w:rPr>
          <w:sz w:val="20"/>
          <w:szCs w:val="20"/>
          <w:color w:val="auto"/>
        </w:rPr>
      </w:pPr>
      <w:r>
        <w:rPr>
          <w:rFonts w:ascii="Arial" w:cs="Arial" w:eastAsia="Arial" w:hAnsi="Arial"/>
          <w:sz w:val="18"/>
          <w:szCs w:val="18"/>
          <w:color w:val="auto"/>
        </w:rPr>
        <w:t>with a copy (which shall not</w:t>
      </w:r>
      <w:r>
        <w:rPr>
          <w:sz w:val="20"/>
          <w:szCs w:val="20"/>
          <w:color w:val="auto"/>
        </w:rPr>
        <w:tab/>
      </w:r>
      <w:r>
        <w:rPr>
          <w:rFonts w:ascii="Arial" w:cs="Arial" w:eastAsia="Arial" w:hAnsi="Arial"/>
          <w:sz w:val="17"/>
          <w:szCs w:val="17"/>
          <w:color w:val="auto"/>
        </w:rPr>
        <w:t>COOLEY LLP</w:t>
      </w:r>
    </w:p>
    <w:p>
      <w:pPr>
        <w:spacing w:after="0" w:line="23" w:lineRule="exact"/>
        <w:rPr>
          <w:sz w:val="20"/>
          <w:szCs w:val="20"/>
          <w:color w:val="auto"/>
        </w:rPr>
      </w:pPr>
    </w:p>
    <w:p>
      <w:pPr>
        <w:ind w:left="1320"/>
        <w:spacing w:after="0"/>
        <w:tabs>
          <w:tab w:leader="none" w:pos="3680" w:val="left"/>
        </w:tabs>
        <w:rPr>
          <w:sz w:val="20"/>
          <w:szCs w:val="20"/>
          <w:color w:val="auto"/>
        </w:rPr>
      </w:pPr>
      <w:r>
        <w:rPr>
          <w:rFonts w:ascii="Arial" w:cs="Arial" w:eastAsia="Arial" w:hAnsi="Arial"/>
          <w:sz w:val="18"/>
          <w:szCs w:val="18"/>
          <w:color w:val="auto"/>
        </w:rPr>
        <w:t>constitute notice) to:</w:t>
      </w:r>
      <w:r>
        <w:rPr>
          <w:sz w:val="20"/>
          <w:szCs w:val="20"/>
          <w:color w:val="auto"/>
        </w:rPr>
        <w:tab/>
      </w:r>
      <w:r>
        <w:rPr>
          <w:rFonts w:ascii="Arial" w:cs="Arial" w:eastAsia="Arial" w:hAnsi="Arial"/>
          <w:sz w:val="16"/>
          <w:szCs w:val="16"/>
          <w:color w:val="auto"/>
        </w:rPr>
        <w:t>55 Hudson Yards</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Attn: Patrick Flanagan</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Email: pflanagan@cooley.com</w:t>
      </w:r>
    </w:p>
    <w:p>
      <w:pPr>
        <w:spacing w:after="0" w:line="319" w:lineRule="exact"/>
        <w:rPr>
          <w:sz w:val="20"/>
          <w:szCs w:val="20"/>
          <w:color w:val="auto"/>
        </w:rPr>
      </w:pPr>
    </w:p>
    <w:p>
      <w:pPr>
        <w:ind w:left="1320"/>
        <w:spacing w:after="0"/>
        <w:tabs>
          <w:tab w:leader="none" w:pos="3680" w:val="left"/>
        </w:tabs>
        <w:rPr>
          <w:sz w:val="20"/>
          <w:szCs w:val="20"/>
          <w:color w:val="auto"/>
        </w:rPr>
      </w:pPr>
      <w:r>
        <w:rPr>
          <w:rFonts w:ascii="Arial" w:cs="Arial" w:eastAsia="Arial" w:hAnsi="Arial"/>
          <w:sz w:val="18"/>
          <w:szCs w:val="18"/>
          <w:color w:val="auto"/>
        </w:rPr>
        <w:t>If to Collateral Agent:</w:t>
      </w:r>
      <w:r>
        <w:rPr>
          <w:sz w:val="20"/>
          <w:szCs w:val="20"/>
          <w:color w:val="auto"/>
        </w:rPr>
        <w:tab/>
      </w:r>
      <w:r>
        <w:rPr>
          <w:rFonts w:ascii="Arial" w:cs="Arial" w:eastAsia="Arial" w:hAnsi="Arial"/>
          <w:sz w:val="17"/>
          <w:szCs w:val="17"/>
          <w:color w:val="auto"/>
        </w:rPr>
        <w:t>SOLAR CAPITAL LTD.</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500 Park Avenue, 3rd Floor</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Attention: Anthony Storino</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Fax: (212) 993-1698</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Email: storino@Solarcapltd.com</w:t>
      </w:r>
    </w:p>
    <w:p>
      <w:pPr>
        <w:sectPr>
          <w:pgSz w:w="11900" w:h="16838" w:orient="portrait"/>
          <w:cols w:equalWidth="0" w:num="1">
            <w:col w:w="11240"/>
          </w:cols>
          <w:pgMar w:left="320" w:top="827" w:right="339" w:bottom="1440" w:gutter="0" w:footer="0" w:header="0"/>
        </w:sectPr>
      </w:pPr>
    </w:p>
    <w:p>
      <w:pPr>
        <w:spacing w:after="0" w:line="319" w:lineRule="exact"/>
        <w:rPr>
          <w:sz w:val="20"/>
          <w:szCs w:val="20"/>
          <w:color w:val="auto"/>
        </w:rPr>
      </w:pPr>
    </w:p>
    <w:p>
      <w:pPr>
        <w:ind w:left="132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505 Montgomery Street, Suite 2000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Haim Zaltzman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395-8095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haim.zaltzman@lw.com</w:t>
      </w:r>
    </w:p>
    <w:p>
      <w:pPr>
        <w:spacing w:after="0" w:line="200" w:lineRule="exact"/>
        <w:rPr>
          <w:sz w:val="20"/>
          <w:szCs w:val="20"/>
          <w:color w:val="auto"/>
        </w:rPr>
      </w:pPr>
    </w:p>
    <w:p>
      <w:pPr>
        <w:sectPr>
          <w:pgSz w:w="11900" w:h="16838" w:orient="portrait"/>
          <w:cols w:equalWidth="0" w:num="2">
            <w:col w:w="3360" w:space="340"/>
            <w:col w:w="7540"/>
          </w:cols>
          <w:pgMar w:left="320" w:top="827" w:right="339" w:bottom="1440" w:gutter="0" w:footer="0" w:header="0"/>
          <w:type w:val="continuous"/>
        </w:sectPr>
      </w:pPr>
    </w:p>
    <w:p>
      <w:pPr>
        <w:spacing w:after="0" w:line="196" w:lineRule="exact"/>
        <w:rPr>
          <w:sz w:val="20"/>
          <w:szCs w:val="20"/>
          <w:color w:val="auto"/>
        </w:rPr>
      </w:pPr>
    </w:p>
    <w:p>
      <w:pPr>
        <w:ind w:left="620" w:hanging="612"/>
        <w:spacing w:after="0"/>
        <w:tabs>
          <w:tab w:leader="none" w:pos="6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 VENUE AND JURY TRIAL WAIVER</w:t>
      </w:r>
    </w:p>
    <w:p>
      <w:pPr>
        <w:spacing w:after="0" w:line="212" w:lineRule="exact"/>
        <w:rPr>
          <w:sz w:val="20"/>
          <w:szCs w:val="20"/>
          <w:color w:val="auto"/>
        </w:rPr>
      </w:pPr>
    </w:p>
    <w:p>
      <w:pPr>
        <w:jc w:val="both"/>
        <w:ind w:firstLine="622"/>
        <w:spacing w:after="0" w:line="253" w:lineRule="auto"/>
        <w:rPr>
          <w:sz w:val="20"/>
          <w:szCs w:val="20"/>
          <w:color w:val="auto"/>
        </w:rPr>
      </w:pPr>
      <w:r>
        <w:rPr>
          <w:rFonts w:ascii="Arial" w:cs="Arial" w:eastAsia="Arial" w:hAnsi="Arial"/>
          <w:sz w:val="18"/>
          <w:szCs w:val="18"/>
          <w:b w:val="1"/>
          <w:bCs w:val="1"/>
          <w:color w:val="auto"/>
        </w:rPr>
        <w:t xml:space="preserve">11.1 Waiver of Jury Trial. </w:t>
      </w:r>
      <w:r>
        <w:rPr>
          <w:rFonts w:ascii="Arial" w:cs="Arial" w:eastAsia="Arial" w:hAnsi="Arial"/>
          <w:sz w:val="18"/>
          <w:szCs w:val="18"/>
          <w:color w:val="auto"/>
        </w:rPr>
        <w:t>EACH LOAN PARTY, COLLATERAL AGENT AND LENDERS UNCONDITIONALLY WAIVES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 TO A JURY TRIAL OF ANY CLAIM OR CAUSE OF ACTION BASED UPON OR ARISING OUT OF THIS AGREEMENT, ANY OF THE OTHER LOAN DOCUMENTS, ANY OF THE INDEBTEDNESS SECURED HEREBY, ANY DEALINGS AMONG EACH LOAN PARTY, COLLATERAL AGENT AND/OR LENDERS RELATING TO THE SUBJECT MATTER OF THIS TRANSACTION OR ANY RELATED TRANSACTIONS, AND/OR THE RELATIONSHIP THAT IS BEING ESTABLISHED AMONG EACH LOAN PARTY,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65" w:lineRule="exact"/>
        <w:rPr>
          <w:sz w:val="20"/>
          <w:szCs w:val="20"/>
          <w:color w:val="auto"/>
        </w:rPr>
      </w:pPr>
    </w:p>
    <w:p>
      <w:pPr>
        <w:jc w:val="both"/>
        <w:ind w:firstLine="622"/>
        <w:spacing w:after="0" w:line="253" w:lineRule="auto"/>
        <w:rPr>
          <w:sz w:val="20"/>
          <w:szCs w:val="20"/>
          <w:color w:val="auto"/>
        </w:rPr>
      </w:pPr>
      <w:r>
        <w:rPr>
          <w:rFonts w:ascii="Arial" w:cs="Arial" w:eastAsia="Arial" w:hAnsi="Arial"/>
          <w:sz w:val="18"/>
          <w:szCs w:val="18"/>
          <w:b w:val="1"/>
          <w:bCs w:val="1"/>
          <w:color w:val="auto"/>
        </w:rPr>
        <w:t xml:space="preserve">11.2 Governing Law and Jurisdiction. </w:t>
      </w:r>
      <w:r>
        <w:rPr>
          <w:rFonts w:ascii="Arial" w:cs="Arial" w:eastAsia="Arial" w:hAnsi="Arial"/>
          <w:sz w:val="18"/>
          <w:szCs w:val="18"/>
          <w:color w:val="auto"/>
        </w:rPr>
        <w:t>THIS AGREEMENT, THE OTHER LOAN DOCUMENTS (EXCLUDING THOSE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 OTHER THAN THE LAW OF SUCH STATE), INCLUDING ALL MATTERS OF CONSTRUCTION, VALIDITY AND PERFORMANCE, REGARDLESS OF THE LOCATION OF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200" w:lineRule="exact"/>
        <w:rPr>
          <w:sz w:val="20"/>
          <w:szCs w:val="20"/>
          <w:color w:val="auto"/>
        </w:rPr>
      </w:pPr>
    </w:p>
    <w:p>
      <w:pPr>
        <w:spacing w:after="0" w:line="20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827" w:right="339" w:bottom="1440" w:gutter="0" w:footer="0" w:header="0"/>
          <w:type w:val="continuous"/>
        </w:sectPr>
      </w:pPr>
    </w:p>
    <w:bookmarkStart w:id="111" w:name="page112"/>
    <w:bookmarkEnd w:id="111"/>
    <w:p>
      <w:pPr>
        <w:jc w:val="both"/>
        <w:ind w:firstLine="622"/>
        <w:spacing w:after="0" w:line="272" w:lineRule="auto"/>
        <w:rPr>
          <w:sz w:val="20"/>
          <w:szCs w:val="20"/>
          <w:color w:val="auto"/>
        </w:rPr>
      </w:pPr>
      <w:r>
        <w:rPr>
          <w:rFonts w:ascii="Arial" w:cs="Arial" w:eastAsia="Arial" w:hAnsi="Arial"/>
          <w:sz w:val="17"/>
          <w:szCs w:val="17"/>
          <w:b w:val="1"/>
          <w:bCs w:val="1"/>
          <w:color w:val="auto"/>
        </w:rPr>
        <w:t>11.3 Submission to Jurisdiction</w:t>
      </w:r>
      <w:r>
        <w:rPr>
          <w:rFonts w:ascii="Arial" w:cs="Arial" w:eastAsia="Arial" w:hAnsi="Arial"/>
          <w:sz w:val="17"/>
          <w:szCs w:val="17"/>
          <w:color w:val="auto"/>
        </w:rPr>
        <w:t>. Any legal action or proceeding with respect to the Loan Documents shall be brought exclusively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courts of the State of New York located in the City of New York, Borough of Manhattan, or of the United States of America for the Southern District of New York and, by execution and delivery of this Agreement, each Loan Party hereby accepts for itself and in respect of its Property, generally and unconditionally, the jurisdiction of the aforesaid courts. Notwithstanding the foregoing, Collateral Agent and Lenders shall have the right to bring any action or proceeding against any Loan Party (or any property of any Loan Party)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Arial" w:cs="Arial" w:eastAsia="Arial" w:hAnsi="Arial"/>
          <w:sz w:val="17"/>
          <w:szCs w:val="17"/>
          <w:i w:val="1"/>
          <w:iCs w:val="1"/>
          <w:color w:val="auto"/>
        </w:rPr>
        <w:t>forum non conveniens</w:t>
      </w:r>
      <w:r>
        <w:rPr>
          <w:rFonts w:ascii="Arial" w:cs="Arial" w:eastAsia="Arial" w:hAnsi="Arial"/>
          <w:sz w:val="17"/>
          <w:szCs w:val="17"/>
          <w:color w:val="auto"/>
        </w:rPr>
        <w:t>, that any of them may now or hereafter have to the bringing of any such action or proceeding in such jurisdictions.</w:t>
      </w:r>
    </w:p>
    <w:p>
      <w:pPr>
        <w:spacing w:after="0" w:line="158" w:lineRule="exact"/>
        <w:rPr>
          <w:sz w:val="20"/>
          <w:szCs w:val="20"/>
          <w:color w:val="auto"/>
        </w:rPr>
      </w:pPr>
    </w:p>
    <w:p>
      <w:pPr>
        <w:jc w:val="both"/>
        <w:ind w:firstLine="622"/>
        <w:spacing w:after="0" w:line="274" w:lineRule="auto"/>
        <w:rPr>
          <w:sz w:val="20"/>
          <w:szCs w:val="20"/>
          <w:color w:val="auto"/>
        </w:rPr>
      </w:pPr>
      <w:r>
        <w:rPr>
          <w:rFonts w:ascii="Arial" w:cs="Arial" w:eastAsia="Arial" w:hAnsi="Arial"/>
          <w:sz w:val="17"/>
          <w:szCs w:val="17"/>
          <w:b w:val="1"/>
          <w:bCs w:val="1"/>
          <w:color w:val="auto"/>
        </w:rPr>
        <w:t>11.4 Service of Process</w:t>
      </w:r>
      <w:r>
        <w:rPr>
          <w:rFonts w:ascii="Arial" w:cs="Arial" w:eastAsia="Arial" w:hAnsi="Arial"/>
          <w:sz w:val="17"/>
          <w:szCs w:val="17"/>
          <w:color w:val="auto"/>
        </w:rPr>
        <w:t>. Each Loan Party irrevocably waives personal service of any and all legal process, summons, notices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the Loan Parties specified herein (and shall be effective when such mailing shall be effective, as provided therein). Each Loan Party agrees that a final judgment in any such action or proceeding shall be conclusive and may be enforced in other jurisdictions by suit on the judgment or in any other manner provided by law.</w:t>
      </w:r>
    </w:p>
    <w:p>
      <w:pPr>
        <w:spacing w:after="0" w:line="146" w:lineRule="exact"/>
        <w:rPr>
          <w:sz w:val="20"/>
          <w:szCs w:val="20"/>
          <w:color w:val="auto"/>
        </w:rPr>
      </w:pPr>
    </w:p>
    <w:p>
      <w:pPr>
        <w:jc w:val="both"/>
        <w:ind w:firstLine="622"/>
        <w:spacing w:after="0" w:line="266" w:lineRule="auto"/>
        <w:rPr>
          <w:sz w:val="20"/>
          <w:szCs w:val="20"/>
          <w:color w:val="auto"/>
        </w:rPr>
      </w:pPr>
      <w:r>
        <w:rPr>
          <w:rFonts w:ascii="Arial" w:cs="Arial" w:eastAsia="Arial" w:hAnsi="Arial"/>
          <w:sz w:val="18"/>
          <w:szCs w:val="18"/>
          <w:b w:val="1"/>
          <w:bCs w:val="1"/>
          <w:color w:val="auto"/>
        </w:rPr>
        <w:t>11.5 Non-exclusive Jurisdiction</w:t>
      </w:r>
      <w:r>
        <w:rPr>
          <w:rFonts w:ascii="Arial" w:cs="Arial" w:eastAsia="Arial" w:hAnsi="Arial"/>
          <w:sz w:val="18"/>
          <w:szCs w:val="18"/>
          <w:color w:val="auto"/>
        </w:rPr>
        <w:t>. Nothing contained in this Article 11 shall affect the right of Collateral Agent or Lenders to serve process in</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manner permitted by applicable requirements of law or commence legal proceedings or otherwise proceed against any Loan Party in any other jurisdiction.</w:t>
      </w:r>
    </w:p>
    <w:p>
      <w:pPr>
        <w:spacing w:after="0" w:line="162"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12"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6"/>
          <w:szCs w:val="16"/>
          <w:b w:val="1"/>
          <w:bCs w:val="1"/>
          <w:color w:val="auto"/>
        </w:rPr>
        <w:t xml:space="preserve">12.1 Successors and Assigns. </w:t>
      </w:r>
      <w:r>
        <w:rPr>
          <w:rFonts w:ascii="Arial" w:cs="Arial" w:eastAsia="Arial" w:hAnsi="Arial"/>
          <w:sz w:val="16"/>
          <w:szCs w:val="16"/>
          <w:color w:val="auto"/>
        </w:rPr>
        <w:t>This Agreement binds and is for the benefit of the successors and permitted assigns of each party. No Loan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may transfer, pledge or assign this Agreement or any rights or obligations under it without Collateral Agent’s prior written consent (which may be granted or withheld in Collateral Agent’s discretion, subject to Section 12.5). The Lenders have the right, without the consent of or notice to any Loan Party, to sell, transfer, assign, pledge, negotiate, or grant participation in </w:t>
      </w:r>
      <w:r>
        <w:rPr>
          <w:rFonts w:ascii="Arial" w:cs="Arial" w:eastAsia="Arial" w:hAnsi="Arial"/>
          <w:sz w:val="16"/>
          <w:szCs w:val="16"/>
          <w:b w:val="1"/>
          <w:bCs w:val="1"/>
          <w:color w:val="auto"/>
        </w:rPr>
        <w:t>(any</w:t>
      </w:r>
      <w:r>
        <w:rPr>
          <w:rFonts w:ascii="Arial" w:cs="Arial" w:eastAsia="Arial" w:hAnsi="Arial"/>
          <w:sz w:val="16"/>
          <w:szCs w:val="16"/>
          <w:color w:val="auto"/>
        </w:rPr>
        <w:t xml:space="preserve"> such sale, transfer, assignment, negotiation</w:t>
      </w:r>
      <w:r>
        <w:rPr>
          <w:rFonts w:ascii="Arial" w:cs="Arial" w:eastAsia="Arial" w:hAnsi="Arial"/>
          <w:sz w:val="16"/>
          <w:szCs w:val="16"/>
          <w:b w:val="1"/>
          <w:bCs w:val="1"/>
          <w:color w:val="auto"/>
        </w:rPr>
        <w:t>,</w:t>
      </w:r>
      <w:r>
        <w:rPr>
          <w:rFonts w:ascii="Arial" w:cs="Arial" w:eastAsia="Arial" w:hAnsi="Arial"/>
          <w:sz w:val="16"/>
          <w:szCs w:val="16"/>
          <w:color w:val="auto"/>
        </w:rPr>
        <w:t xml:space="preserve">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(x) any such Lender Transfer (other than (i) any Transfer at any time that an Event of Default has occurred and is continuing, or (ii) a transfer, pledge, sale or assignment to an Eligible Assignee) of its obligations, rights, and benefits under this Agreement and the other Loan Documents shall require the prior written consent of Collateral Agent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 and (y) participations shall not require notice to or consent from any Loan Party. Each Loan Party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any Loan Party, a then-current direct competitor of any Loan Party, as reasonably determined by Collateral Agent at the time of such assignment. Collateral Agent, acting solely for this purpose as an agent of Borrower, shall maintain at one of its offices in the United States a register for the recordation of the names and addresses of the Lenders, and the Term Loan Commitments of, and principal amounts (and stated interest) of the Term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Borrower, Collateral Agent and Lenders shall treat each Person whose name is recorded in the Register pursuant to the terms hereof as Lender hereunder for all purposes of this Agreement. The Register shall be available for inspection by Borrower and any Lender at any reasonable time and from time to time upon reasonable prior notice.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Loans or other obligations under the Loan Documents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Collateral Agent (in its capacity as Collateral Agent)</w:t>
      </w:r>
    </w:p>
    <w:p>
      <w:pPr>
        <w:spacing w:after="0" w:line="200" w:lineRule="exact"/>
        <w:rPr>
          <w:sz w:val="20"/>
          <w:szCs w:val="20"/>
          <w:color w:val="auto"/>
        </w:rPr>
      </w:pPr>
    </w:p>
    <w:p>
      <w:pPr>
        <w:spacing w:after="0" w:line="37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769" w:right="339" w:bottom="1440" w:gutter="0" w:footer="0" w:header="0"/>
        </w:sectPr>
      </w:pPr>
    </w:p>
    <w:bookmarkStart w:id="112" w:name="page113"/>
    <w:bookmarkEnd w:id="112"/>
    <w:p>
      <w:pPr>
        <w:jc w:val="both"/>
        <w:spacing w:after="0" w:line="254" w:lineRule="auto"/>
        <w:rPr>
          <w:sz w:val="20"/>
          <w:szCs w:val="20"/>
          <w:color w:val="auto"/>
        </w:rPr>
      </w:pPr>
      <w:r>
        <w:rPr>
          <w:rFonts w:ascii="Arial" w:cs="Arial" w:eastAsia="Arial" w:hAnsi="Arial"/>
          <w:sz w:val="18"/>
          <w:szCs w:val="18"/>
          <w:color w:val="auto"/>
        </w:rPr>
        <w:t xml:space="preserve">shall have no responsibility for maintaining a Participant Register. Each Loan Party agrees that each participant shall be entitled to the benefits of the provisions in Exhibit C attached hereto (subject to the requirements and limitations therein, including the requirements under Section 7 of Exhibit C attached hereto (it being understood that the documentation required under Section 7 of Exhibit C attached hereto shall be delivered to the participating Lender)) to the same extent as if it were a Lender and had acquired its interest by assignment pursuant to this Section 12.1;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shall not be entitled to receive any greater payment under Exhibit C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77" w:lineRule="exact"/>
        <w:rPr>
          <w:sz w:val="20"/>
          <w:szCs w:val="20"/>
          <w:color w:val="auto"/>
        </w:rPr>
      </w:pPr>
    </w:p>
    <w:p>
      <w:pPr>
        <w:jc w:val="both"/>
        <w:ind w:firstLine="622"/>
        <w:spacing w:after="0" w:line="286" w:lineRule="auto"/>
        <w:rPr>
          <w:sz w:val="20"/>
          <w:szCs w:val="20"/>
          <w:color w:val="auto"/>
        </w:rPr>
      </w:pPr>
      <w:r>
        <w:rPr>
          <w:rFonts w:ascii="Arial" w:cs="Arial" w:eastAsia="Arial" w:hAnsi="Arial"/>
          <w:sz w:val="16"/>
          <w:szCs w:val="16"/>
          <w:b w:val="1"/>
          <w:bCs w:val="1"/>
          <w:color w:val="auto"/>
        </w:rPr>
        <w:t xml:space="preserve">12.2 Indemnification. </w:t>
      </w:r>
      <w:r>
        <w:rPr>
          <w:rFonts w:ascii="Arial" w:cs="Arial" w:eastAsia="Arial" w:hAnsi="Arial"/>
          <w:sz w:val="16"/>
          <w:szCs w:val="16"/>
          <w:color w:val="auto"/>
        </w:rPr>
        <w:t>Each Loan Party agrees to indemnify, defend and hold each Secured Party and their respective directors,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consultants, agents, attorneys, or any other Person affiliated with or representing such Secured Party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(a)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asserted by any other party in connection with; related to; following; or arising from, out of or under, the transactions contemplated by the Loan Documents; and (b) all losses and Lenders’ Expenses incurred, or paid by Indemnified Person in connection with; related to; following; or arising from, out of or under, the transactions contemplated by the Loan Documents (including reasonable attorneys’ fees and expenses), except, in each case, for Claims and/or losses directly caused by such Indemnified Person’s bad faith, gross negligence or willful misconduct. Each Loan Party hereby further agrees to indemnify, defend and hold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the Loan Parties,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This Section 12.2 shall not apply with respect to Taxes other than any Taxes that represent losses, claims, damages, etc. arising from any non-Tax claim.</w:t>
      </w:r>
    </w:p>
    <w:p>
      <w:pPr>
        <w:spacing w:after="0" w:line="353" w:lineRule="exact"/>
        <w:rPr>
          <w:sz w:val="20"/>
          <w:szCs w:val="20"/>
          <w:color w:val="auto"/>
        </w:rPr>
      </w:pPr>
    </w:p>
    <w:p>
      <w:pPr>
        <w:jc w:val="both"/>
        <w:ind w:firstLine="622"/>
        <w:spacing w:after="0" w:line="282" w:lineRule="auto"/>
        <w:rPr>
          <w:sz w:val="20"/>
          <w:szCs w:val="20"/>
          <w:color w:val="auto"/>
        </w:rPr>
      </w:pPr>
      <w:r>
        <w:rPr>
          <w:rFonts w:ascii="Arial" w:cs="Arial" w:eastAsia="Arial" w:hAnsi="Arial"/>
          <w:sz w:val="18"/>
          <w:szCs w:val="18"/>
          <w:b w:val="1"/>
          <w:bCs w:val="1"/>
          <w:color w:val="auto"/>
        </w:rPr>
        <w:t xml:space="preserve">12.3 Severability of Provisions. </w:t>
      </w:r>
      <w:r>
        <w:rPr>
          <w:rFonts w:ascii="Arial" w:cs="Arial" w:eastAsia="Arial" w:hAnsi="Arial"/>
          <w:sz w:val="18"/>
          <w:szCs w:val="18"/>
          <w:color w:val="auto"/>
        </w:rPr>
        <w:t>Each provision of this Agreement is severable from every other provision in determining the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provision.</w:t>
      </w:r>
    </w:p>
    <w:p>
      <w:pPr>
        <w:spacing w:after="0" w:line="148" w:lineRule="exact"/>
        <w:rPr>
          <w:sz w:val="20"/>
          <w:szCs w:val="20"/>
          <w:color w:val="auto"/>
        </w:rPr>
      </w:pPr>
    </w:p>
    <w:p>
      <w:pPr>
        <w:jc w:val="both"/>
        <w:ind w:right="20" w:firstLine="622"/>
        <w:spacing w:after="0" w:line="282" w:lineRule="auto"/>
        <w:rPr>
          <w:sz w:val="20"/>
          <w:szCs w:val="20"/>
          <w:color w:val="auto"/>
        </w:rPr>
      </w:pPr>
      <w:r>
        <w:rPr>
          <w:rFonts w:ascii="Arial" w:cs="Arial" w:eastAsia="Arial" w:hAnsi="Arial"/>
          <w:sz w:val="18"/>
          <w:szCs w:val="18"/>
          <w:b w:val="1"/>
          <w:bCs w:val="1"/>
          <w:color w:val="auto"/>
        </w:rPr>
        <w:t xml:space="preserve">12.4 Correction of Loan Documents. </w:t>
      </w:r>
      <w:r>
        <w:rPr>
          <w:rFonts w:ascii="Arial" w:cs="Arial" w:eastAsia="Arial" w:hAnsi="Arial"/>
          <w:sz w:val="18"/>
          <w:szCs w:val="18"/>
          <w:color w:val="auto"/>
        </w:rPr>
        <w:t>Collateral Agent may correct patent errors and fill in any blanks in this Agreement and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consistent with the agreement of the parties</w:t>
      </w:r>
      <w:r>
        <w:rPr>
          <w:rFonts w:ascii="Arial" w:cs="Arial" w:eastAsia="Arial" w:hAnsi="Arial"/>
          <w:sz w:val="18"/>
          <w:szCs w:val="18"/>
          <w:b w:val="1"/>
          <w:bCs w:val="1"/>
          <w:color w:val="auto"/>
        </w:rPr>
        <w:t>.</w:t>
      </w:r>
    </w:p>
    <w:p>
      <w:pPr>
        <w:spacing w:after="0" w:line="148" w:lineRule="exact"/>
        <w:rPr>
          <w:sz w:val="20"/>
          <w:szCs w:val="20"/>
          <w:color w:val="auto"/>
        </w:rPr>
      </w:pPr>
    </w:p>
    <w:p>
      <w:pPr>
        <w:jc w:val="both"/>
        <w:ind w:firstLine="622"/>
        <w:spacing w:after="0" w:line="314" w:lineRule="auto"/>
        <w:rPr>
          <w:sz w:val="20"/>
          <w:szCs w:val="20"/>
          <w:color w:val="auto"/>
        </w:rPr>
      </w:pPr>
      <w:r>
        <w:rPr>
          <w:rFonts w:ascii="Arial" w:cs="Arial" w:eastAsia="Arial" w:hAnsi="Arial"/>
          <w:sz w:val="16"/>
          <w:szCs w:val="16"/>
          <w:b w:val="1"/>
          <w:bCs w:val="1"/>
          <w:color w:val="auto"/>
        </w:rPr>
        <w:t xml:space="preserve">12.5 Amendments in Writing; Integration. </w:t>
      </w:r>
      <w:r>
        <w:rPr>
          <w:rFonts w:ascii="Arial" w:cs="Arial" w:eastAsia="Arial" w:hAnsi="Arial"/>
          <w:sz w:val="16"/>
          <w:szCs w:val="16"/>
          <w:color w:val="auto"/>
        </w:rPr>
        <w:t>No amendment, modification, termination or waiver of any provision of this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Loan Document, no approval or consent thereunder, or any consent to any departure by any Loan Party or any of its Subsidiaries therefrom, shall in any event be effective unless the same shall be in writing and signed by the Loan Parties, Collateral Agent and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19" w:lineRule="exact"/>
        <w:rPr>
          <w:sz w:val="20"/>
          <w:szCs w:val="20"/>
          <w:color w:val="auto"/>
        </w:rPr>
      </w:pPr>
    </w:p>
    <w:p>
      <w:pPr>
        <w:ind w:firstLine="1284"/>
        <w:spacing w:after="0" w:line="277" w:lineRule="auto"/>
        <w:tabs>
          <w:tab w:leader="none" w:pos="1932"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56" w:lineRule="exact"/>
        <w:rPr>
          <w:rFonts w:ascii="Arial" w:cs="Arial" w:eastAsia="Arial" w:hAnsi="Arial"/>
          <w:sz w:val="18"/>
          <w:szCs w:val="18"/>
          <w:color w:val="auto"/>
        </w:rPr>
      </w:pPr>
    </w:p>
    <w:p>
      <w:pPr>
        <w:ind w:right="20" w:firstLine="1284"/>
        <w:spacing w:after="0" w:line="277" w:lineRule="auto"/>
        <w:tabs>
          <w:tab w:leader="none" w:pos="1941"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 and</w:t>
      </w:r>
    </w:p>
    <w:p>
      <w:pPr>
        <w:spacing w:after="0" w:line="156" w:lineRule="exact"/>
        <w:rPr>
          <w:rFonts w:ascii="Arial" w:cs="Arial" w:eastAsia="Arial" w:hAnsi="Arial"/>
          <w:sz w:val="18"/>
          <w:szCs w:val="18"/>
          <w:color w:val="auto"/>
        </w:rPr>
      </w:pPr>
    </w:p>
    <w:p>
      <w:pPr>
        <w:jc w:val="both"/>
        <w:ind w:firstLine="1284"/>
        <w:spacing w:after="0" w:line="289" w:lineRule="auto"/>
        <w:tabs>
          <w:tab w:leader="none" w:pos="1937"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any Loan Party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w:t>
      </w:r>
    </w:p>
    <w:p>
      <w:pPr>
        <w:spacing w:after="0" w:line="35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773" w:right="339" w:bottom="1440" w:gutter="0" w:footer="0" w:header="0"/>
        </w:sectPr>
      </w:pPr>
    </w:p>
    <w:bookmarkStart w:id="113" w:name="page114"/>
    <w:bookmarkEnd w:id="113"/>
    <w:p>
      <w:pPr>
        <w:jc w:val="both"/>
        <w:spacing w:after="0" w:line="254" w:lineRule="auto"/>
        <w:rPr>
          <w:sz w:val="20"/>
          <w:szCs w:val="20"/>
          <w:color w:val="auto"/>
        </w:rPr>
      </w:pPr>
      <w:r>
        <w:rPr>
          <w:rFonts w:ascii="Arial" w:cs="Arial" w:eastAsia="Arial" w:hAnsi="Arial"/>
          <w:sz w:val="18"/>
          <w:szCs w:val="18"/>
          <w:color w:val="auto"/>
        </w:rPr>
        <w:t>this Section 12.5 insofar as the definitions affect the substance of this Section 12.5; (F) consent to the assignment, delegation or other transfer by any Loan Party of any of its rights and obligations under any Loan Document or release any Loan Party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12.8. It is hereby understood and agreed that all Lenders shall be deemed directly affected by an amendment, waiver or other modification of the type described in the preceding clauses (C), (D), (E), (F), (G) and (H) of the immediately preceding sentence.</w:t>
      </w:r>
    </w:p>
    <w:p>
      <w:pPr>
        <w:spacing w:after="0" w:line="178" w:lineRule="exact"/>
        <w:rPr>
          <w:sz w:val="20"/>
          <w:szCs w:val="20"/>
          <w:color w:val="auto"/>
        </w:rPr>
      </w:pPr>
    </w:p>
    <w:p>
      <w:pPr>
        <w:ind w:firstLine="1278"/>
        <w:spacing w:after="0" w:line="308" w:lineRule="auto"/>
        <w:tabs>
          <w:tab w:leader="none" w:pos="1942" w:val="left"/>
        </w:tabs>
        <w:numPr>
          <w:ilvl w:val="0"/>
          <w:numId w:val="96"/>
        </w:numPr>
        <w:rPr>
          <w:rFonts w:ascii="Arial" w:cs="Arial" w:eastAsia="Arial" w:hAnsi="Arial"/>
          <w:sz w:val="17"/>
          <w:szCs w:val="17"/>
          <w:color w:val="auto"/>
        </w:rPr>
      </w:pPr>
      <w:r>
        <w:rPr>
          <w:rFonts w:ascii="Arial" w:cs="Arial" w:eastAsia="Arial" w:hAnsi="Arial"/>
          <w:sz w:val="17"/>
          <w:szCs w:val="17"/>
          <w:color w:val="auto"/>
        </w:rPr>
        <w:t>Other than as expressly provided for in Section 12.5(a)(i) (iii), Collateral Agent may, at its discretion, or if requested by the Required Lenders, from time to time designate covenants in this Agreement less restrictive by notification to a representative of the Loan Parties.</w:t>
      </w:r>
    </w:p>
    <w:p>
      <w:pPr>
        <w:spacing w:after="0" w:line="119" w:lineRule="exact"/>
        <w:rPr>
          <w:rFonts w:ascii="Arial" w:cs="Arial" w:eastAsia="Arial" w:hAnsi="Arial"/>
          <w:sz w:val="17"/>
          <w:szCs w:val="17"/>
          <w:color w:val="auto"/>
        </w:rPr>
      </w:pPr>
    </w:p>
    <w:p>
      <w:pPr>
        <w:jc w:val="both"/>
        <w:ind w:firstLine="1278"/>
        <w:spacing w:after="0" w:line="286" w:lineRule="auto"/>
        <w:tabs>
          <w:tab w:leader="none" w:pos="1939"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48" w:lineRule="exact"/>
        <w:rPr>
          <w:sz w:val="20"/>
          <w:szCs w:val="20"/>
          <w:color w:val="auto"/>
        </w:rPr>
      </w:pPr>
    </w:p>
    <w:p>
      <w:pPr>
        <w:jc w:val="both"/>
        <w:ind w:firstLine="622"/>
        <w:spacing w:after="0" w:line="261" w:lineRule="auto"/>
        <w:rPr>
          <w:sz w:val="20"/>
          <w:szCs w:val="20"/>
          <w:color w:val="auto"/>
        </w:rPr>
      </w:pPr>
      <w:r>
        <w:rPr>
          <w:rFonts w:ascii="Arial" w:cs="Arial" w:eastAsia="Arial" w:hAnsi="Arial"/>
          <w:sz w:val="18"/>
          <w:szCs w:val="18"/>
          <w:b w:val="1"/>
          <w:bCs w:val="1"/>
          <w:color w:val="auto"/>
        </w:rPr>
        <w:t xml:space="preserve">12.6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spacing w:after="0" w:line="166"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8"/>
          <w:szCs w:val="18"/>
          <w:b w:val="1"/>
          <w:bCs w:val="1"/>
          <w:color w:val="auto"/>
        </w:rPr>
        <w:t xml:space="preserve">12.7 Survival. </w:t>
      </w:r>
      <w:r>
        <w:rPr>
          <w:rFonts w:ascii="Arial" w:cs="Arial" w:eastAsia="Arial" w:hAnsi="Arial"/>
          <w:sz w:val="18"/>
          <w:szCs w:val="18"/>
          <w:color w:val="auto"/>
        </w:rPr>
        <w:t>Except as otherwise provided in this Agreement, all covenants, representations and warranties made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this Agreement has terminated pursuant to its terms and all Obligations (other than inchoate indemnity obligations and any other obligations which, by their terms, are to survive the termination of this Agreement) have been satisfied. The obligation of the Loan Parties in Section 12.2 to indemnify each Lender and Collateral Agent, as well as the confidentiality provisions in Section 12.8 below, shall survive until the statute of limitations with respect to such claim or cause of action shall have run.</w:t>
      </w:r>
    </w:p>
    <w:p>
      <w:pPr>
        <w:spacing w:after="0" w:line="156" w:lineRule="exact"/>
        <w:rPr>
          <w:sz w:val="20"/>
          <w:szCs w:val="20"/>
          <w:color w:val="auto"/>
        </w:rPr>
      </w:pPr>
    </w:p>
    <w:p>
      <w:pPr>
        <w:jc w:val="both"/>
        <w:ind w:firstLine="622"/>
        <w:spacing w:after="0" w:line="284" w:lineRule="auto"/>
        <w:rPr>
          <w:sz w:val="20"/>
          <w:szCs w:val="20"/>
          <w:color w:val="auto"/>
        </w:rPr>
      </w:pPr>
      <w:r>
        <w:rPr>
          <w:rFonts w:ascii="Arial" w:cs="Arial" w:eastAsia="Arial" w:hAnsi="Arial"/>
          <w:sz w:val="16"/>
          <w:szCs w:val="16"/>
          <w:b w:val="1"/>
          <w:bCs w:val="1"/>
          <w:color w:val="auto"/>
        </w:rPr>
        <w:t xml:space="preserve">12.8 Confidentiality. </w:t>
      </w:r>
      <w:r>
        <w:rPr>
          <w:rFonts w:ascii="Arial" w:cs="Arial" w:eastAsia="Arial" w:hAnsi="Arial"/>
          <w:sz w:val="16"/>
          <w:szCs w:val="16"/>
          <w:color w:val="auto"/>
        </w:rPr>
        <w:t>In handling any confidential information of the Loan Parties, each of the Lenders and Collateral Agent shall exercise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degree of 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Term Loans (</w:t>
      </w:r>
      <w:r>
        <w:rPr>
          <w:rFonts w:ascii="Arial" w:cs="Arial" w:eastAsia="Arial" w:hAnsi="Arial"/>
          <w:sz w:val="16"/>
          <w:szCs w:val="16"/>
          <w:i w:val="1"/>
          <w:iCs w:val="1"/>
          <w:color w:val="auto"/>
        </w:rPr>
        <w:t>provided, however</w:t>
      </w:r>
      <w:r>
        <w:rPr>
          <w:rFonts w:ascii="Arial" w:cs="Arial" w:eastAsia="Arial" w:hAnsi="Arial"/>
          <w:sz w:val="16"/>
          <w:szCs w:val="16"/>
          <w:color w:val="auto"/>
        </w:rPr>
        <w:t>, the Lenders and Collateral Agent shall, except upon the occurrence and during the continuance of an Event of Default, obtain such prospective transferee’s or purchaser’s agreement to the terms of this provision or to similar confidentiality terms); (c) as required by law, rule, regulation, regulatory or self-regulatory authority, subpoena, or other order; (d) to Lenders’ or Collateral Agent’s regulators or as otherwise required in connection with an examination or audit;</w:t>
      </w:r>
    </w:p>
    <w:p>
      <w:pPr>
        <w:spacing w:after="0" w:line="5" w:lineRule="exact"/>
        <w:rPr>
          <w:sz w:val="20"/>
          <w:szCs w:val="20"/>
          <w:color w:val="auto"/>
        </w:rPr>
      </w:pPr>
    </w:p>
    <w:p>
      <w:pPr>
        <w:jc w:val="both"/>
        <w:ind w:firstLine="8"/>
        <w:spacing w:after="0" w:line="286" w:lineRule="auto"/>
        <w:tabs>
          <w:tab w:leader="none" w:pos="254"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and/or Collateral Agent, as applicable,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through no breach of this provision by the Lenders 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773" w:right="339" w:bottom="1440" w:gutter="0" w:footer="0" w:header="0"/>
        </w:sectPr>
      </w:pPr>
    </w:p>
    <w:bookmarkStart w:id="114" w:name="page115"/>
    <w:bookmarkEnd w:id="114"/>
    <w:p>
      <w:pPr>
        <w:jc w:val="both"/>
        <w:ind w:firstLine="622"/>
        <w:spacing w:after="0" w:line="289" w:lineRule="auto"/>
        <w:rPr>
          <w:sz w:val="20"/>
          <w:szCs w:val="20"/>
          <w:color w:val="auto"/>
        </w:rPr>
      </w:pPr>
      <w:r>
        <w:rPr>
          <w:rFonts w:ascii="Arial" w:cs="Arial" w:eastAsia="Arial" w:hAnsi="Arial"/>
          <w:sz w:val="16"/>
          <w:szCs w:val="16"/>
          <w:b w:val="1"/>
          <w:bCs w:val="1"/>
          <w:color w:val="auto"/>
        </w:rPr>
        <w:t xml:space="preserve">12.9 Right of Set Off. </w:t>
      </w:r>
      <w:r>
        <w:rPr>
          <w:rFonts w:ascii="Arial" w:cs="Arial" w:eastAsia="Arial" w:hAnsi="Arial"/>
          <w:sz w:val="16"/>
          <w:szCs w:val="16"/>
          <w:color w:val="auto"/>
        </w:rPr>
        <w:t>Each Loan Party hereby grants to Collateral Agent and to each Lender, a Lien, security interest and right of set off as</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for all Obligations to Secured Parties hereunder, whether now existing or hereafter arising upon and against all deposits, credits, collateral and property, now or hereafter in the possession, custody, safekeeping or control of any Secured Party or any entity under the control of such Security Party (including a Collateral Agent Affiliate) or in transit to any of them. At any time after the occurrence and during the continuance of an Event of Default, without demand or notice, any Secured Party may set off the same or any part thereof and apply the same to any liability or obligation of the Loan Parties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ANY LOAN PARTY ARE HEREBY KNOWINGLY, VOLUNTARILY AND IRREVOCABLY WAIVED BY SUCH LOAN PARTY.</w:t>
      </w:r>
    </w:p>
    <w:p>
      <w:pPr>
        <w:spacing w:after="0" w:line="153" w:lineRule="exact"/>
        <w:rPr>
          <w:sz w:val="20"/>
          <w:szCs w:val="20"/>
          <w:color w:val="auto"/>
        </w:rPr>
      </w:pPr>
    </w:p>
    <w:p>
      <w:pPr>
        <w:jc w:val="both"/>
        <w:ind w:firstLine="622"/>
        <w:spacing w:after="0" w:line="289" w:lineRule="auto"/>
        <w:rPr>
          <w:sz w:val="20"/>
          <w:szCs w:val="20"/>
          <w:color w:val="auto"/>
        </w:rPr>
      </w:pPr>
      <w:r>
        <w:rPr>
          <w:rFonts w:ascii="Arial" w:cs="Arial" w:eastAsia="Arial" w:hAnsi="Arial"/>
          <w:sz w:val="16"/>
          <w:szCs w:val="16"/>
          <w:b w:val="1"/>
          <w:bCs w:val="1"/>
          <w:color w:val="auto"/>
        </w:rPr>
        <w:t xml:space="preserve">12.10 Cooperation of the Loan Parties. </w:t>
      </w:r>
      <w:r>
        <w:rPr>
          <w:rFonts w:ascii="Arial" w:cs="Arial" w:eastAsia="Arial" w:hAnsi="Arial"/>
          <w:sz w:val="16"/>
          <w:szCs w:val="16"/>
          <w:color w:val="auto"/>
        </w:rPr>
        <w:t>If necessary, each Loan Party agrees to (i) execute any documents reasonably required to effectuate</w:t>
      </w:r>
      <w:r>
        <w:rPr>
          <w:rFonts w:ascii="Arial" w:cs="Arial" w:eastAsia="Arial" w:hAnsi="Arial"/>
          <w:sz w:val="16"/>
          <w:szCs w:val="16"/>
          <w:b w:val="1"/>
          <w:bCs w:val="1"/>
          <w:color w:val="auto"/>
        </w:rPr>
        <w:t xml:space="preserve"> </w:t>
      </w:r>
      <w:r>
        <w:rPr>
          <w:rFonts w:ascii="Arial" w:cs="Arial" w:eastAsia="Arial" w:hAnsi="Arial"/>
          <w:sz w:val="16"/>
          <w:szCs w:val="16"/>
          <w:color w:val="auto"/>
        </w:rPr>
        <w:t>and acknowledge each assignment of a Term Loan Commitment (or portion thereof) or Term Loan (or portion thereof) to an assignee in accordance with Section 12.1, (ii) make each Loan Party’s management personnel available to meet with Collateral Agent and prospective participants and assignees of Term Loan Commitments, the Term Loans or portions thereof (which meetings shall be conducted no more often than twice every twelve months unless an Event of Default has occurred and is continuing), and (iii) assist Collateral Agent and the Lenders in the preparation of information relating to the financial affairs of each Loan Party as any prospective participant or assignee of a Term Loan Commitment (or portions thereof) or Term Loan (or portions thereof) reasonably may request. Subject to the provisions of Section 12.8, each Loan Party authorizes each Lender to disclose to any prospective participant or assignee of a Term Loan Commitment (or portions thereof), any and all information in such Lender’s possession concerning each Loan Party and its financial affairs which has been delivered to such Lender by or on behalf of any Loan Party pursuant to this Agreement, or which has been delivered to such Lender by or on behalf of any Loan Party in connection with such Lender’s credit evaluation of the Loan Parties prior to entering into this Agreement.</w:t>
      </w:r>
    </w:p>
    <w:p>
      <w:pPr>
        <w:spacing w:after="0" w:line="134" w:lineRule="exact"/>
        <w:rPr>
          <w:sz w:val="20"/>
          <w:szCs w:val="20"/>
          <w:color w:val="auto"/>
        </w:rPr>
      </w:pPr>
    </w:p>
    <w:p>
      <w:pPr>
        <w:jc w:val="both"/>
        <w:ind w:firstLine="622"/>
        <w:spacing w:after="0" w:line="258" w:lineRule="auto"/>
        <w:rPr>
          <w:sz w:val="20"/>
          <w:szCs w:val="20"/>
          <w:color w:val="auto"/>
        </w:rPr>
      </w:pPr>
      <w:r>
        <w:rPr>
          <w:rFonts w:ascii="Arial" w:cs="Arial" w:eastAsia="Arial" w:hAnsi="Arial"/>
          <w:sz w:val="18"/>
          <w:szCs w:val="18"/>
          <w:b w:val="1"/>
          <w:bCs w:val="1"/>
          <w:color w:val="auto"/>
        </w:rPr>
        <w:t xml:space="preserve">12.11 Public Announcement. </w:t>
      </w:r>
      <w:r>
        <w:rPr>
          <w:rFonts w:ascii="Arial" w:cs="Arial" w:eastAsia="Arial" w:hAnsi="Arial"/>
          <w:sz w:val="18"/>
          <w:szCs w:val="18"/>
          <w:color w:val="auto"/>
        </w:rPr>
        <w:t>Each Loan Party hereby agrees that Collateral Agent and each Lender may make a public announcement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this Agreement, and may publicize the same in marketing materials, newspapers and other publications, and otherwise, and in connection therewith may use any Loan Party’s name, tradenames and logos. Collateral Agent and the Lenders may also make disclosures to the Securities and Exchange Commission or other governmental agency and any other public disclosure with investors, other governmental agencies or other related persons.</w:t>
      </w:r>
    </w:p>
    <w:p>
      <w:pPr>
        <w:spacing w:after="0" w:line="170" w:lineRule="exact"/>
        <w:rPr>
          <w:sz w:val="20"/>
          <w:szCs w:val="20"/>
          <w:color w:val="auto"/>
        </w:rPr>
      </w:pPr>
    </w:p>
    <w:p>
      <w:pPr>
        <w:jc w:val="both"/>
        <w:ind w:right="20" w:firstLine="622"/>
        <w:spacing w:after="0" w:line="312" w:lineRule="auto"/>
        <w:rPr>
          <w:sz w:val="20"/>
          <w:szCs w:val="20"/>
          <w:color w:val="auto"/>
        </w:rPr>
      </w:pPr>
      <w:r>
        <w:rPr>
          <w:rFonts w:ascii="Arial" w:cs="Arial" w:eastAsia="Arial" w:hAnsi="Arial"/>
          <w:sz w:val="17"/>
          <w:szCs w:val="17"/>
          <w:b w:val="1"/>
          <w:bCs w:val="1"/>
          <w:color w:val="auto"/>
        </w:rPr>
        <w:t xml:space="preserve">12.12 Collateral Agent and Lender Agreement. </w:t>
      </w:r>
      <w:r>
        <w:rPr>
          <w:rFonts w:ascii="Arial" w:cs="Arial" w:eastAsia="Arial" w:hAnsi="Arial"/>
          <w:sz w:val="17"/>
          <w:szCs w:val="17"/>
          <w:color w:val="auto"/>
        </w:rPr>
        <w:t>Collateral Agent and the Lenders hereby agree to the terms and conditions set forth on</w:t>
      </w:r>
      <w:r>
        <w:rPr>
          <w:rFonts w:ascii="Arial" w:cs="Arial" w:eastAsia="Arial" w:hAnsi="Arial"/>
          <w:sz w:val="17"/>
          <w:szCs w:val="17"/>
          <w:b w:val="1"/>
          <w:bCs w:val="1"/>
          <w:color w:val="auto"/>
        </w:rPr>
        <w:t xml:space="preserve"> </w:t>
      </w:r>
      <w:r>
        <w:rPr>
          <w:rFonts w:ascii="Arial" w:cs="Arial" w:eastAsia="Arial" w:hAnsi="Arial"/>
          <w:sz w:val="17"/>
          <w:szCs w:val="17"/>
          <w:color w:val="auto"/>
        </w:rPr>
        <w:t>Exhibit B attached hereto. Each Loan Party acknowledges and agrees to the terms and conditions set forth on Exhibit B attached hereto.</w:t>
      </w:r>
    </w:p>
    <w:p>
      <w:pPr>
        <w:spacing w:after="0" w:line="126"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Obligations under this Agreement.</w:t>
      </w:r>
    </w:p>
    <w:p>
      <w:pPr>
        <w:spacing w:after="0" w:line="198" w:lineRule="exact"/>
        <w:rPr>
          <w:sz w:val="20"/>
          <w:szCs w:val="20"/>
          <w:color w:val="auto"/>
        </w:rPr>
      </w:pPr>
    </w:p>
    <w:p>
      <w:pPr>
        <w:jc w:val="both"/>
        <w:ind w:firstLine="622"/>
        <w:spacing w:after="0" w:line="277" w:lineRule="auto"/>
        <w:rPr>
          <w:sz w:val="20"/>
          <w:szCs w:val="20"/>
          <w:color w:val="auto"/>
        </w:rPr>
      </w:pPr>
      <w:r>
        <w:rPr>
          <w:rFonts w:ascii="Arial" w:cs="Arial" w:eastAsia="Arial" w:hAnsi="Arial"/>
          <w:sz w:val="17"/>
          <w:szCs w:val="17"/>
          <w:b w:val="1"/>
          <w:bCs w:val="1"/>
          <w:color w:val="auto"/>
        </w:rPr>
        <w:t>12.14 Termination Prior to Maturity Date; Survival</w:t>
      </w:r>
      <w:r>
        <w:rPr>
          <w:rFonts w:ascii="Arial" w:cs="Arial" w:eastAsia="Arial" w:hAnsi="Arial"/>
          <w:sz w:val="17"/>
          <w:szCs w:val="17"/>
          <w:color w:val="auto"/>
        </w:rPr>
        <w:t>. All covenants, representations and warranties made in this Agreement continue in full</w:t>
      </w:r>
      <w:r>
        <w:rPr>
          <w:rFonts w:ascii="Arial" w:cs="Arial" w:eastAsia="Arial" w:hAnsi="Arial"/>
          <w:sz w:val="17"/>
          <w:szCs w:val="17"/>
          <w:b w:val="1"/>
          <w:bCs w:val="1"/>
          <w:color w:val="auto"/>
        </w:rPr>
        <w:t xml:space="preserve"> </w:t>
      </w:r>
      <w:r>
        <w:rPr>
          <w:rFonts w:ascii="Arial" w:cs="Arial" w:eastAsia="Arial" w:hAnsi="Arial"/>
          <w:sz w:val="17"/>
          <w:szCs w:val="17"/>
          <w:color w:val="auto"/>
        </w:rPr>
        <w:t>force until this Agreement has terminated pursuant to its terms and all Obligations have been satisfied. So long as each Loan Party has satisfied the Obligations (other than inchoate indemnity obligations and any other obligations which, by their terms, are to survive the termination of this Agreement and for which no claim has been made) in accordance with the terms of this Agreement, this Agreement may be terminated prior to the Maturity Date by any Loan Party, effective five (5) Business Days after written notice of termination is given to Collateral Agent and the Lenders.</w:t>
      </w:r>
    </w:p>
    <w:p>
      <w:pPr>
        <w:spacing w:after="0" w:line="154" w:lineRule="exact"/>
        <w:rPr>
          <w:sz w:val="20"/>
          <w:szCs w:val="20"/>
          <w:color w:val="auto"/>
        </w:rPr>
      </w:pPr>
    </w:p>
    <w:p>
      <w:pPr>
        <w:jc w:val="both"/>
        <w:ind w:firstLine="622"/>
        <w:spacing w:after="0" w:line="292" w:lineRule="auto"/>
        <w:rPr>
          <w:sz w:val="20"/>
          <w:szCs w:val="20"/>
          <w:color w:val="auto"/>
        </w:rPr>
      </w:pPr>
      <w:r>
        <w:rPr>
          <w:rFonts w:ascii="Arial" w:cs="Arial" w:eastAsia="Arial" w:hAnsi="Arial"/>
          <w:sz w:val="16"/>
          <w:szCs w:val="16"/>
          <w:b w:val="1"/>
          <w:bCs w:val="1"/>
          <w:color w:val="auto"/>
        </w:rPr>
        <w:t>12.15 Electronic Execution of Certain Other Documents</w:t>
      </w:r>
      <w:r>
        <w:rPr>
          <w:rFonts w:ascii="Arial" w:cs="Arial" w:eastAsia="Arial" w:hAnsi="Arial"/>
          <w:sz w:val="16"/>
          <w:szCs w:val="16"/>
          <w:color w:val="auto"/>
        </w:rPr>
        <w:t>. The words “execution,” “execute”, “signed,” “signature,” and words of like import</w:t>
      </w:r>
      <w:r>
        <w:rPr>
          <w:rFonts w:ascii="Arial" w:cs="Arial" w:eastAsia="Arial" w:hAnsi="Arial"/>
          <w:sz w:val="16"/>
          <w:szCs w:val="16"/>
          <w:b w:val="1"/>
          <w:bCs w:val="1"/>
          <w:color w:val="auto"/>
        </w:rPr>
        <w:t xml:space="preserve"> </w:t>
      </w:r>
      <w:r>
        <w:rPr>
          <w:rFonts w:ascii="Arial" w:cs="Arial" w:eastAsia="Arial" w:hAnsi="Arial"/>
          <w:sz w:val="16"/>
          <w:szCs w:val="16"/>
          <w:color w:val="auto"/>
        </w:rPr>
        <w:t>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769" w:right="339" w:bottom="1440" w:gutter="0" w:footer="0" w:header="0"/>
        </w:sectPr>
      </w:pPr>
    </w:p>
    <w:bookmarkStart w:id="115" w:name="page116"/>
    <w:bookmarkEnd w:id="115"/>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 /s/ Laura Francis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Name: Laura Francis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120"/>
        <w:spacing w:after="0"/>
        <w:rPr>
          <w:sz w:val="20"/>
          <w:szCs w:val="20"/>
          <w:color w:val="auto"/>
        </w:rPr>
      </w:pPr>
      <w:r>
        <w:rPr>
          <w:rFonts w:ascii="Arial" w:cs="Arial" w:eastAsia="Arial" w:hAnsi="Arial"/>
          <w:sz w:val="18"/>
          <w:szCs w:val="18"/>
          <w:b w:val="1"/>
          <w:bCs w:val="1"/>
          <w:i w:val="1"/>
          <w:iCs w:val="1"/>
          <w:color w:val="auto"/>
        </w:rPr>
        <w:t>[Signature Continues on the Next Page]</w:t>
      </w:r>
    </w:p>
    <w:p>
      <w:pPr>
        <w:sectPr>
          <w:pgSz w:w="11900" w:h="16838" w:orient="portrait"/>
          <w:cols w:equalWidth="0" w:num="1">
            <w:col w:w="10119"/>
          </w:cols>
          <w:pgMar w:left="340" w:top="769" w:right="1440"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AGENT: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SOLAR CAPITAL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SOLAR CAPITAL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SUNS SPV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SCP PRIVATE CREDIT INCOME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SCP PRIVATE CREDIT INCOME BDC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SCP PRIVATE CORPORATE LENDING FUND L.P.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SCP SF DEBT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Anthony Storino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Anthony Storino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139"/>
          </w:cols>
          <w:pgMar w:left="320" w:top="1012" w:right="1440" w:bottom="1440" w:gutter="0" w:footer="0" w:header="0"/>
        </w:sectPr>
      </w:pPr>
    </w:p>
    <w:bookmarkStart w:id="117" w:name="page118"/>
    <w:bookmarkEnd w:id="117"/>
    <w:p>
      <w:pPr>
        <w:jc w:val="center"/>
        <w:ind w:right="-299"/>
        <w:spacing w:after="0"/>
        <w:rPr>
          <w:sz w:val="20"/>
          <w:szCs w:val="20"/>
          <w:color w:val="auto"/>
        </w:rPr>
      </w:pPr>
      <w:r>
        <w:rPr>
          <w:rFonts w:ascii="Arial" w:cs="Arial" w:eastAsia="Arial" w:hAnsi="Arial"/>
          <w:sz w:val="18"/>
          <w:szCs w:val="18"/>
          <w:b w:val="1"/>
          <w:bCs w:val="1"/>
          <w:color w:val="auto"/>
        </w:rPr>
        <w:t>SCHEDULE 1.1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160" w:type="dxa"/>
            <w:vAlign w:val="bottom"/>
            <w:tcBorders>
              <w:top w:val="single" w:sz="8" w:color="auto"/>
              <w:left w:val="single" w:sz="8" w:color="auto"/>
              <w:right w:val="single" w:sz="8" w:color="auto"/>
            </w:tcBorders>
          </w:tcPr>
          <w:p>
            <w:pPr>
              <w:ind w:left="2780"/>
              <w:spacing w:after="0"/>
              <w:rPr>
                <w:sz w:val="20"/>
                <w:szCs w:val="20"/>
                <w:color w:val="auto"/>
              </w:rPr>
            </w:pPr>
            <w:r>
              <w:rPr>
                <w:rFonts w:ascii="Arial" w:cs="Arial" w:eastAsia="Arial" w:hAnsi="Arial"/>
                <w:sz w:val="18"/>
                <w:szCs w:val="18"/>
                <w:b w:val="1"/>
                <w:bCs w:val="1"/>
                <w:color w:val="auto"/>
              </w:rPr>
              <w:t>Lender</w:t>
            </w:r>
          </w:p>
        </w:tc>
        <w:tc>
          <w:tcPr>
            <w:tcW w:w="21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Term Loan Commitment</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6160" w:type="dxa"/>
            <w:vAlign w:val="bottom"/>
            <w:tcBorders>
              <w:left w:val="single" w:sz="8" w:color="auto"/>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r>
      <w:tr>
        <w:trPr>
          <w:trHeight w:val="27"/>
        </w:trPr>
        <w:tc>
          <w:tcPr>
            <w:tcW w:w="616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6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SOLAR CAPITAL LTD.</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$17,843,354.85</w:t>
            </w:r>
          </w:p>
        </w:tc>
        <w:tc>
          <w:tcPr>
            <w:tcW w:w="1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44.61%</w:t>
            </w:r>
          </w:p>
        </w:tc>
      </w:tr>
      <w:tr>
        <w:trPr>
          <w:trHeight w:val="27"/>
        </w:trPr>
        <w:tc>
          <w:tcPr>
            <w:tcW w:w="616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6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SUNS SPV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$2,742,296.93</w:t>
            </w:r>
          </w:p>
        </w:tc>
        <w:tc>
          <w:tcPr>
            <w:tcW w:w="1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6.86%</w:t>
            </w:r>
          </w:p>
        </w:tc>
      </w:tr>
      <w:tr>
        <w:trPr>
          <w:trHeight w:val="27"/>
        </w:trPr>
        <w:tc>
          <w:tcPr>
            <w:tcW w:w="616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6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SCP PRIVATE CREDIT INCOME FUND L.P.</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$4,681,186.56</w:t>
            </w:r>
          </w:p>
        </w:tc>
        <w:tc>
          <w:tcPr>
            <w:tcW w:w="1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11.70%</w:t>
            </w:r>
          </w:p>
        </w:tc>
      </w:tr>
      <w:tr>
        <w:trPr>
          <w:trHeight w:val="27"/>
        </w:trPr>
        <w:tc>
          <w:tcPr>
            <w:tcW w:w="616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6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SCP PRIVATE CREDIT INCOME BDC LLC</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$3,492,143.75</w:t>
            </w:r>
          </w:p>
        </w:tc>
        <w:tc>
          <w:tcPr>
            <w:tcW w:w="1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8.73%</w:t>
            </w:r>
          </w:p>
        </w:tc>
      </w:tr>
      <w:tr>
        <w:trPr>
          <w:trHeight w:val="27"/>
        </w:trPr>
        <w:tc>
          <w:tcPr>
            <w:tcW w:w="616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6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SCP PRIVATE CORPORATE LENDING FUND L.P.</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$9,055,750.04</w:t>
            </w:r>
          </w:p>
        </w:tc>
        <w:tc>
          <w:tcPr>
            <w:tcW w:w="1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22.64%</w:t>
            </w:r>
          </w:p>
        </w:tc>
      </w:tr>
      <w:tr>
        <w:trPr>
          <w:trHeight w:val="27"/>
        </w:trPr>
        <w:tc>
          <w:tcPr>
            <w:tcW w:w="616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6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SCP SF DEBT FUND L.P.</w:t>
            </w: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$2,185,267.87</w:t>
            </w:r>
          </w:p>
        </w:tc>
        <w:tc>
          <w:tcPr>
            <w:tcW w:w="1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5.46%</w:t>
            </w:r>
          </w:p>
        </w:tc>
      </w:tr>
      <w:tr>
        <w:trPr>
          <w:trHeight w:val="27"/>
        </w:trPr>
        <w:tc>
          <w:tcPr>
            <w:tcW w:w="616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6160" w:type="dxa"/>
            <w:vAlign w:val="bottom"/>
            <w:tcBorders>
              <w:left w:val="single" w:sz="8" w:color="auto"/>
              <w:right w:val="single" w:sz="8" w:color="auto"/>
            </w:tcBorders>
          </w:tcPr>
          <w:p>
            <w:pPr>
              <w:ind w:left="276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$40,000,000.00</w:t>
            </w:r>
          </w:p>
        </w:tc>
        <w:tc>
          <w:tcPr>
            <w:tcW w:w="1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100.00%</w:t>
            </w:r>
          </w:p>
        </w:tc>
      </w:tr>
      <w:tr>
        <w:trPr>
          <w:trHeight w:val="27"/>
        </w:trPr>
        <w:tc>
          <w:tcPr>
            <w:tcW w:w="6160" w:type="dxa"/>
            <w:vAlign w:val="bottom"/>
            <w:tcBorders>
              <w:left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0"/>
        </w:trPr>
        <w:tc>
          <w:tcPr>
            <w:tcW w:w="6160" w:type="dxa"/>
            <w:vAlign w:val="bottom"/>
            <w:tcBorders>
              <w:left w:val="single" w:sz="8" w:color="auto"/>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20"/>
          </w:cols>
          <w:pgMar w:left="900" w:top="769" w:right="87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Dunn, certify that:</w:t>
      </w:r>
    </w:p>
    <w:p>
      <w:pPr>
        <w:spacing w:after="0" w:line="252"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4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31750</wp:posOffset>
            </wp:positionV>
            <wp:extent cx="30772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57" w:lineRule="exact"/>
        <w:rPr>
          <w:sz w:val="20"/>
          <w:szCs w:val="20"/>
          <w:color w:val="auto"/>
        </w:rPr>
      </w:pPr>
    </w:p>
    <w:p>
      <w:pPr>
        <w:ind w:left="860"/>
        <w:spacing w:after="0"/>
        <w:tabs>
          <w:tab w:leader="none" w:pos="1400" w:val="left"/>
          <w:tab w:leader="none" w:pos="7360" w:val="left"/>
        </w:tabs>
        <w:rPr>
          <w:sz w:val="20"/>
          <w:szCs w:val="20"/>
          <w:color w:val="auto"/>
        </w:rPr>
      </w:pPr>
      <w:r>
        <w:rPr>
          <w:rFonts w:ascii="Arial" w:cs="Arial" w:eastAsia="Arial" w:hAnsi="Arial"/>
          <w:sz w:val="18"/>
          <w:szCs w:val="18"/>
          <w:color w:val="auto"/>
        </w:rPr>
        <w:t>Date:</w:t>
        <w:tab/>
        <w:t>August 4, 2020</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374"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4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31750</wp:posOffset>
            </wp:positionV>
            <wp:extent cx="30600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380" w:val="left"/>
          <w:tab w:leader="none" w:pos="7440" w:val="left"/>
        </w:tabs>
        <w:rPr>
          <w:sz w:val="20"/>
          <w:szCs w:val="20"/>
          <w:color w:val="auto"/>
        </w:rPr>
      </w:pPr>
      <w:r>
        <w:rPr>
          <w:rFonts w:ascii="Arial" w:cs="Arial" w:eastAsia="Arial" w:hAnsi="Arial"/>
          <w:sz w:val="18"/>
          <w:szCs w:val="18"/>
          <w:color w:val="auto"/>
        </w:rPr>
        <w:t>Date:</w:t>
        <w:tab/>
        <w:t>August 4, 2020</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769"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Jeffrey W. Dunn, President and Chief Executive Officer of SI-BONE, Inc. (the “Company”), and Laura A. Francis, Chief Operating Officer and Chief Financial Officer of the Company, each hereby certify that, to the best of his or her knowledge:</w:t>
      </w:r>
    </w:p>
    <w:p>
      <w:pPr>
        <w:spacing w:after="0" w:line="187" w:lineRule="exact"/>
        <w:rPr>
          <w:sz w:val="20"/>
          <w:szCs w:val="20"/>
          <w:color w:val="auto"/>
        </w:rPr>
      </w:pPr>
    </w:p>
    <w:p>
      <w:pPr>
        <w:ind w:right="20" w:firstLine="8"/>
        <w:spacing w:after="0" w:line="277" w:lineRule="auto"/>
        <w:tabs>
          <w:tab w:leader="none" w:pos="1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2020,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firstLine="8"/>
        <w:spacing w:after="0" w:line="277" w:lineRule="auto"/>
        <w:tabs>
          <w:tab w:leader="none" w:pos="21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31750</wp:posOffset>
            </wp:positionV>
            <wp:extent cx="33343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000" w:val="left"/>
          <w:tab w:leader="none" w:pos="7600" w:val="left"/>
        </w:tabs>
        <w:rPr>
          <w:sz w:val="20"/>
          <w:szCs w:val="20"/>
          <w:color w:val="auto"/>
        </w:rPr>
      </w:pPr>
      <w:r>
        <w:rPr>
          <w:rFonts w:ascii="Arial" w:cs="Arial" w:eastAsia="Arial" w:hAnsi="Arial"/>
          <w:sz w:val="18"/>
          <w:szCs w:val="18"/>
          <w:color w:val="auto"/>
        </w:rPr>
        <w:t>Date:</w:t>
        <w:tab/>
        <w:t>August 4, 2020</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31750</wp:posOffset>
            </wp:positionV>
            <wp:extent cx="33343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000" w:val="left"/>
          <w:tab w:leader="none" w:pos="7580" w:val="left"/>
        </w:tabs>
        <w:rPr>
          <w:sz w:val="20"/>
          <w:szCs w:val="20"/>
          <w:color w:val="auto"/>
        </w:rPr>
      </w:pPr>
      <w:r>
        <w:rPr>
          <w:rFonts w:ascii="Arial" w:cs="Arial" w:eastAsia="Arial" w:hAnsi="Arial"/>
          <w:sz w:val="18"/>
          <w:szCs w:val="18"/>
          <w:color w:val="auto"/>
        </w:rPr>
        <w:t>Date:</w:t>
        <w:tab/>
        <w:t>August 4, 2020</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lowerRoman"/>
      <w:start w:val="1"/>
    </w:lvl>
  </w:abstractNum>
  <w:abstractNum w:abstractNumId="5">
    <w:nsid w:val="70C6A529"/>
    <w:multiLevelType w:val="hybridMultilevel"/>
    <w:lvl w:ilvl="0">
      <w:lvlJc w:val="left"/>
      <w:lvlText w:val="%1."/>
      <w:numFmt w:val="decimal"/>
      <w:start w:val="606"/>
    </w:lvl>
  </w:abstractNum>
  <w:abstractNum w:abstractNumId="6">
    <w:nsid w:val="520EEDD1"/>
    <w:multiLevelType w:val="hybridMultilevel"/>
    <w:lvl w:ilvl="0">
      <w:lvlJc w:val="left"/>
      <w:lvlText w:val="%1."/>
      <w:numFmt w:val="decimal"/>
      <w:start w:val="7"/>
    </w:lvl>
  </w:abstractNum>
  <w:abstractNum w:abstractNumId="7">
    <w:nsid w:val="374A3FE6"/>
    <w:multiLevelType w:val="hybridMultilevel"/>
    <w:lvl w:ilvl="0">
      <w:lvlJc w:val="left"/>
      <w:lvlText w:val="%1."/>
      <w:numFmt w:val="decimal"/>
      <w:start w:val="8"/>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lowerLetter"/>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1"/>
      <w:numFmt w:val="decimal"/>
      <w:start w:val="104"/>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lowerLetter"/>
      <w:start w:val="4"/>
    </w:lvl>
  </w:abstractNum>
  <w:abstractNum w:abstractNumId="41">
    <w:nsid w:val="799D0247"/>
    <w:multiLevelType w:val="hybridMultilevel"/>
    <w:lvl w:ilvl="0">
      <w:lvlJc w:val="left"/>
      <w:lvlText w:val="(%1)"/>
      <w:numFmt w:val="lowerLetter"/>
      <w:start w:val="1"/>
    </w:lvl>
  </w:abstractNum>
  <w:abstractNum w:abstractNumId="42">
    <w:nsid w:val="6B94764"/>
    <w:multiLevelType w:val="hybridMultilevel"/>
    <w:lvl w:ilvl="0">
      <w:lvlJc w:val="left"/>
      <w:lvlText w:val="(%1)"/>
      <w:numFmt w:val="lowerLetter"/>
      <w:start w:val="3"/>
    </w:lvl>
  </w:abstractNum>
  <w:abstractNum w:abstractNumId="43">
    <w:nsid w:val="42C296BD"/>
    <w:multiLevelType w:val="hybridMultilevel"/>
    <w:lvl w:ilvl="0">
      <w:lvlJc w:val="left"/>
      <w:lvlText w:val="(%1)"/>
      <w:numFmt w:val="lowerLetter"/>
      <w:start w:val="1"/>
    </w:lvl>
  </w:abstractNum>
  <w:abstractNum w:abstractNumId="44">
    <w:nsid w:val="168E121F"/>
    <w:multiLevelType w:val="hybridMultilevel"/>
    <w:lvl w:ilvl="0">
      <w:lvlJc w:val="left"/>
      <w:lvlText w:val="%1"/>
      <w:numFmt w:val="lowerLetter"/>
      <w:start w:val="1"/>
    </w:lvl>
    <w:lvl w:ilvl="1">
      <w:lvlJc w:val="left"/>
      <w:lvlText w:val="(%2)"/>
      <w:numFmt w:val="lowerLetter"/>
      <w:start w:val="1"/>
    </w:lvl>
  </w:abstractNum>
  <w:abstractNum w:abstractNumId="45">
    <w:nsid w:val="1EBA5D23"/>
    <w:multiLevelType w:val="hybridMultilevel"/>
    <w:lvl w:ilvl="0">
      <w:lvlJc w:val="left"/>
      <w:lvlText w:val="(%1)"/>
      <w:numFmt w:val="lowerLetter"/>
      <w:start w:val="9"/>
    </w:lvl>
    <w:lvl w:ilvl="1">
      <w:lvlJc w:val="left"/>
      <w:lvlText w:val="(%2)"/>
      <w:numFmt w:val="lowerLetter"/>
      <w:start w:val="6"/>
    </w:lvl>
  </w:abstractNum>
  <w:abstractNum w:abstractNumId="46">
    <w:nsid w:val="661E3F1E"/>
    <w:multiLevelType w:val="hybridMultilevel"/>
    <w:lvl w:ilvl="0">
      <w:lvlJc w:val="left"/>
      <w:lvlText w:val="(%1)"/>
      <w:numFmt w:val="lowerLetter"/>
      <w:start w:val="14"/>
    </w:lvl>
  </w:abstractNum>
  <w:abstractNum w:abstractNumId="47">
    <w:nsid w:val="5DC79EA8"/>
    <w:multiLevelType w:val="hybridMultilevel"/>
    <w:lvl w:ilvl="0">
      <w:lvlJc w:val="left"/>
      <w:lvlText w:val="(%1)"/>
      <w:numFmt w:val="lowerLetter"/>
      <w:start w:val="1"/>
    </w:lvl>
  </w:abstractNum>
  <w:abstractNum w:abstractNumId="48">
    <w:nsid w:val="540A471C"/>
    <w:multiLevelType w:val="hybridMultilevel"/>
    <w:lvl w:ilvl="0">
      <w:lvlJc w:val="left"/>
      <w:lvlText w:val="(%1)"/>
      <w:numFmt w:val="lowerLetter"/>
      <w:start w:val="3"/>
    </w:lvl>
  </w:abstractNum>
  <w:abstractNum w:abstractNumId="49">
    <w:nsid w:val="7BD3EE7B"/>
    <w:multiLevelType w:val="hybridMultilevel"/>
    <w:lvl w:ilvl="0">
      <w:lvlJc w:val="left"/>
      <w:lvlText w:val="(%1)"/>
      <w:numFmt w:val="lowerLetter"/>
      <w:start w:val="18"/>
    </w:lvl>
  </w:abstractNum>
  <w:abstractNum w:abstractNumId="50">
    <w:nsid w:val="51D9C564"/>
    <w:multiLevelType w:val="hybridMultilevel"/>
    <w:lvl w:ilvl="0">
      <w:lvlJc w:val="left"/>
      <w:lvlText w:val="(%1)"/>
      <w:numFmt w:val="lowerLetter"/>
      <w:start w:val="1"/>
    </w:lvl>
  </w:abstractNum>
  <w:abstractNum w:abstractNumId="51">
    <w:nsid w:val="613EFDC5"/>
    <w:multiLevelType w:val="hybridMultilevel"/>
    <w:lvl w:ilvl="0">
      <w:lvlJc w:val="left"/>
      <w:lvlText w:val="(%1)"/>
      <w:numFmt w:val="lowerLetter"/>
      <w:start w:val="6"/>
    </w:lvl>
  </w:abstractNum>
  <w:abstractNum w:abstractNumId="52">
    <w:nsid w:val="BF72B14"/>
    <w:multiLevelType w:val="hybridMultilevel"/>
    <w:lvl w:ilvl="0">
      <w:lvlJc w:val="left"/>
      <w:lvlText w:val="(%1)"/>
      <w:numFmt w:val="lowerLetter"/>
      <w:start w:val="1"/>
    </w:lvl>
  </w:abstractNum>
  <w:abstractNum w:abstractNumId="53">
    <w:nsid w:val="11447B73"/>
    <w:multiLevelType w:val="hybridMultilevel"/>
    <w:lvl w:ilvl="0">
      <w:lvlJc w:val="left"/>
      <w:lvlText w:val="(%1)"/>
      <w:numFmt w:val="decimal"/>
      <w:start w:val="120"/>
    </w:lvl>
  </w:abstractNum>
  <w:abstractNum w:abstractNumId="54">
    <w:nsid w:val="42963E5A"/>
    <w:multiLevelType w:val="hybridMultilevel"/>
    <w:lvl w:ilvl="0">
      <w:lvlJc w:val="left"/>
      <w:lvlText w:val="%1."/>
      <w:numFmt w:val="decimal"/>
      <w:start w:val="2"/>
    </w:lvl>
  </w:abstractNum>
  <w:abstractNum w:abstractNumId="55">
    <w:nsid w:val="A0382C5"/>
    <w:multiLevelType w:val="hybridMultilevel"/>
    <w:lvl w:ilvl="0">
      <w:lvlJc w:val="left"/>
      <w:lvlText w:val="(%1)"/>
      <w:numFmt w:val="lowerLetter"/>
      <w:start w:val="1"/>
    </w:lvl>
  </w:abstractNum>
  <w:abstractNum w:abstractNumId="56">
    <w:nsid w:val="8F2B15E"/>
    <w:multiLevelType w:val="hybridMultilevel"/>
    <w:lvl w:ilvl="0">
      <w:lvlJc w:val="left"/>
      <w:lvlText w:val="(%1)"/>
      <w:numFmt w:val="lowerLetter"/>
      <w:start w:val="1"/>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decimal"/>
      <w:start w:val="3"/>
    </w:lvl>
  </w:abstractNum>
  <w:abstractNum w:abstractNumId="59">
    <w:nsid w:val="68EB2F63"/>
    <w:multiLevelType w:val="hybridMultilevel"/>
    <w:lvl w:ilvl="0">
      <w:lvlJc w:val="left"/>
      <w:lvlText w:val="(%1)"/>
      <w:numFmt w:val="lowerLetter"/>
      <w:start w:val="1"/>
    </w:lvl>
  </w:abstractNum>
  <w:abstractNum w:abstractNumId="60">
    <w:nsid w:val="4962813B"/>
    <w:multiLevelType w:val="hybridMultilevel"/>
    <w:lvl w:ilvl="0">
      <w:lvlJc w:val="left"/>
      <w:lvlText w:val="(%1)"/>
      <w:numFmt w:val="lowerLetter"/>
      <w:start w:val="1"/>
    </w:lvl>
  </w:abstractNum>
  <w:abstractNum w:abstractNumId="61">
    <w:nsid w:val="60B6DF70"/>
    <w:multiLevelType w:val="hybridMultilevel"/>
    <w:lvl w:ilvl="0">
      <w:lvlJc w:val="left"/>
      <w:lvlText w:val="(%1)"/>
      <w:numFmt w:val="lowerLetter"/>
      <w:start w:val="3"/>
    </w:lvl>
  </w:abstractNum>
  <w:abstractNum w:abstractNumId="62">
    <w:nsid w:val="6A5EE64"/>
    <w:multiLevelType w:val="hybridMultilevel"/>
    <w:lvl w:ilvl="0">
      <w:lvlJc w:val="left"/>
      <w:lvlText w:val="%1."/>
      <w:numFmt w:val="decimal"/>
      <w:start w:val="4"/>
    </w:lvl>
    <w:lvl w:ilvl="1">
      <w:lvlJc w:val="left"/>
      <w:lvlText w:val="%2."/>
      <w:numFmt w:val="decimal"/>
      <w:start w:val="4"/>
    </w:lvl>
  </w:abstractNum>
  <w:abstractNum w:abstractNumId="63">
    <w:nsid w:val="14330624"/>
    <w:multiLevelType w:val="hybridMultilevel"/>
    <w:lvl w:ilvl="0">
      <w:lvlJc w:val="left"/>
      <w:lvlText w:val="%1."/>
      <w:numFmt w:val="decimal"/>
      <w:start w:val="4"/>
    </w:lvl>
    <w:lvl w:ilvl="1">
      <w:lvlJc w:val="left"/>
      <w:lvlText w:val="."/>
      <w:numFmt w:val="bullet"/>
      <w:start w:val="1"/>
    </w:lvl>
  </w:abstractNum>
  <w:abstractNum w:abstractNumId="64">
    <w:nsid w:val="7FFFCA11"/>
    <w:multiLevelType w:val="hybridMultilevel"/>
    <w:lvl w:ilvl="0">
      <w:lvlJc w:val="left"/>
      <w:lvlText w:val="(%1)"/>
      <w:numFmt w:val="lowerRoman"/>
      <w:start w:val="3"/>
    </w:lvl>
  </w:abstractNum>
  <w:abstractNum w:abstractNumId="65">
    <w:nsid w:val="1A27709E"/>
    <w:multiLevelType w:val="hybridMultilevel"/>
    <w:lvl w:ilvl="0">
      <w:lvlJc w:val="left"/>
      <w:lvlText w:val="%1"/>
      <w:numFmt w:val="lowerLetter"/>
      <w:start w:val="1"/>
    </w:lvl>
    <w:lvl w:ilvl="1">
      <w:lvlJc w:val="left"/>
      <w:lvlText w:val="(%2)"/>
      <w:numFmt w:val="lowerLetter"/>
      <w:start w:val="1"/>
    </w:lvl>
  </w:abstractNum>
  <w:abstractNum w:abstractNumId="66">
    <w:nsid w:val="71EA1109"/>
    <w:multiLevelType w:val="hybridMultilevel"/>
    <w:lvl w:ilvl="0">
      <w:lvlJc w:val="left"/>
      <w:lvlText w:val="(%1)"/>
      <w:numFmt w:val="lowerLetter"/>
      <w:start w:val="61"/>
    </w:lvl>
    <w:lvl w:ilvl="1">
      <w:lvlJc w:val="left"/>
      <w:lvlText w:val="%2"/>
      <w:numFmt w:val="lowerLetter"/>
      <w:start w:val="1"/>
    </w:lvl>
  </w:abstractNum>
  <w:abstractNum w:abstractNumId="67">
    <w:nsid w:val="100F59DC"/>
    <w:multiLevelType w:val="hybridMultilevel"/>
    <w:lvl w:ilvl="0">
      <w:lvlJc w:val="left"/>
      <w:lvlText w:val="%1."/>
      <w:numFmt w:val="decimal"/>
      <w:start w:val="6"/>
    </w:lvl>
    <w:lvl w:ilvl="1">
      <w:lvlJc w:val="left"/>
      <w:lvlText w:val="(%2)"/>
      <w:numFmt w:val="lowerLetter"/>
      <w:start w:val="1"/>
    </w:lvl>
  </w:abstractNum>
  <w:abstractNum w:abstractNumId="68">
    <w:nsid w:val="7FB7E0AA"/>
    <w:multiLevelType w:val="hybridMultilevel"/>
    <w:lvl w:ilvl="0">
      <w:lvlJc w:val="left"/>
      <w:lvlText w:val="%1"/>
      <w:numFmt w:val="lowerRoman"/>
      <w:start w:val="1"/>
    </w:lvl>
    <w:lvl w:ilvl="1">
      <w:lvlJc w:val="left"/>
      <w:lvlText w:val="(%2)"/>
      <w:numFmt w:val="lowerLetter"/>
      <w:start w:val="1"/>
    </w:lvl>
  </w:abstractNum>
  <w:abstractNum w:abstractNumId="69">
    <w:nsid w:val="6EB5BD4"/>
    <w:multiLevelType w:val="hybridMultilevel"/>
    <w:lvl w:ilvl="0">
      <w:lvlJc w:val="left"/>
      <w:lvlText w:val="(%1)"/>
      <w:numFmt w:val="lowerRoman"/>
      <w:start w:val="1"/>
    </w:lvl>
    <w:lvl w:ilvl="1">
      <w:lvlJc w:val="left"/>
      <w:lvlText w:val="%2"/>
      <w:numFmt w:val="lowerLetter"/>
      <w:start w:val="1"/>
    </w:lvl>
  </w:abstractNum>
  <w:abstractNum w:abstractNumId="70">
    <w:nsid w:val="6F6DD9AC"/>
    <w:multiLevelType w:val="hybridMultilevel"/>
    <w:lvl w:ilvl="0">
      <w:lvlJc w:val="left"/>
      <w:lvlText w:val="(%1)"/>
      <w:numFmt w:val="lowerRoman"/>
      <w:start w:val="5"/>
    </w:lvl>
  </w:abstractNum>
  <w:abstractNum w:abstractNumId="71">
    <w:nsid w:val="94211F2"/>
    <w:multiLevelType w:val="hybridMultilevel"/>
    <w:lvl w:ilvl="0">
      <w:lvlJc w:val="left"/>
      <w:lvlText w:val="(%1)"/>
      <w:numFmt w:val="lowerLetter"/>
      <w:start w:val="2"/>
    </w:lvl>
    <w:lvl w:ilvl="1">
      <w:lvlJc w:val="left"/>
      <w:lvlText w:val="(%2)"/>
      <w:numFmt w:val="lowerLetter"/>
      <w:start w:val="9"/>
    </w:lvl>
  </w:abstractNum>
  <w:abstractNum w:abstractNumId="72">
    <w:nsid w:val="885E1B"/>
    <w:multiLevelType w:val="hybridMultilevel"/>
    <w:lvl w:ilvl="0">
      <w:lvlJc w:val="left"/>
      <w:lvlText w:val="%1"/>
      <w:numFmt w:val="lowerLetter"/>
      <w:start w:val="1"/>
    </w:lvl>
    <w:lvl w:ilvl="1">
      <w:lvlJc w:val="left"/>
      <w:lvlText w:val="(%2)"/>
      <w:numFmt w:val="lowerRoman"/>
      <w:start w:val="2"/>
    </w:lvl>
  </w:abstractNum>
  <w:abstractNum w:abstractNumId="73">
    <w:nsid w:val="76272110"/>
    <w:multiLevelType w:val="hybridMultilevel"/>
    <w:lvl w:ilvl="0">
      <w:lvlJc w:val="left"/>
      <w:lvlText w:val="(%1)"/>
      <w:numFmt w:val="lowerLetter"/>
      <w:start w:val="3"/>
    </w:lvl>
    <w:lvl w:ilvl="1">
      <w:lvlJc w:val="left"/>
      <w:lvlText w:val="%2"/>
      <w:numFmt w:val="lowerRoman"/>
      <w:start w:val="1"/>
    </w:lvl>
  </w:abstractNum>
  <w:abstractNum w:abstractNumId="74">
    <w:nsid w:val="4C04A8AF"/>
    <w:multiLevelType w:val="hybridMultilevel"/>
    <w:lvl w:ilvl="0">
      <w:lvlJc w:val="left"/>
      <w:lvlText w:val="(%1)"/>
      <w:numFmt w:val="lowerLetter"/>
      <w:start w:val="1"/>
    </w:lvl>
  </w:abstractNum>
  <w:abstractNum w:abstractNumId="75">
    <w:nsid w:val="1716703B"/>
    <w:multiLevelType w:val="hybridMultilevel"/>
    <w:lvl w:ilvl="0">
      <w:lvlJc w:val="left"/>
      <w:lvlText w:val="(%1)"/>
      <w:numFmt w:val="lowerRoman"/>
      <w:start w:val="10"/>
    </w:lvl>
    <w:lvl w:ilvl="1">
      <w:lvlJc w:val="left"/>
      <w:lvlText w:val="%2."/>
      <w:numFmt w:val="decimal"/>
      <w:start w:val="6"/>
    </w:lvl>
  </w:abstractNum>
  <w:abstractNum w:abstractNumId="76">
    <w:nsid w:val="14E17E33"/>
    <w:multiLevelType w:val="hybridMultilevel"/>
    <w:lvl w:ilvl="0">
      <w:lvlJc w:val="left"/>
      <w:lvlText w:val="%1."/>
      <w:numFmt w:val="decimal"/>
      <w:start w:val="7"/>
    </w:lvl>
  </w:abstractNum>
  <w:abstractNum w:abstractNumId="77">
    <w:nsid w:val="3222E7CD"/>
    <w:multiLevelType w:val="hybridMultilevel"/>
    <w:lvl w:ilvl="0">
      <w:lvlJc w:val="left"/>
      <w:lvlText w:val="(%1)"/>
      <w:numFmt w:val="upperLetter"/>
      <w:start w:val="1"/>
    </w:lvl>
  </w:abstractNum>
  <w:abstractNum w:abstractNumId="78">
    <w:nsid w:val="74DE0EE3"/>
    <w:multiLevelType w:val="hybridMultilevel"/>
    <w:lvl w:ilvl="0">
      <w:lvlJc w:val="left"/>
      <w:lvlText w:val="(%1)"/>
      <w:numFmt w:val="lowerLetter"/>
      <w:start w:val="1"/>
    </w:lvl>
  </w:abstractNum>
  <w:abstractNum w:abstractNumId="79">
    <w:nsid w:val="68EBC550"/>
    <w:multiLevelType w:val="hybridMultilevel"/>
    <w:lvl w:ilvl="0">
      <w:lvlJc w:val="left"/>
      <w:lvlText w:val="(%1)"/>
      <w:numFmt w:val="lowerRoman"/>
      <w:start w:val="1"/>
    </w:lvl>
  </w:abstractNum>
  <w:abstractNum w:abstractNumId="80">
    <w:nsid w:val="2DF6D648"/>
    <w:multiLevelType w:val="hybridMultilevel"/>
    <w:lvl w:ilvl="0">
      <w:lvlJc w:val="left"/>
      <w:lvlText w:val="%1."/>
      <w:numFmt w:val="decimal"/>
      <w:start w:val="8"/>
    </w:lvl>
  </w:abstractNum>
  <w:abstractNum w:abstractNumId="81">
    <w:nsid w:val="46B7D447"/>
    <w:multiLevelType w:val="hybridMultilevel"/>
    <w:lvl w:ilvl="0">
      <w:lvlJc w:val="left"/>
      <w:lvlText w:val="(%1)"/>
      <w:numFmt w:val="lowerLetter"/>
      <w:start w:val="1"/>
    </w:lvl>
  </w:abstractNum>
  <w:abstractNum w:abstractNumId="82">
    <w:nsid w:val="4A2AC315"/>
    <w:multiLevelType w:val="hybridMultilevel"/>
    <w:lvl w:ilvl="0">
      <w:lvlJc w:val="left"/>
      <w:lvlText w:val="(%1)"/>
      <w:numFmt w:val="lowerLetter"/>
      <w:start w:val="1"/>
    </w:lvl>
  </w:abstractNum>
  <w:abstractNum w:abstractNumId="83">
    <w:nsid w:val="39EE015C"/>
    <w:multiLevelType w:val="hybridMultilevel"/>
    <w:lvl w:ilvl="0">
      <w:lvlJc w:val="left"/>
      <w:lvlText w:val="(%1)"/>
      <w:numFmt w:val="decimal"/>
      <w:start w:val="60"/>
    </w:lvl>
  </w:abstractNum>
  <w:abstractNum w:abstractNumId="84">
    <w:nsid w:val="57FC4FBB"/>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85">
    <w:nsid w:val="CC1016F"/>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86">
    <w:nsid w:val="43F18422"/>
    <w:multiLevelType w:val="hybridMultilevel"/>
    <w:lvl w:ilvl="0">
      <w:lvlJc w:val="left"/>
      <w:lvlText w:val="(%1)"/>
      <w:numFmt w:val="lowerLetter"/>
      <w:start w:val="2"/>
    </w:lvl>
  </w:abstractNum>
  <w:abstractNum w:abstractNumId="87">
    <w:nsid w:val="60EF0119"/>
    <w:multiLevelType w:val="hybridMultilevel"/>
    <w:lvl w:ilvl="0">
      <w:lvlJc w:val="left"/>
      <w:lvlText w:val="(%1)"/>
      <w:numFmt w:val="lowerLetter"/>
      <w:start w:val="3"/>
    </w:lvl>
  </w:abstractNum>
  <w:abstractNum w:abstractNumId="88">
    <w:nsid w:val="26F324BA"/>
    <w:multiLevelType w:val="hybridMultilevel"/>
    <w:lvl w:ilvl="0">
      <w:lvlJc w:val="left"/>
      <w:lvlText w:val="(%1)"/>
      <w:numFmt w:val="lowerLetter"/>
      <w:start w:val="2"/>
    </w:lvl>
  </w:abstractNum>
  <w:abstractNum w:abstractNumId="89">
    <w:nsid w:val="7F01579B"/>
    <w:multiLevelType w:val="hybridMultilevel"/>
    <w:lvl w:ilvl="0">
      <w:lvlJc w:val="left"/>
      <w:lvlText w:val="(%1)"/>
      <w:numFmt w:val="lowerLetter"/>
      <w:start w:val="4"/>
    </w:lvl>
  </w:abstractNum>
  <w:abstractNum w:abstractNumId="90">
    <w:nsid w:val="49DA307D"/>
    <w:multiLevelType w:val="hybridMultilevel"/>
    <w:lvl w:ilvl="0">
      <w:lvlJc w:val="left"/>
      <w:lvlText w:val="(%1)"/>
      <w:numFmt w:val="lowerRoman"/>
      <w:start w:val="10"/>
    </w:lvl>
  </w:abstractNum>
  <w:abstractNum w:abstractNumId="91">
    <w:nsid w:val="7055A5F5"/>
    <w:multiLevelType w:val="hybridMultilevel"/>
    <w:lvl w:ilvl="0">
      <w:lvlJc w:val="left"/>
      <w:lvlText w:val="%1."/>
      <w:numFmt w:val="decimal"/>
      <w:start w:val="10"/>
    </w:lvl>
  </w:abstractNum>
  <w:abstractNum w:abstractNumId="92">
    <w:nsid w:val="5FB8370B"/>
    <w:multiLevelType w:val="hybridMultilevel"/>
    <w:lvl w:ilvl="0">
      <w:lvlJc w:val="left"/>
      <w:lvlText w:val="%1."/>
      <w:numFmt w:val="decimal"/>
      <w:start w:val="11"/>
    </w:lvl>
  </w:abstractNum>
  <w:abstractNum w:abstractNumId="93">
    <w:nsid w:val="50801EE1"/>
    <w:multiLevelType w:val="hybridMultilevel"/>
    <w:lvl w:ilvl="0">
      <w:lvlJc w:val="left"/>
      <w:lvlText w:val="%1."/>
      <w:numFmt w:val="decimal"/>
      <w:start w:val="12"/>
    </w:lvl>
  </w:abstractNum>
  <w:abstractNum w:abstractNumId="94">
    <w:nsid w:val="488AC1A"/>
    <w:multiLevelType w:val="hybridMultilevel"/>
    <w:lvl w:ilvl="0">
      <w:lvlJc w:val="left"/>
      <w:lvlText w:val="(%1)"/>
      <w:numFmt w:val="lowerRoman"/>
      <w:start w:val="1"/>
    </w:lvl>
  </w:abstractNum>
  <w:abstractNum w:abstractNumId="95">
    <w:nsid w:val="5FB8011C"/>
    <w:multiLevelType w:val="hybridMultilevel"/>
    <w:lvl w:ilvl="0">
      <w:lvlJc w:val="left"/>
      <w:lvlText w:val="(%1)"/>
      <w:numFmt w:val="lowerLetter"/>
      <w:start w:val="1"/>
    </w:lvl>
  </w:abstractNum>
  <w:abstractNum w:abstractNumId="96">
    <w:nsid w:val="6AA78F7F"/>
    <w:multiLevelType w:val="hybridMultilevel"/>
    <w:lvl w:ilvl="0">
      <w:lvlJc w:val="left"/>
      <w:lvlText w:val="(%1)"/>
      <w:numFmt w:val="lowerLetter"/>
      <w:start w:val="5"/>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90" Type="http://schemas.openxmlformats.org/officeDocument/2006/relationships/hyperlink" Target="http://www.sec.gov/Archives/edgar/data/1459839/000119312518303020/d641574dex31.htm" TargetMode="External"/><Relationship Id="rId91" Type="http://schemas.openxmlformats.org/officeDocument/2006/relationships/hyperlink" Target="http://www.sec.gov/Archives/edgar/data/1459839/000119312518293978/d452987dex34.htm" TargetMode="External"/><Relationship Id="rId92" Type="http://schemas.openxmlformats.org/officeDocument/2006/relationships/hyperlink" Target="http://www.sec.gov/Archives/edgar/data/1459839/000119312518293978/d452987dex41.htm" TargetMode="External"/><Relationship Id="rId93" Type="http://schemas.openxmlformats.org/officeDocument/2006/relationships/hyperlink" Target="http://www.sec.gov/Archives/edgar/data/1459839/000145983920000047/exhibit43descriptionof.htm" TargetMode="External"/><Relationship Id="rId94" Type="http://schemas.openxmlformats.org/officeDocument/2006/relationships/hyperlink" Target="http://www.sec.gov/Archives/edgar/data/1459839/000145983920000067/exhibit101severanceb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2020-08-04T15:59:01Z</dcterms:created>
  <dcterms:modified xsi:type="dcterms:W3CDTF">2020-08-04T15:59:01Z</dcterms:modified>
</cp:coreProperties>
</file>