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quarterly period ended September 30,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001-38701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SI-BONE, INC. </w:t>
      </w:r>
    </w:p>
    <w:p>
      <w:pPr>
        <w:pStyle w:val="TextBody"/>
        <w:bidi w:val="0"/>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570" w:type="dxa"/>
        <w:jc w:val="center"/>
        <w:tblInd w:w="0" w:type="dxa"/>
        <w:tblLayout w:type="fixed"/>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tbl>
      <w:tblPr>
        <w:tblW w:w="5591"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 Santa Clara,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95050</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40" w:before="60" w:after="283"/>
        <w:jc w:val="center"/>
        <w:rPr/>
      </w:pPr>
      <w:r>
        <w:rPr>
          <w:color w:val="000000"/>
        </w:rPr>
        <w:t> </w:t>
      </w:r>
      <w:r>
        <w:rPr>
          <w:rFonts w:ascii="Times New Roman;sans-serif" w:hAnsi="Times New Roman;sans-serif"/>
          <w:b/>
          <w:color w:val="000000"/>
          <w:sz w:val="16"/>
        </w:rPr>
        <w:t>Registrant's telephone number, including area code</w:t>
      </w:r>
      <w:r>
        <w:rPr>
          <w:rFonts w:ascii="Times New Roman;sans-serif" w:hAnsi="Times New Roman;sans-serif"/>
          <w:b w:val="false"/>
          <w:color w:val="000000"/>
          <w:sz w:val="16"/>
        </w:rPr>
        <w:t xml:space="preserve">: </w:t>
      </w:r>
      <w:r>
        <w:rPr>
          <w:rFonts w:ascii="Times New Roman;sans-serif" w:hAnsi="Times New Roman;sans-serif"/>
          <w:b/>
          <w:color w:val="000000"/>
          <w:sz w:val="16"/>
        </w:rPr>
        <w:t>(408) 207-0700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before="0" w:after="0"/>
        <w:jc w:val="center"/>
        <w:rPr/>
      </w:pPr>
      <w:r>
        <w:rPr/>
      </w:r>
    </w:p>
    <w:p>
      <w:pPr>
        <w:pStyle w:val="TextBody"/>
        <w:bidi w:val="0"/>
        <w:spacing w:lineRule="auto" w:line="288" w:before="120" w:after="120"/>
        <w:jc w:val="center"/>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120" w:after="120"/>
        <w:jc w:val="center"/>
        <w:rPr>
          <w:color w:val="000000"/>
        </w:rPr>
      </w:pPr>
      <w:r>
        <w:rPr>
          <w:color w:val="000000"/>
        </w:rPr>
        <w:t> </w:t>
      </w:r>
    </w:p>
    <w:tbl>
      <w:tblPr>
        <w:tblW w:w="7290"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number of shares outstanding of the registrant’s Common Stock was 40,501,023 as of October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358" w:type="dxa"/>
        <w:jc w:val="center"/>
        <w:tblInd w:w="0" w:type="dxa"/>
        <w:tblLayout w:type="fixed"/>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3">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3">
              <w:r>
                <w:rPr>
                  <w:rStyle w:val="InternetLink"/>
                  <w:rFonts w:ascii="Times New Roman;sans-serif" w:hAnsi="Times New Roman;sans-serif"/>
                  <w:b w:val="false"/>
                  <w:color w:val="0000FF"/>
                  <w:sz w:val="20"/>
                  <w:u w:val="single"/>
                </w:rPr>
                <w:t xml:space="preserve">Financial Statements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3">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6">
              <w:r>
                <w:rPr>
                  <w:rStyle w:val="InternetLink"/>
                  <w:rFonts w:ascii="Times New Roman;sans-serif" w:hAnsi="Times New Roman;sans-serif"/>
                  <w:b w:val="false"/>
                  <w:color w:val="0000FF"/>
                  <w:sz w:val="20"/>
                  <w:u w:val="single"/>
                </w:rPr>
                <w:t>Condensed Consolidated Balance Sheets</w:t>
              </w:r>
            </w:hyperlink>
            <w:r>
              <w:rPr>
                <w:color w:val="000000"/>
              </w:rPr>
              <w:t xml:space="preserve"> </w:t>
            </w:r>
            <w:hyperlink w:anchor="ib6637069e80d4bcea8dd3a49c7a44407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6">
              <w:r>
                <w:rPr>
                  <w:rStyle w:val="InternetLink"/>
                  <w:rFonts w:ascii="Times New Roman;sans-serif" w:hAnsi="Times New Roman;sans-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6637069e80d4bcea8dd3a49c7a44407_19">
              <w:r>
                <w:rPr>
                  <w:rStyle w:val="InternetLink"/>
                  <w:rFonts w:ascii="Times New Roman;sans-serif" w:hAnsi="Times New Roman;sans-serif"/>
                  <w:b w:val="false"/>
                  <w:color w:val="0000FF"/>
                  <w:sz w:val="20"/>
                  <w:u w:val="single"/>
                </w:rPr>
                <w:t>Condensed Consolidated Statements of Operations and Comprehensive Loss</w:t>
              </w:r>
            </w:hyperlink>
            <w:r>
              <w:rPr>
                <w:color w:val="000000"/>
              </w:rPr>
              <w:t xml:space="preserve"> </w:t>
            </w:r>
            <w:hyperlink w:anchor="ib6637069e80d4bcea8dd3a49c7a44407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9">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22">
              <w:r>
                <w:rPr>
                  <w:rStyle w:val="InternetLink"/>
                  <w:rFonts w:ascii="Times New Roman;sans-serif" w:hAnsi="Times New Roman;sans-serif"/>
                  <w:b w:val="false"/>
                  <w:color w:val="0000FF"/>
                  <w:sz w:val="20"/>
                  <w:u w:val="single"/>
                </w:rPr>
                <w:t>Condensed Consolidated Statements of Changes in Stockholders' Equity</w:t>
              </w:r>
            </w:hyperlink>
            <w:r>
              <w:rPr>
                <w:color w:val="000000"/>
              </w:rPr>
              <w:t xml:space="preserve"> </w:t>
            </w:r>
            <w:hyperlink w:anchor="ib6637069e80d4bcea8dd3a49c7a44407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22">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25">
              <w:r>
                <w:rPr>
                  <w:rStyle w:val="InternetLink"/>
                  <w:rFonts w:ascii="Times New Roman;sans-serif" w:hAnsi="Times New Roman;sans-serif"/>
                  <w:b w:val="false"/>
                  <w:color w:val="0000FF"/>
                  <w:sz w:val="20"/>
                  <w:u w:val="single"/>
                </w:rPr>
                <w:t>Condensed Consolidated Statements of Cash Flows</w:t>
              </w:r>
            </w:hyperlink>
            <w:r>
              <w:rPr>
                <w:color w:val="000000"/>
              </w:rPr>
              <w:t xml:space="preserve"> </w:t>
            </w:r>
            <w:hyperlink w:anchor="ib6637069e80d4bcea8dd3a49c7a44407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25">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28">
              <w:r>
                <w:rPr>
                  <w:rStyle w:val="InternetLink"/>
                  <w:rFonts w:ascii="Times New Roman;sans-serif" w:hAnsi="Times New Roman;sans-serif"/>
                  <w:b w:val="false"/>
                  <w:color w:val="0000FF"/>
                  <w:sz w:val="20"/>
                  <w:u w:val="single"/>
                </w:rPr>
                <w:t>Notes to Condensed Consolidated Financial Statements</w:t>
              </w:r>
            </w:hyperlink>
            <w:r>
              <w:rPr>
                <w:color w:val="000000"/>
              </w:rPr>
              <w:t xml:space="preserve"> </w:t>
            </w:r>
            <w:hyperlink w:anchor="ib6637069e80d4bcea8dd3a49c7a44407_13">
              <w:r>
                <w:rPr>
                  <w:rStyle w:val="InternetLink"/>
                  <w:rFonts w:ascii="Times New Roman;sans-serif" w:hAnsi="Times New Roman;sans-serif"/>
                  <w:b w:val="false"/>
                  <w:color w:val="0000FF"/>
                  <w:sz w:val="20"/>
                  <w:u w:val="single"/>
                </w:rPr>
                <w:t>(Unaudited)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28">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64">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64">
              <w:r>
                <w:rPr>
                  <w:rStyle w:val="InternetLink"/>
                  <w:rFonts w:ascii="Times New Roman;sans-serif" w:hAnsi="Times New Roman;sans-serif"/>
                  <w:b w:val="false"/>
                  <w:color w:val="0000FF"/>
                  <w:sz w:val="20"/>
                  <w:u w:val="single"/>
                </w:rPr>
                <w:t>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00">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00">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00">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03">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03">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03">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09">
              <w:r>
                <w:rPr>
                  <w:rStyle w:val="InternetLink"/>
                  <w:rFonts w:ascii="Times New Roman;sans-serif" w:hAnsi="Times New Roman;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09">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09">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12">
              <w:r>
                <w:rPr>
                  <w:rStyle w:val="InternetLink"/>
                  <w:rFonts w:ascii="Times New Roman;sans-serif" w:hAnsi="Times New Roman;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12">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12">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15">
              <w:r>
                <w:rPr>
                  <w:rStyle w:val="InternetLink"/>
                  <w:rFonts w:ascii="Times New Roman;sans-serif" w:hAnsi="Times New Roman;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15">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15">
              <w:r>
                <w:rPr>
                  <w:rStyle w:val="InternetLink"/>
                  <w:rFonts w:ascii="Times New Roman;sans-serif" w:hAnsi="Times New Roman;sans-serif"/>
                  <w:b w:val="false"/>
                  <w:color w:val="0000FF"/>
                  <w:sz w:val="20"/>
                  <w:u w:val="single"/>
                </w:rPr>
                <w:t>70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18">
              <w:r>
                <w:rPr>
                  <w:rStyle w:val="InternetLink"/>
                  <w:rFonts w:ascii="Times New Roman;sans-serif" w:hAnsi="Times New Roman;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18">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18">
              <w:r>
                <w:rPr>
                  <w:rStyle w:val="InternetLink"/>
                  <w:rFonts w:ascii="Times New Roman;sans-serif" w:hAnsi="Times New Roman;sans-serif"/>
                  <w:b w:val="false"/>
                  <w:color w:val="0000FF"/>
                  <w:sz w:val="20"/>
                  <w:u w:val="single"/>
                </w:rPr>
                <w:t>70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21">
              <w:r>
                <w:rPr>
                  <w:rStyle w:val="InternetLink"/>
                  <w:rFonts w:ascii="Times New Roman;sans-serif" w:hAnsi="Times New Roman;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21">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21">
              <w:r>
                <w:rPr>
                  <w:rStyle w:val="InternetLink"/>
                  <w:rFonts w:ascii="Times New Roman;sans-serif" w:hAnsi="Times New Roman;sans-serif"/>
                  <w:b w:val="false"/>
                  <w:color w:val="0000FF"/>
                  <w:sz w:val="20"/>
                  <w:u w:val="single"/>
                </w:rPr>
                <w:t>70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24">
              <w:r>
                <w:rPr>
                  <w:rStyle w:val="InternetLink"/>
                  <w:rFonts w:ascii="Times New Roman;sans-serif" w:hAnsi="Times New Roman;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24">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24">
              <w:r>
                <w:rPr>
                  <w:rStyle w:val="InternetLink"/>
                  <w:rFonts w:ascii="Times New Roman;sans-serif" w:hAnsi="Times New Roman;sans-serif"/>
                  <w:b w:val="false"/>
                  <w:color w:val="0000FF"/>
                  <w:sz w:val="20"/>
                  <w:u w:val="single"/>
                </w:rPr>
                <w:t>70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27">
              <w:r>
                <w:rPr>
                  <w:rStyle w:val="InternetLink"/>
                  <w:rFonts w:ascii="Times New Roman;sans-serif" w:hAnsi="Times New Roman;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27">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27">
              <w:r>
                <w:rPr>
                  <w:rStyle w:val="InternetLink"/>
                  <w:rFonts w:ascii="Times New Roman;sans-serif" w:hAnsi="Times New Roman;sans-serif"/>
                  <w:b w:val="false"/>
                  <w:color w:val="0000FF"/>
                  <w:sz w:val="20"/>
                  <w:u w:val="single"/>
                </w:rPr>
                <w:t>71</w:t>
              </w:r>
            </w:hyperlink>
          </w:p>
        </w:tc>
      </w:tr>
      <w:tr>
        <w:trPr/>
        <w:tc>
          <w:tcPr>
            <w:tcW w:w="88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6637069e80d4bcea8dd3a49c7a44407_130">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637069e80d4bcea8dd3a49c7a44407_130">
              <w:r>
                <w:rPr>
                  <w:rStyle w:val="InternetLink"/>
                  <w:rFonts w:ascii="Times New Roman;sans-serif" w:hAnsi="Times New Roman;sans-serif"/>
                  <w:b w:val="false"/>
                  <w:color w:val="0000FF"/>
                  <w:sz w:val="20"/>
                  <w:u w:val="single"/>
                </w:rPr>
                <w:t>72</w:t>
              </w:r>
            </w:hyperlink>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of our market opportunities;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and results from clinical and other trials;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timing of regulatory filings and feedback;</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competition in the markets we serve;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sustain or increase demand for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access capital markets;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fund our working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factors that may impact our financial results;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bidi w:val="0"/>
        <w:spacing w:before="180" w:after="283"/>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76"/>
        <w:gridCol w:w="2183"/>
        <w:gridCol w:w="2106"/>
        <w:gridCol w:w="257"/>
        <w:gridCol w:w="1009"/>
        <w:gridCol w:w="132"/>
        <w:gridCol w:w="109"/>
        <w:gridCol w:w="109"/>
        <w:gridCol w:w="109"/>
        <w:gridCol w:w="249"/>
        <w:gridCol w:w="979"/>
        <w:gridCol w:w="187"/>
      </w:tblGrid>
      <w:tr>
        <w:trPr/>
        <w:tc>
          <w:tcPr>
            <w:tcW w:w="2776"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$750 and $400, respectively</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211,019 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230,878 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40,377,691 and 34,731,577 shares issued and outstanding, respectively</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230,878 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28"/>
        <w:gridCol w:w="1042"/>
        <w:gridCol w:w="964"/>
        <w:gridCol w:w="240"/>
        <w:gridCol w:w="841"/>
        <w:gridCol w:w="109"/>
        <w:gridCol w:w="109"/>
        <w:gridCol w:w="109"/>
        <w:gridCol w:w="109"/>
        <w:gridCol w:w="240"/>
        <w:gridCol w:w="841"/>
        <w:gridCol w:w="109"/>
        <w:gridCol w:w="109"/>
        <w:gridCol w:w="109"/>
        <w:gridCol w:w="109"/>
        <w:gridCol w:w="109"/>
        <w:gridCol w:w="109"/>
        <w:gridCol w:w="145"/>
        <w:gridCol w:w="145"/>
        <w:gridCol w:w="312"/>
        <w:gridCol w:w="1105"/>
        <w:gridCol w:w="145"/>
        <w:gridCol w:w="109"/>
        <w:gridCol w:w="109"/>
        <w:gridCol w:w="109"/>
        <w:gridCol w:w="240"/>
        <w:gridCol w:w="841"/>
        <w:gridCol w:w="159"/>
      </w:tblGrid>
      <w:tr>
        <w:trPr/>
        <w:tc>
          <w:tcPr>
            <w:tcW w:w="152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567" w:type="dxa"/>
            <w:gridSpan w:val="6"/>
            <w:tcBorders/>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(32,229)</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(50,276)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40,265,520 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34,356,850 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37,702,207 </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34,069,357 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43"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48"/>
        <w:gridCol w:w="111"/>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34,731,577 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35,106,163</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461,886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(368,230)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93,959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from public offerings, net of underwriting discounts, commissions and offering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4,068,497 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warrant,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40,087,765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556,541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298</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(379,436)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177,407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40,377,691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562,698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356</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(389,458)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173,600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10343"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547"/>
        <w:gridCol w:w="549"/>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48"/>
        <w:gridCol w:w="111"/>
        <w:gridCol w:w="109"/>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33,674,085 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33,872,363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435,590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122,438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34,221,614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442,570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(331,772)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110,833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34,439,309</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(345,930)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102,828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29" w:type="dxa"/>
        <w:jc w:val="center"/>
        <w:tblInd w:w="0" w:type="dxa"/>
        <w:tblLayout w:type="fixed"/>
        <w:tblCellMar>
          <w:top w:w="28" w:type="dxa"/>
          <w:left w:w="28" w:type="dxa"/>
          <w:bottom w:w="28" w:type="dxa"/>
          <w:right w:w="28" w:type="dxa"/>
        </w:tblCellMar>
      </w:tblPr>
      <w:tblGrid>
        <w:gridCol w:w="2104"/>
        <w:gridCol w:w="1846"/>
        <w:gridCol w:w="1855"/>
        <w:gridCol w:w="196"/>
        <w:gridCol w:w="721"/>
        <w:gridCol w:w="109"/>
        <w:gridCol w:w="109"/>
        <w:gridCol w:w="109"/>
        <w:gridCol w:w="109"/>
        <w:gridCol w:w="196"/>
        <w:gridCol w:w="721"/>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credit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of discount and premium on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public offering, net of discounts, commissions and offering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 financing</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 financing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exercise of stock options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and cash equivalents at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information</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Unpaid purchases of property and equipment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The Company and Nature of Business</w:t>
      </w:r>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 The second generation iFuse implant, iFuse-3D, was introduced in 2017 followed by iFuse-TORQ in 2021 and iFuse Bedrock Granite in 2022.</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the Company received a total of $83.7 million of net proceeds after deducting the underwriting discounts and commissions from the offering of 3,775,000 shares of the Company’s common stock and the exercise of underwriter's option to purchase from the Company an additional 566,250 shares of the Company's common stock, at a public offering price of $22.00 per share. Of these shares, 272,753 shares were offered by a selling stockholder, and the Company did not receive any proceeds from the sale by the selling stockholder.</w:t>
      </w:r>
    </w:p>
    <w:p>
      <w:pPr>
        <w:pStyle w:val="TextBody"/>
        <w:bidi w:val="0"/>
        <w:spacing w:lineRule="auto" w:line="288" w:before="18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bidi w:val="0"/>
        <w:spacing w:lineRule="auto" w:line="268" w:before="0" w:after="0"/>
        <w:ind w:left="0" w:right="0" w:firstLine="495"/>
        <w:jc w:val="both"/>
        <w:rPr/>
      </w:pPr>
      <w:r>
        <w:rPr>
          <w:rFonts w:ascii="Times New Roman;sans-serif" w:hAnsi="Times New Roman;sans-serif"/>
          <w:b w:val="false"/>
          <w:color w:val="000000"/>
          <w:sz w:val="20"/>
        </w:rPr>
        <w:t>The Company is subject to uncertainties related to liquidity, the ability to meet covenants and access to funding for its capital needs as the financial service industry has experienced disruptions characterized by the bankruptcy, failure, collapse or sale of various financial institutions. The Company’s cash and cash equivalents are primarily invested in deposits and money market accounts with two major financial institutions in the U.S. Deposits in these banks may exceed the federally insured limits or any other insurance provided on such deposits, if any. The Company had accounts with Silicon Valley Bank (“SVB”). On March 10, 2023, California regulators shut down SVB and the FDIC was appointed as SVB’s receiver. On March 26, 2023, the FDIC announced that it had entered into a purchase and assumption agreement with First-Citizens Bank &amp; Trust Company (“First-Citizens”) under which all deposits of the former Silicon Valley Bank were assumed by First-Citizens.</w:t>
      </w:r>
      <w:r>
        <w:rPr>
          <w:color w:val="000000"/>
        </w:rPr>
        <w:t xml:space="preserve"> </w:t>
      </w:r>
      <w:r>
        <w:rPr>
          <w:rFonts w:ascii="Times New Roman;sans-serif" w:hAnsi="Times New Roman;sans-serif"/>
          <w:b w:val="false"/>
          <w:color w:val="000000"/>
          <w:sz w:val="20"/>
        </w:rPr>
        <w:t>First-Citizens acquired the rights as lender under the Company’s Loan and Security Agreement as amended. To date, the Company has not experienced any losses on its deposits of cash, cash equivalents and marketable securities and continues to have access to these funds.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future results of operations and liquidity could be adversely impacted by a variety of factors including those discussed in the section titled "Risk Factors" in this report. As of the date of issuance of these condensed consolidated financial statements, the extent to which the current macroeconomic environment may materially impact the Company's financial condition, liquidity, or results of operations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2022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and nine months ended September 30, 2023 are not necessarily indicative of the results to be expected for the year ending December 31, 2023 or for any other interim period or for any other future year.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should be read in conjunction with the audited financial statements and related notes thereto for the year ended December 31, 2022 contained in the Company’s Annual Report on Form 10-K filed with the SEC on March 2, 2023.</w:t>
      </w:r>
    </w:p>
    <w:p>
      <w:pPr>
        <w:pStyle w:val="TextBody"/>
        <w:bidi w:val="0"/>
        <w:spacing w:lineRule="auto" w:line="288" w:before="180" w:after="24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Significant Accounting Policies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Company’s Annual Report on Form 10-K for the year ended December 31, 2022. The Company updated the accounting policies related to the property and equipment and revenue recognition, as follows:</w:t>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Property and Equipment </w:t>
      </w:r>
    </w:p>
    <w:p>
      <w:pPr>
        <w:pStyle w:val="TextBody"/>
        <w:bidi w:val="0"/>
        <w:spacing w:lineRule="auto" w:line="268" w:before="0" w:after="0"/>
        <w:jc w:val="both"/>
        <w:rPr/>
      </w:pPr>
      <w:r>
        <w:rPr>
          <w:rFonts w:ascii="Times New Roman;sans-serif" w:hAnsi="Times New Roman;sans-serif"/>
          <w:b w:val="false"/>
          <w:color w:val="000000"/>
          <w:sz w:val="20"/>
        </w:rPr>
        <w:t xml:space="preserve">Construction in progress includes assets that have not yet been placed into service including the cost of individual components of an instrument tray. Once an instrument tray is placed into service, the Company transfers its carrying value into machinery and equipment and begins depreciating the cost of the instrument tray over its useful life. </w:t>
      </w:r>
      <w:r>
        <w:rPr>
          <w:rFonts w:ascii="Times New Roman;sans-serif" w:hAnsi="Times New Roman;sans-serif"/>
          <w:b w:val="false"/>
          <w:color w:val="000000"/>
          <w:sz w:val="20"/>
          <w:shd w:fill="FFFFFF" w:val="clear"/>
        </w:rPr>
        <w:t>Leasehold improvements are amortized over the lesser of their useful lives or the life of the lease.</w:t>
      </w:r>
      <w:r>
        <w:rPr>
          <w:color w:val="000000"/>
        </w:rPr>
        <w:t xml:space="preserve"> </w:t>
      </w:r>
      <w:r>
        <w:rPr>
          <w:rFonts w:ascii="Times New Roman;sans-serif" w:hAnsi="Times New Roman;sans-serif"/>
          <w:b w:val="false"/>
          <w:color w:val="000000"/>
          <w:sz w:val="20"/>
          <w:shd w:fill="FFFFFF" w:val="clear"/>
        </w:rPr>
        <w:t>Upon the sale or retirement of these assets, the cost and related accumulated depreciation are removed from the consolidated balance sheet and the resulting gain or loss is recognized in the consolidated statement of operations. Maintenance and repairs are charged to operations as incurred.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Recognition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derived from the sale of its products to medical groups and hospitals through its direct sales force and third-party sales agents and resellers throughout the U.S. and Europe. The Company receives payment for its implants consumed during the surgery and does not receive additional or separate consideration for the use of the instrument tray furnished by the Company for the surgeon’s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pStyle w:val="TextBody"/>
        <w:bidi w:val="0"/>
        <w:spacing w:before="0" w:after="0"/>
        <w:jc w:val="both"/>
        <w:rPr/>
      </w:pPr>
      <w:r>
        <w:rPr/>
      </w:r>
    </w:p>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80" w:after="240"/>
        <w:ind w:left="0" w:right="0" w:firstLine="495"/>
        <w:jc w:val="both"/>
        <w:rPr/>
      </w:pPr>
      <w:r>
        <w:rPr>
          <w:rFonts w:ascii="Times New Roman;sans-serif" w:hAnsi="Times New Roman;sans-serif"/>
          <w:b w:val="false"/>
          <w:color w:val="000000"/>
          <w:sz w:val="20"/>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r>
        <w:rPr>
          <w:rFonts w:ascii="Times New Roman;sans-serif" w:hAnsi="Times New Roman;sans-serif"/>
          <w:b w:val="false"/>
          <w:color w:val="008080"/>
          <w:sz w:val="24"/>
        </w:rPr>
        <w: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tbl>
      <w:tblPr>
        <w:tblW w:w="8027" w:type="dxa"/>
        <w:jc w:val="left"/>
        <w:tblInd w:w="0" w:type="dxa"/>
        <w:tblLayout w:type="fixed"/>
        <w:tblCellMar>
          <w:top w:w="28" w:type="dxa"/>
          <w:left w:w="28" w:type="dxa"/>
          <w:bottom w:w="28" w:type="dxa"/>
          <w:right w:w="28" w:type="dxa"/>
        </w:tblCellMar>
      </w:tblPr>
      <w:tblGrid>
        <w:gridCol w:w="435"/>
        <w:gridCol w:w="381"/>
        <w:gridCol w:w="383"/>
        <w:gridCol w:w="253"/>
        <w:gridCol w:w="866"/>
        <w:gridCol w:w="131"/>
        <w:gridCol w:w="131"/>
        <w:gridCol w:w="131"/>
        <w:gridCol w:w="131"/>
        <w:gridCol w:w="253"/>
        <w:gridCol w:w="866"/>
        <w:gridCol w:w="131"/>
        <w:gridCol w:w="109"/>
        <w:gridCol w:w="109"/>
        <w:gridCol w:w="109"/>
        <w:gridCol w:w="109"/>
        <w:gridCol w:w="109"/>
        <w:gridCol w:w="109"/>
        <w:gridCol w:w="235"/>
        <w:gridCol w:w="921"/>
        <w:gridCol w:w="121"/>
        <w:gridCol w:w="121"/>
        <w:gridCol w:w="121"/>
        <w:gridCol w:w="121"/>
        <w:gridCol w:w="235"/>
        <w:gridCol w:w="804"/>
        <w:gridCol w:w="121"/>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7"/>
            <w:tcBorders/>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recently issued accounting standards are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before="0" w:after="0"/>
        <w:ind w:left="0" w:right="0" w:firstLine="540"/>
        <w:jc w:val="both"/>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marketable securities:</w:t>
      </w:r>
    </w:p>
    <w:tbl>
      <w:tblPr>
        <w:tblW w:w="9302" w:type="dxa"/>
        <w:jc w:val="left"/>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113,261 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152,021 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03" w:type="dxa"/>
        <w:jc w:val="center"/>
        <w:tblInd w:w="0" w:type="dxa"/>
        <w:tblLayout w:type="fixed"/>
        <w:tblCellMar>
          <w:top w:w="28" w:type="dxa"/>
          <w:left w:w="28" w:type="dxa"/>
          <w:bottom w:w="28" w:type="dxa"/>
          <w:right w:w="28" w:type="dxa"/>
        </w:tblCellMar>
      </w:tblPr>
      <w:tblGrid>
        <w:gridCol w:w="834"/>
        <w:gridCol w:w="735"/>
        <w:gridCol w:w="740"/>
        <w:gridCol w:w="267"/>
        <w:gridCol w:w="914"/>
        <w:gridCol w:w="138"/>
        <w:gridCol w:w="109"/>
        <w:gridCol w:w="109"/>
        <w:gridCol w:w="109"/>
        <w:gridCol w:w="413"/>
        <w:gridCol w:w="796"/>
        <w:gridCol w:w="215"/>
        <w:gridCol w:w="109"/>
        <w:gridCol w:w="109"/>
        <w:gridCol w:w="109"/>
        <w:gridCol w:w="391"/>
        <w:gridCol w:w="892"/>
        <w:gridCol w:w="202"/>
        <w:gridCol w:w="109"/>
        <w:gridCol w:w="109"/>
        <w:gridCol w:w="109"/>
        <w:gridCol w:w="347"/>
        <w:gridCol w:w="1185"/>
        <w:gridCol w:w="253"/>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nine months ended September 30, 2023 and 2022,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September 30, 2023 and December 31, 2022.</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present accrued interest receivable separately from short-term and long-term investments on its condensed consolidated balance sheets. Accrued interest receivable was $0.1 million as of September 30, 2023,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September 30, 2023 or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 of the Company’s marketable securities measured at fair value on a recurring basis based on the three-tier fair value hierarchy:</w:t>
      </w:r>
    </w:p>
    <w:tbl>
      <w:tblPr>
        <w:tblW w:w="7394"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inventory consisted of finished goods of $20.4 million and work-in-progress of $1.9 million. As of December 31, 2022, inventory consisted of finished goods of $15.6 million and work-in-progress and components of $1.7 million.</w:t>
      </w:r>
    </w:p>
    <w:p>
      <w:pPr>
        <w:pStyle w:val="TextBody"/>
        <w:bidi w:val="0"/>
        <w:spacing w:lineRule="auto" w:line="288" w:before="240" w:after="180"/>
        <w:ind w:left="0" w:right="0" w:firstLine="495"/>
        <w:jc w:val="left"/>
        <w:rPr/>
      </w:pPr>
      <w:r>
        <w:rPr>
          <w:rFonts w:ascii="Times New Roman;sans-serif" w:hAnsi="Times New Roman;sans-serif"/>
          <w:b/>
          <w:i/>
          <w:color w:val="000000"/>
          <w:sz w:val="20"/>
        </w:rPr>
        <w:t>Property and Equipment, net:</w:t>
      </w:r>
      <w:r>
        <w:rPr>
          <w:color w:val="000000"/>
        </w:rPr>
        <w:t>    </w:t>
      </w:r>
    </w:p>
    <w:tbl>
      <w:tblPr>
        <w:tblW w:w="7677" w:type="dxa"/>
        <w:jc w:val="left"/>
        <w:tblInd w:w="0" w:type="dxa"/>
        <w:tblLayout w:type="fixed"/>
        <w:tblCellMar>
          <w:top w:w="28" w:type="dxa"/>
          <w:left w:w="28" w:type="dxa"/>
          <w:bottom w:w="28" w:type="dxa"/>
          <w:right w:w="28" w:type="dxa"/>
        </w:tblCellMar>
      </w:tblPr>
      <w:tblGrid>
        <w:gridCol w:w="1505"/>
        <w:gridCol w:w="1321"/>
        <w:gridCol w:w="1329"/>
        <w:gridCol w:w="325"/>
        <w:gridCol w:w="1112"/>
        <w:gridCol w:w="168"/>
        <w:gridCol w:w="109"/>
        <w:gridCol w:w="109"/>
        <w:gridCol w:w="109"/>
        <w:gridCol w:w="309"/>
        <w:gridCol w:w="1056"/>
        <w:gridCol w:w="225"/>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 </w:t>
            </w:r>
            <w:r>
              <w:rPr>
                <w:rFonts w:ascii="Times New Roman;sans-serif" w:hAnsi="Times New Roman;sans-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Surgical equipment and instrument trays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color w:val="000000"/>
        </w:rPr>
      </w:pPr>
      <w:r>
        <w:rPr>
          <w:color w:val="000000"/>
        </w:rPr>
        <w:t>            </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construction in progress pertains to the cost of individual components of an instrument tray used for surgical placement of the Company's products that have not yet been placed into service of $3.4 million and software costs of $0.1 million. Depreciation expense was $1.5 million and $0.9 million for the three months ended September 30, 2023 and 2022, respectively. Depreciation expense was $3.9 million and $2.4 million for the nine months ended September 30, 2023 and 2022, respectively.</w:t>
      </w:r>
    </w:p>
    <w:p>
      <w:pPr>
        <w:pStyle w:val="TextBody"/>
        <w:bidi w:val="0"/>
        <w:spacing w:lineRule="auto" w:line="288" w:before="240" w:after="180"/>
        <w:ind w:left="0" w:right="0" w:firstLine="495"/>
        <w:jc w:val="left"/>
        <w:rPr/>
      </w:pPr>
      <w:r>
        <w:rPr>
          <w:rFonts w:ascii="Times New Roman;sans-serif" w:hAnsi="Times New Roman;sans-serif"/>
          <w:b/>
          <w:i/>
          <w:color w:val="000000"/>
          <w:sz w:val="20"/>
          <w:shd w:fill="FFFFFF" w:val="clear"/>
        </w:rPr>
        <w:t>Accrued Liabilities and Other</w:t>
      </w:r>
      <w:r>
        <w:rPr>
          <w:rFonts w:ascii="Times New Roman;sans-serif" w:hAnsi="Times New Roman;sans-serif"/>
          <w:b w:val="false"/>
          <w:color w:val="000000"/>
          <w:sz w:val="20"/>
          <w:shd w:fill="FFFFFF" w:val="clear"/>
        </w:rPr>
        <w:t>:</w:t>
      </w:r>
    </w:p>
    <w:tbl>
      <w:tblPr>
        <w:tblW w:w="7227" w:type="dxa"/>
        <w:jc w:val="left"/>
        <w:tblInd w:w="0" w:type="dxa"/>
        <w:tblLayout w:type="fixed"/>
        <w:tblCellMar>
          <w:top w:w="28" w:type="dxa"/>
          <w:left w:w="28" w:type="dxa"/>
          <w:bottom w:w="28" w:type="dxa"/>
          <w:right w:w="28" w:type="dxa"/>
        </w:tblCellMar>
      </w:tblPr>
      <w:tblGrid>
        <w:gridCol w:w="1343"/>
        <w:gridCol w:w="1178"/>
        <w:gridCol w:w="1184"/>
        <w:gridCol w:w="325"/>
        <w:gridCol w:w="1112"/>
        <w:gridCol w:w="168"/>
        <w:gridCol w:w="109"/>
        <w:gridCol w:w="109"/>
        <w:gridCol w:w="109"/>
        <w:gridCol w:w="309"/>
        <w:gridCol w:w="1056"/>
        <w:gridCol w:w="225"/>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royalty</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Accrued professional services </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bidi w:val="0"/>
        <w:spacing w:lineRule="auto" w:line="288" w:before="180" w:after="18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movement in the allowance for credit losses was as follows:</w:t>
      </w:r>
    </w:p>
    <w:tbl>
      <w:tblPr>
        <w:tblW w:w="6160" w:type="dxa"/>
        <w:jc w:val="left"/>
        <w:tblInd w:w="0" w:type="dxa"/>
        <w:tblLayout w:type="fixed"/>
        <w:tblCellMar>
          <w:top w:w="28" w:type="dxa"/>
          <w:left w:w="28" w:type="dxa"/>
          <w:bottom w:w="28" w:type="dxa"/>
          <w:right w:w="28" w:type="dxa"/>
        </w:tblCellMar>
      </w:tblPr>
      <w:tblGrid>
        <w:gridCol w:w="956"/>
        <w:gridCol w:w="840"/>
        <w:gridCol w:w="843"/>
        <w:gridCol w:w="429"/>
        <w:gridCol w:w="950"/>
        <w:gridCol w:w="225"/>
        <w:gridCol w:w="109"/>
        <w:gridCol w:w="109"/>
        <w:gridCol w:w="109"/>
        <w:gridCol w:w="402"/>
        <w:gridCol w:w="891"/>
        <w:gridCol w:w="297"/>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non-cancelable operating lease for an office building space, located in Santa Clara, California which expires in May 2025 and a building used for research and development and warehouse space in Santa Clara, California which expires in October 2026. The Company also has a non-cancelable operating lease for its office building spaces in Gallarate, Italy which expires in August 2027.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leases vehicles under operating lease arrangements for certain of its personnel in Europe which expire at various times throughout 2023 to 2027.</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shd w:fill="FFFFFF" w:val="clear"/>
        </w:rPr>
        <w:t>Supplemental information related to lease expense and valuation of the lease assets and lease liabilit</w:t>
      </w:r>
      <w:r>
        <w:rPr>
          <w:rFonts w:ascii="Times New Roman;sans-serif" w:hAnsi="Times New Roman;sans-serif"/>
          <w:b w:val="false"/>
          <w:color w:val="000000"/>
          <w:sz w:val="20"/>
        </w:rPr>
        <w:t>ies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4"/>
        <w:gridCol w:w="1390"/>
        <w:gridCol w:w="1399"/>
        <w:gridCol w:w="496"/>
        <w:gridCol w:w="419"/>
        <w:gridCol w:w="422"/>
        <w:gridCol w:w="140"/>
        <w:gridCol w:w="140"/>
        <w:gridCol w:w="140"/>
        <w:gridCol w:w="472"/>
        <w:gridCol w:w="400"/>
        <w:gridCol w:w="404"/>
        <w:gridCol w:w="109"/>
        <w:gridCol w:w="109"/>
        <w:gridCol w:w="109"/>
        <w:gridCol w:w="277"/>
        <w:gridCol w:w="285"/>
        <w:gridCol w:w="286"/>
        <w:gridCol w:w="135"/>
        <w:gridCol w:w="135"/>
        <w:gridCol w:w="135"/>
        <w:gridCol w:w="277"/>
        <w:gridCol w:w="285"/>
        <w:gridCol w:w="286"/>
        <w:gridCol w:w="109"/>
        <w:gridCol w:w="162"/>
      </w:tblGrid>
      <w:tr>
        <w:trPr/>
        <w:tc>
          <w:tcPr>
            <w:tcW w:w="16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p>
            <w:pPr>
              <w:pStyle w:val="TableContents"/>
              <w:bidi w:val="0"/>
              <w:spacing w:before="0" w:after="0"/>
              <w:jc w:val="left"/>
              <w:rPr/>
            </w:pPr>
            <w:r>
              <w:rPr/>
            </w:r>
          </w:p>
        </w:tc>
        <w:tc>
          <w:tcPr>
            <w:tcW w:w="4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September 30, 2023 was as follows:</w:t>
      </w:r>
    </w:p>
    <w:tbl>
      <w:tblPr>
        <w:tblW w:w="3929" w:type="dxa"/>
        <w:jc w:val="left"/>
        <w:tblInd w:w="0" w:type="dxa"/>
        <w:tblLayout w:type="fixed"/>
        <w:tblCellMar>
          <w:top w:w="28" w:type="dxa"/>
          <w:left w:w="28" w:type="dxa"/>
          <w:bottom w:w="28" w:type="dxa"/>
          <w:right w:w="28" w:type="dxa"/>
        </w:tblCellMar>
      </w:tblPr>
      <w:tblGrid>
        <w:gridCol w:w="960"/>
        <w:gridCol w:w="846"/>
        <w:gridCol w:w="848"/>
        <w:gridCol w:w="274"/>
        <w:gridCol w:w="801"/>
        <w:gridCol w:w="200"/>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no operating lease liabilities that had not commenced.</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certain purchase commitments related to its inventory management with certain manufacturing suppliers wherein the Company is required to purchase the amounts forecasted in a blanket purchase order. The contractual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represent future cash commitments and liabilities under agreements with third parties and exclude orders for goods and services entered into in the normal course of business that are not enforceable or legally binding. These outstanding commitments amounted to $0.4 million and $0.8 million as of September 30, 2023 and December 31, 2022, respectively.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8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borrowings from the term loan as of periods presented:</w:t>
      </w:r>
    </w:p>
    <w:tbl>
      <w:tblPr>
        <w:tblW w:w="9881" w:type="dxa"/>
        <w:jc w:val="left"/>
        <w:tblInd w:w="0" w:type="dxa"/>
        <w:tblLayout w:type="fixed"/>
        <w:tblCellMar>
          <w:top w:w="28" w:type="dxa"/>
          <w:left w:w="28" w:type="dxa"/>
          <w:bottom w:w="28" w:type="dxa"/>
          <w:right w:w="28" w:type="dxa"/>
        </w:tblCellMar>
      </w:tblPr>
      <w:tblGrid>
        <w:gridCol w:w="2303"/>
        <w:gridCol w:w="2025"/>
        <w:gridCol w:w="2031"/>
        <w:gridCol w:w="325"/>
        <w:gridCol w:w="1112"/>
        <w:gridCol w:w="168"/>
        <w:gridCol w:w="109"/>
        <w:gridCol w:w="109"/>
        <w:gridCol w:w="109"/>
        <w:gridCol w:w="309"/>
        <w:gridCol w:w="1056"/>
        <w:gridCol w:w="225"/>
      </w:tblGrid>
      <w:tr>
        <w:trPr/>
        <w:tc>
          <w:tcPr>
            <w:tcW w:w="230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 and final fee</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Unaccreted value of final fee</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net of debt issuance costs and unaccreted value of final fee</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3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36,022 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entered into by the Company with Silicon Valley Bank (“SVB”). Pursuant the agreement, SVB provided an aggregate principal amount of $35.0 million to the Company (the “SVB Term Loan”). </w:t>
      </w:r>
    </w:p>
    <w:p>
      <w:pPr>
        <w:pStyle w:val="TextBody"/>
        <w:bidi w:val="0"/>
        <w:spacing w:lineRule="auto" w:line="288" w:before="180" w:after="283"/>
        <w:ind w:left="0" w:right="0" w:firstLine="495"/>
        <w:jc w:val="both"/>
        <w:rPr/>
      </w:pPr>
      <w:r>
        <w:rPr>
          <w:rFonts w:ascii="Times New Roman;sans-serif" w:hAnsi="Times New Roman;sans-serif"/>
          <w:b w:val="false"/>
          <w:color w:val="000000"/>
          <w:sz w:val="20"/>
        </w:rPr>
        <w:t>On January 6, 2023, the Company entered into a First Amendment to Loan and Security Agreement (the “Amendment”) with SVB, which amended the Company's SVB Term Loan pursuant to which the Company had a term loan facility in an aggregate principal amount of $35.0 million (the “Original Loan Agreement” and with the Amendment, collectively the “Amended Loan Agreement”). Upon entry into the Amended Loan Agreement, the Company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“Revolver”). On March 14, 2023 all of SVB’s assets and liabilities, including all of SVB’s rights as the lender pursuant to the Amended Loan Agreement, were assigned to Silicon Valley Bridge Bank.</w:t>
      </w:r>
      <w:r>
        <w:rPr>
          <w:color w:val="000000"/>
        </w:rPr>
        <w:t xml:space="preserve"> </w:t>
      </w:r>
      <w:r>
        <w:rPr>
          <w:rFonts w:ascii="Times New Roman;sans-serif" w:hAnsi="Times New Roman;sans-serif"/>
          <w:b w:val="false"/>
          <w:color w:val="000000"/>
          <w:sz w:val="20"/>
        </w:rPr>
        <w:t xml:space="preserve">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the Company’s request. The Term Loan matures on December 1, 2027 (the “Term Loan Maturity Date”). Interest on the Term Loan will be payable monthly at a floating annual rate set at the greater of the prime rate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published in the Wall Street Journal plus 0.5% or 6.75%. Commencing on July 1, 2025, the Company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“Revolver Maturity Date”).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the Company does not maintain an adjusted quick ratio of at least 1.5 to 1.0, then falling below such threshold will allow First-Citizens to apply accounts receivable collections to outstanding Revolver borrowings. The Company will pay a total commitment fee of $187,500 on account of the Revolver payable in installments, but fully earned at close. The Company will also be required to pay a fee of $150,000 if it terminates the Amended Loan Agreement or Revolver prior to Revolver Maturity Date. No termination fee would be due if the Revolver is replaced with a new facility with First-Citizens. No amounts were outstanding under the Revolver as of September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Amended Loan Agreement as a debt modification. Accordingly, the remaining unamortized debt issuance costs related to the Original Loan Agreement together with any lender fees incurred in connection with the entry of the Amended Loan Agreement are amortized to interest expense using the straight-line method over the new term of the loan through December 2027.</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related to the First-Citizens Term Loan for the three and nine months ended September 30, 2023 was 9.3% and 8.9%, respectively. The effective interest rate related to the SVB Term Loan for the three and nine months ended September 30, 2022 was 8.3% and 7.1%, respectively.</w:t>
      </w:r>
    </w:p>
    <w:p>
      <w:pPr>
        <w:pStyle w:val="TextBody"/>
        <w:bidi w:val="0"/>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future principal and final fee payments under the Fist-Citizens Term Loan as of September 30, 2023:</w:t>
      </w:r>
    </w:p>
    <w:tbl>
      <w:tblPr>
        <w:tblW w:w="4483" w:type="dxa"/>
        <w:jc w:val="left"/>
        <w:tblInd w:w="0" w:type="dxa"/>
        <w:tblLayout w:type="fixed"/>
        <w:tblCellMar>
          <w:top w:w="28" w:type="dxa"/>
          <w:left w:w="28" w:type="dxa"/>
          <w:bottom w:w="28" w:type="dxa"/>
          <w:right w:w="28" w:type="dxa"/>
        </w:tblCellMar>
      </w:tblPr>
      <w:tblGrid>
        <w:gridCol w:w="1161"/>
        <w:gridCol w:w="1022"/>
        <w:gridCol w:w="1026"/>
        <w:gridCol w:w="247"/>
        <w:gridCol w:w="847"/>
        <w:gridCol w:w="180"/>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and final fee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events of default, including bankruptcy, the failure to make payments when due, the occurrence of a material impairment on First-Citizens's security interest over the collateral, a material adverse change, the occurrence of a default under certain other indebtedness of the Company and its subsidiaries, the rendering of certain types of judgments against the Company and its subsidiaries, the revocation of certain government approvals, violation of covenants, and incorrectness of representations and warranties in any material respect. In addition, the Amended Loan Agreement contains a financial covenant which requires the Company to maintain, at all times when the Financial Covenant Measuring Period is in effect, certain net revenue levels as agreed upon by the Company and First-Citizens. If the Company does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Revolver, require the immediate payment of all amounts outstanding under the Amended Loan Agreement, and foreclose on all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the Company violated one of the terms of the credit facility by opening bank accounts with another financial institution and transferring funds from SVB. The Company entered into a letter agreement with Silicon Valley Bridge Bank waiving enforcement of this covenant and providing the Company the right to hold a portion of its cash at other financial institutions. A future violation of any covenants could result in a default under the Amended Loan Agreement that would permit First-Citizens to restrict the Company’s ability to further access the Revolving Line of Credit for loans and require the immediate repayment of any outstanding loans under the agreement. As of September 30, 2023, the Company was in compliance with all debt covenants, provided, however, that in order to access future credit advances under the Revolving Line of Credit, the Company will be required to transfer certain cash management accounts back to First-Citizens. As of September 30, 2023, the Company had cash management accounts with a financial institution other than First-Citizens and instructed its customers to direct payments to these separate operating accounts. Until such operating accounts are closed and the funds moved back to cash collateral accounts held at First-Citizens, the Company will be unable to obtain credit advances under the Revolver.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8. Stock-Based Incentive Compensation Plans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stock option activity for the nine months ended September 30, 2023:</w:t>
      </w:r>
    </w:p>
    <w:tbl>
      <w:tblPr>
        <w:tblW w:w="6250" w:type="dxa"/>
        <w:jc w:val="left"/>
        <w:tblInd w:w="0" w:type="dxa"/>
        <w:tblLayout w:type="fixed"/>
        <w:tblCellMar>
          <w:top w:w="28" w:type="dxa"/>
          <w:left w:w="28" w:type="dxa"/>
          <w:bottom w:w="28" w:type="dxa"/>
          <w:right w:w="28" w:type="dxa"/>
        </w:tblCellMar>
      </w:tblPr>
      <w:tblGrid>
        <w:gridCol w:w="1196"/>
        <w:gridCol w:w="1050"/>
        <w:gridCol w:w="1053"/>
        <w:gridCol w:w="109"/>
        <w:gridCol w:w="109"/>
        <w:gridCol w:w="109"/>
        <w:gridCol w:w="488"/>
        <w:gridCol w:w="488"/>
        <w:gridCol w:w="331"/>
        <w:gridCol w:w="109"/>
        <w:gridCol w:w="109"/>
        <w:gridCol w:w="109"/>
        <w:gridCol w:w="290"/>
        <w:gridCol w:w="290"/>
        <w:gridCol w:w="410"/>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Exercise </w:t>
              <w:br/>
              <w:t>Price</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(670,494)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6.36</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21.22</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1,216,841 </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10.84</w:t>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is no unrecognized compensation cost related to stock options.</w: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three and nine months ended September 30, 2023 and 2022. </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40"/>
        <w:ind w:left="0" w:right="0" w:firstLine="495"/>
        <w:jc w:val="both"/>
        <w:rPr/>
      </w:pPr>
      <w:r>
        <w:rPr>
          <w:rFonts w:ascii="Times New Roman;sans-serif" w:hAnsi="Times New Roman;sans-serif"/>
          <w:b w:val="false"/>
          <w:color w:val="000000"/>
          <w:sz w:val="20"/>
        </w:rPr>
        <w:t>RSUs are share awards that entitle the holder to receive freely tradable shares of the Company’s common stock upon vesting. RSUs generally vest over two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As of September 30, 2023, the unr</w:t>
      </w:r>
      <w:r>
        <w:rPr>
          <w:rFonts w:ascii="Times New Roman;sans-serif" w:hAnsi="Times New Roman;sans-serif"/>
          <w:b w:val="false"/>
          <w:color w:val="000000"/>
          <w:sz w:val="20"/>
          <w:shd w:fill="FFFFFF" w:val="clear"/>
        </w:rPr>
        <w:t xml:space="preserve">ecognized compensation cost related to the RSUs was $34.4 million, which is expected to be recognized over a period of approximately 2.5 years. </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1120"/>
        <w:gridCol w:w="958"/>
        <w:gridCol w:w="960"/>
        <w:gridCol w:w="109"/>
        <w:gridCol w:w="109"/>
        <w:gridCol w:w="109"/>
        <w:gridCol w:w="109"/>
        <w:gridCol w:w="109"/>
        <w:gridCol w:w="109"/>
        <w:gridCol w:w="481"/>
        <w:gridCol w:w="271"/>
        <w:gridCol w:w="496"/>
        <w:gridCol w:w="231"/>
        <w:gridCol w:w="611"/>
        <w:gridCol w:w="231"/>
        <w:gridCol w:w="231"/>
        <w:gridCol w:w="231"/>
        <w:gridCol w:w="257"/>
        <w:gridCol w:w="231"/>
        <w:gridCol w:w="231"/>
        <w:gridCol w:w="109"/>
        <w:gridCol w:w="109"/>
        <w:gridCol w:w="109"/>
        <w:gridCol w:w="237"/>
        <w:gridCol w:w="237"/>
        <w:gridCol w:w="229"/>
        <w:gridCol w:w="109"/>
        <w:gridCol w:w="109"/>
        <w:gridCol w:w="109"/>
        <w:gridCol w:w="210"/>
        <w:gridCol w:w="198"/>
        <w:gridCol w:w="191"/>
        <w:gridCol w:w="109"/>
        <w:gridCol w:w="109"/>
        <w:gridCol w:w="109"/>
        <w:gridCol w:w="208"/>
        <w:gridCol w:w="208"/>
        <w:gridCol w:w="312"/>
      </w:tblGrid>
      <w:tr>
        <w:trPr/>
        <w:tc>
          <w:tcPr>
            <w:tcW w:w="112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September 30, </w:t>
            </w:r>
          </w:p>
        </w:tc>
        <w:tc>
          <w:tcPr>
            <w:tcW w:w="3011" w:type="dxa"/>
            <w:gridSpan w:val="18"/>
            <w:tcBorders/>
          </w:tcPr>
          <w:p>
            <w:pPr>
              <w:pStyle w:val="TableContents"/>
              <w:bidi w:val="0"/>
              <w:spacing w:before="0" w:after="283"/>
              <w:jc w:val="left"/>
              <w:rPr>
                <w:sz w:val="4"/>
                <w:szCs w:val="4"/>
              </w:rPr>
            </w:pPr>
            <w:r>
              <w:rPr>
                <w:sz w:val="4"/>
                <w:szCs w:val="4"/>
              </w:rPr>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6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55" w:type="dxa"/>
            <w:gridSpan w:val="6"/>
            <w:tcBorders/>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152.5%</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55" w:type="dxa"/>
            <w:gridSpan w:val="6"/>
            <w:tcBorders/>
          </w:tcPr>
          <w:p>
            <w:pPr>
              <w:pStyle w:val="TableContents"/>
              <w:bidi w:val="0"/>
              <w:spacing w:before="0" w:after="283"/>
              <w:jc w:val="left"/>
              <w:rPr>
                <w:sz w:val="4"/>
                <w:szCs w:val="4"/>
              </w:rPr>
            </w:pPr>
            <w:r>
              <w:rPr>
                <w:sz w:val="4"/>
                <w:szCs w:val="4"/>
              </w:rPr>
            </w:r>
          </w:p>
        </w:tc>
      </w:tr>
      <w:tr>
        <w:trPr/>
        <w:tc>
          <w:tcPr>
            <w:tcW w:w="3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11" w:type="dxa"/>
            <w:gridSpan w:val="1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240" w:after="240"/>
        <w:ind w:left="0" w:right="0" w:firstLine="495"/>
        <w:jc w:val="both"/>
        <w:rPr/>
      </w:pPr>
      <w:r>
        <w:rPr>
          <w:rFonts w:ascii="Times New Roman;sans-serif" w:hAnsi="Times New Roman;sans-serif"/>
          <w:b w:val="false"/>
          <w:color w:val="000000"/>
          <w:sz w:val="20"/>
          <w:shd w:fill="FFFFFF" w:val="clear"/>
        </w:rPr>
        <w:t xml:space="preserve">As of September 30, 2023, the unrecognized compensation cost related to the PSUs was $2.8 million, which is expected to </w:t>
      </w:r>
      <w:r>
        <w:rPr>
          <w:rFonts w:ascii="Times New Roman;sans-serif" w:hAnsi="Times New Roman;sans-serif"/>
          <w:b w:val="false"/>
          <w:color w:val="000000"/>
          <w:sz w:val="20"/>
        </w:rPr>
        <w:t>be recognized over a period of approximately 2.0 years.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RSU and PSU activity for the nine months ended September 30, 2023:</w:t>
      </w:r>
    </w:p>
    <w:tbl>
      <w:tblPr>
        <w:tblW w:w="10205" w:type="dxa"/>
        <w:jc w:val="left"/>
        <w:tblInd w:w="0" w:type="dxa"/>
        <w:tblLayout w:type="fixed"/>
        <w:tblCellMar>
          <w:top w:w="28" w:type="dxa"/>
          <w:left w:w="28" w:type="dxa"/>
          <w:bottom w:w="28" w:type="dxa"/>
          <w:right w:w="28" w:type="dxa"/>
        </w:tblCellMar>
      </w:tblPr>
      <w:tblGrid>
        <w:gridCol w:w="819"/>
        <w:gridCol w:w="719"/>
        <w:gridCol w:w="721"/>
        <w:gridCol w:w="109"/>
        <w:gridCol w:w="109"/>
        <w:gridCol w:w="109"/>
        <w:gridCol w:w="468"/>
        <w:gridCol w:w="380"/>
        <w:gridCol w:w="382"/>
        <w:gridCol w:w="109"/>
        <w:gridCol w:w="109"/>
        <w:gridCol w:w="109"/>
        <w:gridCol w:w="699"/>
        <w:gridCol w:w="699"/>
        <w:gridCol w:w="701"/>
        <w:gridCol w:w="109"/>
        <w:gridCol w:w="109"/>
        <w:gridCol w:w="109"/>
        <w:gridCol w:w="395"/>
        <w:gridCol w:w="380"/>
        <w:gridCol w:w="382"/>
        <w:gridCol w:w="109"/>
        <w:gridCol w:w="109"/>
        <w:gridCol w:w="109"/>
        <w:gridCol w:w="627"/>
        <w:gridCol w:w="627"/>
        <w:gridCol w:w="898"/>
      </w:tblGrid>
      <w:tr>
        <w:trPr/>
        <w:tc>
          <w:tcPr>
            <w:tcW w:w="8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PSUs</w:t>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1,794,928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1,204,086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12.33</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(727,721)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2,116,085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14.74</w:t>
            </w:r>
          </w:p>
        </w:tc>
      </w:tr>
    </w:tbl>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 xml:space="preserve">The fair value of the ESPP shares is estimated using the Black-Scholes option pricing model, which is being amortized over the requisite service period. The Company issued </w:t>
      </w:r>
      <w:r>
        <w:rPr>
          <w:rFonts w:ascii="Times New Roman;sans-serif" w:hAnsi="Times New Roman;sans-serif"/>
          <w:b w:val="false"/>
          <w:color w:val="000000"/>
          <w:sz w:val="20"/>
          <w:shd w:fill="FFFFFF" w:val="clear"/>
        </w:rPr>
        <w:t>130,867</w:t>
      </w:r>
      <w:r>
        <w:rPr>
          <w:color w:val="000000"/>
        </w:rPr>
        <w:t xml:space="preserve"> </w:t>
      </w:r>
      <w:r>
        <w:rPr>
          <w:rFonts w:ascii="Times New Roman;sans-serif" w:hAnsi="Times New Roman;sans-serif"/>
          <w:b w:val="false"/>
          <w:color w:val="000000"/>
          <w:sz w:val="20"/>
        </w:rPr>
        <w:t xml:space="preserve">and 112,773 shares under ESPP, representing approximately $1.5 million and $1.2 million in employee contributions for the nine months ended September 30, 2023 and 2022, respectively. As of September 30, 2023 and December 31, 2022, total accumulated ESPP related employee payroll deductions amounted to </w:t>
      </w:r>
      <w:r>
        <w:rPr>
          <w:rFonts w:ascii="Times New Roman;sans-serif" w:hAnsi="Times New Roman;sans-serif"/>
          <w:b w:val="false"/>
          <w:color w:val="000000"/>
          <w:sz w:val="20"/>
          <w:shd w:fill="FFFFFF" w:val="clear"/>
        </w:rPr>
        <w:t>$0.6 million</w:t>
      </w:r>
      <w:r>
        <w:rPr>
          <w:color w:val="000000"/>
        </w:rPr>
        <w:t xml:space="preserve"> </w:t>
      </w:r>
      <w:r>
        <w:rPr>
          <w:rFonts w:ascii="Times New Roman;sans-serif" w:hAnsi="Times New Roman;sans-serif"/>
          <w:b w:val="false"/>
          <w:color w:val="000000"/>
          <w:sz w:val="20"/>
        </w:rPr>
        <w:t xml:space="preserve">and $0.3 million, respectively, which were included within accrued compensation and related expenses in the condensed consolidated balance sheets.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detail of stock-based compensation expense amounts included in the condensed consolidated statements of operations:</w:t>
      </w:r>
    </w:p>
    <w:tbl>
      <w:tblPr>
        <w:tblW w:w="7616" w:type="dxa"/>
        <w:jc w:val="left"/>
        <w:tblInd w:w="0" w:type="dxa"/>
        <w:tblLayout w:type="fixed"/>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a warrant holder exercised warrants, and the Company issued 22,603 net shares of common stock through a cashless exercise of the warrants in accordance with the conversion terms. The table below summarizes common stock warrants activity for the nine months ended September 30, 2023:</w:t>
      </w:r>
    </w:p>
    <w:tbl>
      <w:tblPr>
        <w:tblW w:w="10205" w:type="dxa"/>
        <w:jc w:val="left"/>
        <w:tblInd w:w="0" w:type="dxa"/>
        <w:tblLayout w:type="fixed"/>
        <w:tblCellMar>
          <w:top w:w="28" w:type="dxa"/>
          <w:left w:w="28" w:type="dxa"/>
          <w:bottom w:w="28" w:type="dxa"/>
          <w:right w:w="28" w:type="dxa"/>
        </w:tblCellMar>
      </w:tblPr>
      <w:tblGrid>
        <w:gridCol w:w="291"/>
        <w:gridCol w:w="255"/>
        <w:gridCol w:w="257"/>
        <w:gridCol w:w="109"/>
        <w:gridCol w:w="109"/>
        <w:gridCol w:w="109"/>
        <w:gridCol w:w="311"/>
        <w:gridCol w:w="311"/>
        <w:gridCol w:w="312"/>
        <w:gridCol w:w="109"/>
        <w:gridCol w:w="109"/>
        <w:gridCol w:w="109"/>
        <w:gridCol w:w="487"/>
        <w:gridCol w:w="384"/>
        <w:gridCol w:w="385"/>
        <w:gridCol w:w="109"/>
        <w:gridCol w:w="109"/>
        <w:gridCol w:w="109"/>
        <w:gridCol w:w="213"/>
        <w:gridCol w:w="623"/>
        <w:gridCol w:w="110"/>
        <w:gridCol w:w="109"/>
        <w:gridCol w:w="109"/>
        <w:gridCol w:w="109"/>
        <w:gridCol w:w="290"/>
        <w:gridCol w:w="290"/>
        <w:gridCol w:w="291"/>
        <w:gridCol w:w="109"/>
        <w:gridCol w:w="109"/>
        <w:gridCol w:w="109"/>
        <w:gridCol w:w="457"/>
        <w:gridCol w:w="287"/>
        <w:gridCol w:w="288"/>
        <w:gridCol w:w="109"/>
        <w:gridCol w:w="109"/>
        <w:gridCol w:w="109"/>
        <w:gridCol w:w="266"/>
        <w:gridCol w:w="266"/>
        <w:gridCol w:w="267"/>
        <w:gridCol w:w="109"/>
        <w:gridCol w:w="109"/>
        <w:gridCol w:w="109"/>
        <w:gridCol w:w="412"/>
        <w:gridCol w:w="351"/>
        <w:gridCol w:w="512"/>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December 31,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Balance at September 30, 2023</w:t>
            </w:r>
          </w:p>
        </w:tc>
      </w:tr>
      <w:tr>
        <w:trPr/>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41,650 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25,709 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9,712 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118,122 </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85,139 </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Net Loss Per Share of Common Stock</w:t>
      </w:r>
    </w:p>
    <w:p>
      <w:pPr>
        <w:pStyle w:val="TextBody"/>
        <w:bidi w:val="0"/>
        <w:spacing w:lineRule="auto" w:line="288" w:before="240" w:after="24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544"/>
        <w:gridCol w:w="1355"/>
        <w:gridCol w:w="1359"/>
        <w:gridCol w:w="238"/>
        <w:gridCol w:w="875"/>
        <w:gridCol w:w="116"/>
        <w:gridCol w:w="116"/>
        <w:gridCol w:w="116"/>
        <w:gridCol w:w="116"/>
        <w:gridCol w:w="238"/>
        <w:gridCol w:w="875"/>
        <w:gridCol w:w="116"/>
        <w:gridCol w:w="109"/>
        <w:gridCol w:w="109"/>
        <w:gridCol w:w="109"/>
        <w:gridCol w:w="231"/>
        <w:gridCol w:w="861"/>
        <w:gridCol w:w="114"/>
        <w:gridCol w:w="114"/>
        <w:gridCol w:w="114"/>
        <w:gridCol w:w="114"/>
        <w:gridCol w:w="231"/>
        <w:gridCol w:w="861"/>
        <w:gridCol w:w="17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40,265,520 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34,356,850 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37,702,207 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34,069,357 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7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7060"/>
                <wp:effectExtent l="0" t="0" r="0" b="0"/>
                <wp:wrapNone/>
                <wp:docPr id="21" name="Frame2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7060"/>
                <wp:effectExtent l="0" t="0" r="0" b="0"/>
                <wp:wrapNone/>
                <wp:docPr id="22" name="Frame2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bidi w:val="0"/>
        <w:spacing w:before="0" w:after="0"/>
        <w:jc w:val="both"/>
        <w:rPr/>
      </w:pPr>
      <w:r>
        <w:rPr/>
      </w:r>
    </w:p>
    <w:tbl>
      <w:tblPr>
        <w:tblW w:w="9548" w:type="dxa"/>
        <w:jc w:val="left"/>
        <w:tblInd w:w="0" w:type="dxa"/>
        <w:tblLayout w:type="fixed"/>
        <w:tblCellMar>
          <w:top w:w="28" w:type="dxa"/>
          <w:left w:w="28" w:type="dxa"/>
          <w:bottom w:w="28" w:type="dxa"/>
          <w:right w:w="28" w:type="dxa"/>
        </w:tblCellMar>
      </w:tblPr>
      <w:tblGrid>
        <w:gridCol w:w="748"/>
        <w:gridCol w:w="659"/>
        <w:gridCol w:w="662"/>
        <w:gridCol w:w="488"/>
        <w:gridCol w:w="488"/>
        <w:gridCol w:w="321"/>
        <w:gridCol w:w="321"/>
        <w:gridCol w:w="321"/>
        <w:gridCol w:w="321"/>
        <w:gridCol w:w="488"/>
        <w:gridCol w:w="488"/>
        <w:gridCol w:w="321"/>
        <w:gridCol w:w="109"/>
        <w:gridCol w:w="109"/>
        <w:gridCol w:w="109"/>
        <w:gridCol w:w="678"/>
        <w:gridCol w:w="302"/>
        <w:gridCol w:w="302"/>
        <w:gridCol w:w="302"/>
        <w:gridCol w:w="302"/>
        <w:gridCol w:w="302"/>
        <w:gridCol w:w="678"/>
        <w:gridCol w:w="302"/>
        <w:gridCol w:w="427"/>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1,216,841</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1,216,841</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1,921,065 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2,501,207</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2,501,207</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2,182,030 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 purchase rights</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38,727</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38,727</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59,688 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85,139</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3,841,914 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4,280,905 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3,841,914 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4,280,905 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Related Party Transaction </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2020, the Company entered into a joint development agreement (the “Development Agreement”) with SeaSpine Orthopedics Corporation (“SeaSpine”), which merged with Orthofix Medical, Inc., to develop a next generation device for sacropelvic fixation. Mr. Keith Valentine, who served as President and Chief Executive Officer until September 11, 2023, and a member of the board of directors until October 4, 2024, respectively,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nine months ended September 30, 2023, the Company did not incur any</w:t>
      </w:r>
      <w:r>
        <w:rPr>
          <w:color w:val="000000"/>
          <w:shd w:fill="FFFFFF" w:val="clear"/>
        </w:rPr>
        <w:t xml:space="preserve"> </w:t>
      </w:r>
      <w:r>
        <w:rPr>
          <w:rFonts w:ascii="Times New Roman;sans-serif" w:hAnsi="Times New Roman;sans-serif"/>
          <w:b w:val="false"/>
          <w:color w:val="000000"/>
          <w:sz w:val="20"/>
          <w:shd w:fill="FFFFFF" w:val="clear"/>
        </w:rPr>
        <w:t>reimbursement charges but purchased an immaterial amount of instrument components from Seaspine. For the nine months ended September 30, 2022, the Company expensed approximately $6,000 of the reimbursement charges from SeaSpine. The reimbursement charges were recorded within research and development expense in the condensed consolidated statements of operations</w:t>
      </w:r>
      <w:r>
        <w:rPr>
          <w:rFonts w:ascii="Times New Roman;sans-serif" w:hAnsi="Times New Roman;sans-serif"/>
          <w:b w:val="false"/>
          <w:color w:val="000000"/>
          <w:sz w:val="20"/>
        </w:rPr>
        <w:t xml:space="preserve">. </w:t>
      </w:r>
    </w:p>
    <w:p>
      <w:pPr>
        <w:pStyle w:val="TextBody"/>
        <w:bidi w:val="0"/>
        <w:spacing w:lineRule="auto" w:line="288" w:before="240" w:after="240"/>
        <w:ind w:left="0" w:right="0" w:firstLine="540"/>
        <w:jc w:val="both"/>
        <w:rPr/>
      </w:pPr>
      <w:r>
        <w:rPr>
          <w:rFonts w:ascii="Times New Roman;sans-serif" w:hAnsi="Times New Roman;sans-serif"/>
          <w:b w:val="false"/>
          <w:color w:val="000000"/>
          <w:sz w:val="20"/>
        </w:rPr>
        <w:t xml:space="preserve">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w:t>
      </w:r>
      <w:r>
        <w:rPr>
          <w:rFonts w:ascii="Times New Roman;sans-serif" w:hAnsi="Times New Roman;sans-serif"/>
          <w:b w:val="false"/>
          <w:color w:val="000000"/>
          <w:sz w:val="20"/>
          <w:shd w:fill="FFFFFF" w:val="clear"/>
        </w:rPr>
        <w:t>expiration of all royalty terms, unless earlier terminated by either party, as provided for by the Development Agreement. The Company recorded $0.1 million of royalty for the three months ended September 30, 2023 and $0.2 million for the nine months ended September 30, 2023. The Company recorded an immaterial amount of royalty for the three and nine months ended September 30, 2022.</w:t>
      </w:r>
    </w:p>
    <w:p>
      <w:pPr>
        <w:pStyle w:val="TextBody"/>
        <w:bidi w:val="0"/>
        <w:spacing w:lineRule="auto" w:line="288" w:before="240" w:after="240"/>
        <w:ind w:left="0" w:right="0" w:firstLine="540"/>
        <w:jc w:val="both"/>
        <w:rPr/>
      </w:pPr>
      <w:r>
        <w:rPr>
          <w:rFonts w:ascii="Times New Roman;sans-serif" w:hAnsi="Times New Roman;sans-serif"/>
          <w:b w:val="false"/>
          <w:color w:val="000000"/>
          <w:sz w:val="20"/>
          <w:shd w:fill="FFFFFF" w:val="clear"/>
        </w:rPr>
        <w:t>The outstanding liability to SeaSpine as of September 30, 2023 and December 31, 2022 was $0.1 million and was recorded</w:t>
      </w:r>
      <w:r>
        <w:rPr>
          <w:color w:val="000000"/>
        </w:rPr>
        <w:t xml:space="preserve"> </w:t>
      </w:r>
      <w:r>
        <w:rPr>
          <w:rFonts w:ascii="Times New Roman;sans-serif" w:hAnsi="Times New Roman;sans-serif"/>
          <w:b w:val="false"/>
          <w:color w:val="000000"/>
          <w:sz w:val="20"/>
        </w:rPr>
        <w:t xml:space="preserve">within accrued liabilities and other in the condensed consolidated balance sheet.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7060"/>
                <wp:effectExtent l="0" t="0" r="0" b="0"/>
                <wp:wrapNone/>
                <wp:docPr id="23" name="Frame2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and nine months ended September 30, 2023 and 2022. The Company continues to maintain a full valuation allowance against its net deferred tax assets due to the uncertainty surrounding realization of such assets.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an Organization for Economic Co-operation and Development Inclusive Framework, countries that agreed to enact a two-pillar solution aim to address the challenges arising from the digitalization of the world economy (Pillar Two). Pillar Two sets out a global minimum Effective Tax Rate (ETR) rules to ensure that large multinational businesses with consolidated revenue over €750 million are subject to a minimum ETR of 15% on income arising in low-tax jurisdictions. Rules under Pillar Two are expected to be enacted beginning January 1, 2024. The Company will continue to monitor the impact of Pillar Two; however, the Pillar Two is currently not applicable as the Company does not meet the threshold of having consolidated revenue over €750 million.</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ans-serif" w:hAnsi="Times New Roman;sans-serif"/>
          <w:b w:val="false"/>
          <w:color w:val="000000"/>
          <w:sz w:val="20"/>
          <w:shd w:fill="FFFFFF" w:val="clear"/>
        </w:rPr>
        <w:t>September 30, 2023</w:t>
      </w:r>
      <w:r>
        <w:rPr>
          <w:color w:val="000000"/>
        </w:rPr>
        <w:t xml:space="preserve"> </w:t>
      </w:r>
      <w:r>
        <w:rPr>
          <w:rFonts w:ascii="Times New Roman;sans-serif" w:hAnsi="Times New Roman;sans-serif"/>
          <w:b w:val="false"/>
          <w:color w:val="000000"/>
          <w:sz w:val="20"/>
        </w:rPr>
        <w:t xml:space="preserve">compared to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240" w:after="240"/>
        <w:jc w:val="both"/>
        <w:rPr/>
      </w:pPr>
      <w:r>
        <w:rPr>
          <w:color w:val="000000"/>
        </w:rPr>
        <w:t>    </w:t>
      </w: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2,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of this Quarterly Report on Form 10-Q,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iFuse, iFuse-3D and iFuse-TORQ have clearances for applications across sacroiliac joint dysfunction and fusion, adult deformity and degeneration, and pelvic trauma. </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primarily with a direct sales force as well as a number of third-party sales agents in the U.S., and with a combination of a direct sales force, and sales agents and resellers in other countries. As of September 30, 2023, more than 90,000 procedures have been performed by over 3,500 surgeons in the United States and 38 other countries since we introduced iFuse in 2009. </w:t>
      </w:r>
    </w:p>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from the offering of 3,775,000 shares of our common stock, and the exercise of underwriter's option to purchase an additional 566,250 shares of our common stock, at a public offering price of $22.00 per share. Of these shares, 272,753 shares were offered by the selling stockholder, and we did not receive any proceeds from the sale by the selling stockholder.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Factors Affecting Results of Operations and Key Performance Indicators</w:t>
      </w:r>
    </w:p>
    <w:p>
      <w:pPr>
        <w:pStyle w:val="TextBody"/>
        <w:bidi w:val="0"/>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surgeon penetration, launch new products, address human capital needs and gain operational efficiencies. </w:t>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Access to Solutions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surgeon engagement and deliver revenue growth.</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selective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U.S. sales force consisted of 83 territory sales managers and 68 clinical support specialists directly employed by us and 160 third-party sales agents, compared to 85 territory sales managers and 72 clinical support specialists directly employed by us and 89 third-party sales agents as of September 30, 2022. As of September 30, 2023, our international sales force consisted of 13 sales representatives directly employed by us and a total of 30 third-party sales agents and resellers, compared to 18 sales representatives directly employed by us and a total of 30 third-party sales agents and resellers as of September 30, 2022.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steady increase in the numbers of minimally invasive procedures, including sacroiliac joint fusion procedures, being performed at ambulatory surgical centers, or ASCs, we continue to actively engage the ASCs to educate them on our clinical evidence, exclusive commercial payor coverage and focus on driving improved education and pathways between pain physicians and surgeons. As of September 30, 2023, over 20 percent of procedures for sacroiliac joint dysfunction using our products were performed at ASCs.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making targeted investments in digital marketing initiatives to drive patient awareness, to empower and educate patients as they manage their sacroiliac joint dysfunction and associated pain. These marketing programs are targeted at patients in chronic, severe sacroiliac joint pain who have been in conservative care for an extended period of time. We are focused on connecting patients with surgeons in their area who perform minimally invasive SI-Joint procedures through our Find-a-Doctor website tool. Through a variety of channels, including search, social and display, we have deployed a number of campaigns and are continually optimizing to maximize patient awareness and to connect patients with surgeons. Our data-driven approach enables us to focus our investment on the most cost-effective programs. </w:t>
      </w:r>
    </w:p>
    <w:p>
      <w:pPr>
        <w:pStyle w:val="TextBody"/>
        <w:bidi w:val="0"/>
        <w:spacing w:lineRule="auto" w:line="288" w:before="24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Surgeon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and educating surgeons and other healthcare professionals about the clinical merits and patient benefits of our solutions will be important to grow surgeon adoption. Our medical affairs team works closely with our sales team to increase surgeon engagement and activation. Surgeon activity includes both the number of surgeons performing our procedures as well as the number of procedures performed per surgeon. In addition to training new surgeons, we have several initiatives to re-engage inactive surgeons.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combination of hands-on cadaveric and dry-lab training, as well as SI-BONE SImulator - a portable, radiation-free, haptics and computer-based simulator for training purposes, and optimize our programs to improve adoption rate, time to first case and ultimately surgeon productivity.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and 2022, in the U.S. more than 2,500 and 2,100 surgeons, respectively, have been trained on our solutions and have treated at least one patient. Outside the U.S., as of September 30, 2023 and 2022, more than 1,000 and 800 surgeons, respectively, have been trained on iFuse and have treated at least one patient. We will continue to pursue approximately 5,000 target surgeons in the U.S., as well as international surgeons to train and retrain in the future. Since launching our academic training program in August 2018, we have trained residents and fellows in over 220 academic programs in the U.S., resulting in the training of over 1,400 surgical residents and fellows. </w:t>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Addressable Markets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surgeons with a comprehensive set of alternatives, and positions us as the top choice for surgeons for sacropelvic solutions. We also offer an allograft bone implant called iFuse-Bone for surgeons who believe that this kind of implant can be important to obtaining fusion.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completed enrollment in SILVIA, a two-year prospective international multi center randomized controlled trial of two different methods for pelvic fixation in adult patients undergoing long-construct spinal fusion. We anticipate the results for the primary endpoint in 2024. In September 2022 we enrolled the first of the targeted 120 patients in our SAFFRON study, a prospective randomized controlled trial of surgery using our iFuse-TORQ device vs. non-surgical management in patients with debilitating sacral fragility or insufficiency fractures. We anticipate results to be available in late 2024. We are working with a select group of physicians on STACI, a prospective study on the use of iFuse TORQ in patients with sacroiliac joint dysfunction. The purpose of STACI is to provide post-market information on the safety and effectiveness of minimally invasive sacroiliac joint fusion procedures performed with TORQ.</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R&amp;D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nine months ended September 30, 2023, we spent $10.9 million on R&amp;D, equating to 11% of our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Enhance Employee Experience and Engagement</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wellness programs.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commitment to employee retention by leveraging insights from exit interviews and engagement surveys to continuously enhance the workplace experience.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Gain operational efficiency</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increasing our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As of September 30, 2023, our trailing twelve-month average revenue per territory in the U.S. was approximately $1.5 million.</w:t>
      </w:r>
    </w:p>
    <w:p>
      <w:pPr>
        <w:pStyle w:val="TextBody"/>
        <w:bidi w:val="0"/>
        <w:spacing w:lineRule="auto" w:line="288" w:before="240" w:after="283"/>
        <w:ind w:left="0" w:right="0" w:firstLine="450"/>
        <w:jc w:val="both"/>
        <w:rPr/>
      </w:pPr>
      <w:r>
        <w:rPr>
          <w:rFonts w:ascii="Times New Roman;sans-serif" w:hAnsi="Times New Roman;sans-serif"/>
          <w:b w:val="false"/>
          <w:color w:val="000000"/>
          <w:sz w:val="20"/>
        </w:rPr>
        <w:t>We have made significant investments in instrument sets used to perform surgeries. Our goal is to deploy instrument sets to the market where the demand exists to increase our asset utilization rates over time and use capital more effectively by having our instrument sets used in more surgeries in any given time period. Given supply chain disruptions impacting the industry, we are working closely with our suppliers to reduce lead time for our implants to ensure we can support our expanding surgeon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ans-serif" w:hAnsi="Times New Roman;sans-serif"/>
          <w:b w:val="false"/>
          <w:color w:val="000000"/>
          <w:sz w:val="20"/>
        </w:rPr>
        <w:t>Lastly, we are integrating our demand planning and manufacturing systems, to ensure we leverage actual usage trends as we build surgical capacity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and seasonality.</w:t>
      </w:r>
      <w:r>
        <w:rPr>
          <w:color w:val="000000"/>
        </w:rPr>
        <w:t xml:space="preserve"> </w:t>
      </w:r>
      <w:r>
        <w:rPr>
          <w:rFonts w:ascii="Times New Roman;sans-serif" w:hAnsi="Times New Roman;sans-serif"/>
          <w:b w:val="false"/>
          <w:color w:val="000000"/>
          <w:sz w:val="20"/>
        </w:rPr>
        <w:t>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insurance coverage limits. However, taken as a whole, seasonality does not have a material impact on our financial results from year to year.</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March 2020, the impact of COVID-19 on our revenue has varied by period and region based on various factors, including stage of containment, resurgence of variants, success of regional vaccination campaigns, and associated government and hospital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actions around elective procedures, and the direct and indirect impacts of economic and financial measures taken to mitigate the economic impacts of the pandemic.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Cost of Goods Sold, Gross Profit, and Gross Margin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third-party manufacturers for production of our implants and instrument sets. Cost of goods sold consists primarily of costs of the components of implants and instruments, instrument set depreciation, royalties, scrap and inventory obsolescence, as well as distribution-related expenses such as logistics and shipping costs. Our cost of goods sold has historically increased as case levels increase and from changes in our product mix.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ind w:left="0" w:right="0" w:firstLine="540"/>
        <w:jc w:val="both"/>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sales agents. </w:t>
      </w:r>
    </w:p>
    <w:p>
      <w:pPr>
        <w:pStyle w:val="TextBody"/>
        <w:bidi w:val="0"/>
        <w:spacing w:before="0" w:after="0"/>
        <w:ind w:left="0" w:right="0" w:firstLine="540"/>
        <w:jc w:val="left"/>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related to our investments of excess cash in money market funds and marketable securities.</w:t>
      </w:r>
    </w:p>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primarily related to borrowings, amortization of debt issuance costs, and accretion of final fees on the First-Citizens Term Loan. </w:t>
      </w:r>
    </w:p>
    <w:p>
      <w:pPr>
        <w:pStyle w:val="TextBody"/>
        <w:bidi w:val="0"/>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net foreign exchange gains and losses on foreign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operate as one reportable segment. The table below summarizes our results of operations for the periods presented (percentages are amounts as a percentage of revenue), which we derived from the accompanying condensed consolidated financial statements:</w:t>
      </w:r>
    </w:p>
    <w:tbl>
      <w:tblPr>
        <w:tblW w:w="10887" w:type="dxa"/>
        <w:jc w:val="left"/>
        <w:tblInd w:w="0" w:type="dxa"/>
        <w:tblLayout w:type="fixed"/>
        <w:tblCellMar>
          <w:top w:w="28" w:type="dxa"/>
          <w:left w:w="28" w:type="dxa"/>
          <w:bottom w:w="28" w:type="dxa"/>
          <w:right w:w="28" w:type="dxa"/>
        </w:tblCellMar>
      </w:tblPr>
      <w:tblGrid>
        <w:gridCol w:w="745"/>
        <w:gridCol w:w="277"/>
        <w:gridCol w:w="26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271"/>
        <w:gridCol w:w="109"/>
        <w:gridCol w:w="109"/>
        <w:gridCol w:w="109"/>
        <w:gridCol w:w="211"/>
        <w:gridCol w:w="826"/>
        <w:gridCol w:w="109"/>
        <w:gridCol w:w="109"/>
        <w:gridCol w:w="109"/>
        <w:gridCol w:w="109"/>
        <w:gridCol w:w="233"/>
        <w:gridCol w:w="233"/>
        <w:gridCol w:w="271"/>
        <w:gridCol w:w="109"/>
        <w:gridCol w:w="109"/>
        <w:gridCol w:w="109"/>
        <w:gridCol w:w="211"/>
        <w:gridCol w:w="736"/>
        <w:gridCol w:w="109"/>
        <w:gridCol w:w="109"/>
        <w:gridCol w:w="109"/>
        <w:gridCol w:w="109"/>
        <w:gridCol w:w="233"/>
        <w:gridCol w:w="233"/>
        <w:gridCol w:w="316"/>
      </w:tblGrid>
      <w:tr>
        <w:trPr/>
        <w:tc>
          <w:tcPr>
            <w:tcW w:w="7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41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to customers in the U.S. Revenue by geography is based on billing address of the customer. The table below summarizes our revenue by geography:</w:t>
      </w:r>
    </w:p>
    <w:tbl>
      <w:tblPr>
        <w:tblW w:w="10722" w:type="dxa"/>
        <w:jc w:val="left"/>
        <w:tblInd w:w="0" w:type="dxa"/>
        <w:tblLayout w:type="fixed"/>
        <w:tblCellMar>
          <w:top w:w="28" w:type="dxa"/>
          <w:left w:w="28" w:type="dxa"/>
          <w:bottom w:w="28" w:type="dxa"/>
          <w:right w:w="28" w:type="dxa"/>
        </w:tblCellMar>
      </w:tblPr>
      <w:tblGrid>
        <w:gridCol w:w="435"/>
        <w:gridCol w:w="381"/>
        <w:gridCol w:w="355"/>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1"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36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60" w:after="283"/>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September 30, 2023 and 2022 </w:t>
      </w:r>
    </w:p>
    <w:p>
      <w:pPr>
        <w:pStyle w:val="TextBody"/>
        <w:bidi w:val="0"/>
        <w:spacing w:lineRule="auto" w:line="288" w:before="240" w:after="240"/>
        <w:jc w:val="left"/>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7094" w:type="dxa"/>
        <w:jc w:val="left"/>
        <w:tblInd w:w="0" w:type="dxa"/>
        <w:tblLayout w:type="fixed"/>
        <w:tblCellMar>
          <w:top w:w="28" w:type="dxa"/>
          <w:left w:w="28" w:type="dxa"/>
          <w:bottom w:w="28" w:type="dxa"/>
          <w:right w:w="28" w:type="dxa"/>
        </w:tblCellMar>
      </w:tblPr>
      <w:tblGrid>
        <w:gridCol w:w="591"/>
        <w:gridCol w:w="521"/>
        <w:gridCol w:w="523"/>
        <w:gridCol w:w="223"/>
        <w:gridCol w:w="764"/>
        <w:gridCol w:w="287"/>
        <w:gridCol w:w="115"/>
        <w:gridCol w:w="115"/>
        <w:gridCol w:w="115"/>
        <w:gridCol w:w="223"/>
        <w:gridCol w:w="764"/>
        <w:gridCol w:w="287"/>
        <w:gridCol w:w="109"/>
        <w:gridCol w:w="109"/>
        <w:gridCol w:w="109"/>
        <w:gridCol w:w="211"/>
        <w:gridCol w:w="616"/>
        <w:gridCol w:w="109"/>
        <w:gridCol w:w="109"/>
        <w:gridCol w:w="109"/>
        <w:gridCol w:w="109"/>
        <w:gridCol w:w="285"/>
        <w:gridCol w:w="285"/>
        <w:gridCol w:w="406"/>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three months ended September 30, 2023 as compared to the three months ended September 30, 2022 is driven by $7.7 million increase in our U.S. revenue. The increase in revenue is due to the increase in case volumes.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Gross profit increased $4.7 million for the three months ended September 30, 2023 as compared to the three months ended September 30, 2022, mainly driven by higher revenue. The gross margin was 79% for the three months ended September 30, 2023 as compared to 84% for the three months ended September 30, 2022. Gross margin decreased in the third quarter 2023 due to procedure and product mix given the higher total costs of iFuse-TORQ and iFuse Bedrock Granite implants including royalty, and the increase in depreciation costs to support the growth of the business.</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769" w:type="dxa"/>
        <w:jc w:val="left"/>
        <w:tblInd w:w="0" w:type="dxa"/>
        <w:tblLayout w:type="fixed"/>
        <w:tblCellMar>
          <w:top w:w="28" w:type="dxa"/>
          <w:left w:w="28" w:type="dxa"/>
          <w:bottom w:w="28" w:type="dxa"/>
          <w:right w:w="28" w:type="dxa"/>
        </w:tblCellMar>
      </w:tblPr>
      <w:tblGrid>
        <w:gridCol w:w="836"/>
        <w:gridCol w:w="736"/>
        <w:gridCol w:w="738"/>
        <w:gridCol w:w="253"/>
        <w:gridCol w:w="866"/>
        <w:gridCol w:w="131"/>
        <w:gridCol w:w="131"/>
        <w:gridCol w:w="131"/>
        <w:gridCol w:w="131"/>
        <w:gridCol w:w="253"/>
        <w:gridCol w:w="866"/>
        <w:gridCol w:w="131"/>
        <w:gridCol w:w="109"/>
        <w:gridCol w:w="109"/>
        <w:gridCol w:w="109"/>
        <w:gridCol w:w="211"/>
        <w:gridCol w:w="616"/>
        <w:gridCol w:w="109"/>
        <w:gridCol w:w="109"/>
        <w:gridCol w:w="109"/>
        <w:gridCol w:w="109"/>
        <w:gridCol w:w="199"/>
        <w:gridCol w:w="199"/>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35,830 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The increase in sales and marketing expenses for the three months ended September 30, 2023 as compared to the three months ended September 30, 2022 was primarily due to a $2.3 million increase in commissions, marketing activities and consulting fees driven by higher revenues, partially offset by a $1.4 million decrease in stock-based compensation, employee related costs and travel related costs driven by lower headcount within sales and marketing.</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increase in research and development expenses for the three months ended September 30, 2023 compared to the three months ended September 30, 2022 was primarily due to a $0.4 million increase in facilities and other related costs resulting from the research and development facility, a $0.2 million increase in consulting costs, and $0.2 million increase in employee related costs and stock-based compensation due to an increase in headcount within research and development.</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three months ended September 30, 2023 compared to the three months ended September 30, 2022 was primarily due to a $0.3 million increase in employee related costs and stock-based compensation, a $0.2 million increase in the allowance for credit losses and a $0.1 million increase in accounting and audit fees primarily associated with Sarbanes-Oxley compliance requirements.</w:t>
      </w:r>
    </w:p>
    <w:p>
      <w:pPr>
        <w:pStyle w:val="TextBody"/>
        <w:bidi w:val="0"/>
        <w:spacing w:before="24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300" w:after="240"/>
        <w:jc w:val="left"/>
        <w:rPr/>
      </w:pPr>
      <w:r>
        <w:rPr>
          <w:rFonts w:ascii="Times New Roman;sans-serif" w:hAnsi="Times New Roman;sans-serif"/>
          <w:b/>
          <w:i/>
          <w:color w:val="000000"/>
          <w:sz w:val="20"/>
        </w:rPr>
        <w:t>Interest and Other Income (Expense), Net</w:t>
      </w:r>
      <w:r>
        <w:rPr>
          <w:rFonts w:ascii="Times New Roman;sans-serif" w:hAnsi="Times New Roman;sans-serif"/>
          <w:b w:val="false"/>
          <w:color w:val="000000"/>
          <w:sz w:val="20"/>
        </w:rPr>
        <w:t xml:space="preserve">: </w:t>
      </w:r>
    </w:p>
    <w:tbl>
      <w:tblPr>
        <w:tblW w:w="8549" w:type="dxa"/>
        <w:jc w:val="left"/>
        <w:tblInd w:w="0" w:type="dxa"/>
        <w:tblLayout w:type="fixed"/>
        <w:tblCellMar>
          <w:top w:w="28" w:type="dxa"/>
          <w:left w:w="28" w:type="dxa"/>
          <w:bottom w:w="28" w:type="dxa"/>
          <w:right w:w="28" w:type="dxa"/>
        </w:tblCellMar>
      </w:tblPr>
      <w:tblGrid>
        <w:gridCol w:w="1108"/>
        <w:gridCol w:w="974"/>
        <w:gridCol w:w="977"/>
        <w:gridCol w:w="287"/>
        <w:gridCol w:w="839"/>
        <w:gridCol w:w="148"/>
        <w:gridCol w:w="148"/>
        <w:gridCol w:w="148"/>
        <w:gridCol w:w="148"/>
        <w:gridCol w:w="287"/>
        <w:gridCol w:w="737"/>
        <w:gridCol w:w="148"/>
        <w:gridCol w:w="109"/>
        <w:gridCol w:w="109"/>
        <w:gridCol w:w="109"/>
        <w:gridCol w:w="211"/>
        <w:gridCol w:w="616"/>
        <w:gridCol w:w="109"/>
        <w:gridCol w:w="109"/>
        <w:gridCol w:w="109"/>
        <w:gridCol w:w="109"/>
        <w:gridCol w:w="233"/>
        <w:gridCol w:w="233"/>
        <w:gridCol w:w="54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three months ended September 30, 2023 as compared to the three months ended September 30, 2022 was mainly due to higher interest earned, primarily as a result of higher interest rates and higher cash and investments balance resulting from the net proceeds received from the offering of our common stock in May 2023.</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three months ended September 30, 2023 as compared to the three months ended September 30, 2022 was primarily due to higher interest rates associated with the First-Citizens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three months ended September 30, 2023 compared to the three months ended September 30, 2022 was due to foreign currency fluctuations.</w:t>
      </w:r>
    </w:p>
    <w:p>
      <w:pPr>
        <w:pStyle w:val="TextBody"/>
        <w:bidi w:val="0"/>
        <w:spacing w:lineRule="auto" w:line="288" w:before="240" w:after="283"/>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Nine Months Ended September 30, 2023 and 2022 </w:t>
      </w:r>
    </w:p>
    <w:p>
      <w:pPr>
        <w:pStyle w:val="TextBody"/>
        <w:bidi w:val="0"/>
        <w:spacing w:lineRule="auto" w:line="288" w:before="240" w:after="240"/>
        <w:jc w:val="left"/>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7304" w:type="dxa"/>
        <w:jc w:val="left"/>
        <w:tblInd w:w="0" w:type="dxa"/>
        <w:tblLayout w:type="fixed"/>
        <w:tblCellMar>
          <w:top w:w="28" w:type="dxa"/>
          <w:left w:w="28" w:type="dxa"/>
          <w:bottom w:w="28" w:type="dxa"/>
          <w:right w:w="28" w:type="dxa"/>
        </w:tblCellMar>
      </w:tblPr>
      <w:tblGrid>
        <w:gridCol w:w="591"/>
        <w:gridCol w:w="521"/>
        <w:gridCol w:w="523"/>
        <w:gridCol w:w="223"/>
        <w:gridCol w:w="873"/>
        <w:gridCol w:w="286"/>
        <w:gridCol w:w="115"/>
        <w:gridCol w:w="115"/>
        <w:gridCol w:w="115"/>
        <w:gridCol w:w="223"/>
        <w:gridCol w:w="762"/>
        <w:gridCol w:w="286"/>
        <w:gridCol w:w="109"/>
        <w:gridCol w:w="109"/>
        <w:gridCol w:w="109"/>
        <w:gridCol w:w="211"/>
        <w:gridCol w:w="721"/>
        <w:gridCol w:w="109"/>
        <w:gridCol w:w="109"/>
        <w:gridCol w:w="109"/>
        <w:gridCol w:w="109"/>
        <w:gridCol w:w="199"/>
        <w:gridCol w:w="199"/>
        <w:gridCol w:w="578"/>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9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nine months ended September 30, 2023 as compared to the nine months ended September 30, 2022 comprised a $25.2 increase in our U.S. revenue and an increase of $0.4 million in our international revenue. The increase in revenue is due to the increase in case volumes.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 xml:space="preserve">Gross profit increased $16.9 million for the nine months ended September 30, 2023 as compared to the nine months ended September 30, 2022, mainly driven by higher revenue. The gross margin was 81% for the nine months ended September 30, 2023 as compared to 86% for the nine months ended September 30, 2022. Gross margin decreased due to procedure and product mix given the higher total costs of iFuse-TORQ and iFuse Bedrock Granite implants including royalty, and the increase in depreciation and freight costs to support the growth of the business.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870" w:type="dxa"/>
        <w:jc w:val="left"/>
        <w:tblInd w:w="0" w:type="dxa"/>
        <w:tblLayout w:type="fixed"/>
        <w:tblCellMar>
          <w:top w:w="28" w:type="dxa"/>
          <w:left w:w="28" w:type="dxa"/>
          <w:bottom w:w="28" w:type="dxa"/>
          <w:right w:w="28" w:type="dxa"/>
        </w:tblCellMar>
      </w:tblPr>
      <w:tblGrid>
        <w:gridCol w:w="836"/>
        <w:gridCol w:w="736"/>
        <w:gridCol w:w="738"/>
        <w:gridCol w:w="241"/>
        <w:gridCol w:w="946"/>
        <w:gridCol w:w="124"/>
        <w:gridCol w:w="124"/>
        <w:gridCol w:w="124"/>
        <w:gridCol w:w="124"/>
        <w:gridCol w:w="241"/>
        <w:gridCol w:w="946"/>
        <w:gridCol w:w="124"/>
        <w:gridCol w:w="109"/>
        <w:gridCol w:w="109"/>
        <w:gridCol w:w="109"/>
        <w:gridCol w:w="211"/>
        <w:gridCol w:w="616"/>
        <w:gridCol w:w="109"/>
        <w:gridCol w:w="109"/>
        <w:gridCol w:w="109"/>
        <w:gridCol w:w="109"/>
        <w:gridCol w:w="199"/>
        <w:gridCol w:w="199"/>
        <w:gridCol w:w="578"/>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115,169 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112,155 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 xml:space="preserve">The increase in sales and marketing expenses for the nine months ended September 30, 2023 as compared to the nine months ended September 30, 2022 was primarily due to a $5.0 million increase in commission and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driven by higher revenues, partially offset by a $3.8 million decrease in employee related costs, travel and training related costs driven by lower headcount within sales and marketing and timing of certain commercial activities.</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increase in research and development expenses for the nine months ended September 30, 2023 compared to the nine months ended September 30, 2022 was primarily due to a $0.6 million increase in employee related costs, stock-based compensation and travel related costs due to an increase in headcount within research and development, and a $0.1 million increase in facilities and other related costs resulting from the research and development facility.</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nine months ended September 30, 2023 compared to the nine months ended September 30, 2022 was primarily due to a $1.1 million increase in employee related costs and stock-based compensation driven by higher headcount within general and administrative.</w:t>
      </w:r>
    </w:p>
    <w:p>
      <w:pPr>
        <w:pStyle w:val="TextBody"/>
        <w:bidi w:val="0"/>
        <w:spacing w:before="240" w:after="283"/>
        <w:ind w:left="0" w:right="0" w:firstLine="495"/>
        <w:jc w:val="both"/>
        <w:rPr/>
      </w:pPr>
      <w:r>
        <w:rPr/>
      </w:r>
    </w:p>
    <w:tbl>
      <w:tblPr>
        <w:tblW w:w="8862" w:type="dxa"/>
        <w:jc w:val="left"/>
        <w:tblInd w:w="0" w:type="dxa"/>
        <w:tblLayout w:type="fixed"/>
        <w:tblCellMar>
          <w:top w:w="28" w:type="dxa"/>
          <w:left w:w="28" w:type="dxa"/>
          <w:bottom w:w="28" w:type="dxa"/>
          <w:right w:w="28" w:type="dxa"/>
        </w:tblCellMar>
      </w:tblPr>
      <w:tblGrid>
        <w:gridCol w:w="1108"/>
        <w:gridCol w:w="974"/>
        <w:gridCol w:w="977"/>
        <w:gridCol w:w="297"/>
        <w:gridCol w:w="869"/>
        <w:gridCol w:w="153"/>
        <w:gridCol w:w="153"/>
        <w:gridCol w:w="153"/>
        <w:gridCol w:w="153"/>
        <w:gridCol w:w="297"/>
        <w:gridCol w:w="975"/>
        <w:gridCol w:w="153"/>
        <w:gridCol w:w="109"/>
        <w:gridCol w:w="109"/>
        <w:gridCol w:w="109"/>
        <w:gridCol w:w="211"/>
        <w:gridCol w:w="616"/>
        <w:gridCol w:w="109"/>
        <w:gridCol w:w="109"/>
        <w:gridCol w:w="109"/>
        <w:gridCol w:w="109"/>
        <w:gridCol w:w="233"/>
        <w:gridCol w:w="233"/>
        <w:gridCol w:w="54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nine months ended September 30, 2023 as compared to the nine months ended September 30, 2022 was mainly due to higher interest earned, primarily as a result of higher interest rates and higher cash and investments balance resulting from the net proceeds received from the offering of our common stock in May 2023.</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nine months ended September 30, 2023 as compared to the nine months ended September 30, 2022 was primarily due to higher interest rates associated with the First-Citizens Term Loan.</w:t>
      </w:r>
    </w:p>
    <w:p>
      <w:pPr>
        <w:pStyle w:val="TextBody"/>
        <w:bidi w:val="0"/>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nine months ended September 30, 2023 compared to the nine months ended September 30, 2022 was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marketable securities of $166.8 million compared to $97.3 million as of December 31, 2022. We have financed our operations primarily through our public offerings and debt financing arrangements. As of September 30, 2023, we had $36.0 million in outstanding debt, compared to $35.2 million as of December 31, 2022.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an accumulated deficit of $389.5 million, compared to $357.1 million as of December 31, 2022. During the nine months ended September 30, 2023, we incurred a net loss of $32.4 million. During the years ended December 31, 2022 and 2021, we incurred a net loss of $61.3 million and $56.6 million, respectively, and expect to incur additional losses in the future. We have not achieved positive cash flow from operations to date. </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received a total of $83.7 million of net proceeds after deducting the underwriting discounts and commissions from the public offering of our common stock.</w:t>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pPr>
      <w:r>
        <w:rPr>
          <w:rFonts w:ascii="Times New Roman;sans-serif" w:hAnsi="Times New Roman;sans-serif"/>
          <w:b w:val="false"/>
          <w:color w:val="000000"/>
          <w:sz w:val="20"/>
        </w:rPr>
        <w:t>Based upon our current operating plan, we believe that our existing cash and marketable securities will enable us to fund our operating expenses and capital expenditure requirements over the next 12 months and beyond. However, the economic impact of a potential pandemic and uncertainties affecting the economic and capital markets environment and the financial services industry pose risks and uncertainties in our future available capital resources. Further, we may face challenges and uncertainties and, as a result, may need to raise additional capital as our available capital resources may be consumed more rapidly than currently expected due to, but not limited to, the following as a result of COVID-19 or otherwise: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w:t>
      </w:r>
      <w:r>
        <w:rPr>
          <w:color w:val="000000"/>
        </w:rPr>
        <w:t xml:space="preserve"> </w:t>
      </w:r>
      <w:r>
        <w:rPr>
          <w:rFonts w:ascii="Times New Roman;sans-serif" w:hAnsi="Times New Roman;sans-serif"/>
          <w:b w:val="false"/>
          <w:color w:val="000000"/>
          <w:sz w:val="20"/>
        </w:rPr>
        <w:t>In addition, as we seek to deploy new product offerings, the need for additional capital to fund the purchase of inventories of implants and instrument sets may become more acute and may limit the number of revenue opportunities that we pursue.</w:t>
      </w:r>
      <w:r>
        <w:rPr>
          <w:color w:val="000000"/>
        </w:rPr>
        <w:t xml:space="preserve"> </w:t>
      </w:r>
      <w:r>
        <w:rPr>
          <w:rFonts w:ascii="Times New Roman;sans-serif" w:hAnsi="Times New Roman;sans-serif"/>
          <w:b w:val="false"/>
          <w:color w:val="000000"/>
          <w:sz w:val="20"/>
        </w:rPr>
        <w:t xml:space="preserve">Each new product family introduced typically requires the purchase of consumable implant inventory as well as investment in a fleet of instrument sets required to support procedures nationwide. </w:t>
      </w:r>
    </w:p>
    <w:p>
      <w:pPr>
        <w:pStyle w:val="TextBody"/>
        <w:bidi w:val="0"/>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(the “Effective Date”), entered into by us and Silicon Valley Bank (“SVB”). Pursuant the agreement, SVB provided an aggregate principal amount of $35.0 million to us (the “SVB Term Loan”).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entered into a First Amendment to Loan and Security Agreement (the “Amendment”) with SVB, which amends our SVB Term Loan pursuant to which we had a term loan facility in an aggregate principal amount of $35.0 million (the “Original Loan Agreement” and with the Amendment, collectively the “Amended Loan Agreement”). Upon entry into the Amended Loan Agreement, we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“Revolver"). On March 14, 2023 all of SVB’s assets and liabilities, including all of SVB’s rights as the lender pursuant to the Amended Loan Agreement, were assigned to Silicon Valley Bridge Bank. 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our request. The Term Loan matures on December 1, 2027 (the “Term Loan Maturity Date”). Interest on the Term Loan will be payable monthly at a floating annual rate set at the greater of the prime rate as published in the Wall Street Journal plus 0.5% or 6.75%. Commencing on July 1, 2025, we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“Revolver Maturity Date”).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we do not maintain an adjusted quick ratio of at least 1.5 to 1.0, then falling below such threshold will allow First-Citizens to apply accounts receivable collections to outstanding Revolver borrowings. We will pay a total commitment fee of $187,500 on account of the Revolver payable in installments, but fully earned at close. We will also be required to pay a fee of $150,000 if it terminates the Amended Loan Agreement or Revolver prior to Revolver Maturity Date. No termination fee would be due if the Revolver is replaced with a new facility with First-Citizens. No amounts were outstanding under the Revolver as of September 30, 2023. </w:t>
      </w:r>
    </w:p>
    <w:p>
      <w:pPr>
        <w:pStyle w:val="TextBody"/>
        <w:bidi w:val="0"/>
        <w:spacing w:lineRule="auto" w:line="26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we violated one of the terms of the credit facility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Amended Loan Agreement that would permit First-Citizens to restrict our ability to further access the Revolving Line of Credit for loans and require the immediate repayment of any outstanding loans under the agreement. As of September 30, 2023, we were in compliance with all debt covenants, provided, however, that in order to access future credit advances under the Revolving Line of Credit, we will be required to transfer certain cash management accounts back to First-Citizens. As of September 30, 2023, we had cash management accounts with a financial institution other than First-Citizens and instructed our customers to direct payments to us to these separate operating accounts. Until such operating accounts are closed and the funds moved back to cash collateral accounts held at First-Citizens, we will be unable to obtain credit advances under the Revolver.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events of default, including bankruptcy, the failure to make payments when due, the occurrence of a material impairment on First-Citizens's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Amended Loan Agreement contains a financial covenant which requires us to maintain, at all times when the Financial Covenant Measuring Period is in effect, certain net revenue levels as agreed upon by us and First-Citizens. If we do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Revolver, require the immediate payment of all amounts outstanding under the Amended Loan Agreement, and foreclose on all collateral.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March 2, 2023. As of September 30, 2023, expected timing of those payments are as follows: </w:t>
      </w:r>
    </w:p>
    <w:tbl>
      <w:tblPr>
        <w:tblW w:w="10205" w:type="dxa"/>
        <w:jc w:val="center"/>
        <w:tblInd w:w="0" w:type="dxa"/>
        <w:tblLayout w:type="fixed"/>
        <w:tblCellMar>
          <w:top w:w="28" w:type="dxa"/>
          <w:left w:w="28" w:type="dxa"/>
          <w:bottom w:w="28" w:type="dxa"/>
          <w:right w:w="28" w:type="dxa"/>
        </w:tblCellMar>
      </w:tblPr>
      <w:tblGrid>
        <w:gridCol w:w="1165"/>
        <w:gridCol w:w="987"/>
        <w:gridCol w:w="994"/>
        <w:gridCol w:w="211"/>
        <w:gridCol w:w="721"/>
        <w:gridCol w:w="109"/>
        <w:gridCol w:w="109"/>
        <w:gridCol w:w="109"/>
        <w:gridCol w:w="109"/>
        <w:gridCol w:w="284"/>
        <w:gridCol w:w="831"/>
        <w:gridCol w:w="147"/>
        <w:gridCol w:w="109"/>
        <w:gridCol w:w="109"/>
        <w:gridCol w:w="109"/>
        <w:gridCol w:w="211"/>
        <w:gridCol w:w="721"/>
        <w:gridCol w:w="109"/>
        <w:gridCol w:w="109"/>
        <w:gridCol w:w="109"/>
        <w:gridCol w:w="109"/>
        <w:gridCol w:w="211"/>
        <w:gridCol w:w="721"/>
        <w:gridCol w:w="109"/>
        <w:gridCol w:w="109"/>
        <w:gridCol w:w="109"/>
        <w:gridCol w:w="109"/>
        <w:gridCol w:w="373"/>
        <w:gridCol w:w="717"/>
        <w:gridCol w:w="276"/>
      </w:tblGrid>
      <w:tr>
        <w:trPr/>
        <w:tc>
          <w:tcPr>
            <w:tcW w:w="116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Principal obligations and final fee on debt </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(1)Represents the principal obligations and the final fee at maturities of our First-Citizens Term Loan.</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(2)Represents the future interest obligations on our First-Citizens Term Loan estimated using an interest rate of 9.00% as of September 30, 2023.</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compared to $48.7 million of contractual obligations as of December 31, 2022.</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for each of the periods presented below: </w:t>
      </w:r>
    </w:p>
    <w:tbl>
      <w:tblPr>
        <w:tblW w:w="9592" w:type="dxa"/>
        <w:jc w:val="left"/>
        <w:tblInd w:w="0" w:type="dxa"/>
        <w:tblLayout w:type="fixed"/>
        <w:tblCellMar>
          <w:top w:w="28" w:type="dxa"/>
          <w:left w:w="28" w:type="dxa"/>
          <w:bottom w:w="28" w:type="dxa"/>
          <w:right w:w="28" w:type="dxa"/>
        </w:tblCellMar>
      </w:tblPr>
      <w:tblGrid>
        <w:gridCol w:w="1864"/>
        <w:gridCol w:w="1644"/>
        <w:gridCol w:w="1652"/>
        <w:gridCol w:w="231"/>
        <w:gridCol w:w="872"/>
        <w:gridCol w:w="119"/>
        <w:gridCol w:w="119"/>
        <w:gridCol w:w="119"/>
        <w:gridCol w:w="119"/>
        <w:gridCol w:w="231"/>
        <w:gridCol w:w="872"/>
        <w:gridCol w:w="119"/>
        <w:gridCol w:w="109"/>
        <w:gridCol w:w="109"/>
        <w:gridCol w:w="109"/>
        <w:gridCol w:w="211"/>
        <w:gridCol w:w="721"/>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41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Operating Activities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nine months ended September 30, 2023 of $16.4 million resulted from cash outflows due to a net loss of $32.4 million, adjusted for $21.1 million of non-cash items, and cash outflows from net changes in operating assets and liabilities of $5.1 million. Net cash used in operating activities for the nine months ended September 30, 2022 of $34.9 million resulted from cash outflows due to a net loss of $50.1 million, adjusted for $20.6 million of non-cash items, and cash outflows from changes in operating assets and liabilities of $5.4 million. The decrease in net loss, net of non-cash items for the nine months ended September 30, 2023 compared to the nine months ended September 30, 2022 was mainly due to increased revenues. Net cash outflows from changes in operating assets and liabilities for the nine months ended September 30, 2023 was primarily due to higher inventory due to the inventory build-up related to our implants, and lower account payables attributable to the normal course timing of expenses. Net cash outflows from changes in operating assets and liabilities for the nine months ended September 30, 2022 were primarily due to higher inventory due to the timing of inventory build-up related to our implants, higher accounts receivable due to timing of collections, partially offset primarily by higher accounts payable, and lower prepaid expenses and other assets attributable due to the normal course timing of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 the nine months ended September 30, 2023 was $40.9 million compared to cash used in investing activities of $2.9 million in the nine months ended September 30, 2022. Net cash provided by investing activities for the nine months ended September 30, 2023 consisted of purchases of our marketable securities net of maturities of $34.2 million, and purchases of property and equipment of $6.7 million primarily related to individual components in instrument sets to support revenue growth, as well as leasehold improvements made to the building used for research and development and warehouse space in Santa Clara. Net cash used in investing activities for the nine months ended September 30, 2022 consisted of purchases of property and equipment of $7.8 million primarily related to individual components in instrument sets to support revenue growth, as well as leasehold improvements made to the building used for research and development and warehouse space in Santa Clara, partially offset by maturities of marketable securities, net of purchases of $4.9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 the nine months ended September 30, 2023 was $90.1 million resulting from proceeds of $83.7 million from the issuance of common stock under our follow-on public offering, proceeds of $5.7 million from the issuance of common stock under our stock-based incentive compensation plans, and net proceeds of $0.7 million from the refinancing of our term loan with First-Citizens. This compares to $1.5 million provided by financing activities in the nine months ended September 30, 2022, which consisted solely of proceeds from the issuance of common stock under our stock-based incentive compensation plans.</w:t>
      </w:r>
    </w:p>
    <w:p>
      <w:pPr>
        <w:pStyle w:val="TextBody"/>
        <w:bidi w:val="0"/>
        <w:spacing w:before="18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Annual Report on Form 10-K filed with the SEC on March 2, 2023. There had been no material changes to the descriptions of these accounting policies, judgments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6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"small reporting company", we are not required to provide the information otherwise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4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312"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September 30, 2023, our disclosure controls and procedures were effective at the reasonable assurance level.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bidi w:val="0"/>
        <w:spacing w:before="24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before="240" w:after="24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240" w:after="24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we expect to continue to incur operating losses in the future, and we may not be able to achieve or sustain future profitability;</w:t>
      </w:r>
    </w:p>
    <w:p>
      <w:pPr>
        <w:pStyle w:val="TextBody"/>
        <w:bidi w:val="0"/>
        <w:spacing w:lineRule="auto" w:line="268" w:before="0" w:after="240"/>
        <w:ind w:left="0" w:right="0" w:hanging="360"/>
        <w:jc w:val="both"/>
        <w:rPr/>
      </w:pPr>
      <w:r>
        <w:rPr>
          <w:color w:val="000000"/>
        </w:rPr>
        <w:t>•</w:t>
      </w:r>
      <w:r>
        <w:rPr>
          <w:rFonts w:ascii="Times New Roman;sans-serif" w:hAnsi="Times New Roman;sans-serif"/>
          <w:b w:val="false"/>
          <w:color w:val="000000"/>
          <w:sz w:val="20"/>
        </w:rPr>
        <w:t>Prolonged inflation and supply chain disruptions could result in delayed product launches, lost revenue, higher costs and decreased profit margins;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Epidemic diseases, or the perception of their effects, may continue to adversely affect our business, financial condition, results of operations, or cash flows;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Surgeons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Practice trends or other factors, including the presence of COVID-19, have caused and may continue to cause procedures to shift from the hospital environment to ambulatory surgical centers, or ASCs, where pressure on the prices of our products is generally more acute;</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bidi w:val="0"/>
        <w:spacing w:lineRule="auto" w:line="276" w:before="0" w:after="240"/>
        <w:ind w:left="0" w:right="0" w:hanging="360"/>
        <w:jc w:val="both"/>
        <w:rPr/>
      </w:pPr>
      <w:r>
        <w:rPr>
          <w:color w:val="000000"/>
        </w:rPr>
        <w:t>•</w:t>
      </w:r>
      <w:r>
        <w:rPr>
          <w:rFonts w:ascii="Times New Roman;sans-serif" w:hAnsi="Times New Roman;sans-serif"/>
          <w:b w:val="false"/>
          <w:color w:val="000000"/>
          <w:sz w:val="20"/>
        </w:rPr>
        <w:t xml:space="preserve">If clinical experience with our iFuse Bedrock technique, iFuse Bedrock Granite product, or iFuse-TORQ product do not result in positive outcomes for patients, or if clinical trials involving the use of iFuse Bedrock, iFuse Bedrock Granite,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iFuse-TORQ fail to show meaningful patient benefit, sales of our iFuse, iFuse-3D, iFuse-TORQ, and/or iFuse Bedrock Granite implants could be adversely impacted;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are unable to maintain our network of direct sales representatives, third-party sales agents, and resellers, we may not be able to generate anticipated sales;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Our business could suffer if we lose the services of key members of our senior management, key advisors or personnel;</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76" w:before="240" w:after="240"/>
        <w:ind w:left="0" w:right="0" w:hanging="360"/>
        <w:jc w:val="left"/>
        <w:rPr/>
      </w:pPr>
      <w:r>
        <w:rPr>
          <w:color w:val="000000"/>
        </w:rPr>
        <w:t>•</w:t>
      </w:r>
      <w:r>
        <w:rPr>
          <w:rFonts w:ascii="Times New Roman;sans-serif" w:hAnsi="Times New Roman;sans-serif"/>
          <w:b w:val="false"/>
          <w:color w:val="000000"/>
          <w:sz w:val="20"/>
        </w:rPr>
        <w:t>Various factors outside our direct control may adversely affect manufacturing, sterilization, and distribution of our products;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We, our suppliers, and our third-party manufacturers are subject to extensive governmental regulation both in the U.S. and abroad, and failure to comply with applicable requirements could cause our business to suffer;</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76" w:before="240" w:after="240"/>
        <w:ind w:left="0" w:right="0" w:hanging="360"/>
        <w:jc w:val="both"/>
        <w:rPr/>
      </w:pPr>
      <w:r>
        <w:rPr>
          <w:color w:val="000000"/>
        </w:rPr>
        <w:t>•</w:t>
      </w:r>
      <w:r>
        <w:rPr>
          <w:rFonts w:ascii="Times New Roman;sans-serif" w:hAnsi="Times New Roman;sans-serif"/>
          <w:b w:val="false"/>
          <w:color w:val="000000"/>
          <w:sz w:val="20"/>
        </w:rPr>
        <w:t>Adverse developments affecting the banking industry or the broader financial services industry, such as actual events or concerns involving liquidity, defaults or non-performance, could adversely affect our operations and liquidity; and</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0"/>
        </w:rPr>
        <w:t>Our ability to access credit on favorable terms, if necessary, for the funding of our operations and capital projects may be limited due to changes in credit markets.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we expect to continue to incur operating losses in the future, and we may not be able to achieve or sustain future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in 2008. For the nine months ended September 30, 2023, we had a net loss of $32.4 million. For the years ended December 31, 2022 and 2021, we had net losses of $61.3 million and $56.6 million, respectively. As of September 30, 2023, we had an accumulated deficit of $389.5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COVID-19.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expected future capital requirements depend on many factors including expanding our surgeon base, the expansion of our sales force, investment in implants and instruments,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Prolonged inflation and supply chain disruptions could result in delayed product launches, lost revenue, higher costs and decreased profit margins.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pStyle w:val="TextBody"/>
        <w:bidi w:val="0"/>
        <w:spacing w:lineRule="auto" w:line="276" w:before="24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w:t>
      </w:r>
    </w:p>
    <w:p>
      <w:pPr>
        <w:pStyle w:val="TextBody"/>
        <w:bidi w:val="0"/>
        <w:spacing w:lineRule="auto" w:line="276"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if reimbursement levels are insufficient to support use of our products by healthcare facilities or to compensate surgeons for their time spent diagnosing patients and performing procedures using our products.</w:t>
      </w:r>
    </w:p>
    <w:p>
      <w:pPr>
        <w:pStyle w:val="TextBody"/>
        <w:bidi w:val="0"/>
        <w:spacing w:before="0" w:after="0"/>
        <w:ind w:left="0" w:right="0" w:firstLine="450"/>
        <w:jc w:val="both"/>
        <w:rPr/>
      </w:pPr>
      <w:r>
        <w:rPr/>
      </w:r>
    </w:p>
    <w:p>
      <w:pPr>
        <w:pStyle w:val="TextBody"/>
        <w:bidi w:val="0"/>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all Medicare Administrative Contractors are regularly reimbursing for minimally invasive sacroiliac joint fusion utilizing laterally placed transfixing devices, a small number of private payors still have policies that treat the procedure as experimental or investigational and do not regularly reimburse for the procedure. Future action by the Centers for Medicare and Medicaid Services (“CMS”) or third-party payors may further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the Medicare physician fee reimbursement for minimally invasive fusion with our laterally placed transfixing iFuse implants, described as Current Procedural Terminology (“CPT”) Code 27279, is $827.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 procedures utilizing laterally placed transfixing devices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val="false"/>
          <w:color w:val="000000"/>
          <w:sz w:val="20"/>
        </w:rPr>
        <w:t>The American Medical Association (AMA) develops and maintains CPT codes that are used by third-party payors to determine the amount of reimbursement that a healthcare provider and facility will receive for a particular service. CPT codes are divided into three categories: Category I codes represent existing services or procedures that are widely used.</w:t>
      </w:r>
      <w:r>
        <w:rPr>
          <w:color w:val="000000"/>
        </w:rPr>
        <w:t xml:space="preserve"> </w:t>
      </w:r>
      <w:r>
        <w:rPr>
          <w:rFonts w:ascii="Times New Roman;sans-serif" w:hAnsi="Times New Roman;sans-serif"/>
          <w:b w:val="false"/>
          <w:color w:val="000000"/>
          <w:sz w:val="20"/>
        </w:rPr>
        <w:t>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laterally placed transfixing iFuse implants, is a Category I CPT code. As the number of products and surgical procedures to address sacroiliac joint dysfunction has expanded and diversified, certain medical societies requested that the AMA create additional codes representing some of these newer, and different procedures utilizing non-transfixing technologies. In May 2022, the AMA CPT Editorial Panel adopted a proposal for a new Category III code to become effective January 1, 2023, describing a different sacroiliac joint procedure to place interpositional, intra-articular and non-transfixing implants typically using a dorsal, or posterior, approach. In September 2022, the AMA CPT Editorial Panel subsequently voted to convert the Category III Code to describe procedures to implant the newer, non-transfixing (dorsally placed) implants to a Category I Code effective January 1, 2024.</w:t>
      </w:r>
      <w:r>
        <w:rPr>
          <w:color w:val="000000"/>
        </w:rPr>
        <w:t xml:space="preserve"> </w:t>
      </w:r>
      <w:r>
        <w:rPr>
          <w:rFonts w:ascii="Times New Roman;sans-serif" w:hAnsi="Times New Roman;sans-serif"/>
          <w:b w:val="false"/>
          <w:color w:val="000000"/>
          <w:sz w:val="20"/>
        </w:rPr>
        <w:t xml:space="preserve">If the levels of reimbursement for, and consistency of coverage associated with, procedures performed with our medical devices under the existing Category I CPT Code decrease as a result of or in connection with these coding changes, it could make the procedures in which our implants are used less attractive to healthcare professionals, decreasing the number of devices we are able to sell and adversely affecting our business, results of operations and financial condition. </w:t>
      </w:r>
    </w:p>
    <w:p>
      <w:pPr>
        <w:pStyle w:val="TextBody"/>
        <w:bidi w:val="0"/>
        <w:spacing w:before="0" w:after="0"/>
        <w:ind w:left="0" w:right="0" w:firstLine="450"/>
        <w:jc w:val="both"/>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Under current legislation, the</w:t>
      </w:r>
      <w:r>
        <w:rPr>
          <w:color w:val="000000"/>
        </w:rPr>
        <w:t xml:space="preserve"> </w:t>
      </w:r>
      <w:r>
        <w:rPr>
          <w:rFonts w:ascii="Times New Roman;sans-serif" w:hAnsi="Times New Roman;sans-serif"/>
          <w:b w:val="false"/>
          <w:color w:val="000000"/>
          <w:sz w:val="20"/>
        </w:rPr>
        <w:t xml:space="preserve">reduction in Medicare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will vary from 2% under the Budget Control Act of 2011 (as extended through a series of amendments and currently set to expire in 2032) to 4% if budget sequestration is triggered under the Statutory Pay-As-You-Go Act of 2010.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pStyle w:val="TextBody"/>
        <w:bidi w:val="0"/>
        <w:spacing w:before="0" w:after="0"/>
        <w:ind w:left="0" w:right="0" w:firstLine="495"/>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pStyle w:val="TextBody"/>
        <w:bidi w:val="0"/>
        <w:spacing w:before="0" w:after="0"/>
        <w:ind w:left="0" w:right="0" w:firstLine="45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shd w:fill="FFFFFF" w:val="clear"/>
        </w:rPr>
        <w:t xml:space="preserve">Healthcare payors which have adopted sacroiliac joint fusion coverage policies exclusive to titanium triangular implants could reverse the exclusive nature of their policies and allow surgeons to use other types of products when performing sacroiliac fusion procedures. Some payor have removed such exclusivity in the past and others could do so in the future. For example, AIM, a clinical evidence evaluation organization which influences Anthem, among other payors, promulgated such a policy, effective September 11, 2022, that is no longer exclusive to titanium triangles. If healthcare payors covering a significant number of covered lives reverse their policies of covering minimally invasive sacroiliac joint fusion exclusively when performed with triangular titanium implants, sales of our triangular iFuse implants could decline or </w:t>
      </w:r>
      <w:r>
        <w:rPr>
          <w:rFonts w:ascii="Times New Roman;sans-serif" w:hAnsi="Times New Roman;sans-serif"/>
          <w:b w:val="false"/>
          <w:color w:val="000000"/>
          <w:sz w:val="20"/>
        </w:rPr>
        <w:t>fail to grow, which could adversely affect our business,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Epidemic diseases, or the perception of their effects, may continue to adversely affect our business, financial condition, results of operations, or cash flows.</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COVID-19 global pandemic enters its fourth year, the impact of COVID-19 on our business remains highly dependent on future developments, which are uncertain and unpredictable. Although the U.S. public health emergency ended on May 11, 2023, an outbreak of an infectious disease, or a re-escalation of COVID-19 infection rates could divert medical resources toward the treatment of that disease, and negatively affect hospital admission rates and the decision by patients to undergo elective surgery, which could decrease demand for procedures using our implants and cause other disruptions to our business. Business disruptions have included, and could continue to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regional or global economic downturns that could affect demand for our products, as well as increase risk of customer defaults or delays in payments. Any of these events could negatively impact the number of procedures using our implants that are performed and have a material adverse effect on our business, financial condition, results of operations, cash flows, or ability to raise capital.</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 </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existence and further duration of COVID-19 may also further exacerbate certain of the risks described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Surgeons, in consultation with their patients, play the primary role in determining the course of treatment and, ultimately, any product that will be used in treatment. In order for us to sell our products successfully, we must demonstrate to surgeons through education and training that treatment with iFuse is beneficial, safe, and cost-effective for patients as compared to our competitors’ products. If we are not successful in demonstrating the merits of our products to surgeons, their use of our products may decline, adversely affecting our revenues and profitability.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most spine surgeons did not include an evaluation of the sacroiliac joint in their diagnostic work-up because they did not have an adequate surgical procedure to perform for patients diagnosed with sacroiliac joint dysfunction. We believe that 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Surgeons may also hesitate to change their medical treatment practices for other reasons, including the following:</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lack of experience with minimally invasive procedures;</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perceived liability risks generally associated with the use of our products and procedures;</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 xml:space="preserve">costs associated with the purchase of our products; and </w:t>
      </w:r>
    </w:p>
    <w:p>
      <w:pPr>
        <w:pStyle w:val="TextBody"/>
        <w:bidi w:val="0"/>
        <w:spacing w:lineRule="auto" w:line="276" w:before="0" w:after="0"/>
        <w:ind w:left="0" w:right="0" w:firstLine="990"/>
        <w:jc w:val="left"/>
        <w:rPr/>
      </w:pPr>
      <w:r>
        <w:rPr>
          <w:color w:val="000000"/>
        </w:rPr>
        <w:t xml:space="preserve">• </w:t>
      </w:r>
      <w:r>
        <w:rPr>
          <w:rFonts w:ascii="Times New Roman;sans-serif" w:hAnsi="Times New Roman;sans-serif"/>
          <w:b w:val="false"/>
          <w:color w:val="000000"/>
          <w:sz w:val="20"/>
        </w:rPr>
        <w:t>time commitment that may be required for training.</w:t>
      </w:r>
    </w:p>
    <w:p>
      <w:pPr>
        <w:pStyle w:val="TextBody"/>
        <w:bidi w:val="0"/>
        <w:spacing w:before="0" w:after="0"/>
        <w:ind w:left="0" w:right="0" w:firstLine="99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believe surgeons will not widely use our products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Patients with sacroiliac joint dysfunction are cared for by a variety of health care providers, including spine surgeons and pain physicians and other interventionalists, who are generally trained as anesthesiologists, interventional radiologists, or physical medicine and rehabilitation specialists. These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fusion devices and other products intended to treat the sacroiliac joint or the pain it can cause. Our professional education program seeks to teach these physicians, and other health care providers, about the benefits of our iFuse products, with the intent of either having them adopt and perform our procedures or refer their patients with sacroiliac joint dysfunction to physicians who have been trained to perform our procedures. Providers who have not adopted our procedures may, however, prefer to continue to treat these patients with the interventions they offer because they feel that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physicians trained to perform the iFuse procedure, sales of our iFuse implants could decline or fail to grow, which could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Surgeons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iFuse-TORQ and iFuse Bedrock Granite have been launched prior to gathering substantial prospective clinical trial evidence, and our post-market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Pricing pressure from our competitors, changes in third-party coverage and reimbursement, healthcare provider consolidation, the presence of physician-owned distributorships, and payor consolidation may impact our ability to sell our product at prices necessary to support our current business strategies.</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Consolidation in the healthcare industry, including both third-party payors and healthcare providers, could lead to demands for price concessions or to the exclusion of some suppliers from certain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Practice trends or other factors, including the presence of COVID-19, have caused and may continue to cause procedures to shift from the hospital environment to ambulatory surgical centers, or ASCs, where pressure on the prices of our products is generally more acute.</w: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We anticipate that more outpatient eligible procedures will be performed in ASCs as a cost control measure within the healthcare system. This shift accelerated during COVID-19, and we expect it to continue because ASCs are generally a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could adversely impact the average selling prices of our products and our revenues could suffer as a result.</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competitors that we are aware of marketing sacroiliac joint fusion products in the United States has grown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 </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In the United States, we believe that our primary competitors marketing implantable devices currently are Globus Medical, Inc. and Medtronic plc.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r>
        <w:rPr>
          <w:color w:val="000000"/>
        </w:rPr>
        <w:t xml:space="preserve"> </w:t>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number of companies selling allograft implants for use by a variety of physicians have collectively become a much larger presence in our market. If customers view allograft implants and our products as interchangeable, we risk increased pricing pressure on our products. It is unclear how the creation of the Category III code for these procedures effective January 1, 2023, and the conversion of the Category III Code to a Category I Code effective January 1, 2024, will impact the market for these products and procedures.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comes from the sale of iFuse, iFuse-3D, iFuse-TORQ and iFuse Bedrock Granite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pStyle w:val="TextBody"/>
        <w:bidi w:val="0"/>
        <w:spacing w:before="0" w:after="0"/>
        <w:ind w:left="0" w:right="0" w:firstLine="495"/>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clinical experience with our iFuse Bedrock technique, iFuse Bedrock Granite product, or iFuse-TORQ product do not result in positive outcomes for patients, or if clinical trials involving the use of iFuse Bedrock, iFuse Bedrock Granite, and/or iFuse-TORQ fail to show meaningful patient benefit, sales of our iFuse, iFuse-3D, iFuse-TORQ, and/or iFuse Bedrock Granite implants could be adversely impacted.</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we launched iFuse-TORQ, a line of 3D-printed threaded implants designed for use in pelvic trauma, as well as applications in sacroiliac joint dysfunction and degeneration. In 2022, FDA provided clearance for an expanded indication for iFuse-TORQ to include acute, non-acute and non-traumatic fractures as well as for placement across the sacroiliac joint using our Bedrock technique. Clinical experience with iFuse-TORQ is limited and we have yet to complete a clinical trial to evaluate the use of iFuse-TORQ in patients with sacral fragility or insufficiency fractures. Surgeons do not yet know if pelvic fracture fixation and SI joint fusion using iFuse-TORQ is superior to nonsurgical management in this class of patients. If surgeons' clinical experience with our implants in these procedures is not positive, or if our clinical trials do not show meaningful benefits to the patients undergoing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procedure, sale of our iFuse implants for this indication could be adversely impacted, which could negatively affect our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our network of direct sales representatives, third-party sales agents, and resellers, we may not be able to generate anticipated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U.S. sales force consisted of 83 territory sales managers and 68 clinical support specialists directly employed by us, and 160 third-party sales agents. As of September 30, 2023, our international sales force consisted of 13 sales representatives directly employed by us and a total of 30 third-party sales agents and resellers, which together have had sales in 39 countries through September 30, 2023. Our operating results are directly dependent upon the sales and marketing efforts of both our direct sales force and of our third-party sales agents and resellers.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 generating sales. If our direct sales representatives or third-party sales agents and resellers fail to adequately promote, market and sell our products or decide to leave or cease to do business with us, our sales could significantly decrease.</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business could suffer if we lose the services of key members of our senior management, key advisors or personnel.</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Our business is highly reliant on a base of skilled employees, including those serving in engineering, information technology, operational, strategic marketing and sales functions.</w:t>
      </w:r>
      <w:r>
        <w:rPr>
          <w:color w:val="000000"/>
        </w:rPr>
        <w:t xml:space="preserve"> </w:t>
      </w:r>
      <w:r>
        <w:rPr>
          <w:rFonts w:ascii="Times New Roman;sans-serif" w:hAnsi="Times New Roman;sans-serif"/>
          <w:b w:val="false"/>
          <w:color w:val="000000"/>
          <w:sz w:val="20"/>
        </w:rPr>
        <w:t>Many of these employees have developed specialized skills which are valuable within the medical device and life sciences industry, and, in some cases, in a broader variety of industries.</w:t>
      </w:r>
      <w:r>
        <w:rPr>
          <w:color w:val="000000"/>
        </w:rPr>
        <w:t xml:space="preserve"> </w:t>
      </w:r>
      <w:r>
        <w:rPr>
          <w:rFonts w:ascii="Times New Roman;sans-serif" w:hAnsi="Times New Roman;sans-serif"/>
          <w:b w:val="false"/>
          <w:color w:val="000000"/>
          <w:sz w:val="20"/>
        </w:rPr>
        <w:t>Competition for skilled employees is significant, and some of the labor markets we compete in have experienced tightening in the past year.</w:t>
      </w:r>
      <w:r>
        <w:rPr>
          <w:color w:val="000000"/>
        </w:rPr>
        <w:t xml:space="preserve"> </w:t>
      </w:r>
      <w:r>
        <w:rPr>
          <w:rFonts w:ascii="Times New Roman;sans-serif" w:hAnsi="Times New Roman;sans-serif"/>
          <w:b w:val="false"/>
          <w:color w:val="000000"/>
          <w:sz w:val="20"/>
        </w:rPr>
        <w:t>In addition, rates of employee turnover have increased among our employees, consistent with the rates experienced by other companies in these industries.</w:t>
      </w:r>
      <w:r>
        <w:rPr>
          <w:color w:val="000000"/>
        </w:rPr>
        <w:t xml:space="preserve"> </w:t>
      </w:r>
      <w:r>
        <w:rPr>
          <w:rFonts w:ascii="Times New Roman;sans-serif" w:hAnsi="Times New Roman;sans-serif"/>
          <w:b w:val="false"/>
          <w:color w:val="000000"/>
          <w:sz w:val="20"/>
        </w:rPr>
        <w:t>If these conditions persist, we could experience further turnover among our employees which could become difficult and more costly to manage, adversely impacting our results of operation.</w:t>
      </w:r>
      <w:r>
        <w:rPr>
          <w:color w:val="000000"/>
        </w:rPr>
        <w:t xml:space="preserve"> </w:t>
      </w:r>
      <w:r>
        <w:rPr>
          <w:rFonts w:ascii="Times New Roman;sans-serif" w:hAnsi="Times New Roman;sans-serif"/>
          <w:b w:val="false"/>
          <w:color w:val="000000"/>
          <w:sz w:val="20"/>
        </w:rPr>
        <w:t>Sustained pressure in these labor markets could also cause prevailing wages to rise, which could adversely impact our business, results of operation and financial condition.</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or others later identify adverse events caused by our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sales of the product may decrease significantly, and we may not achieve the anticipated market share;</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regulatory authorities or our Notified Body may require changes to the labeling of our product. This may include the addition of labeling statements, specific warnings, and contraindications and issuing field alerts to physicians and patients;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required to change instructions regarding the way the product is implanted or conduct additional clinical trials;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subject to limitations on how we may promote the product;</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regulatory authorities may require us to temporarily or permanently take our approved product off the market or to conduct other field safety corrective actions;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required to modify our product;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we may be subject to litigation fines or product liability claims;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our reputation may suffer.</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Unfavorable media reports or other negative publicity concerning both alleged improper methods of tissue recovery from donors and disease transmission from donated tissue could limit widespread acceptance of some of our products.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Various factors outside our direct control may adversely affect manufacturing, sterilization, and distribution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failure to complete sterilization on time or in compliance with the required regulatory standards;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transportation and import and export risk;</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delays in analytical results or failure of analytical techniques that we depend on for quality control and release of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large-scale epidemics of communicable diseases such as COVID-19;</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supply chain disruptions, including those caused by material and labor supply shortages, and prolonged inflation;</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any of these risks were to materialize, our ability to provide our products to customers on a timely basis could be adversely impacted.</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instruments and currently rely on RMS for iFuse-3D implants and Orchid for iFuse implants. Our dependence on such a limited number of suppliers exposes us to risks, including, among other things: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comply with regulatory requirements or make errors in manufacturing that could negatively affect the safety or effectiveness of our products or cause delays in shipments of our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not be able to respond to unanticipated changes in customer orders, and if orders do not match forecasts, we or our suppliers may have excess or inadequate inventory of materials and components;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be subject to price fluctuations due to a lack of long-term supply arrangements for key components;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lose access to critical services, raw materials and components, or experience significant delays in obtaining them, resulting in an interruption in the manufacture, assembly and shipment of our systems;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experience delays in delivery by our third-party manufacturers and suppliers due to changes in demand from us or their other customers;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fluctuations in demand for products that our third-party manufacturers and suppliers manufacture for others may affect their ability or willingness to deliver components to us in a timely manner;</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our third-party manufacturers and suppliers may wish to discontinue supplying components or services to us for risk management reasons;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not be able to find new or alternative components or reconfigure our system and manufacturing processes in a timely manner if the necessary components become unavailable; and</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our third-party manufacturers and suppliers may encounter financial hardships unrelated to our demand, which could inhibit their ability to fulfill our orders and meet our requirements.</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encounter problems or delays in the assembly of our products or fail to meet certain regulatory requirements which could result in an adverse effect on our business and financial results.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managing production yields;</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maintaining quality control and assurance;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providing component and service availability;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maintaining adequate control policies and procedures;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hiring and retaining qualified personnel;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complying with state, federal, and foreign regulations.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do not enhance and broaden our product offerings through our research and development efforts, we may be unable to compete effectively.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properly identify and anticipate surgeon and patient needs;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develop and introduce new products or product enhancements in a timely manner;</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create sufficient product differentiation to expand overall market share and minimize cannibalization of existing product markets;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obtain and maintain adequate coverage from third-party payors for new products or procedures;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mitigate downward pricing pressure on new and existing products;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adequately protect our intellectual property and avoid infringing upon the intellectual property rights of third parties;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demonstrate the safety and effectiveness of new products;</w:t>
      </w:r>
    </w:p>
    <w:p>
      <w:pPr>
        <w:pStyle w:val="TextBody"/>
        <w:bidi w:val="0"/>
        <w:spacing w:lineRule="auto" w:line="276" w:before="240" w:after="240"/>
        <w:ind w:left="0" w:right="0" w:hanging="810"/>
        <w:jc w:val="left"/>
        <w:rPr/>
      </w:pPr>
      <w:r>
        <w:rPr>
          <w:color w:val="000000"/>
        </w:rPr>
        <w:t>•</w:t>
      </w:r>
      <w:r>
        <w:rPr>
          <w:rFonts w:ascii="Times New Roman;sans-serif" w:hAnsi="Times New Roman;sans-serif"/>
          <w:b w:val="false"/>
          <w:color w:val="000000"/>
          <w:sz w:val="20"/>
        </w:rPr>
        <w:t>provide sufficient infrastructure needed for product commercialization;</w:t>
      </w:r>
    </w:p>
    <w:p>
      <w:pPr>
        <w:pStyle w:val="TextBody"/>
        <w:bidi w:val="0"/>
        <w:spacing w:lineRule="auto" w:line="276" w:before="240" w:after="240"/>
        <w:ind w:left="0" w:right="0" w:hanging="810"/>
        <w:jc w:val="both"/>
        <w:rPr/>
      </w:pPr>
      <w:r>
        <w:rPr>
          <w:color w:val="000000"/>
        </w:rPr>
        <w:t>•</w:t>
      </w:r>
      <w:r>
        <w:rPr>
          <w:rFonts w:ascii="Times New Roman;sans-serif" w:hAnsi="Times New Roman;sans-serif"/>
          <w:b w:val="false"/>
          <w:color w:val="000000"/>
          <w:sz w:val="20"/>
        </w:rPr>
        <w:t>obtain the necessary domestic and international regulatory clearances or approvals and CE Certificates of Conformity for new products or product enhancements.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w:t>
      </w:r>
      <w:r>
        <w:rPr>
          <w:color w:val="000000"/>
        </w:rPr>
        <w:t xml:space="preserve"> </w:t>
      </w:r>
      <w:r>
        <w:rPr>
          <w:rFonts w:ascii="Times New Roman;sans-serif" w:hAnsi="Times New Roman;sans-serif"/>
          <w:b w:val="false"/>
          <w:color w:val="000000"/>
          <w:sz w:val="20"/>
        </w:rPr>
        <w:t>In some cases, following a successful product development effort, we may need to invest substantial resources in surgical instrumentation and implant inventory, prior to launch of the product, and before we understand the demand for such product.</w:t>
      </w:r>
      <w:r>
        <w:rPr>
          <w:color w:val="000000"/>
        </w:rPr>
        <w:t xml:space="preserve"> </w:t>
      </w:r>
      <w:r>
        <w:rPr>
          <w:rFonts w:ascii="Times New Roman;sans-serif" w:hAnsi="Times New Roman;sans-serif"/>
          <w:b w:val="false"/>
          <w:color w:val="000000"/>
          <w:sz w:val="20"/>
        </w:rPr>
        <w:t>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maintain adequate levels of inventory, the failure of which could consume our resources and reduce our cash flows.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 independent third-party study that reliably reports the potential market size for minimally invasive sacroiliac fusion performed using a lateral approach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could suffer if we are unable to manage our international business effectively.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 countries in which we sell or plan to sell our products are, to some degree, subject to various risks, including:</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exposure to different legal and regulatory standards;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lack of stringent protection of intellectual property;</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inability of the local healthcare system to absorb prices for our product that would enable our business to become profitable in those markets;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obstacles to obtaining domestic and foreign export, import, and other governmental approvals, permits, and licenses and compliance with foreign laws;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lower average selling prices of our implants in most foreign markets;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reliance on a more concentrated surgeon base in international markets due to the surgeon acquisition costs relative to the selling price of our implants;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potentially adverse tax consequences and the complexities of foreign value-added tax systems;</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adverse changes in tariffs and trade restrictions;</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limitations on the repatriation of earnings;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difficulties in staffing and managing foreign operations;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insufficient numbers of patients requiring procedures that use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transportation delays and difficulties of managing international distribution channels;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longer collection periods and difficulties in collecting receivables from foreign entities;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increased financing costs;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currency risks;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political, social, and economic instability and increased security concerns.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may limit or disrupt our expansion, restrict the movement of funds or result in the deprivation of contractual rights or the taking of property by nationalization or expropriation without fair compensation.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In the future our products may become obsolete, which would negatively affect operations and financial condition.</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experience significant disruptions in our information technology systems, our business, results of operations, and financial condition could be adversely affected.</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efficient operation of our business depends on our information technology systems. We rely on our information technology systems to effectively manage: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sales and marketing, accounting, and financial functions;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customer relationship management;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inventory management;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compliance and regulatory reporting requirements;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engineering and product development tasks;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our research and development data.</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are vulnerable to damage or interruption from:</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earthquakes, fires, floods, and other natural disasters;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terrorist attacks and attacks by computer viruses or hackers or internal or external breaches of our cybersecurity;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power losses; and</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computer systems, internet, telecommunications, or data network failures.</w:t>
      </w:r>
      <w:r>
        <w:rPr>
          <w:color w:val="000000"/>
        </w:rPr>
        <w: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Like other public companies, we have in the past, and in the future, could be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problems assimilating the purchased technologies, products, or business operations;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unanticipated costs and liabilities associated with acquisitions;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diversion of management’s attention from our core business;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adverse effects on existing business relationships with suppliers and customers;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risks associated with entering new markets in which we have limited or no experience;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potential loss of key employees of acquired businesses;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increased legal and accounting compliance costs.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in-licensing arrangements, joint ventures, strategic alliances, or partnerships with third-parties that may not result in the development of commercially viable products or the generation of significant future revenue.</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lineRule="auto" w:line="276" w:before="240" w:after="24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our suppliers, and our third-party manufacturers are subject to extensive governmental regulation both in the U.S. and abroad, and failure to comply with applicable requirements could cause our business to suffer.</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design, development, and manufacturing;</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testing, labeling, content, and language of instructions for use and storage;</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clinical trials;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product safety;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marketing, sales, and distribution;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premarket clearance and approval;</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conformity assessment procedures;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record keeping procedures;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advertising and promotion;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compliance with good manufacturing practices requirements;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recalls and field safety corrective actions;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post-market surveillance, including reporting of deaths or serious injuries and malfunctions that, if they were to recur, could lead to death or serious injury;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post-market approval studies;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product import and export.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Before we can market or sell a new regulated medical device or make a significant modification to an existing product in the U.S., with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pStyle w:val="TextBody"/>
        <w:bidi w:val="0"/>
        <w:spacing w:lineRule="auto" w:line="276" w:before="240" w:after="24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or approval of a device for many reasons, including:</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not be able to demonstrate to the FDA’s satisfaction that our products are safe and effective for their intended uses;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data from our pre-clinical studies and clinical trials may be insufficient to support clearance or approval, where required;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the manufacturing process or facilities we use may not meet applicable requirements.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or approval for our products under development could prevent us from generating revenue from these products or achieving profitability.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regulations could jeopardize our ability to sell our products and result in enforcement actions such as: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warning letters;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fines;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injunctions;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civil penalties;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termination of distribution;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recalls or seizures of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delays in the introduction of products into the market;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total or partial suspension of production;</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facility closures;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refusal of the FDA or our Notified Body or other regulator to grant future clearances or approvals or to issue CE Certificates of Conformity;</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withdrawals, variation, or suspensions of current clearances or approvals and CE Certificates of Conformity, resulting in prohibitions on sales of our products;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 the most serious cases, criminal penalties.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U.S. federal and state laws pertaining to healthcare fraud and abuse, including anti-kickback and false claims laws. Our relationships and our third-party sales agents and resellers’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 in our Annual Report on Form 10-K filed with the SEC on March 2, 2023.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 </w:t>
      </w:r>
    </w:p>
    <w:p>
      <w:pPr>
        <w:pStyle w:val="TextBody"/>
        <w:bidi w:val="0"/>
        <w:spacing w:before="0" w:after="0"/>
        <w:ind w:left="0" w:right="0" w:firstLine="495"/>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pStyle w:val="TextBody"/>
        <w:bidi w:val="0"/>
        <w:spacing w:before="0" w:after="0"/>
        <w:ind w:left="0" w:right="0" w:firstLine="495"/>
        <w:jc w:val="both"/>
        <w:rPr/>
      </w:pPr>
      <w:r>
        <w:rPr/>
      </w:r>
    </w:p>
    <w:p>
      <w:pPr>
        <w:pStyle w:val="TextBody"/>
        <w:bidi w:val="0"/>
        <w:spacing w:lineRule="auto" w:line="276"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pStyle w:val="TextBody"/>
        <w:bidi w:val="0"/>
        <w:spacing w:before="0" w:after="0"/>
        <w:ind w:left="0" w:right="0" w:firstLine="500"/>
        <w:jc w:val="both"/>
        <w:rPr/>
      </w:pPr>
      <w:r>
        <w:rPr/>
      </w:r>
    </w:p>
    <w:p>
      <w:pPr>
        <w:pStyle w:val="TextBody"/>
        <w:bidi w:val="0"/>
        <w:spacing w:lineRule="auto" w:line="276"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pStyle w:val="TextBody"/>
        <w:bidi w:val="0"/>
        <w:spacing w:before="0" w:after="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500"/>
        <w:jc w:val="both"/>
        <w:rPr/>
      </w:pPr>
      <w:r>
        <w:rPr>
          <w:rFonts w:ascii="Times New Roman;sans-serif" w:hAnsi="Times New Roman;sans-serif"/>
          <w:b w:val="false"/>
          <w:color w:val="000000"/>
          <w:sz w:val="20"/>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r>
        <w:rPr>
          <w:color w:val="000000"/>
        </w:rPr>
        <w:t xml:space="preserve"> </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failure to adequately protect personal information in compliance with evolving legal requirements could harm our business.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legally-protected personally-identifiable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2, 2023.</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California Consumer Privacy Act, which became effective on January 1, 2020, as amended by the California Privacy Rights Act (“CCPA”), requires a broad range of businesses to honor the requests of California residents to access and require deletion of their personal information, opt out of certain personal information sharing, receive detailed information about how their personal information is used and shared, correct inaccurate personal information, and limit the use and disclosure of certain sensitive personal information. The CCPA provides for civil penalties of up to $7,500 for intentional violations, and a private right of action for data breaches that allows private plaintiffs to seek the greater of actual damages or statutory damages of up to $750 per consumer per data breach.</w:t>
      </w:r>
      <w:r>
        <w:rPr>
          <w:color w:val="000000"/>
        </w:rPr>
        <w:t xml:space="preserve"> </w:t>
      </w:r>
      <w:r>
        <w:rPr>
          <w:rFonts w:ascii="Times New Roman;sans-serif" w:hAnsi="Times New Roman;sans-serif"/>
          <w:b w:val="false"/>
          <w:color w:val="000000"/>
          <w:sz w:val="20"/>
        </w:rPr>
        <w:t>These remedies are expected to increase data breach litigation. Although the CCPA includes exemptions for certain clinical trials data, and protected health information governed by HIPAA, the law may increase our compliance costs and potential liability with respect to other personal information we collect about California residents. Our compliance costs and potential liability with respect to personal information may also increase in response to other states adopting initiatives regarding protection of personal information, such as Virginia, Colorado, Utah, Connecticut, and Washington. While these laws are similar in certain respects, the laws differ and compliance with one law does not equate to compliance with the other laws. Several other states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pStyle w:val="TextBody"/>
        <w:bidi w:val="0"/>
        <w:spacing w:before="0" w:after="0"/>
        <w:ind w:left="0" w:right="0" w:firstLine="495"/>
        <w:jc w:val="both"/>
        <w:rPr/>
      </w:pPr>
      <w:r>
        <w:rPr/>
      </w:r>
    </w:p>
    <w:p>
      <w:pPr>
        <w:pStyle w:val="TextBody"/>
        <w:bidi w:val="0"/>
        <w:spacing w:lineRule="auto" w:line="268"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non-U.S. operations.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are subject to anti-boycott laws, anti-money laundering laws, and the export controls and economic embargo rules and regulations of the U.S., including, but not limited to, the Export Administration Regulations and trade sanctions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r>
        <w:rPr>
          <w:color w:val="000000"/>
        </w:rPr>
        <w:t xml:space="preserve">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untitled letters, warning letters, fines, injunctions, consent, and civil penalties;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unanticipated expenditures to address or defend such actions;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customer notifications for repair, replacement, refunds;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recall, detention, or seizure of our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operating restrictions or partial suspension or total shutdown of production;</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refusing or delaying our requests for 510(k) clearance or premarket approval and conformity assessments of new products or modified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limitations on the intended uses for which the product may be marketed;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operating restrictions;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withdrawing 510(k) clearances or PMA approvals that have already been granted;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suspension, variation or withdrawal of CE Certificates of Conformity;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refusal to grant export approval for our products;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criminal prosecution.</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consultants, manufacturers, and third-party sales agents and resellers may engage in misconduct or other improper activities, relating to regulatory standards and requirements. </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manufacturers,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enforcement action, including fines, penalties or injunctions, if we are determined to be engaging in the off-label promotion of our products.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report certain malfunctions, deaths, and serious injuries associated with our products, which can result in voluntary corrective actions or agency enforcement actions.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pStyle w:val="TextBody"/>
        <w:bidi w:val="0"/>
        <w:spacing w:lineRule="auto" w:line="276" w:before="240" w:after="240"/>
        <w:ind w:left="0" w:right="0" w:firstLine="495"/>
        <w:jc w:val="both"/>
        <w:rPr/>
      </w:pPr>
      <w:r>
        <w:rPr>
          <w:rFonts w:ascii="Times New Roman;sans-serif" w:hAnsi="Times New Roman;sans-serif"/>
          <w:b w:val="false"/>
          <w:color w:val="000000"/>
          <w:sz w:val="20"/>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r>
        <w:rPr>
          <w:color w:val="000000"/>
        </w:rPr>
        <w:t>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fail to obtain or maintain foreign regulatory approvals to market our products in other countries.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COVID-19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results of our clinical trials may not support our product candidate claims or may result in the occurrence of adverse events.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additional scrutiny during the conformity assessment procedure for high risk medical devices;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strengthening of the clinical data requirements related to medical devices;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strengthening of the designation and monitoring processes governing notified 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both"/>
        <w:rPr/>
      </w:pPr>
      <w:r>
        <w:rPr>
          <w:color w:val="000000"/>
        </w:rPr>
        <w:t>•    </w:t>
      </w:r>
      <w:r>
        <w:rPr>
          <w:rFonts w:ascii="Times New Roman;sans-serif" w:hAnsi="Times New Roman;sans-serif"/>
          <w:b w:val="false"/>
          <w:color w:val="000000"/>
          <w:sz w:val="20"/>
        </w:rPr>
        <w:t>the obligation for manufacturers and authorized representative to have a person responsible for regulatory compliance continuously at their disposal;</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authorized representatives held legally responsible and liable for defective products placed on the EU market;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increased traceability of medical devices following the introduction of a Unique Device Identification (“UDI”), system;</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new rules governing the reprocessing of medical devices; and</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pStyle w:val="TextBody"/>
        <w:bidi w:val="0"/>
        <w:spacing w:before="0" w:after="0"/>
        <w:ind w:left="0" w:right="0" w:firstLine="495"/>
        <w:jc w:val="both"/>
        <w:rPr/>
      </w:pPr>
      <w:r>
        <w:rPr/>
      </w:r>
    </w:p>
    <w:p>
      <w:pPr>
        <w:pStyle w:val="TextBody"/>
        <w:bidi w:val="0"/>
        <w:spacing w:lineRule="auto" w:line="256" w:before="0" w:after="0"/>
        <w:ind w:left="0" w:right="0" w:firstLine="495"/>
        <w:jc w:val="both"/>
        <w:rPr/>
      </w:pPr>
      <w:r>
        <w:rPr>
          <w:rFonts w:ascii="Times New Roman;sans-serif" w:hAnsi="Times New Roman;sans-serif"/>
          <w:b w:val="false"/>
          <w:color w:val="000000"/>
          <w:sz w:val="20"/>
        </w:rPr>
        <w:t>Transition from the regulation of our products under the Medical Device Directive, and implementing legislation in each EU Member State, to regulation under the Medical Devices Regulation has required and will continue to require a substantial transition effort by us.</w:t>
      </w:r>
      <w:r>
        <w:rPr>
          <w:color w:val="000000"/>
        </w:rPr>
        <w:t xml:space="preserve"> </w:t>
      </w:r>
      <w:r>
        <w:rPr>
          <w:rFonts w:ascii="Times New Roman;sans-serif" w:hAnsi="Times New Roman;sans-serif"/>
          <w:b w:val="false"/>
          <w:color w:val="000000"/>
          <w:sz w:val="20"/>
        </w:rPr>
        <w:t xml:space="preserve">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w:t>
      </w:r>
    </w:p>
    <w:p>
      <w:pPr>
        <w:pStyle w:val="TextBody"/>
        <w:bidi w:val="0"/>
        <w:spacing w:before="0" w:after="0"/>
        <w:ind w:left="0" w:right="0" w:firstLine="495"/>
        <w:jc w:val="left"/>
        <w:rPr/>
      </w:pPr>
      <w:r>
        <w:rPr/>
      </w:r>
    </w:p>
    <w:p>
      <w:pPr>
        <w:pStyle w:val="TextBody"/>
        <w:bidi w:val="0"/>
        <w:spacing w:lineRule="auto" w:line="25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 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pStyle w:val="TextBody"/>
        <w:bidi w:val="0"/>
        <w:spacing w:before="0" w:after="0"/>
        <w:ind w:left="0" w:right="0" w:firstLine="495"/>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Inadequate funding for FDA and other government agencies, or a work slowdown or stoppage at those agencies as part of a broader federal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FDA’s ability to perform routine functions. Disruptions at FDA and other agencies may also slow the time necessary for new product applications to be reviewed and/or approved by necessary government agencies, which could adversely affect our business. For example, in recent years, including for 35 days beginning on December 22, 2018, the US government shut down several times and certain regulatory agencies, such as FDA, had to furlough critical employees and stop critical activities. Average review times at FDA have fluctuated in recent years as a result. In addition, government funding of other government agencies on which our operations may rely is subject to the political process, which is inherently fluid and unpredictable.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 prolonged government shutdown occurs, or if global health concerns or other political or world events prevent FDA or other regulatory authorities from conducting their regular reviews or other regulatory activities, it could significantly impact the ability of FDA to timely review and process our regulatory submissions, which could have a material adverse effect on our business. Future government shutdowns or delays could also impact our ability to access the public markets and obtain capital to fund the growth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environmental laws and regulations that can impose significant costs and expose us to potential financial liabilities.</w:t>
      </w:r>
    </w:p>
    <w:p>
      <w:pPr>
        <w:pStyle w:val="TextBody"/>
        <w:bidi w:val="0"/>
        <w:spacing w:lineRule="auto" w:line="276" w:before="0" w:after="0"/>
        <w:ind w:left="0" w:right="0" w:firstLine="495"/>
        <w:jc w:val="both"/>
        <w:rPr/>
      </w:pPr>
      <w:r>
        <w:rPr>
          <w:rFonts w:ascii="Times New Roman;sans-serif" w:hAnsi="Times New Roman;sans-serif"/>
          <w:b w:val="false"/>
          <w:color w:val="000000"/>
          <w:sz w:val="20"/>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w:t>
      </w:r>
      <w:r>
        <w:rPr>
          <w:color w:val="000000"/>
        </w:rPr>
        <w:t xml:space="preserve"> </w:t>
      </w:r>
      <w:r>
        <w:rPr>
          <w:rFonts w:ascii="Times New Roman;sans-serif" w:hAnsi="Times New Roman;sans-serif"/>
          <w:b w:val="false"/>
          <w:color w:val="000000"/>
          <w:sz w:val="20"/>
        </w:rPr>
        <w:t>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pStyle w:val="TextBody"/>
        <w:bidi w:val="0"/>
        <w:spacing w:before="0" w:after="0"/>
        <w:ind w:left="0" w:right="0" w:firstLine="495"/>
        <w:jc w:val="left"/>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Certain of our products are derived from human tissue and are or could be subject to additional regulations and requirements.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pStyle w:val="TextBody"/>
        <w:bidi w:val="0"/>
        <w:spacing w:lineRule="auto" w:line="276" w:before="240" w:after="24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76"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rely primarily on patent, copyright, trademark and trade secret laws, as well as confidentiality and nondisclosure agreements and other methods, to protect our proprietary technologies and know-how. As of September 30, 2023, we owned 58 issued U.S. patents and had 31 pending U.S. patent applications, and we owned 18 issued foreign patents and had 21 pending foreign patent applications. We have focused the majority of our foreign patent efforts in China, Europe, and Japan. Our current U.S. patents on iFuse, including the triangular shape, expire in December 2025. Competitors may market similar triangular shaped devices upon the expiration of the patents in late 2025. Our current U.S. patents on iFuse-3D, including the fenestrated design, expire in September 2035. Our foreign patents will expire between August 2025 and September 2035.</w:t>
      </w:r>
    </w:p>
    <w:p>
      <w:pPr>
        <w:pStyle w:val="TextBody"/>
        <w:bidi w:val="0"/>
        <w:spacing w:lineRule="auto" w:line="276"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20 registered trademarks in the U.S. We have sought protection for at least two of these trademarks in 60 countries including the 27 European member countries of the Madrid Protocol.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our employees, our third-party sales agents or resellers have wrongfully used or disclosed alleged trade secrets of our competitors or are in breach of non-competition or non-solicitation agreements with our competitors.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pStyle w:val="TextBody"/>
        <w:bidi w:val="0"/>
        <w:spacing w:lineRule="auto" w:line="276" w:before="240" w:after="24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be volatile, and the value of an investment in our common stock could decline.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changes in interest rates, investor risk appetite and other macroeconomic factors impacting the market for securities issued by medical device companies;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the risk of inflation, interest rate increases and other macroeconomic factors impacting patients’ economic ability and likelihood of undergoing elective procedures, whether real or as perceived by investors;</w:t>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left"/>
        <w:rPr/>
      </w:pPr>
      <w:r>
        <w:rPr>
          <w:color w:val="000000"/>
        </w:rPr>
        <w:t>•</w:t>
      </w:r>
      <w:r>
        <w:rPr>
          <w:rFonts w:ascii="Times New Roman;sans-serif" w:hAnsi="Times New Roman;sans-serif"/>
          <w:b w:val="false"/>
          <w:color w:val="000000"/>
          <w:sz w:val="20"/>
        </w:rPr>
        <w:t>the impact of infectious diseases, and measures taken to combat them, on our business;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results of our clinical trials and that of our competitors’ products;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announcements of new offerings, products, services or technologies, commercial relationships, acquisitions, or other events by us or our competitors;</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 xml:space="preserve">price and volume fluctuations in the overall stock market from time to time; </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negative publicity;</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whether our results of operations meet the expectations of securities analysts or investors or those expectations change;</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litigation involving us, our industry, or both;</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regulatory developments in the U.S., foreign countries, or both;</w:t>
      </w:r>
    </w:p>
    <w:p>
      <w:pPr>
        <w:pStyle w:val="TextBody"/>
        <w:bidi w:val="0"/>
        <w:spacing w:lineRule="auto" w:line="276" w:before="240" w:after="240"/>
        <w:ind w:left="0" w:right="0" w:hanging="450"/>
        <w:jc w:val="left"/>
        <w:rPr/>
      </w:pPr>
      <w:r>
        <w:rPr>
          <w:color w:val="000000"/>
        </w:rPr>
        <w:t>•    </w:t>
      </w:r>
      <w:r>
        <w:rPr>
          <w:rFonts w:ascii="Times New Roman;sans-serif" w:hAnsi="Times New Roman;sans-serif"/>
          <w:b w:val="false"/>
          <w:color w:val="000000"/>
          <w:sz w:val="20"/>
        </w:rPr>
        <w:t>lock-up releases and sales of large blocks of our common stock;</w:t>
      </w:r>
      <w:r>
        <w:rPr>
          <w:color w:val="000000"/>
        </w:rPr>
        <w:t> </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additions or departures of key employees or scientific personnel; and</w:t>
      </w:r>
    </w:p>
    <w:p>
      <w:pPr>
        <w:pStyle w:val="TextBody"/>
        <w:bidi w:val="0"/>
        <w:spacing w:lineRule="auto" w:line="276" w:before="240" w:after="240"/>
        <w:ind w:left="0" w:right="0" w:hanging="450"/>
        <w:jc w:val="left"/>
        <w:rPr>
          <w:color w:val="000000"/>
        </w:rPr>
      </w:pPr>
      <w:r>
        <w:rPr>
          <w:color w:val="000000"/>
        </w:rPr>
        <w:t>•    </w:t>
      </w:r>
      <w:r>
        <w:rPr>
          <w:rFonts w:ascii="Times New Roman;sans-serif" w:hAnsi="Times New Roman;sans-serif"/>
          <w:b w:val="false"/>
          <w:color w:val="000000"/>
          <w:sz w:val="20"/>
        </w:rPr>
        <w:t>general economic conditions and trends.</w:t>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sales volumes and our operating results may fluctuate over the course of the year, which could affect the price of our common stock.</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payor coverage and reimbursement;</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number of products sold in the quarter and our ability to drive increased sales of our products;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our ability to establish and maintain an effective and dedicated sales force;</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pricing pressure applicable to our products, including adverse third-party coverage and reimbursement outcomes;</w:t>
      </w:r>
    </w:p>
    <w:p>
      <w:pPr>
        <w:pStyle w:val="TextBody"/>
        <w:bidi w:val="0"/>
        <w:spacing w:lineRule="auto" w:line="268" w:before="0" w:after="0"/>
        <w:ind w:left="0" w:right="0" w:hanging="450"/>
        <w:jc w:val="left"/>
        <w:rPr/>
      </w:pPr>
      <w:r>
        <w:rPr>
          <w:color w:val="000000"/>
        </w:rPr>
        <w:t>•</w:t>
      </w:r>
      <w:r>
        <w:rPr>
          <w:rFonts w:ascii="Times New Roman;sans-serif" w:hAnsi="Times New Roman;sans-serif"/>
          <w:b w:val="false"/>
          <w:color w:val="000000"/>
          <w:sz w:val="20"/>
        </w:rPr>
        <w:t>the impact of COVID-19 or other infectious disease outbreaks on our business;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results of clinical research and trials on our existing products and products in development;</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mix of our products sold because profit margins differ amongst our products;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ability of our suppliers to timely provide us with an adequate supply of materials and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evolving product offerings of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demand for, and pricing of, our products and the products of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factors that may affect the sale of our products, including seasonality and budgets of our customers;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domestic and international regulatory clearances or approvals, or CE Certificates of Conformity, and legislative changes affecting the products we may offer or those of our competitors;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interruption in the manufacturing or distribution of our products;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effect of competing technological, industry and market developments;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our ability to expand the geographic reach of our sales and marketing efforts;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costs of maintaining adequate insurance coverage, including product liability insurance;</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availability and cost of components and materials;</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the number of selling days in the quarter;</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fluctuation in foreign currency exchange rates; and</w:t>
      </w:r>
    </w:p>
    <w:p>
      <w:pPr>
        <w:pStyle w:val="TextBody"/>
        <w:bidi w:val="0"/>
        <w:spacing w:lineRule="auto" w:line="276" w:before="240" w:after="240"/>
        <w:ind w:left="0" w:right="0" w:hanging="450"/>
        <w:jc w:val="both"/>
        <w:rPr/>
      </w:pPr>
      <w:r>
        <w:rPr>
          <w:color w:val="000000"/>
        </w:rPr>
        <w:t>•</w:t>
      </w:r>
      <w:r>
        <w:rPr>
          <w:rFonts w:ascii="Times New Roman;sans-serif" w:hAnsi="Times New Roman;sans-serif"/>
          <w:b w:val="false"/>
          <w:color w:val="000000"/>
          <w:sz w:val="20"/>
        </w:rPr>
        <w:t>impairment and other special charges.</w:t>
      </w:r>
    </w:p>
    <w:p>
      <w:pPr>
        <w:pStyle w:val="TextBody"/>
        <w:bidi w:val="0"/>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unable to utilize our federal and state net operating loss carryforwards to reduce our income taxes.</w:t>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As of December 31, 2022, we had net operating loss (“NOL”) carryforwards of $298.6 million and $238.7 million available to reduce future taxable income, if any, for U.S. federal income tax and state income tax purposes, respectively. If not utilized, our federal and state NOL carryforwards begin to expire in 2029 and 2022,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 legislation enacted in 2020, unused U.S. federal NOLs generated in tax years beginning after December 31, 2017</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 </w:t>
      </w:r>
    </w:p>
    <w:p>
      <w:pPr>
        <w:pStyle w:val="TextBody"/>
        <w:bidi w:val="0"/>
        <w:spacing w:before="0" w:after="0"/>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On February 9, 2022, California Senate Bill 133 (SB 133) was signed into law. The new bill lifted the limitation for California NOL and credit utilization disallowed by AB 85. California NOL suspension and tax credit utilization limitation did not impact the Company due to taxable loss positions for 2020, 2021,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jc w:val="left"/>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lead to management entrenchment.</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pStyle w:val="TextBody"/>
        <w:bidi w:val="0"/>
        <w:spacing w:lineRule="auto" w:line="276" w:before="240" w:after="240"/>
        <w:ind w:left="0" w:right="0" w:hanging="450"/>
        <w:jc w:val="both"/>
        <w:rPr/>
      </w:pPr>
      <w:r>
        <w:rPr>
          <w:color w:val="000000"/>
        </w:rPr>
        <w:t>•    </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r>
        <w:rPr>
          <w:color w:val="000000"/>
        </w:rPr>
        <w:t> </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also provides that the U.S. federal district courts are the exclusive forum for resolving any complaint asserting a cause of action arising under the Securities Act. </w:t>
      </w:r>
    </w:p>
    <w:p>
      <w:pPr>
        <w:pStyle w:val="TextBody"/>
        <w:bidi w:val="0"/>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banking industry or the broader financial services industry, such as actual events or concerns involving liquidity, defaults or non-performance, could adversely affect our operations and liquidity.</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term loan contains covenants that may restrict our business and financing activities.</w:t>
      </w:r>
    </w:p>
    <w:p>
      <w:pPr>
        <w:pStyle w:val="TextBody"/>
        <w:bidi w:val="0"/>
        <w:spacing w:before="0" w:after="0"/>
        <w:jc w:val="left"/>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Loan and Security Agreement (as amended, the "Amended Loan Agreement") with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is secured by substantially all our assets other than our intellectual property.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pStyle w:val="TextBody"/>
        <w:bidi w:val="0"/>
        <w:spacing w:before="0" w:after="0"/>
        <w:ind w:left="0" w:right="0" w:firstLine="495"/>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access credit on favorable terms, if necessary, for the funding of our operations and capital projects may be limited due to changes in credit markets.</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Loan Agreement with First-Citizens provides for a secured revolving credit facility, or Revolver, in an aggregate principal amount of up to $15.0 million. The Revolver matures on July 6, 2025. As of September 30, 2023, we had not drawn on this credit facility. On March 10, 2023, we violated one of the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Any future violation of any of the covenants could result in a default under the Amended Loan Agreement that would permit First-Citizens to restrict our ability to further access the Revolver for loans and require the immediate repayment of any outstanding loans under the agreement. In addition, certain provisions in the these covenants are subject to renegotiation at the beginning of each fiscal year, which further reduces our ability to anticipate whether this source of capital will continue to be available in the near term. As of September 30, 2023, we had cash management accounts with a financial institution other than First-Citizens and instructed our customers to direct payments to us to these separate operating accounts. Until such operating accounts are closed and the funds moved back to cash collateral accounts held at First-Citizens, we will be unable to obtain credit advances under the Revolver. See “Note 7. Borrowings” to the “Notes to Condensed Consolidated Financial Statements” included in this report.</w:t>
      </w:r>
    </w:p>
    <w:p>
      <w:pPr>
        <w:pStyle w:val="TextBody"/>
        <w:bidi w:val="0"/>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The Amended Loan Agreement terminates on December 1, 2027 and if we cannot renew or refinance this facility or obtain funding when needed, in each case on acceptable terms, such conditions may have an adverse effect on our ability to operate our business.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2023, we issued to one lender 22,603 shares of common stock pursuant to a cashless exercise of warrants to purchase 32,982 shares held by the lender. The issuance was made in reliance on Section 3(a)(9) of the Securities Act in that it was a cashless exercise for which no compensation was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4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73"/>
        <w:gridCol w:w="241"/>
        <w:gridCol w:w="242"/>
        <w:gridCol w:w="109"/>
        <w:gridCol w:w="109"/>
        <w:gridCol w:w="109"/>
        <w:gridCol w:w="1469"/>
        <w:gridCol w:w="1372"/>
        <w:gridCol w:w="1385"/>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8"/>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9/20/2023</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r:id="rId5">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6">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930202310x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930202310x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930202310xq.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Furnished herewith.</w:t>
      </w:r>
      <w:r>
        <w:rPr>
          <w:color w:val="000000"/>
        </w:rPr>
        <w:t> </w:t>
      </w:r>
      <w:r>
        <w:rPr>
          <w:rFonts w:ascii="Times New Roman;sans-serif" w:hAnsi="Times New Roman;sans-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before="0" w:after="0"/>
        <w:ind w:left="0" w:right="0" w:hanging="360"/>
        <w:jc w:val="left"/>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November 7, 2023.</w:t>
      </w:r>
    </w:p>
    <w:p>
      <w:pPr>
        <w:pStyle w:val="TextBody"/>
        <w:bidi w:val="0"/>
        <w:spacing w:lineRule="auto" w:line="288" w:before="0" w:after="0"/>
        <w:jc w:val="left"/>
        <w:rPr>
          <w:color w:val="000000"/>
        </w:rPr>
      </w:pPr>
      <w:r>
        <w:rPr>
          <w:color w:val="000000"/>
        </w:rPr>
        <w:t> </w:t>
      </w:r>
    </w:p>
    <w:tbl>
      <w:tblPr>
        <w:tblW w:w="8922" w:type="dxa"/>
        <w:jc w:val="center"/>
        <w:tblInd w:w="0" w:type="dxa"/>
        <w:tblLayout w:type="fixed"/>
        <w:tblCellMar>
          <w:top w:w="28" w:type="dxa"/>
          <w:left w:w="28" w:type="dxa"/>
          <w:bottom w:w="28" w:type="dxa"/>
          <w:right w:w="28" w:type="dxa"/>
        </w:tblCellMar>
      </w:tblPr>
      <w:tblGrid>
        <w:gridCol w:w="216"/>
        <w:gridCol w:w="191"/>
        <w:gridCol w:w="192"/>
        <w:gridCol w:w="534"/>
        <w:gridCol w:w="534"/>
        <w:gridCol w:w="536"/>
        <w:gridCol w:w="200"/>
        <w:gridCol w:w="200"/>
        <w:gridCol w:w="200"/>
        <w:gridCol w:w="1777"/>
        <w:gridCol w:w="1777"/>
        <w:gridCol w:w="256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(Duly Authorized Officer and Principal Executive Officer</w:t>
            </w:r>
            <w:r>
              <w:rPr>
                <w:rFonts w:ascii="Times New Roman;sans-serif" w:hAnsi="Times New Roman;sans-serif"/>
                <w:b w:val="false"/>
                <w:color w:val="000000"/>
                <w:sz w:val="16"/>
              </w:rPr>
              <w:t xml:space="preserve">)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and Accounting Officer)</w:t>
            </w:r>
          </w:p>
        </w:tc>
      </w:tr>
    </w:tbl>
    <w:p>
      <w:pPr>
        <w:pStyle w:val="TextBody"/>
        <w:bidi w:val="0"/>
        <w:spacing w:before="0" w:after="0"/>
        <w:jc w:val="left"/>
        <w:rPr/>
      </w:pPr>
      <w:r>
        <w:rPr/>
      </w:r>
    </w:p>
    <w:p>
      <w:pPr>
        <w:pStyle w:val="TextBody"/>
        <w:bidi w:val="0"/>
        <w:spacing w:before="0" w:after="0"/>
        <w:jc w:val="righ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Laura A. Francis,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hanging="90"/>
        <w:jc w:val="both"/>
        <w:rPr>
          <w:color w:val="000000"/>
        </w:rPr>
      </w:pPr>
      <w:r>
        <w:rPr>
          <w:color w:val="000000"/>
        </w:rPr>
        <w:t> </w:t>
      </w:r>
    </w:p>
    <w:tbl>
      <w:tblPr>
        <w:tblW w:w="528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hanging="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522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09"/>
        <w:gridCol w:w="109"/>
        <w:gridCol w:w="109"/>
        <w:gridCol w:w="256"/>
        <w:gridCol w:w="256"/>
        <w:gridCol w:w="256"/>
        <w:gridCol w:w="256"/>
        <w:gridCol w:w="256"/>
        <w:gridCol w:w="256"/>
        <w:gridCol w:w="256"/>
        <w:gridCol w:w="256"/>
        <w:gridCol w:w="3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AND PRINCIPAL FINANCIAL OFFICER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her or his knowledge: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Company’s Quarterly Report on Form 10-Q for the period ended September 30, 2023, to which this Certification is attached as Exhibit 32.1 (the “Periodic Report”), fully complies with the requirements of Section 13(a) or Section 15(d) of the Exchange Act; and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Periodic Report fairly presents, in all material respects, the financial condition and results of operations of the Company. </w:t>
      </w:r>
    </w:p>
    <w:tbl>
      <w:tblPr>
        <w:tblW w:w="594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09"/>
        <w:gridCol w:w="109"/>
        <w:gridCol w:w="109"/>
        <w:gridCol w:w="219"/>
        <w:gridCol w:w="219"/>
        <w:gridCol w:w="219"/>
        <w:gridCol w:w="385"/>
        <w:gridCol w:w="385"/>
        <w:gridCol w:w="385"/>
        <w:gridCol w:w="385"/>
        <w:gridCol w:w="385"/>
        <w:gridCol w:w="5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9839/000119312518303020/d641574dex31.htm" TargetMode="External"/><Relationship Id="rId3" Type="http://schemas.openxmlformats.org/officeDocument/2006/relationships/hyperlink" Target="https://www.sec.gov/Archives/edgar/data/1459839/000145983923000095/secondamendedandrestatedby.htm" TargetMode="External"/><Relationship Id="rId4" Type="http://schemas.openxmlformats.org/officeDocument/2006/relationships/hyperlink" Target="http://www.sec.gov/Archives/edgar/data/1459839/000119312518293978/d452987dex41.htm" TargetMode="External"/><Relationship Id="rId5" Type="http://schemas.openxmlformats.org/officeDocument/2006/relationships/hyperlink" Target="http://www.sec.gov/Archives/edgar/data/1459839/000119312518303020/d641574dex31.htm" TargetMode="External"/><Relationship Id="rId6" Type="http://schemas.openxmlformats.org/officeDocument/2006/relationships/hyperlink" Target="http://www.sec.gov/Archives/edgar/data/1459839/000119312518293978/d452987dex3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46578</Words>
  <Characters>259392</Characters>
  <CharactersWithSpaces>304762</CharactersWithSpaces>
  <Paragraphs>2939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